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101</w:t>
      </w:r>
    </w:p>
    <w:p w14:paraId="314D72F6">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ABDULHAMEED ABDULGANIY</w:t>
      </w:r>
    </w:p>
    <w:p w14:paraId="290E8A81">
      <w:pPr>
        <w:spacing w:after="0" w:line="240" w:lineRule="auto"/>
        <w:jc w:val="center"/>
        <w:rPr>
          <w:rFonts w:hint="default" w:ascii="Segoe UI" w:hAnsi="Segoe UI" w:eastAsia="Segoe UI" w:cs="Segoe UI"/>
          <w:i w:val="0"/>
          <w:iCs w:val="0"/>
          <w:caps w:val="0"/>
          <w:color w:val="333333"/>
          <w:spacing w:val="0"/>
          <w:sz w:val="22"/>
          <w:szCs w:val="22"/>
          <w:shd w:val="clear" w:fill="FFFFFF"/>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rPr>
        <w:t>ABDULHAMEED ABDULGANIY</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101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bookmarkStart w:id="0" w:name="_GoBack"/>
      <w:bookmarkEnd w:id="0"/>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057431D"/>
    <w:rsid w:val="161435E5"/>
    <w:rsid w:val="18E32446"/>
    <w:rsid w:val="1BA76FEA"/>
    <w:rsid w:val="23AF3398"/>
    <w:rsid w:val="25616731"/>
    <w:rsid w:val="2ED20854"/>
    <w:rsid w:val="31E72B84"/>
    <w:rsid w:val="339B0231"/>
    <w:rsid w:val="38F2407A"/>
    <w:rsid w:val="43731411"/>
    <w:rsid w:val="4FE419CB"/>
    <w:rsid w:val="526925C3"/>
    <w:rsid w:val="5AE166C5"/>
    <w:rsid w:val="5BEC4453"/>
    <w:rsid w:val="61975E27"/>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2025-10-19T10:11:05Z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