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sz w:val="24"/>
          <w:szCs w:val="24"/>
          <w:lang w:val="en-US"/>
        </w:rPr>
      </w:pP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149</w:t>
      </w:r>
    </w:p>
    <w:p w14:paraId="143C834A">
      <w:pPr>
        <w:spacing w:after="0" w:line="240" w:lineRule="auto"/>
        <w:jc w:val="center"/>
        <w:rPr>
          <w:rFonts w:hint="default" w:ascii="Times New Roman" w:hAnsi="Times New Roman" w:cs="Times New Roman"/>
          <w:sz w:val="24"/>
          <w:szCs w:val="24"/>
        </w:rPr>
      </w:pPr>
      <w:r>
        <w:rPr>
          <w:rFonts w:hint="default" w:ascii="Times New Roman" w:hAnsi="Times New Roman" w:eastAsia="Segoe UI" w:cs="Times New Roman"/>
          <w:i w:val="0"/>
          <w:iCs w:val="0"/>
          <w:color w:val="333333"/>
          <w:spacing w:val="0"/>
          <w:sz w:val="22"/>
          <w:szCs w:val="22"/>
          <w:shd w:val="clear" w:fill="FFFFFF"/>
          <w:lang w:val="en-US"/>
        </w:rPr>
        <w:t>A</w:t>
      </w:r>
      <w:r>
        <w:rPr>
          <w:rFonts w:hint="default" w:ascii="Times New Roman" w:hAnsi="Times New Roman" w:eastAsia="Segoe UI" w:cs="Times New Roman"/>
          <w:i w:val="0"/>
          <w:iCs w:val="0"/>
          <w:color w:val="333333"/>
          <w:spacing w:val="0"/>
          <w:sz w:val="22"/>
          <w:szCs w:val="22"/>
          <w:shd w:val="clear" w:fill="FFFFFF"/>
        </w:rPr>
        <w:t>DEYEMI ADEKUNLE</w:t>
      </w:r>
    </w:p>
    <w:p w14:paraId="752F7CD0">
      <w:pPr>
        <w:spacing w:after="0" w:line="240" w:lineRule="auto"/>
        <w:jc w:val="center"/>
        <w:rPr>
          <w:rFonts w:hint="default" w:ascii="Times New Roman" w:hAnsi="Times New Roman" w:cs="Times New Roman"/>
          <w:sz w:val="24"/>
          <w:szCs w:val="24"/>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lang w:val="en-US"/>
        </w:rPr>
        <w:t>A</w:t>
      </w:r>
      <w:r>
        <w:rPr>
          <w:rFonts w:hint="default" w:ascii="Times New Roman" w:hAnsi="Times New Roman" w:eastAsia="Segoe UI" w:cs="Times New Roman"/>
          <w:i w:val="0"/>
          <w:iCs w:val="0"/>
          <w:color w:val="auto"/>
          <w:spacing w:val="0"/>
          <w:sz w:val="24"/>
          <w:szCs w:val="24"/>
          <w:shd w:val="clear" w:fill="FFFFFF"/>
        </w:rPr>
        <w:t>DEYEMI ADEKUNLE</w:t>
      </w:r>
      <w:r>
        <w:rPr>
          <w:rFonts w:hint="default" w:ascii="Times New Roman" w:hAnsi="Times New Roman" w:eastAsia="Segoe UI" w:cs="Times New Roman"/>
          <w:i w:val="0"/>
          <w:iCs w:val="0"/>
          <w:color w:val="333333"/>
          <w:spacing w:val="0"/>
          <w:sz w:val="22"/>
          <w:szCs w:val="22"/>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149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 xml:space="preserve">[22]     W. Luo, “Wiring and Connectors in Portable Devices,” J. Elect. Eng., vol. 54, pp. 72–78, </w:t>
      </w:r>
      <w:bookmarkStart w:id="0" w:name="_GoBack"/>
      <w:bookmarkEnd w:id="0"/>
      <w:r>
        <w:rPr>
          <w:rFonts w:ascii="Times New Roman" w:hAnsi="Times New Roman" w:cs="Times New Roman"/>
        </w:rPr>
        <w:t>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18E32446"/>
    <w:rsid w:val="1BA76FEA"/>
    <w:rsid w:val="2ED20854"/>
    <w:rsid w:val="339B0231"/>
    <w:rsid w:val="43731411"/>
    <w:rsid w:val="4FE419CB"/>
    <w:rsid w:val="5AE166C5"/>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27</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2025-10-19T09:08:07Z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