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0B45E7" w:rsidP="00F91803">
      <w:pPr>
        <w:spacing w:after="0" w:line="240" w:lineRule="auto"/>
        <w:jc w:val="center"/>
        <w:rPr>
          <w:rFonts w:ascii="Arial Black" w:hAnsi="Arial Black"/>
          <w:b/>
          <w:sz w:val="40"/>
        </w:rPr>
      </w:pPr>
      <w:r>
        <w:rPr>
          <w:rFonts w:ascii="Arial Black" w:hAnsi="Arial Black"/>
          <w:b/>
          <w:sz w:val="40"/>
        </w:rPr>
        <w:t>AJIBOYE LOVE AYOMIDE</w:t>
      </w:r>
    </w:p>
    <w:p w:rsidR="00DF69FF" w:rsidRPr="00D526C6" w:rsidRDefault="000B45E7" w:rsidP="00F91803">
      <w:pPr>
        <w:spacing w:after="0" w:line="240" w:lineRule="auto"/>
        <w:jc w:val="center"/>
        <w:rPr>
          <w:rFonts w:ascii="Arial Black" w:hAnsi="Arial Black"/>
          <w:b/>
          <w:sz w:val="40"/>
        </w:rPr>
      </w:pPr>
      <w:r>
        <w:rPr>
          <w:rFonts w:ascii="Arial Black" w:hAnsi="Arial Black"/>
          <w:b/>
          <w:sz w:val="40"/>
        </w:rPr>
        <w:t>ND/23/SLT/PT/0269</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Pr="00117AE2" w:rsidRDefault="00DF69FF" w:rsidP="00DF69FF">
      <w:pPr>
        <w:jc w:val="right"/>
        <w:rPr>
          <w:rFonts w:ascii="Times New Roman" w:hAnsi="Times New Roman"/>
          <w:b/>
          <w:strike/>
          <w:sz w:val="38"/>
        </w:rPr>
      </w:pPr>
      <w:r>
        <w:rPr>
          <w:rFonts w:ascii="Times New Roman" w:hAnsi="Times New Roman"/>
          <w:b/>
          <w:sz w:val="28"/>
        </w:rPr>
        <w:t>JUNE, 2025</w:t>
      </w: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lastRenderedPageBreak/>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Iodometric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r w:rsidRPr="00D526C6">
        <w:rPr>
          <w:rFonts w:ascii="Times New Roman" w:hAnsi="Times New Roman" w:cs="Times New Roman"/>
          <w:sz w:val="24"/>
          <w:szCs w:val="24"/>
        </w:rPr>
        <w:t xml:space="preserve">Standardisation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D526C6">
          <w:footerReference w:type="default" r:id="rId8"/>
          <w:pgSz w:w="11520" w:h="14400" w:code="1"/>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or ascorbic acid, is an essential water-soluble vitamin and a potent antioxidant required for various biological functions, including collagen synthesis, immune system support, and iron absorption. Citrus fruits such as lemon (Citrus limon) and lime (Citrus aurantiifolia) are among the richest natural sources of vitamin C, making them important dietary components for preventing scurvy and maintaining overall 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r w:rsidR="00833844">
        <w:rPr>
          <w:rStyle w:val="Strong"/>
          <w:rFonts w:ascii="Times New Roman" w:hAnsi="Times New Roman" w:cs="Times New Roman"/>
          <w:b w:val="0"/>
        </w:rPr>
        <w:t xml:space="preserve"> et al.,</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iodometric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This study aims to determine the vitamin C content in lemon juice using iodometric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w:t>
      </w:r>
      <w:r w:rsidRPr="001B577B">
        <w:rPr>
          <w:rFonts w:ascii="Times New Roman" w:hAnsi="Times New Roman" w:cs="Times New Roman"/>
          <w:sz w:val="24"/>
          <w:szCs w:val="24"/>
        </w:rPr>
        <w:lastRenderedPageBreak/>
        <w:t xml:space="preserve">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r w:rsidRPr="00063D42">
        <w:rPr>
          <w:rStyle w:val="Strong"/>
          <w:b w:val="0"/>
        </w:rPr>
        <w:t>quantifyingvitamin C in natural sources like lemon juice</w:t>
      </w:r>
      <w:r w:rsidRPr="00063D42">
        <w:t xml:space="preserve">is important for both dietary and quality control purposes in food science and nutrition. One of the most widely used methods for determining vitamin C content is </w:t>
      </w:r>
      <w:r w:rsidRPr="00833844">
        <w:rPr>
          <w:rStyle w:val="Strong"/>
          <w:b w:val="0"/>
        </w:rPr>
        <w:t>iodometric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xml:space="preserve">, a protein necessary for the health of skin, blood vessels, bones, and connective </w:t>
      </w:r>
      <w:r w:rsidRPr="002B3A68">
        <w:rPr>
          <w:rFonts w:ascii="Times New Roman" w:eastAsia="Times New Roman" w:hAnsi="Times New Roman" w:cs="Times New Roman"/>
          <w:sz w:val="24"/>
          <w:szCs w:val="24"/>
        </w:rPr>
        <w:lastRenderedPageBreak/>
        <w:t>tissue. Additionally, vitamin C enhances the absorption of non-heme iron (the type of iron found in plant-based foods), supports the immune system, and aids in wound healing.</w:t>
      </w:r>
      <w:r w:rsidRPr="002B3A68">
        <w:rPr>
          <w:rFonts w:ascii="Times New Roman" w:hAnsi="Times New Roman" w:cs="Times New Roman"/>
          <w:sz w:val="24"/>
        </w:rPr>
        <w:t xml:space="preserve">Mahajan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r w:rsidRPr="00156E33">
        <w:rPr>
          <w:rFonts w:ascii="Times New Roman" w:eastAsia="Times New Roman" w:hAnsi="Times New Roman" w:cs="Times New Roman"/>
          <w:bCs/>
          <w:sz w:val="24"/>
          <w:szCs w:val="24"/>
        </w:rPr>
        <w:t>iodometric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while </w:t>
      </w:r>
      <w:r w:rsidRPr="00156E33">
        <w:rPr>
          <w:rFonts w:ascii="Times New Roman" w:eastAsia="Times New Roman" w:hAnsi="Times New Roman" w:cs="Times New Roman"/>
          <w:sz w:val="24"/>
          <w:szCs w:val="24"/>
        </w:rPr>
        <w:lastRenderedPageBreak/>
        <w:t xml:space="preserve">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lang w:val="en-GB" w:eastAsia="en-GB"/>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r w:rsidRPr="00063D42">
        <w:rPr>
          <w:rFonts w:ascii="Times New Roman" w:hAnsi="Times New Roman" w:cs="Times New Roman"/>
          <w:b/>
          <w:sz w:val="24"/>
          <w:szCs w:val="24"/>
        </w:rPr>
        <w:t>Iodometric Titration</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Iodometric titration is one of the earliest and most commonly used methods for vitamin C determination, especially in citrus fruits. This redox-based method relies on the reducing power of ascorbic acid, which reduces iodine (I₂) to iodide (I⁻), while itself being </w:t>
      </w:r>
      <w:r w:rsidRPr="001B577B">
        <w:rPr>
          <w:rFonts w:ascii="Times New Roman" w:hAnsi="Times New Roman" w:cs="Times New Roman"/>
          <w:sz w:val="24"/>
          <w:szCs w:val="24"/>
        </w:rPr>
        <w:lastRenderedPageBreak/>
        <w:t>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Ranganna (2021</w:t>
      </w:r>
      <w:r w:rsidR="002E547B" w:rsidRPr="001B577B">
        <w:rPr>
          <w:rFonts w:ascii="Times New Roman" w:hAnsi="Times New Roman" w:cs="Times New Roman"/>
          <w:sz w:val="24"/>
          <w:szCs w:val="24"/>
        </w:rPr>
        <w:t>) described iodometric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2) reported successful application of iodometric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Despite this, iodometric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Common Name:</w:t>
      </w:r>
      <w:r w:rsidRPr="00AF0D3A">
        <w:t>Vitamin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Molecular 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g/mol</w:t>
      </w:r>
    </w:p>
    <w:p w:rsidR="00D526C6" w:rsidRPr="00B4562A" w:rsidRDefault="00AF0D3A" w:rsidP="00D90014">
      <w:pPr>
        <w:pStyle w:val="NormalWeb"/>
        <w:numPr>
          <w:ilvl w:val="0"/>
          <w:numId w:val="8"/>
        </w:numPr>
        <w:spacing w:line="360" w:lineRule="auto"/>
        <w:rPr>
          <w:b/>
        </w:rPr>
      </w:pPr>
      <w:r w:rsidRPr="00B4562A">
        <w:rPr>
          <w:rStyle w:val="Strong"/>
          <w:b w:val="0"/>
        </w:rPr>
        <w:t>Synonyms:</w:t>
      </w:r>
      <w:r>
        <w:t>Ascorbic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r w:rsidRPr="00D62155">
        <w:t>A</w:t>
      </w:r>
      <w:r w:rsidRPr="00D62155">
        <w:rPr>
          <w:rStyle w:val="Strong"/>
          <w:b w:val="0"/>
        </w:rPr>
        <w:t>five-membered lactone ring</w:t>
      </w:r>
      <w:r>
        <w:t xml:space="preserve"> (furanone ring)</w:t>
      </w:r>
    </w:p>
    <w:p w:rsidR="00AF0D3A" w:rsidRDefault="00AF0D3A" w:rsidP="00D90014">
      <w:pPr>
        <w:pStyle w:val="NormalWeb"/>
        <w:numPr>
          <w:ilvl w:val="0"/>
          <w:numId w:val="9"/>
        </w:numPr>
        <w:spacing w:line="360" w:lineRule="auto"/>
      </w:pPr>
      <w:r w:rsidRPr="00D62155">
        <w:rPr>
          <w:rStyle w:val="Strong"/>
          <w:b w:val="0"/>
        </w:rPr>
        <w:t>Two enediol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r w:rsidRPr="00D62155">
        <w:t>A</w:t>
      </w:r>
      <w:r w:rsidRPr="00D62155">
        <w:rPr>
          <w:rStyle w:val="Strong"/>
          <w:b w:val="0"/>
        </w:rPr>
        <w:t>hydroxylated ethyl side chai</w:t>
      </w:r>
      <w:r w:rsidR="002B3A68">
        <w:rPr>
          <w:rStyle w:val="Strong"/>
          <w:b w:val="0"/>
        </w:rPr>
        <w:t>n</w:t>
      </w:r>
      <w:r w:rsidR="002B3A68">
        <w:rPr>
          <w:rStyle w:val="Strong"/>
          <w:b w:val="0"/>
        </w:rPr>
        <w:tab/>
      </w:r>
      <w:r w:rsidR="002B3A68">
        <w:t>Onwuka,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stereocenters.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lastRenderedPageBreak/>
        <w:t>Chemical Properties</w:t>
      </w:r>
    </w:p>
    <w:tbl>
      <w:tblPr>
        <w:tblStyle w:val="TableGrid"/>
        <w:tblW w:w="0" w:type="auto"/>
        <w:tblLook w:val="04A0"/>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r w:rsidRPr="00B4562A">
        <w:rPr>
          <w:rFonts w:ascii="Times New Roman" w:hAnsi="Times New Roman" w:cs="Times New Roman"/>
          <w:color w:val="000000" w:themeColor="text1"/>
          <w:sz w:val="24"/>
          <w:szCs w:val="24"/>
        </w:rPr>
        <w:t>Maggini,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 xml:space="preserve">Vitamin C is a potent antioxidant that helps protect immune cells from oxidative stress caused by free radicals.During infections, immune cells generate reactive oxygen species </w:t>
      </w:r>
      <w:r w:rsidRPr="00B4562A">
        <w:rPr>
          <w:rFonts w:ascii="Times New Roman" w:hAnsi="Times New Roman" w:cs="Times New Roman"/>
          <w:color w:val="000000" w:themeColor="text1"/>
          <w:sz w:val="24"/>
          <w:szCs w:val="24"/>
        </w:rPr>
        <w:lastRenderedPageBreak/>
        <w:t>(ROS)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non-heme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r w:rsidRPr="00B4562A">
        <w:rPr>
          <w:rFonts w:ascii="Times New Roman" w:hAnsi="Times New Roman" w:cs="Times New Roman"/>
          <w:color w:val="000000" w:themeColor="text1"/>
          <w:sz w:val="24"/>
          <w:szCs w:val="24"/>
        </w:rPr>
        <w:t>Hemilä,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 It also plays a role in collagensynthesis and iron absorption, both important for blood vessel health.</w:t>
      </w:r>
      <w:r w:rsidRPr="00B4562A">
        <w:rPr>
          <w:rStyle w:val="uv3um"/>
          <w:rFonts w:ascii="Times New Roman" w:hAnsi="Times New Roman" w:cs="Times New Roman"/>
          <w:color w:val="000000" w:themeColor="text1"/>
          <w:spacing w:val="2"/>
          <w:sz w:val="24"/>
          <w:szCs w:val="24"/>
        </w:rPr>
        <w:t> </w:t>
      </w:r>
      <w:r w:rsidRPr="00B4562A">
        <w:rPr>
          <w:rFonts w:ascii="Times New Roman" w:hAnsi="Times New Roman" w:cs="Times New Roman"/>
          <w:color w:val="000000" w:themeColor="text1"/>
          <w:sz w:val="24"/>
          <w:szCs w:val="24"/>
        </w:rPr>
        <w:t>Chalker,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r w:rsidRPr="00B4562A">
        <w:rPr>
          <w:rFonts w:ascii="Times New Roman" w:hAnsi="Times New Roman" w:cs="Times New Roman"/>
          <w:color w:val="000000" w:themeColor="text1"/>
          <w:sz w:val="24"/>
          <w:szCs w:val="24"/>
        </w:rPr>
        <w:t>Chalker,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ity, cost and time efficiency. Common method include iodmetric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lastRenderedPageBreak/>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r w:rsidRPr="00716FEA">
        <w:rPr>
          <w:rStyle w:val="Strong"/>
          <w:b w:val="0"/>
        </w:rPr>
        <w:t>iodometric titration</w:t>
      </w:r>
      <w:r w:rsidRPr="00716FEA">
        <w:rPr>
          <w:b/>
        </w:rPr>
        <w:t xml:space="preserve">, </w:t>
      </w:r>
      <w:r w:rsidRPr="00716FEA">
        <w:t>where ascorbic acid reduces iodine to iodide while being oxidized to dehydroascorbic acid. This reaction occurs in an acidic medium and is visually monitored using starch as an indicator.</w:t>
      </w:r>
      <w:r w:rsidR="00B4562A">
        <w:t>Desai, S. et al.,  (2019).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2,6-dichlorophenolindophenol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lastRenderedPageBreak/>
        <w:t>Reaction:</w:t>
      </w:r>
    </w:p>
    <w:p w:rsidR="00716FEA" w:rsidRPr="00716FEA" w:rsidRDefault="00716FEA" w:rsidP="00D526C6">
      <w:pPr>
        <w:pStyle w:val="NormalWeb"/>
        <w:spacing w:line="480" w:lineRule="auto"/>
        <w:jc w:val="both"/>
      </w:pPr>
      <w:r w:rsidRPr="00716FEA">
        <w:rPr>
          <w:noProof/>
          <w:lang w:val="en-GB" w:eastAsia="en-GB"/>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lastRenderedPageBreak/>
        <w:t>Principle</w:t>
      </w:r>
      <w:r w:rsidRPr="00716FEA">
        <w:t>:</w:t>
      </w:r>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Yap, Y. J.  et al., (2019).</w:t>
      </w:r>
    </w:p>
    <w:p w:rsidR="00DF69FF" w:rsidRPr="00DF69FF" w:rsidRDefault="00716FEA" w:rsidP="00D526C6">
      <w:pPr>
        <w:pStyle w:val="NormalWeb"/>
        <w:spacing w:line="480" w:lineRule="auto"/>
        <w:jc w:val="both"/>
      </w:pPr>
      <w:r w:rsidRPr="00716FEA">
        <w:lastRenderedPageBreak/>
        <w:t xml:space="preserve">Enzymatic assays use </w:t>
      </w:r>
      <w:r w:rsidRPr="00716FEA">
        <w:rPr>
          <w:rStyle w:val="Strong"/>
          <w:b w:val="0"/>
        </w:rPr>
        <w:t>ascorbate oxidase</w:t>
      </w:r>
      <w:r w:rsidRPr="00716FEA">
        <w:t>, an enzyme that specifically catalyzes the oxidation of ascorbic acid to dehydroascorbic acid. The decrease in absorbance or the change in color (depending on the detection system) is measured spectrophotometrically to quantify vitamin C.</w:t>
      </w:r>
      <w:r w:rsidR="00DF69FF" w:rsidRPr="00023B95">
        <w:t>Naidu, K. A. (2020).</w:t>
      </w:r>
    </w:p>
    <w:p w:rsidR="00716FEA" w:rsidRPr="00716FEA" w:rsidRDefault="00716FEA" w:rsidP="00D526C6">
      <w:pPr>
        <w:pStyle w:val="NormalWeb"/>
        <w:spacing w:line="480" w:lineRule="auto"/>
        <w:jc w:val="both"/>
      </w:pPr>
      <w:r w:rsidRPr="00716FEA">
        <w:rPr>
          <w:noProof/>
          <w:lang w:val="en-GB" w:eastAsia="en-GB"/>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 for determining vitamin C content typically involved titrimetric method most commonly the 2.6 dichlorindophenol (DCPIP). Titrimetric method and high performance liquid chromatography (HPLC) with titration being a simple cost effective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These method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This is a wildly used method, particularly for food product like juice where vitamin C acts as a reducing agent for the blue dye 2.6 dichloroindeophenol. The endpoint is indicated by the disappearance of the blue color iodometric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Iodometric titration is used to determine the concentration of an oxidizing agent by reacting eat with a non-amount of iodide to produce iodine. The liberated iodine is then titrated with a standard solution of sodium throsulfate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Reaction with potassium iodide; the analyst (oxidizing agent) is reacted with excess of potassium iodide (k1) in a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Calculation: the amount of sodium thiosfulfate used in the titration is directly related to the amount of iodine liberated and hence to the amount of original analyze. H.Y. Hong, R.M. Akhmadullin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Oilute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iodine solution: prepare the iodine solution and record its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Pipette a non volume of vitamin C standard solution to crienne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Record the final volume of the iodine solution in the burrette.</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Use the stoichiometry of the reach between iodine and vitamin C (1mole of 12 react with one mole of ascorbic acid to calculate the mole of iodine used calculate the imoolarity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 reaction between iodine and vitamin C is a redox reaction where iodine (1/2) oxidize ascorbic acid (vitamin C) dehydrate ascorbic acid and iodine is reduced to iodele ions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the realize the acid present in the Juice. this process </w:t>
      </w:r>
      <w:r>
        <w:rPr>
          <w:rFonts w:ascii="Times New Roman" w:hAnsi="Times New Roman" w:cs="Times New Roman"/>
          <w:sz w:val="24"/>
          <w:szCs w:val="24"/>
        </w:rPr>
        <w:lastRenderedPageBreak/>
        <w:t>helps determine the total oxidize with someone’s of specific acids (like citic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(NaOH) used are calculated using the formular molas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lastRenderedPageBreak/>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Base with stiochinetry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flavonols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lang w:val="en-GB" w:eastAsia="en-GB"/>
        </w:rPr>
        <w:lastRenderedPageBreak/>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Pangkah,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 xml:space="preserve">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RESULTS:</w:t>
      </w:r>
      <w:r w:rsidRPr="00824B85">
        <w:rPr>
          <w:rFonts w:ascii="Times New Roman" w:hAnsi="Times New Roman" w:cs="Times New Roman"/>
          <w:sz w:val="24"/>
        </w:rPr>
        <w:t xml:space="preserve">The results of the study showed that lime juice powder contained flavonoids, saponins, terpenoids, and steroids. The ascorbic acid content was 0.38 mg/100mg. Antioxidant activities revealed strong antioxidant activity with an IC50 value of 32.59 mg/mL, while an IC50 value of ascorbic acid showed 8.57 mg/mL.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CONCLUSIONS</w:t>
      </w:r>
      <w:r w:rsidRPr="00824B85">
        <w:rPr>
          <w:rFonts w:ascii="Times New Roman" w:hAnsi="Times New Roman" w:cs="Times New Roman"/>
          <w:b/>
          <w:sz w:val="24"/>
        </w:rPr>
        <w:t>:</w:t>
      </w:r>
      <w:r w:rsidRPr="00824B85">
        <w:rPr>
          <w:rFonts w:ascii="Times New Roman" w:hAnsi="Times New Roman" w:cs="Times New Roman"/>
          <w:sz w:val="24"/>
        </w:rPr>
        <w:t xml:space="preserve">Lime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To analyze lime using UV spectroscopy, various reagents and chemicals are employed depending on the specific analysis goal. These may include 2,6-dichlorophenol indophenol, HCl, Mg powder, amyl alcohol, citric acid, trisodium citrate, and deionized </w:t>
      </w:r>
      <w:r w:rsidRPr="00824B85">
        <w:rPr>
          <w:rFonts w:ascii="Times New Roman" w:hAnsi="Times New Roman" w:cs="Times New Roman"/>
          <w:sz w:val="24"/>
        </w:rPr>
        <w:lastRenderedPageBreak/>
        <w:t xml:space="preserve">water. Additionally, potassium dichromate and 1,5-diphenlcarbazide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HCl: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Citric acid and Trisodium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water:This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lang w:val="en-GB" w:eastAsia="en-GB"/>
        </w:rPr>
        <w:lastRenderedPageBreak/>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lang w:val="en-GB" w:eastAsia="en-GB"/>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lastRenderedPageBreak/>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In future work, using stabilizers like metaphosphoric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mg/L</w:t>
      </w:r>
      <w:r>
        <w:t>of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Non-spectrophotometric methods for the determination of vitamin C</w:t>
      </w:r>
      <w:r w:rsidRPr="008453DA">
        <w:rPr>
          <w:b/>
        </w:rPr>
        <w:t>.</w:t>
      </w:r>
      <w:r>
        <w:rPr>
          <w:rStyle w:val="Emphasis"/>
        </w:rPr>
        <w:t>Analytica Chimica Acta, 417</w:t>
      </w:r>
      <w:r>
        <w:t xml:space="preserve">(1), 1–14. </w:t>
      </w:r>
      <w:hyperlink r:id="rId16" w:history="1">
        <w:r w:rsidRPr="00B0412F">
          <w:rPr>
            <w:rStyle w:val="Hyperlink"/>
          </w:rPr>
          <w:t>https://doi.org/10.1016/S0003-2670(00)00826-X</w:t>
        </w:r>
      </w:hyperlink>
    </w:p>
    <w:p w:rsidR="00D526C6" w:rsidRDefault="00D526C6" w:rsidP="00D526C6">
      <w:pPr>
        <w:pStyle w:val="NormalWeb"/>
        <w:spacing w:line="480" w:lineRule="auto"/>
        <w:ind w:left="720" w:hanging="720"/>
        <w:jc w:val="both"/>
      </w:pPr>
      <w:r w:rsidRPr="0051437B">
        <w:rPr>
          <w:rStyle w:val="Strong"/>
          <w:b w:val="0"/>
        </w:rPr>
        <w:t>Chaudhary, P. R., &amp; Deshmukh,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Iqbal, M. P., Kazim, S. F., &amp; Mehboobali, N.</w:t>
      </w:r>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Jagota, S., &amp; Dani, H. M. (2021). </w:t>
      </w:r>
      <w:r w:rsidRPr="008453DA">
        <w:rPr>
          <w:rStyle w:val="Strong"/>
          <w:b w:val="0"/>
        </w:rPr>
        <w:t>A new colorimetric technique for the estimation of vitamin C using Folin phenol reagent</w:t>
      </w:r>
      <w:r w:rsidRPr="008453DA">
        <w:rPr>
          <w:b/>
        </w:rPr>
        <w:t xml:space="preserve">. </w:t>
      </w:r>
      <w:r>
        <w:rPr>
          <w:rStyle w:val="Emphasis"/>
        </w:rPr>
        <w:t>Analytical Biochemistry, 127</w:t>
      </w:r>
      <w:r>
        <w:t xml:space="preserve">(1), 178–182. </w:t>
      </w:r>
      <w:hyperlink r:id="rId17"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Determination of vitamin C content in various fruits and vegetables by UV-spectrophotometric method</w:t>
      </w:r>
      <w:r w:rsidRPr="008453DA">
        <w:rPr>
          <w:b/>
        </w:rPr>
        <w:t>.</w:t>
      </w:r>
      <w:r>
        <w:rPr>
          <w:rStyle w:val="Emphasis"/>
        </w:rPr>
        <w:t>Journal of Scientific Research, 8</w:t>
      </w:r>
      <w:r>
        <w:t xml:space="preserve">(3), 415–422. </w:t>
      </w:r>
      <w:hyperlink r:id="rId18" w:history="1">
        <w:r w:rsidRPr="00B0412F">
          <w:rPr>
            <w:rStyle w:val="Hyperlink"/>
          </w:rPr>
          <w:t>https://doi.org/10.3329/jsr.v8i3.28436</w:t>
        </w:r>
      </w:hyperlink>
    </w:p>
    <w:p w:rsidR="00D526C6" w:rsidRDefault="00D526C6" w:rsidP="00D526C6">
      <w:pPr>
        <w:pStyle w:val="NormalWeb"/>
        <w:spacing w:line="480" w:lineRule="auto"/>
        <w:ind w:left="720" w:hanging="720"/>
        <w:jc w:val="both"/>
      </w:pPr>
      <w:r>
        <w:t xml:space="preserve">Naidu, K. A. (2020). </w:t>
      </w:r>
      <w:r w:rsidRPr="008453DA">
        <w:rPr>
          <w:rStyle w:val="Strong"/>
          <w:b w:val="0"/>
        </w:rPr>
        <w:t>Vitamin C in human health and disease is still a mystery? An overview</w:t>
      </w:r>
      <w:r w:rsidRPr="008453DA">
        <w:rPr>
          <w:b/>
        </w:rPr>
        <w:t>.</w:t>
      </w:r>
      <w:r>
        <w:rPr>
          <w:rStyle w:val="Emphasis"/>
        </w:rPr>
        <w:t>Nutrition Journal, 2</w:t>
      </w:r>
      <w:r>
        <w:t xml:space="preserve">, 7. </w:t>
      </w:r>
      <w:hyperlink r:id="rId19" w:history="1">
        <w:r w:rsidRPr="00B0412F">
          <w:rPr>
            <w:rStyle w:val="Hyperlink"/>
          </w:rPr>
          <w:t>https://doi.org/10.1186/1475-2891-2-7</w:t>
        </w:r>
      </w:hyperlink>
    </w:p>
    <w:p w:rsidR="00D526C6" w:rsidRDefault="00D526C6" w:rsidP="00D526C6">
      <w:pPr>
        <w:pStyle w:val="NormalWeb"/>
        <w:spacing w:line="480" w:lineRule="auto"/>
        <w:ind w:left="720" w:hanging="720"/>
        <w:jc w:val="both"/>
      </w:pPr>
      <w:r w:rsidRPr="0051437B">
        <w:rPr>
          <w:rStyle w:val="Strong"/>
          <w:b w:val="0"/>
        </w:rPr>
        <w:lastRenderedPageBreak/>
        <w:t>Nile, S. H., &amp; Khobragade, C. N.</w:t>
      </w:r>
      <w:r>
        <w:t xml:space="preserve"> (2021). </w:t>
      </w:r>
      <w:r>
        <w:rPr>
          <w:rStyle w:val="Emphasis"/>
        </w:rPr>
        <w:t>Determination of ascorbic acid from fresh fruit juices by iodometric titration</w:t>
      </w:r>
      <w:r>
        <w:t xml:space="preserve">. </w:t>
      </w:r>
      <w:r w:rsidRPr="0051437B">
        <w:rPr>
          <w:rStyle w:val="Strong"/>
          <w:b w:val="0"/>
        </w:rPr>
        <w:t>International Journal of PharmTech Research, 1</w:t>
      </w:r>
      <w:r>
        <w:t>(3), 654–656.</w:t>
      </w:r>
    </w:p>
    <w:p w:rsidR="00D526C6" w:rsidRDefault="00D526C6" w:rsidP="00D526C6">
      <w:pPr>
        <w:pStyle w:val="NormalWeb"/>
        <w:spacing w:line="480" w:lineRule="auto"/>
        <w:ind w:left="720" w:hanging="720"/>
        <w:jc w:val="both"/>
      </w:pPr>
      <w:r>
        <w:t xml:space="preserve">Onwuka,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r w:rsidRPr="0051437B">
        <w:rPr>
          <w:rStyle w:val="Strong"/>
          <w:b w:val="0"/>
        </w:rPr>
        <w:t>Pomeranz, Y., &amp; Meloan, C. E.</w:t>
      </w:r>
      <w:r>
        <w:t xml:space="preserve">(2019). </w:t>
      </w:r>
      <w:r>
        <w:rPr>
          <w:rStyle w:val="Emphasis"/>
        </w:rPr>
        <w:t>Food Analysis: Theory and Practice</w:t>
      </w:r>
      <w:r>
        <w:t xml:space="preserve"> (3rd ed.). New York: Chapman and Hall.</w:t>
      </w:r>
    </w:p>
    <w:p w:rsidR="00D526C6" w:rsidRDefault="00D526C6" w:rsidP="00D526C6">
      <w:pPr>
        <w:pStyle w:val="NormalWeb"/>
        <w:spacing w:line="480" w:lineRule="auto"/>
        <w:ind w:left="720" w:hanging="720"/>
        <w:jc w:val="both"/>
      </w:pPr>
      <w:r w:rsidRPr="0051437B">
        <w:rPr>
          <w:rStyle w:val="Strong"/>
          <w:b w:val="0"/>
        </w:rPr>
        <w:t>Sadasivam, S., &amp; Manickam, A.</w:t>
      </w:r>
      <w:r>
        <w:t xml:space="preserve">(2020). </w:t>
      </w:r>
      <w:r>
        <w:rPr>
          <w:rStyle w:val="Emphasis"/>
        </w:rPr>
        <w:t>Biochemical Methods</w:t>
      </w:r>
      <w:r>
        <w:t xml:space="preserve"> (2nd ed.).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ed.)</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ed.)</w:t>
      </w:r>
      <w:r w:rsidRPr="00DF69FF">
        <w:t>A standard reference for classical titration methods including iodometric titration of vitamin C.ISBN: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DF69FF" w:rsidRDefault="00DF69FF" w:rsidP="00D526C6">
      <w:pPr>
        <w:pStyle w:val="NormalWeb"/>
        <w:spacing w:line="480" w:lineRule="auto"/>
        <w:ind w:left="720" w:hanging="720"/>
        <w:jc w:val="both"/>
      </w:pPr>
    </w:p>
    <w:p w:rsidR="00590521" w:rsidRPr="001F7261" w:rsidRDefault="00590521" w:rsidP="00D526C6">
      <w:pPr>
        <w:spacing w:line="480" w:lineRule="auto"/>
        <w:jc w:val="both"/>
        <w:rPr>
          <w:rFonts w:ascii="Times New Roman" w:hAnsi="Times New Roman" w:cs="Times New Roman"/>
          <w:b/>
          <w:sz w:val="24"/>
          <w:szCs w:val="24"/>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0E6" w:rsidRDefault="00EE30E6" w:rsidP="00D526C6">
      <w:pPr>
        <w:spacing w:after="0" w:line="240" w:lineRule="auto"/>
      </w:pPr>
      <w:r>
        <w:separator/>
      </w:r>
    </w:p>
  </w:endnote>
  <w:endnote w:type="continuationSeparator" w:id="1">
    <w:p w:rsidR="00EE30E6" w:rsidRDefault="00EE30E6" w:rsidP="00D52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682044"/>
      <w:docPartObj>
        <w:docPartGallery w:val="Page Numbers (Bottom of Page)"/>
        <w:docPartUnique/>
      </w:docPartObj>
    </w:sdtPr>
    <w:sdtEndPr>
      <w:rPr>
        <w:noProof/>
      </w:rPr>
    </w:sdtEndPr>
    <w:sdtContent>
      <w:p w:rsidR="00D526C6" w:rsidRDefault="008E1AAB">
        <w:pPr>
          <w:pStyle w:val="Footer"/>
          <w:jc w:val="center"/>
        </w:pPr>
        <w:r>
          <w:fldChar w:fldCharType="begin"/>
        </w:r>
        <w:r w:rsidR="00D526C6">
          <w:instrText xml:space="preserve"> PAGE   \* MERGEFORMAT </w:instrText>
        </w:r>
        <w:r>
          <w:fldChar w:fldCharType="separate"/>
        </w:r>
        <w:r w:rsidR="000B45E7">
          <w:rPr>
            <w:noProof/>
          </w:rPr>
          <w:t>i</w:t>
        </w:r>
        <w:r>
          <w:rPr>
            <w:noProof/>
          </w:rPr>
          <w:fldChar w:fldCharType="end"/>
        </w:r>
      </w:p>
    </w:sdtContent>
  </w:sdt>
  <w:p w:rsidR="00D526C6" w:rsidRDefault="00D52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0E6" w:rsidRDefault="00EE30E6" w:rsidP="00D526C6">
      <w:pPr>
        <w:spacing w:after="0" w:line="240" w:lineRule="auto"/>
      </w:pPr>
      <w:r>
        <w:separator/>
      </w:r>
    </w:p>
  </w:footnote>
  <w:footnote w:type="continuationSeparator" w:id="1">
    <w:p w:rsidR="00EE30E6" w:rsidRDefault="00EE30E6" w:rsidP="00D52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547B"/>
    <w:rsid w:val="00023B95"/>
    <w:rsid w:val="000423EE"/>
    <w:rsid w:val="00043B6C"/>
    <w:rsid w:val="00063D42"/>
    <w:rsid w:val="000B45E7"/>
    <w:rsid w:val="000C7A7D"/>
    <w:rsid w:val="00156E33"/>
    <w:rsid w:val="001B577B"/>
    <w:rsid w:val="001D127B"/>
    <w:rsid w:val="001F7261"/>
    <w:rsid w:val="0023654A"/>
    <w:rsid w:val="00274A7D"/>
    <w:rsid w:val="002B3A68"/>
    <w:rsid w:val="002E01F5"/>
    <w:rsid w:val="002E547B"/>
    <w:rsid w:val="002F706B"/>
    <w:rsid w:val="00326497"/>
    <w:rsid w:val="00335B0F"/>
    <w:rsid w:val="003772FD"/>
    <w:rsid w:val="003D14E7"/>
    <w:rsid w:val="003E0FEE"/>
    <w:rsid w:val="004678B0"/>
    <w:rsid w:val="004C6063"/>
    <w:rsid w:val="0050063E"/>
    <w:rsid w:val="0051023B"/>
    <w:rsid w:val="0051437B"/>
    <w:rsid w:val="005306F4"/>
    <w:rsid w:val="00532E32"/>
    <w:rsid w:val="005656C2"/>
    <w:rsid w:val="0057471F"/>
    <w:rsid w:val="00590521"/>
    <w:rsid w:val="00594AC6"/>
    <w:rsid w:val="005A0C01"/>
    <w:rsid w:val="006066F4"/>
    <w:rsid w:val="00606FCC"/>
    <w:rsid w:val="006A5DAD"/>
    <w:rsid w:val="006D2B50"/>
    <w:rsid w:val="006F1ABF"/>
    <w:rsid w:val="007136A2"/>
    <w:rsid w:val="00716FEA"/>
    <w:rsid w:val="00722768"/>
    <w:rsid w:val="0076050B"/>
    <w:rsid w:val="00762654"/>
    <w:rsid w:val="00770640"/>
    <w:rsid w:val="007749AD"/>
    <w:rsid w:val="00784BD6"/>
    <w:rsid w:val="007C2BBB"/>
    <w:rsid w:val="00833844"/>
    <w:rsid w:val="00844CB1"/>
    <w:rsid w:val="008453DA"/>
    <w:rsid w:val="0086436B"/>
    <w:rsid w:val="008E1AAB"/>
    <w:rsid w:val="00900807"/>
    <w:rsid w:val="00914597"/>
    <w:rsid w:val="0092750F"/>
    <w:rsid w:val="00950C37"/>
    <w:rsid w:val="0097670E"/>
    <w:rsid w:val="009C6B78"/>
    <w:rsid w:val="009E37DC"/>
    <w:rsid w:val="00A118A1"/>
    <w:rsid w:val="00A13B40"/>
    <w:rsid w:val="00A55D31"/>
    <w:rsid w:val="00A83568"/>
    <w:rsid w:val="00AB0DD7"/>
    <w:rsid w:val="00AC09E8"/>
    <w:rsid w:val="00AE2C8F"/>
    <w:rsid w:val="00AF0D3A"/>
    <w:rsid w:val="00B4562A"/>
    <w:rsid w:val="00B7620D"/>
    <w:rsid w:val="00BA12A2"/>
    <w:rsid w:val="00BB7A03"/>
    <w:rsid w:val="00BC3BF4"/>
    <w:rsid w:val="00BD0D57"/>
    <w:rsid w:val="00BE0188"/>
    <w:rsid w:val="00C13829"/>
    <w:rsid w:val="00C6559C"/>
    <w:rsid w:val="00CC36FB"/>
    <w:rsid w:val="00CD0EB2"/>
    <w:rsid w:val="00CF5010"/>
    <w:rsid w:val="00CF6EE2"/>
    <w:rsid w:val="00D32B98"/>
    <w:rsid w:val="00D51824"/>
    <w:rsid w:val="00D526C6"/>
    <w:rsid w:val="00D62155"/>
    <w:rsid w:val="00D64F89"/>
    <w:rsid w:val="00D90014"/>
    <w:rsid w:val="00DB152B"/>
    <w:rsid w:val="00DC268D"/>
    <w:rsid w:val="00DC7E42"/>
    <w:rsid w:val="00DE3BAC"/>
    <w:rsid w:val="00DF69FF"/>
    <w:rsid w:val="00E068D8"/>
    <w:rsid w:val="00E53948"/>
    <w:rsid w:val="00E6226F"/>
    <w:rsid w:val="00E846EB"/>
    <w:rsid w:val="00E979C2"/>
    <w:rsid w:val="00EB0BBC"/>
    <w:rsid w:val="00ED0572"/>
    <w:rsid w:val="00EE30E6"/>
    <w:rsid w:val="00EF31EA"/>
    <w:rsid w:val="00F36AFD"/>
    <w:rsid w:val="00F43B3A"/>
    <w:rsid w:val="00F45700"/>
    <w:rsid w:val="00F91803"/>
    <w:rsid w:val="00F94D84"/>
    <w:rsid w:val="00F97C7A"/>
    <w:rsid w:val="00FF2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r="http://schemas.openxmlformats.org/officeDocument/2006/relationships" xmlns:w="http://schemas.openxmlformats.org/wordprocessingml/2006/main">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doi.org/10.3329/jsr.v8i3.284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0003-2697(82)90162-2" TargetMode="External"/><Relationship Id="rId2" Type="http://schemas.openxmlformats.org/officeDocument/2006/relationships/numbering" Target="numbering.xml"/><Relationship Id="rId16" Type="http://schemas.openxmlformats.org/officeDocument/2006/relationships/hyperlink" Target="https://doi.org/10.1016/S0003-2670(00)00826-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1186/1475-2891-2-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08CF-33B9-4CB6-A254-DF038111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37</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32</cp:revision>
  <cp:lastPrinted>2025-08-21T08:19:00Z</cp:lastPrinted>
  <dcterms:created xsi:type="dcterms:W3CDTF">2025-06-13T10:41:00Z</dcterms:created>
  <dcterms:modified xsi:type="dcterms:W3CDTF">2025-10-09T11:18:00Z</dcterms:modified>
</cp:coreProperties>
</file>