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031F21" w:rsidRPr="00031F21" w:rsidRDefault="00927B37" w:rsidP="00031F21">
      <w:pPr>
        <w:pStyle w:val="NormalWeb"/>
        <w:spacing w:before="0" w:beforeAutospacing="0" w:after="117" w:afterAutospacing="0"/>
        <w:ind w:left="14"/>
        <w:jc w:val="center"/>
        <w:rPr>
          <w:sz w:val="32"/>
        </w:rPr>
      </w:pPr>
      <w:r>
        <w:rPr>
          <w:b/>
          <w:bCs/>
          <w:color w:val="000000"/>
          <w:sz w:val="40"/>
          <w:szCs w:val="32"/>
        </w:rPr>
        <w:t>KAYODE MICHAEL MAYOWA</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r w:rsidRPr="00E24E74">
        <w:rPr>
          <w:rFonts w:ascii="Algerian" w:hAnsi="Algerian" w:cs="Times New Roman"/>
          <w:b/>
          <w:bCs/>
          <w:color w:val="000000"/>
          <w:sz w:val="40"/>
          <w:szCs w:val="32"/>
        </w:rPr>
        <w:t> </w:t>
      </w:r>
      <w:r w:rsidR="00927B37">
        <w:rPr>
          <w:rFonts w:ascii="Algerian" w:hAnsi="Algerian" w:cs="Times New Roman"/>
          <w:b/>
          <w:bCs/>
          <w:color w:val="000000"/>
          <w:sz w:val="38"/>
          <w:szCs w:val="30"/>
        </w:rPr>
        <w:t>ND/23/MEC/PT/0176</w:t>
      </w:r>
      <w:r w:rsidRPr="00E24E74">
        <w:rPr>
          <w:rFonts w:ascii="Algerian" w:eastAsia="Times New Roman" w:hAnsi="Algerian" w:cs="Times New Roman"/>
          <w:b/>
          <w:bCs/>
          <w:color w:val="000000"/>
          <w:sz w:val="36"/>
          <w:szCs w:val="28"/>
        </w:rPr>
        <w:t xml:space="preserve"> </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p>
    <w:p w:rsidR="00031F21" w:rsidRDefault="00031F21" w:rsidP="00031F21">
      <w:pPr>
        <w:spacing w:after="0" w:line="240" w:lineRule="auto"/>
        <w:jc w:val="center"/>
        <w:rPr>
          <w:rFonts w:ascii="Times New Roman" w:eastAsia="Times New Roman" w:hAnsi="Times New Roman" w:cs="Times New Roman"/>
          <w:b/>
          <w:bCs/>
          <w:color w:val="000000"/>
          <w:sz w:val="28"/>
          <w:szCs w:val="28"/>
        </w:rPr>
      </w:pPr>
    </w:p>
    <w:p w:rsidR="00230601" w:rsidRPr="00230601" w:rsidRDefault="00230601" w:rsidP="00031F2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031F21">
      <w:pPr>
        <w:spacing w:after="0" w:line="36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927B37">
        <w:rPr>
          <w:rFonts w:ascii="Times New Roman" w:eastAsia="Times New Roman" w:hAnsi="Times New Roman" w:cs="Times New Roman"/>
          <w:b/>
          <w:color w:val="000000"/>
          <w:sz w:val="24"/>
          <w:szCs w:val="24"/>
        </w:rPr>
        <w:t>KAYODE MICHAEL MAYOWA</w:t>
      </w:r>
      <w:r w:rsidRPr="00230601">
        <w:rPr>
          <w:rFonts w:ascii="Times New Roman" w:eastAsia="Times New Roman" w:hAnsi="Times New Roman" w:cs="Times New Roman"/>
          <w:color w:val="000000"/>
          <w:sz w:val="24"/>
          <w:szCs w:val="24"/>
        </w:rPr>
        <w:t xml:space="preserve"> with the</w:t>
      </w:r>
      <w:r w:rsidR="00927B37">
        <w:rPr>
          <w:rFonts w:ascii="Times New Roman" w:eastAsia="Times New Roman" w:hAnsi="Times New Roman" w:cs="Times New Roman"/>
          <w:color w:val="000000"/>
          <w:sz w:val="24"/>
          <w:szCs w:val="24"/>
        </w:rPr>
        <w:t xml:space="preserve"> matric number ND/23/MEC/PT/0176</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927B37" w:rsidRDefault="00927B37" w:rsidP="00230601">
      <w:pPr>
        <w:spacing w:before="240" w:after="0" w:line="480" w:lineRule="auto"/>
        <w:jc w:val="center"/>
        <w:outlineLvl w:val="0"/>
        <w:rPr>
          <w:rFonts w:ascii="Times New Roman" w:eastAsia="Times New Roman" w:hAnsi="Times New Roman" w:cs="Times New Roman"/>
          <w:b/>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 xml:space="preserve">MR AND MRS  </w:t>
      </w:r>
      <w:r w:rsidR="001A4E34">
        <w:rPr>
          <w:rFonts w:ascii="Times New Roman" w:eastAsia="Times New Roman" w:hAnsi="Times New Roman" w:cs="Times New Roman"/>
          <w:b/>
          <w:bCs/>
          <w:color w:val="000000"/>
          <w:sz w:val="24"/>
          <w:szCs w:val="24"/>
        </w:rPr>
        <w:t>KAYODE</w:t>
      </w:r>
      <w:bookmarkStart w:id="0" w:name="_GoBack"/>
      <w:bookmarkEnd w:id="0"/>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031F21">
      <w:pPr>
        <w:spacing w:after="0" w:line="36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031F21">
      <w:pPr>
        <w:spacing w:after="24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031F21"/>
    <w:rsid w:val="001A4E34"/>
    <w:rsid w:val="00230601"/>
    <w:rsid w:val="00280142"/>
    <w:rsid w:val="006173B9"/>
    <w:rsid w:val="00917DB0"/>
    <w:rsid w:val="00927B37"/>
    <w:rsid w:val="00B77CDC"/>
    <w:rsid w:val="00E2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3062">
      <w:bodyDiv w:val="1"/>
      <w:marLeft w:val="0"/>
      <w:marRight w:val="0"/>
      <w:marTop w:val="0"/>
      <w:marBottom w:val="0"/>
      <w:divBdr>
        <w:top w:val="none" w:sz="0" w:space="0" w:color="auto"/>
        <w:left w:val="none" w:sz="0" w:space="0" w:color="auto"/>
        <w:bottom w:val="none" w:sz="0" w:space="0" w:color="auto"/>
        <w:right w:val="none" w:sz="0" w:space="0" w:color="auto"/>
      </w:divBdr>
    </w:div>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46</Pages>
  <Words>6910</Words>
  <Characters>39390</Characters>
  <Application>Microsoft Office Word</Application>
  <DocSecurity>0</DocSecurity>
  <Lines>328</Lines>
  <Paragraphs>92</Paragraphs>
  <ScaleCrop>false</ScaleCrop>
  <Company/>
  <LinksUpToDate>false</LinksUpToDate>
  <CharactersWithSpaces>46208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2025-09-23T12:28:00Z</dcterms:created>
  <dcterms:modified xsi:type="dcterms:W3CDTF">2025-10-06T09:00:00Z</dcterms:modified>
</cp:coreProperties>
</file>