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11" w:rsidRPr="00395C66" w:rsidRDefault="007B4311" w:rsidP="007B4311">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B4311" w:rsidRPr="00D70593" w:rsidRDefault="007B4311" w:rsidP="007B4311">
      <w:pPr>
        <w:spacing w:before="30" w:after="30"/>
        <w:ind w:right="-270"/>
        <w:jc w:val="center"/>
        <w:rPr>
          <w:rFonts w:ascii="Arial Black" w:hAnsi="Arial Black" w:cs="Aharoni"/>
          <w:sz w:val="24"/>
          <w:szCs w:val="24"/>
        </w:rPr>
      </w:pPr>
    </w:p>
    <w:p w:rsidR="007B4311" w:rsidRPr="00D70593" w:rsidRDefault="007B4311" w:rsidP="007B4311">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B4311" w:rsidRPr="00D70593" w:rsidRDefault="007B4311" w:rsidP="007B4311">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927D301" wp14:editId="27D69778">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B4311" w:rsidRPr="00791394" w:rsidRDefault="007B4311" w:rsidP="007B431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7D30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B4311" w:rsidRPr="00791394" w:rsidRDefault="007B4311" w:rsidP="007B4311">
                      <w:pPr>
                        <w:jc w:val="center"/>
                        <w:rPr>
                          <w:sz w:val="28"/>
                        </w:rPr>
                      </w:pPr>
                      <w:r w:rsidRPr="00791394">
                        <w:rPr>
                          <w:sz w:val="28"/>
                        </w:rPr>
                        <w:t>PREPARED BY:</w:t>
                      </w:r>
                    </w:p>
                  </w:txbxContent>
                </v:textbox>
              </v:roundrect>
            </w:pict>
          </mc:Fallback>
        </mc:AlternateContent>
      </w:r>
    </w:p>
    <w:p w:rsidR="007B4311" w:rsidRPr="00D70593" w:rsidRDefault="007B4311" w:rsidP="007B4311">
      <w:pPr>
        <w:spacing w:after="0"/>
        <w:ind w:right="-270"/>
        <w:jc w:val="center"/>
        <w:rPr>
          <w:rFonts w:ascii="Arial Black" w:hAnsi="Arial Black" w:cs="Aharoni"/>
          <w:sz w:val="24"/>
          <w:szCs w:val="24"/>
        </w:rPr>
      </w:pPr>
    </w:p>
    <w:p w:rsidR="007B4311" w:rsidRDefault="007B4311" w:rsidP="007B4311">
      <w:pPr>
        <w:spacing w:after="0"/>
        <w:ind w:right="-270"/>
        <w:jc w:val="center"/>
        <w:rPr>
          <w:rFonts w:ascii="Arial Black" w:hAnsi="Arial Black" w:cs="Aharoni"/>
          <w:sz w:val="24"/>
          <w:szCs w:val="24"/>
          <w:u w:val="single"/>
        </w:rPr>
      </w:pPr>
    </w:p>
    <w:p w:rsidR="007B4311" w:rsidRDefault="007B4311" w:rsidP="007B4311">
      <w:pPr>
        <w:spacing w:after="0"/>
        <w:ind w:right="-270"/>
        <w:jc w:val="center"/>
        <w:rPr>
          <w:rFonts w:ascii="Arial Black" w:hAnsi="Arial Black" w:cs="Aharoni"/>
          <w:sz w:val="24"/>
          <w:szCs w:val="24"/>
          <w:u w:val="single"/>
        </w:rPr>
      </w:pPr>
    </w:p>
    <w:p w:rsidR="007B4311" w:rsidRPr="00D70593" w:rsidRDefault="007B4311" w:rsidP="007B4311">
      <w:pPr>
        <w:spacing w:after="0"/>
        <w:ind w:right="-270"/>
        <w:jc w:val="center"/>
        <w:rPr>
          <w:rFonts w:ascii="Arial Black" w:hAnsi="Arial Black" w:cs="Aharoni"/>
          <w:sz w:val="24"/>
          <w:szCs w:val="24"/>
          <w:u w:val="single"/>
        </w:rPr>
      </w:pPr>
    </w:p>
    <w:p w:rsidR="00DF675E" w:rsidRDefault="00DF675E" w:rsidP="00DF675E">
      <w:pPr>
        <w:spacing w:after="0" w:line="360" w:lineRule="auto"/>
        <w:ind w:right="-720"/>
        <w:jc w:val="center"/>
        <w:rPr>
          <w:rFonts w:ascii="Arial Black" w:hAnsi="Arial Black" w:cs="Aharoni"/>
          <w:sz w:val="30"/>
          <w:szCs w:val="24"/>
        </w:rPr>
      </w:pPr>
      <w:r>
        <w:rPr>
          <w:rFonts w:ascii="Arial Black" w:hAnsi="Arial Black" w:cs="Aharoni"/>
          <w:sz w:val="30"/>
          <w:szCs w:val="24"/>
        </w:rPr>
        <w:t>AFOLABI TOLULOPE ONAOPEMIPO</w:t>
      </w:r>
    </w:p>
    <w:p w:rsidR="007B4311" w:rsidRPr="009F2C67" w:rsidRDefault="00DF675E" w:rsidP="00DF675E">
      <w:pPr>
        <w:spacing w:after="0" w:line="360" w:lineRule="auto"/>
        <w:ind w:right="-720"/>
        <w:jc w:val="center"/>
        <w:rPr>
          <w:rFonts w:ascii="Arial Black" w:hAnsi="Arial Black" w:cs="Aharoni"/>
          <w:sz w:val="30"/>
          <w:szCs w:val="24"/>
        </w:rPr>
      </w:pPr>
      <w:r>
        <w:rPr>
          <w:rFonts w:ascii="Arial Black" w:hAnsi="Arial Black" w:cs="Aharoni"/>
          <w:sz w:val="30"/>
          <w:szCs w:val="24"/>
        </w:rPr>
        <w:t>ND/23/MAC/PT/0066</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B4311" w:rsidRPr="00D70593" w:rsidRDefault="007B4311" w:rsidP="007B4311">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B4311" w:rsidRPr="00D70593" w:rsidRDefault="007B4311" w:rsidP="007B4311">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B4311" w:rsidRPr="00D70593" w:rsidRDefault="007B4311" w:rsidP="007B4311">
      <w:pPr>
        <w:spacing w:after="0"/>
        <w:ind w:right="-270"/>
        <w:rPr>
          <w:rFonts w:ascii="Arial Black" w:hAnsi="Arial Black" w:cs="Aharoni"/>
          <w:b/>
          <w:sz w:val="24"/>
          <w:szCs w:val="24"/>
        </w:rPr>
      </w:pPr>
    </w:p>
    <w:p w:rsidR="007B4311" w:rsidRPr="00D70593" w:rsidRDefault="007B4311" w:rsidP="007B4311">
      <w:pPr>
        <w:spacing w:after="0"/>
        <w:ind w:left="5040" w:right="-270"/>
        <w:rPr>
          <w:rFonts w:ascii="Arial Black" w:hAnsi="Arial Black" w:cs="Aharoni"/>
          <w:b/>
          <w:sz w:val="24"/>
          <w:szCs w:val="24"/>
        </w:rPr>
      </w:pPr>
    </w:p>
    <w:p w:rsidR="007B4311" w:rsidRPr="00D70593" w:rsidRDefault="007B4311" w:rsidP="007B4311">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7B4311" w:rsidRDefault="007B4311" w:rsidP="007B4311">
      <w:pPr>
        <w:spacing w:after="240" w:line="360" w:lineRule="auto"/>
        <w:ind w:right="-270" w:firstLine="450"/>
        <w:jc w:val="center"/>
        <w:rPr>
          <w:rFonts w:ascii="Times New Roman" w:eastAsia="Times New Roman" w:hAnsi="Times New Roman" w:cs="Times New Roman"/>
          <w:b/>
          <w:sz w:val="24"/>
          <w:szCs w:val="24"/>
        </w:rPr>
      </w:pPr>
    </w:p>
    <w:p w:rsidR="00856193" w:rsidRDefault="00856193" w:rsidP="007B4311">
      <w:pPr>
        <w:spacing w:after="240" w:line="360" w:lineRule="auto"/>
        <w:ind w:right="-270" w:firstLine="450"/>
        <w:jc w:val="center"/>
        <w:rPr>
          <w:rFonts w:ascii="Times New Roman" w:eastAsia="Times New Roman" w:hAnsi="Times New Roman" w:cs="Times New Roman"/>
          <w:b/>
          <w:sz w:val="24"/>
          <w:szCs w:val="24"/>
        </w:rPr>
      </w:pPr>
    </w:p>
    <w:p w:rsidR="00856193" w:rsidRDefault="00856193" w:rsidP="007B4311">
      <w:pPr>
        <w:spacing w:after="240" w:line="360" w:lineRule="auto"/>
        <w:ind w:right="-270" w:firstLine="450"/>
        <w:jc w:val="center"/>
        <w:rPr>
          <w:rFonts w:ascii="Times New Roman" w:eastAsia="Times New Roman" w:hAnsi="Times New Roman" w:cs="Times New Roman"/>
          <w:b/>
          <w:sz w:val="24"/>
          <w:szCs w:val="24"/>
        </w:rPr>
      </w:pPr>
    </w:p>
    <w:p w:rsidR="007B4311" w:rsidRPr="00217892" w:rsidRDefault="007B4311" w:rsidP="007B4311">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w:t>
      </w:r>
      <w:r w:rsidR="00856193">
        <w:rPr>
          <w:rFonts w:ascii="Times New Roman" w:eastAsia="Times New Roman" w:hAnsi="Times New Roman" w:cs="Times New Roman"/>
          <w:b/>
          <w:bCs/>
          <w:color w:val="000000"/>
          <w:sz w:val="24"/>
          <w:szCs w:val="24"/>
        </w:rPr>
        <w:t>OPALEKE G.T</w:t>
      </w:r>
      <w:bookmarkStart w:id="0" w:name="_GoBack"/>
      <w:bookmarkEnd w:id="0"/>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D70593" w:rsidRDefault="007B4311" w:rsidP="007B4311">
      <w:pPr>
        <w:ind w:right="-270" w:firstLine="450"/>
        <w:rPr>
          <w:rFonts w:eastAsia="Times New Roman"/>
          <w:b/>
          <w:sz w:val="24"/>
          <w:szCs w:val="24"/>
        </w:rPr>
      </w:pPr>
      <w:r w:rsidRPr="00D70593">
        <w:rPr>
          <w:rFonts w:eastAsia="Times New Roman"/>
          <w:sz w:val="24"/>
          <w:szCs w:val="24"/>
        </w:rPr>
        <w:br w:type="page"/>
      </w:r>
    </w:p>
    <w:p w:rsidR="007B4311" w:rsidRPr="00217892" w:rsidRDefault="007B4311" w:rsidP="007B4311">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B4311" w:rsidRPr="00217892" w:rsidRDefault="007B4311" w:rsidP="007B4311">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B4311" w:rsidRPr="00D70593" w:rsidRDefault="007B4311" w:rsidP="007B4311">
      <w:pPr>
        <w:spacing w:line="360" w:lineRule="auto"/>
        <w:ind w:right="-270" w:firstLine="450"/>
        <w:jc w:val="both"/>
        <w:rPr>
          <w:b/>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r>
        <w:rPr>
          <w:sz w:val="24"/>
          <w:szCs w:val="24"/>
        </w:rPr>
        <w:br/>
      </w:r>
    </w:p>
    <w:p w:rsidR="007B4311" w:rsidRDefault="007B4311" w:rsidP="007B4311">
      <w:pPr>
        <w:spacing w:before="240" w:after="0" w:line="360" w:lineRule="auto"/>
        <w:ind w:right="-270" w:firstLine="450"/>
        <w:jc w:val="both"/>
        <w:rPr>
          <w:color w:val="000000" w:themeColor="text1"/>
          <w:sz w:val="24"/>
          <w:szCs w:val="24"/>
        </w:rPr>
      </w:pPr>
    </w:p>
    <w:p w:rsidR="007B4311" w:rsidRPr="00D70593" w:rsidRDefault="007B4311" w:rsidP="007B4311">
      <w:pPr>
        <w:spacing w:before="240" w:after="0" w:line="360" w:lineRule="auto"/>
        <w:ind w:right="-270" w:firstLine="450"/>
        <w:jc w:val="both"/>
        <w:rPr>
          <w:color w:val="000000" w:themeColor="text1"/>
          <w:sz w:val="24"/>
          <w:szCs w:val="24"/>
        </w:rPr>
      </w:pPr>
    </w:p>
    <w:p w:rsidR="007B4311" w:rsidRDefault="007B4311" w:rsidP="007B4311">
      <w:pPr>
        <w:spacing w:line="360" w:lineRule="auto"/>
        <w:ind w:right="-270" w:firstLine="450"/>
        <w:jc w:val="both"/>
        <w:rPr>
          <w:rFonts w:ascii="Times New Roman" w:hAnsi="Times New Roman" w:cs="Times New Roman"/>
          <w:b/>
          <w:sz w:val="24"/>
          <w:szCs w:val="24"/>
        </w:rPr>
      </w:pPr>
    </w:p>
    <w:p w:rsidR="007B4311" w:rsidRPr="00C332D2" w:rsidRDefault="007B4311" w:rsidP="007B4311">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7B4311" w:rsidRPr="00C332D2" w:rsidRDefault="007B4311" w:rsidP="007B4311">
      <w:pPr>
        <w:ind w:right="-270" w:firstLine="450"/>
        <w:jc w:val="both"/>
      </w:pPr>
    </w:p>
    <w:p w:rsidR="007B4311" w:rsidRPr="00C332D2"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Pr="00C332D2" w:rsidRDefault="007B4311" w:rsidP="007B4311">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7B4311" w:rsidRPr="004D104B"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B4311" w:rsidRPr="00D70593" w:rsidRDefault="007B4311" w:rsidP="007B4311">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B4311" w:rsidRPr="00130247" w:rsidRDefault="007B4311" w:rsidP="007B4311">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Methodology</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5B263A" w:rsidRDefault="007B4311" w:rsidP="007B4311">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B4311" w:rsidRPr="00130247" w:rsidRDefault="007B4311" w:rsidP="007B4311">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Summary, Conclusion, and Recommendations</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B4311" w:rsidRPr="0085614C" w:rsidRDefault="007B4311" w:rsidP="007B4311">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B4311" w:rsidRPr="00130247" w:rsidRDefault="007B4311" w:rsidP="007B4311">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B4311" w:rsidRDefault="007B4311" w:rsidP="007B4311">
      <w:pPr>
        <w:spacing w:line="360" w:lineRule="auto"/>
        <w:ind w:right="-270" w:firstLine="450"/>
        <w:jc w:val="center"/>
        <w:rPr>
          <w:rFonts w:ascii="Times New Roman" w:hAnsi="Times New Roman"/>
          <w:b/>
          <w:sz w:val="24"/>
          <w:szCs w:val="24"/>
        </w:rPr>
      </w:pPr>
    </w:p>
    <w:p w:rsidR="007B4311" w:rsidRDefault="007B4311" w:rsidP="007B4311"/>
    <w:p w:rsidR="00043693" w:rsidRPr="003640CB" w:rsidRDefault="00043693" w:rsidP="00043693">
      <w:pPr>
        <w:pStyle w:val="NormalWeb"/>
        <w:spacing w:line="360" w:lineRule="auto"/>
        <w:ind w:right="-90" w:firstLine="540"/>
        <w:jc w:val="center"/>
        <w:rPr>
          <w:rStyle w:val="Strong"/>
        </w:rPr>
      </w:pPr>
      <w:r w:rsidRPr="003640CB">
        <w:rPr>
          <w:rStyle w:val="Strong"/>
        </w:rPr>
        <w:lastRenderedPageBreak/>
        <w:t>CHAPTER ONE</w:t>
      </w:r>
    </w:p>
    <w:p w:rsidR="00043693" w:rsidRPr="003640CB" w:rsidRDefault="00043693" w:rsidP="00043693">
      <w:pPr>
        <w:pStyle w:val="NormalWeb"/>
        <w:spacing w:line="360" w:lineRule="auto"/>
        <w:ind w:right="-90" w:firstLine="540"/>
        <w:jc w:val="center"/>
        <w:rPr>
          <w:rStyle w:val="Strong"/>
        </w:rPr>
      </w:pPr>
      <w:r w:rsidRPr="003640CB">
        <w:rPr>
          <w:rStyle w:val="Strong"/>
        </w:rPr>
        <w:t>INTRODUCTION</w:t>
      </w:r>
    </w:p>
    <w:p w:rsidR="00043693" w:rsidRPr="003640CB" w:rsidRDefault="00043693" w:rsidP="00043693">
      <w:pPr>
        <w:pStyle w:val="NormalWeb"/>
        <w:spacing w:line="360" w:lineRule="auto"/>
        <w:ind w:right="-90" w:firstLine="540"/>
        <w:jc w:val="both"/>
      </w:pPr>
      <w:r w:rsidRPr="003640CB">
        <w:rPr>
          <w:rStyle w:val="Strong"/>
        </w:rPr>
        <w:t>1.1</w:t>
      </w:r>
      <w:r w:rsidRPr="003640CB">
        <w:rPr>
          <w:rStyle w:val="Strong"/>
        </w:rPr>
        <w:tab/>
        <w:t>Background of the Study</w:t>
      </w:r>
    </w:p>
    <w:p w:rsidR="00043693" w:rsidRPr="003640CB" w:rsidRDefault="00043693" w:rsidP="00043693">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(Ajiboye, 2018; Okafor, 2020).</w:t>
      </w:r>
    </w:p>
    <w:p w:rsidR="00043693" w:rsidRPr="003640CB" w:rsidRDefault="00043693" w:rsidP="00043693">
      <w:pPr>
        <w:pStyle w:val="NormalWeb"/>
        <w:spacing w:line="360" w:lineRule="auto"/>
        <w:ind w:right="-90" w:firstLine="540"/>
        <w:jc w:val="both"/>
      </w:pPr>
      <w:r w:rsidRPr="003640CB">
        <w:t>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preparation at home. The program also highlights the role of women in ensuring family health through proper meal planning and cooking, an essential facet of domestic responsibility in many Nigerian households (Ogunyemi, 2017). This aligns with a broader push for empowering women to make informed decisions about the nutritional quality of meals they prepare for their families (Nwachukwu, 2019).</w:t>
      </w:r>
    </w:p>
    <w:p w:rsidR="00043693" w:rsidRPr="003640CB" w:rsidRDefault="00043693" w:rsidP="00043693">
      <w:pPr>
        <w:pStyle w:val="NormalWeb"/>
        <w:spacing w:line="360" w:lineRule="auto"/>
        <w:ind w:right="-90" w:firstLine="540"/>
        <w:jc w:val="both"/>
      </w:pPr>
      <w:r w:rsidRPr="003640CB">
        <w:t xml:space="preserve">The program has also positioned itself as a vehicle for teaching viewers about food safety and hygiene, proper food storage, and cooking methods that preserve the nutritional value of ingredients. By featuring guest experts and leveraging celebrity endorsements, the </w:t>
      </w:r>
      <w:r w:rsidRPr="003640CB">
        <w:lastRenderedPageBreak/>
        <w:t>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Akintoye, 2021).</w:t>
      </w:r>
    </w:p>
    <w:p w:rsidR="00043693" w:rsidRPr="003640CB" w:rsidRDefault="00043693" w:rsidP="00043693">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(Bamidele &amp; Olaniyi, 2020).</w:t>
      </w:r>
    </w:p>
    <w:p w:rsidR="00043693" w:rsidRPr="003640CB" w:rsidRDefault="00043693" w:rsidP="00043693">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(Chukwu, 2020).</w:t>
      </w:r>
    </w:p>
    <w:p w:rsidR="00043693" w:rsidRPr="003640CB" w:rsidRDefault="00043693" w:rsidP="00043693">
      <w:pPr>
        <w:pStyle w:val="NormalWeb"/>
        <w:spacing w:line="360" w:lineRule="auto"/>
        <w:ind w:right="-90" w:firstLine="540"/>
        <w:jc w:val="both"/>
      </w:pPr>
      <w:r w:rsidRPr="003640CB">
        <w:t>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Family Show offers a unique opportunity to explore how media can contribute to addressing these public health challenges by equipping women with the knowledge and skills they need to make better food choices (Adebayo, 2022).</w:t>
      </w:r>
    </w:p>
    <w:p w:rsidR="00043693" w:rsidRPr="003640CB" w:rsidRDefault="00043693" w:rsidP="00043693">
      <w:pPr>
        <w:pStyle w:val="NormalWeb"/>
        <w:spacing w:line="360" w:lineRule="auto"/>
        <w:ind w:right="-90" w:firstLine="540"/>
        <w:jc w:val="both"/>
      </w:pPr>
      <w:r w:rsidRPr="003640CB">
        <w:lastRenderedPageBreak/>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(Ojo &amp; Adebisi, 2019). Understanding how such media content influences women’s food preparation habits can offer insights into designing more effective health campaigns and programs aimed at improving family nutrition in Nigeria (Orji, 2021).</w:t>
      </w:r>
    </w:p>
    <w:p w:rsidR="00043693" w:rsidRPr="003640CB" w:rsidRDefault="00043693" w:rsidP="00043693">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(Ayodele &amp; Eze, 2023).</w:t>
      </w:r>
    </w:p>
    <w:p w:rsidR="00043693" w:rsidRPr="003640CB" w:rsidRDefault="00043693" w:rsidP="00043693">
      <w:pPr>
        <w:pStyle w:val="NormalWeb"/>
        <w:spacing w:line="360" w:lineRule="auto"/>
        <w:ind w:right="-90" w:firstLine="540"/>
        <w:jc w:val="both"/>
      </w:pPr>
      <w:r w:rsidRPr="003640CB">
        <w:rPr>
          <w:rStyle w:val="Strong"/>
        </w:rPr>
        <w:t>1.2</w:t>
      </w:r>
      <w:r w:rsidRPr="003640CB">
        <w:rPr>
          <w:rStyle w:val="Strong"/>
        </w:rPr>
        <w:tab/>
        <w:t>Statement of the Problem:</w:t>
      </w:r>
    </w:p>
    <w:p w:rsidR="00043693" w:rsidRPr="003640CB" w:rsidRDefault="00043693" w:rsidP="00043693">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(Adesola,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(Nwosu &amp; Udo, 2018).</w:t>
      </w:r>
    </w:p>
    <w:p w:rsidR="00043693" w:rsidRPr="003640CB" w:rsidRDefault="00043693" w:rsidP="00043693">
      <w:pPr>
        <w:pStyle w:val="NormalWeb"/>
        <w:spacing w:line="360" w:lineRule="auto"/>
        <w:ind w:right="-90" w:firstLine="540"/>
        <w:jc w:val="both"/>
      </w:pPr>
      <w:r w:rsidRPr="003640CB">
        <w:t xml:space="preserve">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w:t>
      </w:r>
      <w:r w:rsidRPr="003640CB">
        <w:lastRenderedPageBreak/>
        <w:t>and food-related decision-making. This lack of empirical evidence raises important questions about the effectiveness of such media programs in influencing real-life changes in household food practices (Oluwaseun, 2021).</w:t>
      </w:r>
    </w:p>
    <w:p w:rsidR="00043693" w:rsidRPr="003640CB" w:rsidRDefault="00043693" w:rsidP="00043693">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(Sulaimon &amp; Oladapo, 2022).</w:t>
      </w:r>
    </w:p>
    <w:p w:rsidR="00043693" w:rsidRPr="003640CB" w:rsidRDefault="00043693" w:rsidP="00043693">
      <w:pPr>
        <w:pStyle w:val="NormalWeb"/>
        <w:spacing w:line="360" w:lineRule="auto"/>
        <w:ind w:right="-90" w:firstLine="540"/>
        <w:jc w:val="both"/>
      </w:pPr>
      <w:r w:rsidRPr="003640CB">
        <w:t>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Ajiboye, 2021).</w:t>
      </w:r>
    </w:p>
    <w:p w:rsidR="00043693" w:rsidRPr="003640CB" w:rsidRDefault="00043693" w:rsidP="00043693">
      <w:pPr>
        <w:pStyle w:val="NormalWeb"/>
        <w:spacing w:line="360" w:lineRule="auto"/>
        <w:ind w:right="-90" w:firstLine="540"/>
        <w:jc w:val="both"/>
      </w:pPr>
      <w:r w:rsidRPr="003640CB">
        <w:t>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the extent to which media can shape the culinary behaviors of Nigerian women (Aniekan &amp; Ibrahim, 2020).</w:t>
      </w:r>
    </w:p>
    <w:p w:rsidR="00043693" w:rsidRPr="003640CB" w:rsidRDefault="00043693" w:rsidP="00043693">
      <w:pPr>
        <w:pStyle w:val="NormalWeb"/>
        <w:spacing w:line="360" w:lineRule="auto"/>
        <w:ind w:right="-90" w:firstLine="540"/>
        <w:jc w:val="both"/>
      </w:pPr>
      <w:r w:rsidRPr="003640CB">
        <w:t xml:space="preserve">Furthermore, the role of celebrity chefs and expert guest appearances on the show may contribute to shaping women’s perceptions of food and cooking. While celebrity </w:t>
      </w:r>
      <w:r w:rsidRPr="003640CB">
        <w:lastRenderedPageBreak/>
        <w:t>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(Odugbesan &amp; Fola, 2019).</w:t>
      </w:r>
    </w:p>
    <w:p w:rsidR="00043693" w:rsidRPr="003640CB" w:rsidRDefault="00043693" w:rsidP="00043693">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(Gbemisola, 2022).</w:t>
      </w:r>
    </w:p>
    <w:p w:rsidR="00043693" w:rsidRPr="003640CB" w:rsidRDefault="00043693" w:rsidP="00043693">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(Micheal,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043693" w:rsidRPr="003640CB" w:rsidRDefault="00043693" w:rsidP="00043693">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043693" w:rsidRPr="003640CB" w:rsidRDefault="00043693" w:rsidP="00043693">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w:t>
      </w:r>
      <w:r w:rsidRPr="003640CB">
        <w:lastRenderedPageBreak/>
        <w:t>media producers and policymakers aiming to use media as a tool for promoting healthier eating behaviors.</w:t>
      </w:r>
    </w:p>
    <w:p w:rsidR="00043693" w:rsidRPr="003640CB" w:rsidRDefault="00043693" w:rsidP="00043693">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Kwara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Kwara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043693" w:rsidRPr="003640CB" w:rsidRDefault="00043693" w:rsidP="00043693">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research will examine the ways in which the show has impacted their knowledge of nutrition, cooking techniques, and the types of meals they prepare. In addition to focusing 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043693" w:rsidRPr="003640CB" w:rsidRDefault="00043693" w:rsidP="00043693">
      <w:pPr>
        <w:pStyle w:val="NormalWeb"/>
        <w:spacing w:before="0" w:beforeAutospacing="0" w:after="0" w:afterAutospacing="0" w:line="360" w:lineRule="auto"/>
        <w:ind w:right="-90" w:firstLine="540"/>
        <w:jc w:val="both"/>
      </w:pPr>
      <w:r w:rsidRPr="003640CB">
        <w:rPr>
          <w:rStyle w:val="Strong"/>
        </w:rPr>
        <w:lastRenderedPageBreak/>
        <w:t>1.7</w:t>
      </w:r>
      <w:r w:rsidRPr="003640CB">
        <w:rPr>
          <w:rStyle w:val="Strong"/>
        </w:rPr>
        <w:tab/>
      </w:r>
      <w:r w:rsidRPr="003640CB">
        <w:rPr>
          <w:rStyle w:val="Strong"/>
        </w:rPr>
        <w:tab/>
        <w:t>Limitations of the Study:</w:t>
      </w:r>
    </w:p>
    <w:p w:rsidR="00043693" w:rsidRPr="003640CB" w:rsidRDefault="00043693" w:rsidP="00043693">
      <w:pPr>
        <w:pStyle w:val="NormalWeb"/>
        <w:spacing w:line="360" w:lineRule="auto"/>
        <w:ind w:right="-90" w:firstLine="540"/>
        <w:jc w:val="both"/>
      </w:pPr>
      <w:r w:rsidRPr="003640CB">
        <w:rPr>
          <w:rStyle w:val="Strong"/>
        </w:rPr>
        <w:t>Geographical Limitation</w:t>
      </w:r>
      <w:r w:rsidRPr="003640CB">
        <w:t>: The study focuses solely on women in Ilorin, Kwara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043693" w:rsidRPr="003640CB" w:rsidRDefault="00043693" w:rsidP="00043693">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043693" w:rsidRPr="003640CB" w:rsidRDefault="00043693" w:rsidP="00043693">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043693" w:rsidRPr="003640CB" w:rsidRDefault="00043693" w:rsidP="00043693">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lastRenderedPageBreak/>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043693" w:rsidRDefault="00FA0E9F" w:rsidP="00FA0E9F">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043693" w:rsidRPr="003640CB">
        <w:rPr>
          <w:rFonts w:ascii="Times New Roman" w:hAnsi="Times New Roman" w:cs="Times New Roman"/>
          <w:b/>
          <w:sz w:val="24"/>
          <w:szCs w:val="24"/>
        </w:rPr>
        <w:t>LITERATURE REVIEW</w:t>
      </w:r>
    </w:p>
    <w:p w:rsidR="00FA0E9F" w:rsidRP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043693" w:rsidRPr="003640CB" w:rsidRDefault="00043693" w:rsidP="00FA0E9F">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exposure to a wide variety of cuisines, cooking methods, and ingredients, encouraging them to experiment in their kitchens. According to a study by Gittelsohn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043693" w:rsidRPr="003640CB" w:rsidRDefault="00043693" w:rsidP="00FA0E9F">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proliferation of food-related content on social media platforms has exponentially increased the reach of food-related media. A study by Booth et al. (2021) found that platforms such as Instagram and TikTok have become significant sources of culinary inspiration, with millions of users sharing food photos, recipes, and cooking tips. The “food porn” phenomenon, where aesthetically pleasing food is showcased, has led to increased interest in culinary experimentation (Robalino et al., 2019).</w:t>
      </w:r>
      <w:r w:rsidR="00FA0E9F">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rise of social media has further augmented the reach of cooking content, allowing Nigerian women to access a variety of recipes and cooking advice from around the world. As noted by Uduak &amp; Ebong (2021), social media platforms, particularly Instagram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countries such as the United States and the United Kingdom, cooking shows have become a staple of primetime television. These programs not only teach basic cooking skills but also elevate food as a form of entertainment, integrating competitive elements with culinary expertise (Nicolau &amp; Spence, 2018).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(Ogunyemi &amp; Adebayo, 2019). The centrality of women in food preparation can be traced to cultural and religious beliefs that position them as the guardians of family health and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roles in food preparation extend beyond mere cooking; they are also involved in meal planning, shopping for groceries, and ensuring that meals meet the nutritional needs of their families. According to Ezeh (2018), Nigerian women are not only responsible for preparing traditional meals but are also increasingly incorporating modern cooking techniques and international cuisines into their households, often through exposure to cooking shows and media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(Bamidele &amp; Olajide,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Akinmoladun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(Okon &amp; Johnson, 2021). Moreover, while some men are becoming more involved in cooking, the cultural norm of women as primary food preparers remains dominant in many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(Nwokocha,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Adeniran,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 4 The Role of Maggi Star Kitchen Family Show in Promoting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(Akinmoladun et al., 2020). It serves as a platform for promoting both local and international cuisines while encouraging the use of wholesome ingredients that contribute to better health outcomes.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Uduak &amp; Ebong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Adeniran, 2021). In a country where malnutrition and food insecurity remain prevalent, shows like this offer a vital resource for improving public health outcomes by encouraging nutrient-dense diets.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(Gittelsohn et al., 2015). By showcasing how seasoning can be used effectively in moderation, the show promotes healthier cooking practices and supports the effort to curb health issues like hypertension, which are linked to excessive salt consumption.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learning (Smith et al.,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(Ezeh, 2018).</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(Ogunyemi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(Nwokocha,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(Gittelsohn et al., 2015).</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043693" w:rsidRPr="003640CB" w:rsidRDefault="00043693" w:rsidP="00043693">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(Bamidele &amp; Olajide, 2020). Nevertheless, the growing popularity of cooking shows has laid the foundation for further changes in household dynamics, with the hope that future generations will continue to embrace shared domestic responsibilities.</w:t>
      </w:r>
    </w:p>
    <w:p w:rsidR="00043693" w:rsidRPr="003640CB" w:rsidRDefault="00043693" w:rsidP="00043693">
      <w:pPr>
        <w:pStyle w:val="Heading3"/>
        <w:spacing w:line="360" w:lineRule="auto"/>
        <w:ind w:right="-90" w:firstLine="540"/>
        <w:jc w:val="both"/>
      </w:pPr>
      <w:r w:rsidRPr="003640CB">
        <w:rPr>
          <w:rStyle w:val="Strong"/>
          <w:b/>
          <w:bCs/>
        </w:rPr>
        <w:t>2.2.1. Social Learning Theory</w:t>
      </w:r>
    </w:p>
    <w:p w:rsidR="00043693" w:rsidRPr="003640CB" w:rsidRDefault="00043693" w:rsidP="00043693">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Akintoye, 2021).</w:t>
      </w:r>
    </w:p>
    <w:p w:rsidR="00043693" w:rsidRPr="003640CB" w:rsidRDefault="00043693" w:rsidP="00043693">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(Ezeh, 2018).</w:t>
      </w:r>
    </w:p>
    <w:p w:rsidR="00043693" w:rsidRPr="003640CB" w:rsidRDefault="00043693" w:rsidP="00043693">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(Ogunyemi &amp; Adebayo, 2019).</w:t>
      </w:r>
    </w:p>
    <w:p w:rsidR="00043693" w:rsidRPr="003640CB" w:rsidRDefault="00043693" w:rsidP="00043693">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(Gittelsohn et al., 2015).</w:t>
      </w:r>
    </w:p>
    <w:p w:rsidR="00043693" w:rsidRPr="003640CB" w:rsidRDefault="00043693" w:rsidP="00043693">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(Nwokocha, 2022).</w:t>
      </w:r>
    </w:p>
    <w:p w:rsidR="00043693" w:rsidRPr="003640CB" w:rsidRDefault="00043693" w:rsidP="00043693">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(Bamidele &amp; Olajide, 2020).</w:t>
      </w:r>
    </w:p>
    <w:p w:rsidR="00043693" w:rsidRPr="003640CB" w:rsidRDefault="00043693" w:rsidP="00043693">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043693" w:rsidRPr="003640CB" w:rsidRDefault="00043693" w:rsidP="00043693">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043693" w:rsidRPr="003640CB" w:rsidRDefault="00043693" w:rsidP="00043693">
      <w:pPr>
        <w:pStyle w:val="Heading3"/>
        <w:spacing w:line="360" w:lineRule="auto"/>
        <w:ind w:right="-90" w:firstLine="540"/>
        <w:jc w:val="both"/>
      </w:pPr>
      <w:r w:rsidRPr="003640CB">
        <w:rPr>
          <w:rStyle w:val="Strong"/>
          <w:b/>
          <w:bCs/>
        </w:rPr>
        <w:t>2.2.2. Uses and Gratifications Theory</w:t>
      </w:r>
    </w:p>
    <w:p w:rsidR="00043693" w:rsidRPr="003640CB" w:rsidRDefault="00043693" w:rsidP="00043693">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(Blumler &amp; Katz, 1974; Turner &amp; Allen, 2021).</w:t>
      </w:r>
    </w:p>
    <w:p w:rsidR="00043693" w:rsidRPr="003640CB" w:rsidRDefault="00043693" w:rsidP="00043693">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(Akinmoladun et al., 2020).</w:t>
      </w:r>
    </w:p>
    <w:p w:rsidR="00043693" w:rsidRPr="003640CB" w:rsidRDefault="00043693" w:rsidP="00043693">
      <w:pPr>
        <w:pStyle w:val="NormalWeb"/>
        <w:spacing w:line="360" w:lineRule="auto"/>
        <w:ind w:right="-90" w:firstLine="540"/>
        <w:jc w:val="both"/>
      </w:pPr>
      <w:r w:rsidRPr="003640CB">
        <w:lastRenderedPageBreak/>
        <w:t>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Adeniran, 2021).</w:t>
      </w:r>
    </w:p>
    <w:p w:rsidR="00043693" w:rsidRPr="003640CB" w:rsidRDefault="00043693" w:rsidP="00043693">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043693" w:rsidRPr="003640CB" w:rsidRDefault="00043693" w:rsidP="00043693">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(Uduak &amp; Ebong, 2021).</w:t>
      </w:r>
    </w:p>
    <w:p w:rsidR="00043693" w:rsidRPr="003640CB" w:rsidRDefault="00043693" w:rsidP="00043693">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(Gittelsohn et al., 2015).</w:t>
      </w:r>
    </w:p>
    <w:p w:rsidR="00043693" w:rsidRPr="003640CB" w:rsidRDefault="00043693" w:rsidP="00043693">
      <w:pPr>
        <w:pStyle w:val="NormalWeb"/>
        <w:spacing w:line="360" w:lineRule="auto"/>
        <w:ind w:right="-90" w:firstLine="540"/>
        <w:jc w:val="both"/>
      </w:pPr>
      <w:r w:rsidRPr="003640CB">
        <w:t xml:space="preserve">Despite this limitation, the theory underscores the importance of audience agency in media consumption. By understanding what motivates viewers to watch cooking shows, producers can tailor content to better meet their needs. This can include addressing common </w:t>
      </w:r>
      <w:r w:rsidRPr="003640CB">
        <w:lastRenderedPageBreak/>
        <w:t>challenges, such as affordability and availability of ingredients, to make the show more inclusive and impactful (Bamidele &amp; Olajide, 2020).</w:t>
      </w:r>
    </w:p>
    <w:p w:rsidR="00043693" w:rsidRPr="003640CB" w:rsidRDefault="00043693" w:rsidP="00043693">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043693" w:rsidRPr="003640CB" w:rsidRDefault="00043693" w:rsidP="00043693">
      <w:pPr>
        <w:pStyle w:val="Heading3"/>
        <w:spacing w:line="360" w:lineRule="auto"/>
        <w:ind w:right="-90" w:firstLine="540"/>
        <w:jc w:val="both"/>
      </w:pPr>
      <w:r w:rsidRPr="003640CB">
        <w:rPr>
          <w:rStyle w:val="Strong"/>
          <w:b/>
          <w:bCs/>
        </w:rPr>
        <w:t>2.2. 3. Diffusion of Innovations Theory</w:t>
      </w:r>
    </w:p>
    <w:p w:rsidR="00043693" w:rsidRPr="003640CB" w:rsidRDefault="00043693" w:rsidP="00043693">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043693" w:rsidRPr="003640CB" w:rsidRDefault="00043693" w:rsidP="00043693">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(Ezeh, 2018).</w:t>
      </w:r>
    </w:p>
    <w:p w:rsidR="00043693" w:rsidRPr="003640CB" w:rsidRDefault="00043693" w:rsidP="00043693">
      <w:pPr>
        <w:pStyle w:val="NormalWeb"/>
        <w:spacing w:line="360" w:lineRule="auto"/>
        <w:ind w:right="-90" w:firstLine="540"/>
        <w:jc w:val="both"/>
      </w:pPr>
      <w:r w:rsidRPr="003640CB">
        <w:t xml:space="preserve">The theory also identifies factors that influence the rate of adoption, such as relative advantage, compatibility, complexity, trialability, and observability.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(Ogunyemi &amp; Adebayo, 2019).</w:t>
      </w:r>
    </w:p>
    <w:p w:rsidR="00043693" w:rsidRPr="003640CB" w:rsidRDefault="00043693" w:rsidP="00043693">
      <w:pPr>
        <w:pStyle w:val="NormalWeb"/>
        <w:spacing w:line="360" w:lineRule="auto"/>
        <w:ind w:right="-90" w:firstLine="540"/>
        <w:jc w:val="both"/>
      </w:pPr>
    </w:p>
    <w:p w:rsidR="00043693" w:rsidRPr="003640CB" w:rsidRDefault="00043693" w:rsidP="00043693">
      <w:pPr>
        <w:pStyle w:val="Heading3"/>
        <w:spacing w:line="360" w:lineRule="auto"/>
        <w:ind w:right="-90" w:firstLine="540"/>
        <w:jc w:val="both"/>
      </w:pPr>
      <w:r w:rsidRPr="003640CB">
        <w:rPr>
          <w:rStyle w:val="Strong"/>
          <w:b/>
          <w:bCs/>
        </w:rPr>
        <w:lastRenderedPageBreak/>
        <w:t>2.3</w:t>
      </w:r>
      <w:r w:rsidRPr="003640CB">
        <w:rPr>
          <w:rStyle w:val="Strong"/>
          <w:b/>
          <w:bCs/>
        </w:rPr>
        <w:tab/>
        <w:t>Empirical Review</w:t>
      </w:r>
    </w:p>
    <w:p w:rsidR="00043693" w:rsidRPr="003640CB" w:rsidRDefault="00043693" w:rsidP="00043693">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043693" w:rsidRPr="003640CB" w:rsidRDefault="00043693" w:rsidP="00043693">
      <w:pPr>
        <w:pStyle w:val="NormalWeb"/>
        <w:spacing w:line="360" w:lineRule="auto"/>
        <w:ind w:right="-90" w:firstLine="540"/>
        <w:jc w:val="both"/>
      </w:pPr>
      <w:r w:rsidRPr="003640CB">
        <w:t>A study by Akinmoladun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043693" w:rsidRPr="003640CB" w:rsidRDefault="00043693" w:rsidP="00043693">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043693" w:rsidRPr="003640CB" w:rsidRDefault="00043693" w:rsidP="00043693">
      <w:pPr>
        <w:pStyle w:val="NormalWeb"/>
        <w:spacing w:line="360" w:lineRule="auto"/>
        <w:ind w:right="-90" w:firstLine="540"/>
        <w:jc w:val="both"/>
      </w:pPr>
      <w:r w:rsidRPr="003640CB">
        <w:t xml:space="preserve">In another study, Ogunyemi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w:t>
      </w:r>
      <w:r w:rsidRPr="003640CB">
        <w:lastRenderedPageBreak/>
        <w:t>equality and partnership. These findings suggest that cooking shows can serve as catalysts for progressive change in traditional family settings.</w:t>
      </w:r>
    </w:p>
    <w:p w:rsidR="00043693" w:rsidRPr="003640CB" w:rsidRDefault="00043693" w:rsidP="00043693">
      <w:pPr>
        <w:pStyle w:val="NormalWeb"/>
        <w:spacing w:line="360" w:lineRule="auto"/>
        <w:ind w:right="-90" w:firstLine="540"/>
        <w:jc w:val="both"/>
      </w:pPr>
      <w:r w:rsidRPr="003640CB">
        <w:t>The link between cooking shows and nutritional education has also been explored in empirical studies. According to Gittelsohn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043693" w:rsidRPr="003640CB" w:rsidRDefault="00043693" w:rsidP="00043693">
      <w:pPr>
        <w:pStyle w:val="NormalWeb"/>
        <w:spacing w:line="360" w:lineRule="auto"/>
        <w:ind w:right="-90" w:firstLine="540"/>
        <w:jc w:val="both"/>
      </w:pPr>
      <w:r w:rsidRPr="003640CB">
        <w:t>However, challenges remain in translating media messages into practice. Bamidele and Olajide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043693" w:rsidRPr="003640CB" w:rsidRDefault="00043693" w:rsidP="00043693">
      <w:pPr>
        <w:pStyle w:val="NormalWeb"/>
        <w:spacing w:line="360" w:lineRule="auto"/>
        <w:ind w:right="-90" w:firstLine="540"/>
        <w:jc w:val="both"/>
      </w:pPr>
      <w:r w:rsidRPr="003640CB">
        <w:t xml:space="preserve">Cultural relevance has also been identified as a critical factor in the effectiveness of cooking shows. Nwokocha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043693" w:rsidRPr="003640CB" w:rsidRDefault="00043693" w:rsidP="00043693">
      <w:pPr>
        <w:pStyle w:val="NormalWeb"/>
        <w:spacing w:line="360" w:lineRule="auto"/>
        <w:ind w:right="-90" w:firstLine="540"/>
        <w:jc w:val="both"/>
      </w:pPr>
      <w:r w:rsidRPr="003640CB">
        <w:t>Furthermore, empirical studies have investigated the psychological impact of cooking shows on viewers. Ede and Adeniran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043693" w:rsidRPr="003640CB" w:rsidRDefault="00043693" w:rsidP="00043693">
      <w:pPr>
        <w:pStyle w:val="NormalWeb"/>
        <w:spacing w:line="360" w:lineRule="auto"/>
        <w:ind w:right="-90" w:firstLine="540"/>
        <w:jc w:val="both"/>
      </w:pPr>
      <w:r w:rsidRPr="003640CB">
        <w:lastRenderedPageBreak/>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THREE</w:t>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Pritha (2021) explained that a population is the entire group that you want to draw conclusions about. Showkat (nd) describes a population that refers to any collection of </w:t>
      </w:r>
      <w:r w:rsidRPr="003640CB">
        <w:rPr>
          <w:rFonts w:ascii="Times New Roman" w:hAnsi="Times New Roman" w:cs="Times New Roman"/>
          <w:sz w:val="24"/>
          <w:szCs w:val="24"/>
        </w:rPr>
        <w:lastRenderedPageBreak/>
        <w:t>specified groups of human beings or of non-human entities such as objects, educational institutions, time units, geographical areas, prices of wheat or salaries drawn by individuals.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043693" w:rsidRPr="003640CB" w:rsidRDefault="00043693" w:rsidP="00043693">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043693" w:rsidRPr="003640CB" w:rsidRDefault="00043693" w:rsidP="00043693">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043693" w:rsidRPr="003640CB" w:rsidRDefault="00043693" w:rsidP="00043693">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043693" w:rsidRPr="003640CB" w:rsidRDefault="00043693" w:rsidP="00043693">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626332" w:rsidP="00FA0E9F">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043693"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043693" w:rsidRPr="00C163F7" w:rsidRDefault="00043693" w:rsidP="00043693">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043693"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043693" w:rsidRPr="00C163F7" w:rsidRDefault="00043693" w:rsidP="00043693">
      <w:pPr>
        <w:spacing w:line="360" w:lineRule="auto"/>
        <w:ind w:right="-90" w:firstLine="540"/>
        <w:jc w:val="both"/>
        <w:rPr>
          <w:rFonts w:ascii="Times New Roman" w:hAnsi="Times New Roman" w:cs="Times New Roman"/>
          <w:sz w:val="24"/>
          <w:szCs w:val="24"/>
        </w:rPr>
      </w:pP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043693" w:rsidRPr="003640CB" w:rsidRDefault="00043693" w:rsidP="00043693">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Akinmoladun,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Bamidele, K., &amp; Olaniyi,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Adeniran,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Gittelsohn,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Ogunyemi,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Okafor,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sectPr w:rsidR="00043693" w:rsidRPr="003640CB" w:rsidSect="00FA0E9F">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DE1" w:rsidRDefault="003C7DE1" w:rsidP="00C332D2">
      <w:pPr>
        <w:spacing w:after="0" w:line="240" w:lineRule="auto"/>
      </w:pPr>
      <w:r>
        <w:separator/>
      </w:r>
    </w:p>
  </w:endnote>
  <w:endnote w:type="continuationSeparator" w:id="0">
    <w:p w:rsidR="003C7DE1" w:rsidRDefault="003C7DE1" w:rsidP="00C3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99143"/>
      <w:docPartObj>
        <w:docPartGallery w:val="Page Numbers (Bottom of Page)"/>
        <w:docPartUnique/>
      </w:docPartObj>
    </w:sdtPr>
    <w:sdtEndPr>
      <w:rPr>
        <w:noProof/>
      </w:rPr>
    </w:sdtEndPr>
    <w:sdtContent>
      <w:p w:rsidR="00626332" w:rsidRDefault="00626332">
        <w:pPr>
          <w:pStyle w:val="Footer"/>
          <w:jc w:val="center"/>
        </w:pPr>
        <w:r>
          <w:fldChar w:fldCharType="begin"/>
        </w:r>
        <w:r>
          <w:instrText xml:space="preserve"> PAGE   \* MERGEFORMAT </w:instrText>
        </w:r>
        <w:r>
          <w:fldChar w:fldCharType="separate"/>
        </w:r>
        <w:r w:rsidR="00856193">
          <w:rPr>
            <w:noProof/>
          </w:rPr>
          <w:t>21</w:t>
        </w:r>
        <w:r>
          <w:rPr>
            <w:noProof/>
          </w:rPr>
          <w:fldChar w:fldCharType="end"/>
        </w:r>
      </w:p>
    </w:sdtContent>
  </w:sdt>
  <w:p w:rsidR="00626332" w:rsidRDefault="00626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DE1" w:rsidRDefault="003C7DE1" w:rsidP="00C332D2">
      <w:pPr>
        <w:spacing w:after="0" w:line="240" w:lineRule="auto"/>
      </w:pPr>
      <w:r>
        <w:separator/>
      </w:r>
    </w:p>
  </w:footnote>
  <w:footnote w:type="continuationSeparator" w:id="0">
    <w:p w:rsidR="003C7DE1" w:rsidRDefault="003C7DE1" w:rsidP="00C33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2" w:rsidRDefault="00626332">
    <w:pPr>
      <w:pStyle w:val="Header"/>
      <w:jc w:val="center"/>
    </w:pPr>
  </w:p>
  <w:p w:rsidR="00626332" w:rsidRDefault="0062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93"/>
    <w:rsid w:val="00043693"/>
    <w:rsid w:val="00105F88"/>
    <w:rsid w:val="002D51B3"/>
    <w:rsid w:val="002E4034"/>
    <w:rsid w:val="003C7DE1"/>
    <w:rsid w:val="00415653"/>
    <w:rsid w:val="005014DB"/>
    <w:rsid w:val="00626332"/>
    <w:rsid w:val="007A077C"/>
    <w:rsid w:val="007B4311"/>
    <w:rsid w:val="00842F0B"/>
    <w:rsid w:val="00856193"/>
    <w:rsid w:val="00995CFC"/>
    <w:rsid w:val="009B6C0C"/>
    <w:rsid w:val="00A01032"/>
    <w:rsid w:val="00BF2157"/>
    <w:rsid w:val="00C332D2"/>
    <w:rsid w:val="00D8450C"/>
    <w:rsid w:val="00DF675E"/>
    <w:rsid w:val="00E5644D"/>
    <w:rsid w:val="00FA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2B654E-8130-4E50-96A1-5977EFE4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93"/>
  </w:style>
  <w:style w:type="paragraph" w:styleId="Heading2">
    <w:name w:val="heading 2"/>
    <w:basedOn w:val="Normal"/>
    <w:next w:val="Normal"/>
    <w:link w:val="Heading2Char"/>
    <w:uiPriority w:val="9"/>
    <w:semiHidden/>
    <w:unhideWhenUsed/>
    <w:qFormat/>
    <w:rsid w:val="000436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36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36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36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4369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43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693"/>
    <w:rPr>
      <w:b/>
      <w:bCs/>
    </w:rPr>
  </w:style>
  <w:style w:type="character" w:styleId="Emphasis">
    <w:name w:val="Emphasis"/>
    <w:basedOn w:val="DefaultParagraphFont"/>
    <w:uiPriority w:val="20"/>
    <w:qFormat/>
    <w:rsid w:val="00043693"/>
    <w:rPr>
      <w:i/>
      <w:iCs/>
    </w:rPr>
  </w:style>
  <w:style w:type="paragraph" w:styleId="BalloonText">
    <w:name w:val="Balloon Text"/>
    <w:basedOn w:val="Normal"/>
    <w:link w:val="BalloonTextChar"/>
    <w:uiPriority w:val="99"/>
    <w:semiHidden/>
    <w:unhideWhenUsed/>
    <w:rsid w:val="00043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93"/>
    <w:rPr>
      <w:rFonts w:ascii="Segoe UI" w:hAnsi="Segoe UI" w:cs="Segoe UI"/>
      <w:sz w:val="18"/>
      <w:szCs w:val="18"/>
    </w:rPr>
  </w:style>
  <w:style w:type="table" w:styleId="TableGrid">
    <w:name w:val="Table Grid"/>
    <w:basedOn w:val="TableNormal"/>
    <w:uiPriority w:val="39"/>
    <w:rsid w:val="0004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93"/>
  </w:style>
  <w:style w:type="paragraph" w:styleId="Footer">
    <w:name w:val="footer"/>
    <w:basedOn w:val="Normal"/>
    <w:link w:val="FooterChar"/>
    <w:uiPriority w:val="99"/>
    <w:unhideWhenUsed/>
    <w:rsid w:val="0004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93"/>
  </w:style>
  <w:style w:type="paragraph" w:styleId="ListParagraph">
    <w:name w:val="List Paragraph"/>
    <w:basedOn w:val="Normal"/>
    <w:uiPriority w:val="34"/>
    <w:qFormat/>
    <w:rsid w:val="0004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29497">
      <w:bodyDiv w:val="1"/>
      <w:marLeft w:val="0"/>
      <w:marRight w:val="0"/>
      <w:marTop w:val="0"/>
      <w:marBottom w:val="0"/>
      <w:divBdr>
        <w:top w:val="none" w:sz="0" w:space="0" w:color="auto"/>
        <w:left w:val="none" w:sz="0" w:space="0" w:color="auto"/>
        <w:bottom w:val="none" w:sz="0" w:space="0" w:color="auto"/>
        <w:right w:val="none" w:sz="0" w:space="0" w:color="auto"/>
      </w:divBdr>
    </w:div>
    <w:div w:id="20911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56</Pages>
  <Words>12576</Words>
  <Characters>71685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2025-08-27T09:25:00Z</cp:lastPrinted>
  <dcterms:created xsi:type="dcterms:W3CDTF">2025-07-24T08:09:00Z</dcterms:created>
  <dcterms:modified xsi:type="dcterms:W3CDTF">2025-10-01T09:23:00Z</dcterms:modified>
</cp:coreProperties>
</file>