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3092450</wp:posOffset>
            </wp:positionH>
            <wp:positionV relativeFrom="page">
              <wp:posOffset>914400</wp:posOffset>
            </wp:positionV>
            <wp:extent cx="1377950" cy="130175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01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44" w:after="0"/>
        <w:ind w:left="0" w:right="0"/>
      </w:pPr>
    </w:p>
    <w:p>
      <w:pPr>
        <w:autoSpaceDN w:val="0"/>
        <w:autoSpaceDE w:val="0"/>
        <w:widowControl/>
        <w:spacing w:line="194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PROJECT RESEARCH WORK</w:t>
      </w:r>
    </w:p>
    <w:p>
      <w:pPr>
        <w:autoSpaceDN w:val="0"/>
        <w:autoSpaceDE w:val="0"/>
        <w:widowControl/>
        <w:spacing w:line="194" w:lineRule="exact" w:before="378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ON</w:t>
      </w:r>
    </w:p>
    <w:p>
      <w:pPr>
        <w:autoSpaceDN w:val="0"/>
        <w:autoSpaceDE w:val="0"/>
        <w:widowControl/>
        <w:spacing w:line="194" w:lineRule="exact" w:before="38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MICROBIAL ANALYSIS OF SOME SELECTED SACHETS WATER IN</w:t>
      </w:r>
    </w:p>
    <w:p>
      <w:pPr>
        <w:autoSpaceDN w:val="0"/>
        <w:autoSpaceDE w:val="0"/>
        <w:widowControl/>
        <w:spacing w:line="194" w:lineRule="exact" w:before="138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ILORIN METROPOLITAN</w:t>
      </w:r>
    </w:p>
    <w:p>
      <w:pPr>
        <w:autoSpaceDN w:val="0"/>
        <w:autoSpaceDE w:val="0"/>
        <w:widowControl/>
        <w:spacing w:line="186" w:lineRule="exact" w:before="956" w:after="0"/>
        <w:ind w:left="0" w:right="547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BY</w:t>
      </w:r>
    </w:p>
    <w:p>
      <w:pPr>
        <w:autoSpaceDN w:val="0"/>
        <w:autoSpaceDE w:val="0"/>
        <w:widowControl/>
        <w:spacing w:line="290" w:lineRule="exact" w:before="382" w:after="0"/>
        <w:ind w:left="0" w:right="2574" w:firstLine="0"/>
        <w:jc w:val="right"/>
      </w:pPr>
      <w:r>
        <w:rPr>
          <w:spacing w:val="-10"/>
          <w:rFonts w:ascii="" w:hAnsi="" w:eastAsia=""/>
          <w:b/>
          <w:color w:val="000000"/>
          <w:sz w:val="42"/>
        </w:rPr>
        <w:t>OLOYEDE ABDULHAKEEM</w:t>
      </w:r>
    </w:p>
    <w:p>
      <w:pPr>
        <w:autoSpaceDN w:val="0"/>
        <w:autoSpaceDE w:val="0"/>
        <w:widowControl/>
        <w:spacing w:line="290" w:lineRule="exact" w:before="340" w:after="0"/>
        <w:ind w:left="0" w:right="4364" w:firstLine="0"/>
        <w:jc w:val="right"/>
      </w:pPr>
      <w:r>
        <w:rPr>
          <w:spacing w:val="-10"/>
          <w:rFonts w:ascii="" w:hAnsi="" w:eastAsia=""/>
          <w:b/>
          <w:color w:val="000000"/>
          <w:sz w:val="42"/>
        </w:rPr>
        <w:t>OPEYEMI</w:t>
      </w:r>
    </w:p>
    <w:p>
      <w:pPr>
        <w:autoSpaceDN w:val="0"/>
        <w:autoSpaceDE w:val="0"/>
        <w:widowControl/>
        <w:spacing w:line="182" w:lineRule="exact" w:before="446" w:after="0"/>
        <w:ind w:left="0" w:right="4194" w:firstLine="0"/>
        <w:jc w:val="right"/>
      </w:pPr>
      <w:r>
        <w:rPr>
          <w:spacing w:val="-10"/>
          <w:rFonts w:ascii="" w:hAnsi="" w:eastAsia=""/>
          <w:b/>
          <w:color w:val="000000"/>
          <w:sz w:val="26"/>
        </w:rPr>
        <w:t>ND/23/SLT/PT/0</w:t>
      </w:r>
      <w:r>
        <w:rPr>
          <w:spacing w:val="-10"/>
          <w:rFonts w:ascii="" w:hAnsi="" w:eastAsia=""/>
          <w:b/>
          <w:color w:val="000000"/>
          <w:sz w:val="26"/>
        </w:rPr>
        <w:t>854</w:t>
      </w:r>
    </w:p>
    <w:p>
      <w:pPr>
        <w:autoSpaceDN w:val="0"/>
        <w:autoSpaceDE w:val="0"/>
        <w:widowControl/>
        <w:spacing w:line="194" w:lineRule="exact" w:before="392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8"/>
        </w:rPr>
        <w:t>SUBMITTED TO:</w:t>
      </w:r>
    </w:p>
    <w:p>
      <w:pPr>
        <w:autoSpaceDN w:val="0"/>
        <w:autoSpaceDE w:val="0"/>
        <w:widowControl/>
        <w:spacing w:line="194" w:lineRule="exact" w:before="530" w:after="0"/>
        <w:ind w:left="2822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THE DEPARTMENT OF SCIENCE LABORATORY</w:t>
      </w:r>
    </w:p>
    <w:p>
      <w:pPr>
        <w:autoSpaceDN w:val="0"/>
        <w:autoSpaceDE w:val="0"/>
        <w:widowControl/>
        <w:spacing w:line="246" w:lineRule="exact" w:before="288" w:after="0"/>
        <w:ind w:left="2220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TECHNOLOGY, INSTITUTE OF APPLIED SCIENCES (IAS),</w:t>
      </w:r>
    </w:p>
    <w:p>
      <w:pPr>
        <w:autoSpaceDN w:val="0"/>
        <w:autoSpaceDE w:val="0"/>
        <w:widowControl/>
        <w:spacing w:line="238" w:lineRule="exact" w:before="478" w:after="0"/>
        <w:ind w:left="0" w:right="264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KWARA STATE POLYTECHNIC, ILORIN</w:t>
      </w:r>
    </w:p>
    <w:p>
      <w:pPr>
        <w:autoSpaceDN w:val="0"/>
        <w:autoSpaceDE w:val="0"/>
        <w:widowControl/>
        <w:spacing w:line="240" w:lineRule="exact" w:before="484" w:after="0"/>
        <w:ind w:left="1958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IN PARTIAL FULFILMENT OF THE REQUIREMENT FOR THE</w:t>
      </w:r>
    </w:p>
    <w:p>
      <w:pPr>
        <w:autoSpaceDN w:val="0"/>
        <w:autoSpaceDE w:val="0"/>
        <w:widowControl/>
        <w:spacing w:line="246" w:lineRule="exact" w:before="244" w:after="0"/>
        <w:ind w:left="2588" w:right="0" w:firstLine="0"/>
        <w:jc w:val="left"/>
      </w:pPr>
      <w:r>
        <w:rPr>
          <w:spacing w:val="-10"/>
          <w:rFonts w:ascii="" w:hAnsi="" w:eastAsia=""/>
          <w:b/>
          <w:color w:val="000000"/>
          <w:sz w:val="28"/>
        </w:rPr>
        <w:t>NATIONAL DIPLOMA (ND) SCIENCE LABORATORY</w:t>
      </w:r>
    </w:p>
    <w:p>
      <w:pPr>
        <w:autoSpaceDN w:val="0"/>
        <w:autoSpaceDE w:val="0"/>
        <w:widowControl/>
        <w:spacing w:line="246" w:lineRule="exact" w:before="236" w:after="0"/>
        <w:ind w:left="0" w:right="244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TECHNOLOGY (MICROBIOLOGY OPTION)</w:t>
      </w:r>
    </w:p>
    <w:p>
      <w:pPr>
        <w:autoSpaceDN w:val="0"/>
        <w:autoSpaceDE w:val="0"/>
        <w:widowControl/>
        <w:spacing w:line="238" w:lineRule="exact" w:before="478" w:after="0"/>
        <w:ind w:left="0" w:right="1180" w:firstLine="0"/>
        <w:jc w:val="right"/>
      </w:pPr>
      <w:r>
        <w:rPr>
          <w:spacing w:val="-10"/>
          <w:rFonts w:ascii="" w:hAnsi="" w:eastAsia=""/>
          <w:b/>
          <w:color w:val="000000"/>
          <w:sz w:val="28"/>
        </w:rPr>
        <w:t>JULY, 2025</w:t>
      </w:r>
    </w:p>
    <w:p>
      <w:pPr>
        <w:autoSpaceDN w:val="0"/>
        <w:autoSpaceDE w:val="0"/>
        <w:widowControl/>
        <w:spacing w:line="168" w:lineRule="exact" w:before="208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4718050</wp:posOffset>
            </wp:positionH>
            <wp:positionV relativeFrom="page">
              <wp:posOffset>4578350</wp:posOffset>
            </wp:positionV>
            <wp:extent cx="2063750" cy="25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4724400</wp:posOffset>
            </wp:positionH>
            <wp:positionV relativeFrom="page">
              <wp:posOffset>4592320</wp:posOffset>
            </wp:positionV>
            <wp:extent cx="2057400" cy="635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4718050</wp:posOffset>
            </wp:positionH>
            <wp:positionV relativeFrom="page">
              <wp:posOffset>3575050</wp:posOffset>
            </wp:positionV>
            <wp:extent cx="2063750" cy="254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4533900</wp:posOffset>
            </wp:positionV>
            <wp:extent cx="2063750" cy="3175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31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996950</wp:posOffset>
            </wp:positionH>
            <wp:positionV relativeFrom="page">
              <wp:posOffset>5473700</wp:posOffset>
            </wp:positionV>
            <wp:extent cx="2063750" cy="254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4768850</wp:posOffset>
            </wp:positionH>
            <wp:positionV relativeFrom="page">
              <wp:posOffset>5473700</wp:posOffset>
            </wp:positionV>
            <wp:extent cx="2063750" cy="254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5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CERTIFICATION</w:t>
      </w:r>
    </w:p>
    <w:p>
      <w:pPr>
        <w:autoSpaceDN w:val="0"/>
        <w:autoSpaceDE w:val="0"/>
        <w:widowControl/>
        <w:spacing w:line="240" w:lineRule="exact" w:before="586" w:after="0"/>
        <w:ind w:left="1476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This is to certify that this Project report was written by</w:t>
      </w:r>
      <w:r>
        <w:rPr>
          <w:spacing w:val="-10"/>
          <w:rFonts w:ascii="" w:hAnsi="" w:eastAsia=""/>
          <w:color w:val="000000"/>
          <w:sz w:val="28"/>
        </w:rPr>
        <w:t xml:space="preserve"> OLOYEDE ABDULHAKEEM</w:t>
      </w:r>
    </w:p>
    <w:p>
      <w:pPr>
        <w:autoSpaceDN w:val="0"/>
        <w:autoSpaceDE w:val="0"/>
        <w:widowControl/>
        <w:spacing w:line="218" w:lineRule="exact" w:before="252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OPEYEMI with matric number ND/23/SLT/PT/0854 and submitted to the Department</w:t>
      </w:r>
    </w:p>
    <w:p>
      <w:pPr>
        <w:autoSpaceDN w:val="0"/>
        <w:autoSpaceDE w:val="0"/>
        <w:widowControl/>
        <w:spacing w:line="218" w:lineRule="exact" w:before="45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of Science Laboratory Technology (S.L.T), Microbiology Unit, Institute of Applied Sciences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(IAS), Kwara State Polytechnic, and has been read and approved as a partial fulfillment for</w:t>
      </w:r>
    </w:p>
    <w:p>
      <w:pPr>
        <w:autoSpaceDN w:val="0"/>
        <w:autoSpaceDE w:val="0"/>
        <w:widowControl/>
        <w:spacing w:line="218" w:lineRule="exact" w:before="334" w:after="894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the award of National Diploma (ND) in Science Laboratory Technology.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36" w:type="dxa"/>
      </w:tblPr>
      <w:tblGrid>
        <w:gridCol w:w="3240" w:type="dxa"/>
        <w:gridCol w:w="5864" w:type="dxa"/>
      </w:tblGrid>
      <w:tr>
        <w:trPr>
          <w:trHeight w:hRule="exact" w:val="352"/>
        </w:trPr>
        <w:tc>
          <w:tcPr>
            <w:tcW w:type="dxa" w:w="3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0" w:lineRule="exact" w:before="102" w:after="0"/>
              <w:ind w:left="338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MRS MRS DAGBA IB</w:t>
            </w:r>
          </w:p>
        </w:tc>
        <w:tc>
          <w:tcPr>
            <w:tcW w:type="dxa" w:w="5864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6" w:lineRule="exact" w:before="102" w:after="0"/>
              <w:ind w:left="0" w:right="1086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DATE</w:t>
            </w:r>
          </w:p>
        </w:tc>
      </w:tr>
    </w:tbl>
    <w:p>
      <w:pPr>
        <w:autoSpaceDN w:val="0"/>
        <w:autoSpaceDE w:val="0"/>
        <w:widowControl/>
        <w:spacing w:line="238" w:lineRule="exact" w:before="54" w:after="864"/>
        <w:ind w:left="1774" w:right="0" w:firstLine="0"/>
        <w:jc w:val="left"/>
      </w:pPr>
      <w:r>
        <w:rPr>
          <w:spacing w:val="-10"/>
          <w:rFonts w:ascii="" w:hAnsi="" w:eastAsia=""/>
          <w:color w:val="000000"/>
          <w:sz w:val="26"/>
        </w:rPr>
        <w:t>(Project Supervisor)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44" w:type="dxa"/>
      </w:tblPr>
      <w:tblGrid>
        <w:gridCol w:w="3240" w:type="dxa"/>
        <w:gridCol w:w="5956" w:type="dxa"/>
      </w:tblGrid>
      <w:tr>
        <w:trPr>
          <w:trHeight w:hRule="exact" w:val="374"/>
        </w:trPr>
        <w:tc>
          <w:tcPr>
            <w:tcW w:type="dxa" w:w="3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122" w:after="0"/>
              <w:ind w:left="366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MR. S.A SHITTU.</w:t>
            </w:r>
          </w:p>
        </w:tc>
        <w:tc>
          <w:tcPr>
            <w:tcW w:type="dxa" w:w="5956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8" w:lineRule="exact" w:before="122" w:after="0"/>
              <w:ind w:left="0" w:right="1026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DATE</w:t>
            </w:r>
          </w:p>
        </w:tc>
      </w:tr>
    </w:tbl>
    <w:p>
      <w:pPr>
        <w:autoSpaceDN w:val="0"/>
        <w:autoSpaceDE w:val="0"/>
        <w:widowControl/>
        <w:spacing w:line="236" w:lineRule="exact" w:before="54" w:after="796"/>
        <w:ind w:left="1480" w:right="0" w:firstLine="0"/>
        <w:jc w:val="left"/>
      </w:pPr>
      <w:r>
        <w:rPr>
          <w:spacing w:val="-10"/>
          <w:rFonts w:ascii="" w:hAnsi="" w:eastAsia=""/>
          <w:color w:val="000000"/>
          <w:sz w:val="26"/>
        </w:rPr>
        <w:t>(ODFEL COORDINATOR)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336" w:type="dxa"/>
      </w:tblPr>
      <w:tblGrid>
        <w:gridCol w:w="5940" w:type="dxa"/>
        <w:gridCol w:w="3239" w:type="dxa"/>
      </w:tblGrid>
      <w:tr>
        <w:trPr>
          <w:trHeight w:hRule="exact" w:val="446"/>
        </w:trPr>
        <w:tc>
          <w:tcPr>
            <w:tcW w:type="dxa" w:w="59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194" w:after="0"/>
              <w:ind w:left="208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DR. USMAN ABDULKAREEM</w:t>
            </w:r>
          </w:p>
        </w:tc>
        <w:tc>
          <w:tcPr>
            <w:tcW w:type="dxa" w:w="3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8" w:lineRule="exact" w:before="194" w:after="0"/>
              <w:ind w:left="0" w:right="1098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6"/>
              </w:rPr>
              <w:t>DATE</w:t>
            </w:r>
          </w:p>
        </w:tc>
      </w:tr>
    </w:tbl>
    <w:p>
      <w:pPr>
        <w:autoSpaceDN w:val="0"/>
        <w:autoSpaceDE w:val="0"/>
        <w:widowControl/>
        <w:spacing w:line="236" w:lineRule="exact" w:before="58" w:after="0"/>
        <w:ind w:left="1674" w:right="0" w:firstLine="0"/>
        <w:jc w:val="left"/>
      </w:pPr>
      <w:r>
        <w:rPr>
          <w:spacing w:val="-10"/>
          <w:rFonts w:ascii="" w:hAnsi="" w:eastAsia=""/>
          <w:color w:val="000000"/>
          <w:sz w:val="26"/>
        </w:rPr>
        <w:t>(Head of Department)</w:t>
      </w:r>
    </w:p>
    <w:p>
      <w:pPr>
        <w:autoSpaceDN w:val="0"/>
        <w:autoSpaceDE w:val="0"/>
        <w:widowControl/>
        <w:spacing w:line="168" w:lineRule="exact" w:before="620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DEDICATION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 dedicated this project to almighty God for He is the one that makes this programme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completion a reality and also to my family as a whole.</w:t>
      </w:r>
    </w:p>
    <w:p>
      <w:pPr>
        <w:autoSpaceDN w:val="0"/>
        <w:autoSpaceDE w:val="0"/>
        <w:widowControl/>
        <w:spacing w:line="168" w:lineRule="exact" w:before="1279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iii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ACKNOWLEDGEMENT</w:t>
      </w:r>
    </w:p>
    <w:p>
      <w:pPr>
        <w:autoSpaceDN w:val="0"/>
        <w:autoSpaceDE w:val="0"/>
        <w:widowControl/>
        <w:spacing w:line="336" w:lineRule="exact" w:before="378" w:after="0"/>
        <w:ind w:left="770" w:right="432" w:firstLine="0"/>
        <w:jc w:val="left"/>
      </w:pPr>
      <w:r>
        <w:rPr>
          <w:spacing w:val="-10"/>
          <w:rFonts w:ascii="" w:hAnsi="" w:eastAsia=""/>
          <w:color w:val="000000"/>
          <w:sz w:val="28"/>
        </w:rPr>
        <w:t xml:space="preserve">Whatever that has a beginning must surely have an end. I can't but express my utmost </w:t>
      </w:r>
      <w:r>
        <w:br/>
      </w:r>
      <w:r>
        <w:rPr>
          <w:spacing w:val="-10"/>
          <w:rFonts w:ascii="" w:hAnsi="" w:eastAsia=""/>
          <w:color w:val="000000"/>
          <w:sz w:val="28"/>
        </w:rPr>
        <w:t xml:space="preserve">gratitude to my ever faithful Brothers who has been my backbone for her unlimited grace, </w:t>
      </w:r>
      <w:r>
        <w:br/>
      </w:r>
      <w:r>
        <w:rPr>
          <w:spacing w:val="-10"/>
          <w:rFonts w:ascii="" w:hAnsi="" w:eastAsia=""/>
          <w:color w:val="000000"/>
          <w:sz w:val="28"/>
        </w:rPr>
        <w:t xml:space="preserve">unconditional love and unflinching support and blessing from the beginning of my study in </w:t>
      </w:r>
      <w:r>
        <w:br/>
      </w:r>
      <w:r>
        <w:rPr>
          <w:spacing w:val="-10"/>
          <w:rFonts w:ascii="" w:hAnsi="" w:eastAsia=""/>
          <w:color w:val="000000"/>
          <w:sz w:val="28"/>
        </w:rPr>
        <w:t>Higher Institution to its completion.</w:t>
      </w:r>
    </w:p>
    <w:p>
      <w:pPr>
        <w:autoSpaceDN w:val="0"/>
        <w:autoSpaceDE w:val="0"/>
        <w:widowControl/>
        <w:spacing w:line="336" w:lineRule="exact" w:before="0" w:after="0"/>
        <w:ind w:left="770" w:right="432" w:firstLine="0"/>
        <w:jc w:val="left"/>
      </w:pPr>
      <w:r>
        <w:rPr>
          <w:spacing w:val="-10"/>
          <w:rFonts w:ascii="" w:hAnsi="" w:eastAsia=""/>
          <w:color w:val="000000"/>
          <w:sz w:val="28"/>
        </w:rPr>
        <w:t xml:space="preserve">Next to God is my wonderful and ever supporting parents particularly my mother who has </w:t>
      </w:r>
      <w:r>
        <w:br/>
      </w:r>
      <w:r>
        <w:rPr>
          <w:spacing w:val="-10"/>
          <w:rFonts w:ascii="" w:hAnsi="" w:eastAsia=""/>
          <w:color w:val="000000"/>
          <w:sz w:val="28"/>
        </w:rPr>
        <w:t xml:space="preserve">never for once get tired of me or give up on me, your love, care, support and prayers </w:t>
      </w:r>
      <w:r>
        <w:br/>
      </w:r>
      <w:r>
        <w:rPr>
          <w:spacing w:val="-10"/>
          <w:rFonts w:ascii="" w:hAnsi="" w:eastAsia=""/>
          <w:color w:val="000000"/>
          <w:sz w:val="28"/>
        </w:rPr>
        <w:t xml:space="preserve">brought </w:t>
      </w:r>
      <w:r>
        <w:br/>
      </w:r>
      <w:r>
        <w:rPr>
          <w:spacing w:val="-10"/>
          <w:rFonts w:ascii="" w:hAnsi="" w:eastAsia=""/>
          <w:color w:val="000000"/>
          <w:sz w:val="28"/>
        </w:rPr>
        <w:t>me this far. I love you so much.</w:t>
      </w:r>
    </w:p>
    <w:p>
      <w:pPr>
        <w:autoSpaceDN w:val="0"/>
        <w:autoSpaceDE w:val="0"/>
        <w:widowControl/>
        <w:spacing w:line="336" w:lineRule="exact" w:before="0" w:after="0"/>
        <w:ind w:left="770" w:right="1008" w:firstLine="0"/>
        <w:jc w:val="left"/>
      </w:pPr>
      <w:r>
        <w:rPr>
          <w:spacing w:val="-10"/>
          <w:rFonts w:ascii="" w:hAnsi="" w:eastAsia=""/>
          <w:color w:val="000000"/>
          <w:sz w:val="28"/>
        </w:rPr>
        <w:t xml:space="preserve">Furthermore, I will like to express my sincere gratitude to my wonderfulSupervisor in </w:t>
      </w:r>
      <w:r>
        <w:br/>
      </w:r>
      <w:r>
        <w:rPr>
          <w:spacing w:val="-10"/>
          <w:rFonts w:ascii="" w:hAnsi="" w:eastAsia=""/>
          <w:color w:val="000000"/>
          <w:sz w:val="28"/>
        </w:rPr>
        <w:t xml:space="preserve">person of Mrs. Dagba idayat for her constant correction,and her patient and support </w:t>
      </w:r>
      <w:r>
        <w:br/>
      </w:r>
      <w:r>
        <w:rPr>
          <w:spacing w:val="-10"/>
          <w:rFonts w:ascii="" w:hAnsi="" w:eastAsia=""/>
          <w:color w:val="000000"/>
          <w:sz w:val="28"/>
        </w:rPr>
        <w:t>towards my success in this institution. Thank you so much ma.</w:t>
      </w:r>
    </w:p>
    <w:p>
      <w:pPr>
        <w:autoSpaceDN w:val="0"/>
        <w:autoSpaceDE w:val="0"/>
        <w:widowControl/>
        <w:spacing w:line="254" w:lineRule="exact" w:before="82" w:after="0"/>
        <w:ind w:left="770" w:right="0" w:firstLine="0"/>
        <w:jc w:val="left"/>
      </w:pPr>
      <w:r>
        <w:rPr>
          <w:spacing w:val="-10"/>
          <w:rFonts w:ascii="" w:hAnsi="" w:eastAsia=""/>
          <w:color w:val="000000"/>
          <w:sz w:val="28"/>
        </w:rPr>
        <w:t>If I don't appreciate the following sets of people, then I'm an ingrate. To My father and my</w:t>
      </w:r>
    </w:p>
    <w:p>
      <w:pPr>
        <w:autoSpaceDN w:val="0"/>
        <w:autoSpaceDE w:val="0"/>
        <w:widowControl/>
        <w:spacing w:line="178" w:lineRule="exact" w:before="102" w:after="0"/>
        <w:ind w:left="770" w:right="0" w:firstLine="0"/>
        <w:jc w:val="left"/>
      </w:pPr>
      <w:r>
        <w:rPr>
          <w:spacing w:val="-10"/>
          <w:rFonts w:ascii="" w:hAnsi="" w:eastAsia=""/>
          <w:color w:val="000000"/>
          <w:sz w:val="28"/>
        </w:rPr>
        <w:t>mom</w:t>
      </w:r>
    </w:p>
    <w:p>
      <w:pPr>
        <w:autoSpaceDN w:val="0"/>
        <w:autoSpaceDE w:val="0"/>
        <w:widowControl/>
        <w:spacing w:line="336" w:lineRule="exact" w:before="56" w:after="0"/>
        <w:ind w:left="770" w:right="720" w:firstLine="0"/>
        <w:jc w:val="left"/>
      </w:pPr>
      <w:r>
        <w:rPr>
          <w:spacing w:val="-10"/>
          <w:rFonts w:ascii="" w:hAnsi="" w:eastAsia=""/>
          <w:color w:val="000000"/>
          <w:sz w:val="28"/>
        </w:rPr>
        <w:t xml:space="preserve">(MR/Mrs OLOYEDE )you are indeed a supporting system. Thanks foreverything, I love </w:t>
      </w:r>
      <w:r>
        <w:br/>
      </w:r>
      <w:r>
        <w:rPr>
          <w:spacing w:val="-10"/>
          <w:rFonts w:ascii="" w:hAnsi="" w:eastAsia=""/>
          <w:color w:val="000000"/>
          <w:sz w:val="28"/>
        </w:rPr>
        <w:t>you to the moon.</w:t>
      </w:r>
    </w:p>
    <w:p>
      <w:pPr>
        <w:autoSpaceDN w:val="0"/>
        <w:autoSpaceDE w:val="0"/>
        <w:widowControl/>
        <w:spacing w:line="170" w:lineRule="exact" w:before="852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iv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TABLE OF CONTENTS</w:t>
      </w:r>
    </w:p>
    <w:p>
      <w:pPr>
        <w:autoSpaceDN w:val="0"/>
        <w:tabs>
          <w:tab w:pos="10084" w:val="left"/>
        </w:tabs>
        <w:autoSpaceDE w:val="0"/>
        <w:widowControl/>
        <w:spacing w:line="170" w:lineRule="exact" w:before="378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CERTIFICATION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ii</w:t>
      </w:r>
    </w:p>
    <w:p>
      <w:pPr>
        <w:autoSpaceDN w:val="0"/>
        <w:tabs>
          <w:tab w:pos="10016" w:val="left"/>
        </w:tabs>
        <w:autoSpaceDE w:val="0"/>
        <w:widowControl/>
        <w:spacing w:line="170" w:lineRule="exact" w:before="212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DEDICATION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iii</w:t>
      </w:r>
    </w:p>
    <w:p>
      <w:pPr>
        <w:autoSpaceDN w:val="0"/>
        <w:tabs>
          <w:tab w:pos="10030" w:val="left"/>
        </w:tabs>
        <w:autoSpaceDE w:val="0"/>
        <w:widowControl/>
        <w:spacing w:line="170" w:lineRule="exact" w:before="21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ACKNOWLEDGEMENT </w:t>
      </w:r>
      <w:r>
        <w:tab/>
      </w:r>
      <w:r>
        <w:rPr>
          <w:spacing w:val="-10"/>
          <w:rFonts w:ascii="" w:hAnsi="" w:eastAsia=""/>
          <w:color w:val="000000"/>
          <w:sz w:val="24"/>
        </w:rPr>
        <w:t>iv</w:t>
      </w:r>
    </w:p>
    <w:p>
      <w:pPr>
        <w:autoSpaceDN w:val="0"/>
        <w:tabs>
          <w:tab w:pos="10108" w:val="left"/>
        </w:tabs>
        <w:autoSpaceDE w:val="0"/>
        <w:widowControl/>
        <w:spacing w:line="166" w:lineRule="exact" w:before="22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ONE </w:t>
      </w:r>
      <w:r>
        <w:tab/>
      </w:r>
      <w:r>
        <w:rPr>
          <w:spacing w:val="-10"/>
          <w:rFonts w:ascii="" w:hAnsi="" w:eastAsia=""/>
          <w:color w:val="000000"/>
          <w:sz w:val="24"/>
        </w:rPr>
        <w:t>8</w:t>
      </w:r>
    </w:p>
    <w:p>
      <w:pPr>
        <w:autoSpaceDN w:val="0"/>
        <w:tabs>
          <w:tab w:pos="10108" w:val="left"/>
        </w:tabs>
        <w:autoSpaceDE w:val="0"/>
        <w:widowControl/>
        <w:spacing w:line="166" w:lineRule="exact" w:before="218" w:after="156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INTRODUCTION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8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20" w:type="dxa"/>
        <w:gridCol w:w="35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1.1</w:t>
            </w:r>
          </w:p>
        </w:tc>
        <w:tc>
          <w:tcPr>
            <w:tcW w:type="dxa" w:w="5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Background to the Study</w:t>
            </w:r>
          </w:p>
        </w:tc>
        <w:tc>
          <w:tcPr>
            <w:tcW w:type="dxa" w:w="3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8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320" w:type="dxa"/>
        <w:gridCol w:w="3740" w:type="dxa"/>
      </w:tblGrid>
      <w:tr>
        <w:trPr>
          <w:trHeight w:hRule="exact" w:val="290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1.2</w:t>
            </w:r>
          </w:p>
        </w:tc>
        <w:tc>
          <w:tcPr>
            <w:tcW w:type="dxa" w:w="5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Statement of Problem</w:t>
            </w:r>
          </w:p>
        </w:tc>
        <w:tc>
          <w:tcPr>
            <w:tcW w:type="dxa" w:w="3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10</w:t>
            </w:r>
          </w:p>
        </w:tc>
      </w:tr>
    </w:tbl>
    <w:p>
      <w:pPr>
        <w:autoSpaceDN w:val="0"/>
        <w:autoSpaceDE w:val="0"/>
        <w:widowControl/>
        <w:spacing w:line="9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280" w:type="dxa"/>
        <w:gridCol w:w="378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1.3</w:t>
            </w:r>
          </w:p>
        </w:tc>
        <w:tc>
          <w:tcPr>
            <w:tcW w:type="dxa" w:w="5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Justification of study</w:t>
            </w:r>
          </w:p>
        </w:tc>
        <w:tc>
          <w:tcPr>
            <w:tcW w:type="dxa" w:w="3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11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720" w:type="dxa"/>
        <w:gridCol w:w="33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1.4</w:t>
            </w:r>
          </w:p>
        </w:tc>
        <w:tc>
          <w:tcPr>
            <w:tcW w:type="dxa" w:w="5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Aims and Objectives of Study</w:t>
            </w:r>
          </w:p>
        </w:tc>
        <w:tc>
          <w:tcPr>
            <w:tcW w:type="dxa" w:w="3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11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1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TWO </w:t>
      </w:r>
      <w:r>
        <w:tab/>
      </w:r>
      <w:r>
        <w:rPr>
          <w:spacing w:val="-10"/>
          <w:rFonts w:ascii="" w:hAnsi="" w:eastAsia=""/>
          <w:color w:val="000000"/>
          <w:sz w:val="24"/>
        </w:rPr>
        <w:t>12</w:t>
      </w:r>
    </w:p>
    <w:p>
      <w:pPr>
        <w:autoSpaceDN w:val="0"/>
        <w:tabs>
          <w:tab w:pos="10000" w:val="left"/>
        </w:tabs>
        <w:autoSpaceDE w:val="0"/>
        <w:widowControl/>
        <w:spacing w:line="166" w:lineRule="exact" w:before="220" w:after="154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LITERATURE REVIEW </w:t>
      </w:r>
      <w:r>
        <w:tab/>
      </w:r>
      <w:r>
        <w:rPr>
          <w:spacing w:val="-10"/>
          <w:rFonts w:ascii="" w:hAnsi="" w:eastAsia=""/>
          <w:color w:val="000000"/>
          <w:sz w:val="24"/>
        </w:rPr>
        <w:t>12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20" w:type="dxa"/>
        <w:gridCol w:w="35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2.1</w:t>
            </w:r>
          </w:p>
        </w:tc>
        <w:tc>
          <w:tcPr>
            <w:tcW w:type="dxa" w:w="5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Concept of Water Quality</w:t>
            </w:r>
          </w:p>
        </w:tc>
        <w:tc>
          <w:tcPr>
            <w:tcW w:type="dxa" w:w="3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12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820" w:type="dxa"/>
        <w:gridCol w:w="324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</w:t>
            </w:r>
          </w:p>
        </w:tc>
        <w:tc>
          <w:tcPr>
            <w:tcW w:type="dxa" w:w="5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Key indicators of Water Quality</w:t>
            </w:r>
          </w:p>
        </w:tc>
        <w:tc>
          <w:tcPr>
            <w:tcW w:type="dxa" w:w="3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13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6000" w:type="dxa"/>
        <w:gridCol w:w="298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2.2.1</w:t>
            </w:r>
          </w:p>
        </w:tc>
        <w:tc>
          <w:tcPr>
            <w:tcW w:type="dxa" w:w="6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Microbial Indicators of Water Quality</w:t>
            </w:r>
          </w:p>
        </w:tc>
        <w:tc>
          <w:tcPr>
            <w:tcW w:type="dxa" w:w="2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13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920" w:type="dxa"/>
        <w:gridCol w:w="30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2.2.2</w:t>
            </w:r>
          </w:p>
        </w:tc>
        <w:tc>
          <w:tcPr>
            <w:tcW w:type="dxa" w:w="5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Physical indicators of Water Quality</w:t>
            </w:r>
          </w:p>
        </w:tc>
        <w:tc>
          <w:tcPr>
            <w:tcW w:type="dxa" w:w="3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17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980" w:type="dxa"/>
        <w:gridCol w:w="300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2.2.3</w:t>
            </w:r>
          </w:p>
        </w:tc>
        <w:tc>
          <w:tcPr>
            <w:tcW w:type="dxa" w:w="5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Chemical Indicators of Water Quality</w:t>
            </w:r>
          </w:p>
        </w:tc>
        <w:tc>
          <w:tcPr>
            <w:tcW w:type="dxa" w:w="3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18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260" w:type="dxa"/>
        <w:gridCol w:w="280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</w:t>
            </w:r>
          </w:p>
        </w:tc>
        <w:tc>
          <w:tcPr>
            <w:tcW w:type="dxa" w:w="6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 Quality Standards and Regulations</w:t>
            </w:r>
          </w:p>
        </w:tc>
        <w:tc>
          <w:tcPr>
            <w:tcW w:type="dxa" w:w="2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19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6940" w:type="dxa"/>
        <w:gridCol w:w="204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2.3.1</w:t>
            </w:r>
          </w:p>
        </w:tc>
        <w:tc>
          <w:tcPr>
            <w:tcW w:type="dxa" w:w="6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Nigerian Standard for Drinking Water Quality (NSDWQ)</w:t>
            </w:r>
          </w:p>
        </w:tc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20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980" w:type="dxa"/>
        <w:gridCol w:w="308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2.5</w:t>
            </w:r>
          </w:p>
        </w:tc>
        <w:tc>
          <w:tcPr>
            <w:tcW w:type="dxa" w:w="5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Sachet Water Production in Nigeria</w:t>
            </w:r>
          </w:p>
        </w:tc>
        <w:tc>
          <w:tcPr>
            <w:tcW w:type="dxa" w:w="3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22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800" w:type="dxa"/>
        <w:gridCol w:w="32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</w:t>
            </w:r>
          </w:p>
        </w:tc>
        <w:tc>
          <w:tcPr>
            <w:tcW w:type="dxa" w:w="5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Antibacterial Analysis Methods</w:t>
            </w:r>
          </w:p>
        </w:tc>
        <w:tc>
          <w:tcPr>
            <w:tcW w:type="dxa" w:w="3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23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320" w:type="dxa"/>
        <w:gridCol w:w="366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2.6.1</w:t>
            </w:r>
          </w:p>
        </w:tc>
        <w:tc>
          <w:tcPr>
            <w:tcW w:type="dxa" w:w="5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Culture-Based Methods</w:t>
            </w:r>
          </w:p>
        </w:tc>
        <w:tc>
          <w:tcPr>
            <w:tcW w:type="dxa" w:w="3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24</w:t>
            </w:r>
          </w:p>
        </w:tc>
      </w:tr>
    </w:tbl>
    <w:p>
      <w:pPr>
        <w:autoSpaceDN w:val="0"/>
        <w:autoSpaceDE w:val="0"/>
        <w:widowControl/>
        <w:spacing w:line="9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620" w:type="dxa"/>
        <w:gridCol w:w="33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2.6.2</w:t>
            </w:r>
          </w:p>
        </w:tc>
        <w:tc>
          <w:tcPr>
            <w:tcW w:type="dxa" w:w="5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Antibacterial Activity Testing</w:t>
            </w:r>
          </w:p>
        </w:tc>
        <w:tc>
          <w:tcPr>
            <w:tcW w:type="dxa" w:w="3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24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20" w:type="dxa"/>
        <w:gridCol w:w="386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2.6.3</w:t>
            </w:r>
          </w:p>
        </w:tc>
        <w:tc>
          <w:tcPr>
            <w:tcW w:type="dxa" w:w="5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Molecular Methods</w:t>
            </w:r>
          </w:p>
        </w:tc>
        <w:tc>
          <w:tcPr>
            <w:tcW w:type="dxa" w:w="3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24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58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THREE </w:t>
      </w:r>
      <w:r>
        <w:tab/>
      </w:r>
      <w:r>
        <w:rPr>
          <w:spacing w:val="-10"/>
          <w:rFonts w:ascii="" w:hAnsi="" w:eastAsia=""/>
          <w:color w:val="000000"/>
          <w:sz w:val="24"/>
        </w:rPr>
        <w:t>25</w:t>
      </w:r>
    </w:p>
    <w:p>
      <w:pPr>
        <w:autoSpaceDN w:val="0"/>
        <w:tabs>
          <w:tab w:pos="10000" w:val="left"/>
        </w:tabs>
        <w:autoSpaceDE w:val="0"/>
        <w:widowControl/>
        <w:spacing w:line="166" w:lineRule="exact" w:before="220" w:after="156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MATERIALS AND METHODS </w:t>
      </w:r>
      <w:r>
        <w:tab/>
      </w:r>
      <w:r>
        <w:rPr>
          <w:spacing w:val="-10"/>
          <w:rFonts w:ascii="" w:hAnsi="" w:eastAsia=""/>
          <w:color w:val="000000"/>
          <w:sz w:val="24"/>
        </w:rPr>
        <w:t>25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740" w:type="dxa"/>
        <w:gridCol w:w="33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3.1</w:t>
            </w:r>
          </w:p>
        </w:tc>
        <w:tc>
          <w:tcPr>
            <w:tcW w:type="dxa" w:w="5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Description of the Sample Site</w:t>
            </w:r>
          </w:p>
        </w:tc>
        <w:tc>
          <w:tcPr>
            <w:tcW w:type="dxa" w:w="3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25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160" w:type="dxa"/>
        <w:gridCol w:w="390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3.2</w:t>
            </w:r>
          </w:p>
        </w:tc>
        <w:tc>
          <w:tcPr>
            <w:tcW w:type="dxa" w:w="5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Sample Collection</w:t>
            </w:r>
          </w:p>
        </w:tc>
        <w:tc>
          <w:tcPr>
            <w:tcW w:type="dxa" w:w="3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25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980" w:type="dxa"/>
        <w:gridCol w:w="300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3.2.1</w:t>
            </w:r>
          </w:p>
        </w:tc>
        <w:tc>
          <w:tcPr>
            <w:tcW w:type="dxa" w:w="5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Sampling procedure and Preservation</w:t>
            </w:r>
          </w:p>
        </w:tc>
        <w:tc>
          <w:tcPr>
            <w:tcW w:type="dxa" w:w="3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25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00" w:type="dxa"/>
        <w:gridCol w:w="35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</w:t>
            </w:r>
          </w:p>
        </w:tc>
        <w:tc>
          <w:tcPr>
            <w:tcW w:type="dxa" w:w="5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Physicochemical analysis</w:t>
            </w:r>
          </w:p>
        </w:tc>
        <w:tc>
          <w:tcPr>
            <w:tcW w:type="dxa" w:w="3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5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4320" w:type="dxa"/>
        <w:gridCol w:w="4660" w:type="dxa"/>
      </w:tblGrid>
      <w:tr>
        <w:trPr>
          <w:trHeight w:hRule="exact" w:val="334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3.3.1</w:t>
            </w:r>
          </w:p>
        </w:tc>
        <w:tc>
          <w:tcPr>
            <w:tcW w:type="dxa" w:w="4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4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</w:t>
            </w:r>
          </w:p>
        </w:tc>
        <w:tc>
          <w:tcPr>
            <w:tcW w:type="dxa" w:w="4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5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40" w:type="dxa"/>
        <w:gridCol w:w="5440" w:type="dxa"/>
        <w:gridCol w:w="3560" w:type="dxa"/>
      </w:tblGrid>
      <w:tr>
        <w:trPr>
          <w:trHeight w:hRule="exact" w:val="334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3.3.2</w:t>
            </w:r>
          </w:p>
        </w:tc>
        <w:tc>
          <w:tcPr>
            <w:tcW w:type="dxa" w:w="5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4" w:after="0"/>
              <w:ind w:left="17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Temperature measurement</w:t>
            </w:r>
          </w:p>
        </w:tc>
        <w:tc>
          <w:tcPr>
            <w:tcW w:type="dxa" w:w="3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0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40" w:type="dxa"/>
        <w:gridCol w:w="5300" w:type="dxa"/>
        <w:gridCol w:w="3700" w:type="dxa"/>
      </w:tblGrid>
      <w:tr>
        <w:trPr>
          <w:trHeight w:hRule="exact" w:val="33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3.3.3</w:t>
            </w:r>
          </w:p>
        </w:tc>
        <w:tc>
          <w:tcPr>
            <w:tcW w:type="dxa" w:w="5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7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Turbidity Measurement</w:t>
            </w:r>
          </w:p>
        </w:tc>
        <w:tc>
          <w:tcPr>
            <w:tcW w:type="dxa" w:w="3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6240" w:type="dxa"/>
        <w:gridCol w:w="274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3.3.4</w:t>
            </w:r>
          </w:p>
        </w:tc>
        <w:tc>
          <w:tcPr>
            <w:tcW w:type="dxa" w:w="6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Electrical Conductivity (EC) Measurement</w:t>
            </w:r>
          </w:p>
        </w:tc>
        <w:tc>
          <w:tcPr>
            <w:tcW w:type="dxa" w:w="2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26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600" w:type="dxa"/>
        <w:gridCol w:w="338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3.3.5</w:t>
            </w:r>
          </w:p>
        </w:tc>
        <w:tc>
          <w:tcPr>
            <w:tcW w:type="dxa" w:w="5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Dissolved Solids (TDS)</w:t>
            </w:r>
          </w:p>
        </w:tc>
        <w:tc>
          <w:tcPr>
            <w:tcW w:type="dxa" w:w="3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360" w:type="dxa"/>
        <w:gridCol w:w="362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3.3.6</w:t>
            </w:r>
          </w:p>
        </w:tc>
        <w:tc>
          <w:tcPr>
            <w:tcW w:type="dxa" w:w="5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Dissolved Oxygen (DO)</w:t>
            </w:r>
          </w:p>
        </w:tc>
        <w:tc>
          <w:tcPr>
            <w:tcW w:type="dxa" w:w="3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110" w:lineRule="exact" w:before="24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v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40" w:type="dxa"/>
        <w:gridCol w:w="4900" w:type="dxa"/>
        <w:gridCol w:w="4100" w:type="dxa"/>
      </w:tblGrid>
      <w:tr>
        <w:trPr>
          <w:trHeight w:hRule="exact" w:val="230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3.3.7</w:t>
            </w:r>
          </w:p>
        </w:tc>
        <w:tc>
          <w:tcPr>
            <w:tcW w:type="dxa" w:w="4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0" w:after="0"/>
              <w:ind w:left="17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Hardness</w:t>
            </w:r>
          </w:p>
        </w:tc>
        <w:tc>
          <w:tcPr>
            <w:tcW w:type="dxa" w:w="4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9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200" w:type="dxa"/>
        <w:gridCol w:w="38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</w:t>
            </w:r>
          </w:p>
        </w:tc>
        <w:tc>
          <w:tcPr>
            <w:tcW w:type="dxa" w:w="5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Microbial Analysis</w:t>
            </w:r>
          </w:p>
        </w:tc>
        <w:tc>
          <w:tcPr>
            <w:tcW w:type="dxa" w:w="3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40" w:type="dxa"/>
        <w:gridCol w:w="384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3.4.1</w:t>
            </w:r>
          </w:p>
        </w:tc>
        <w:tc>
          <w:tcPr>
            <w:tcW w:type="dxa" w:w="5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Colony Count</w:t>
            </w:r>
          </w:p>
        </w:tc>
        <w:tc>
          <w:tcPr>
            <w:tcW w:type="dxa" w:w="3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20" w:type="dxa"/>
        <w:gridCol w:w="38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3.4.2</w:t>
            </w:r>
          </w:p>
        </w:tc>
        <w:tc>
          <w:tcPr>
            <w:tcW w:type="dxa" w:w="5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Fungal Count</w:t>
            </w:r>
          </w:p>
        </w:tc>
        <w:tc>
          <w:tcPr>
            <w:tcW w:type="dxa" w:w="3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27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00" w:type="dxa"/>
        <w:gridCol w:w="388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3.4.3</w:t>
            </w:r>
          </w:p>
        </w:tc>
        <w:tc>
          <w:tcPr>
            <w:tcW w:type="dxa" w:w="5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Viable Count</w:t>
            </w:r>
          </w:p>
        </w:tc>
        <w:tc>
          <w:tcPr>
            <w:tcW w:type="dxa" w:w="3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9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560" w:type="dxa"/>
        <w:gridCol w:w="342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3.4.4</w:t>
            </w:r>
          </w:p>
        </w:tc>
        <w:tc>
          <w:tcPr>
            <w:tcW w:type="dxa" w:w="5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</w:t>
            </w: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 xml:space="preserve"> Escherichia coli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Count</w:t>
            </w:r>
          </w:p>
        </w:tc>
        <w:tc>
          <w:tcPr>
            <w:tcW w:type="dxa" w:w="3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500" w:type="dxa"/>
        <w:gridCol w:w="25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</w:t>
            </w:r>
          </w:p>
        </w:tc>
        <w:tc>
          <w:tcPr>
            <w:tcW w:type="dxa" w:w="6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Morphological and Microscopic Identification</w:t>
            </w:r>
          </w:p>
        </w:tc>
        <w:tc>
          <w:tcPr>
            <w:tcW w:type="dxa" w:w="2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180" w:type="dxa"/>
        <w:gridCol w:w="380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3.5.1</w:t>
            </w:r>
          </w:p>
        </w:tc>
        <w:tc>
          <w:tcPr>
            <w:tcW w:type="dxa" w:w="5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Biochemical Testing</w:t>
            </w:r>
          </w:p>
        </w:tc>
        <w:tc>
          <w:tcPr>
            <w:tcW w:type="dxa" w:w="3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28</w:t>
            </w:r>
          </w:p>
        </w:tc>
      </w:tr>
    </w:tbl>
    <w:p>
      <w:pPr>
        <w:autoSpaceDN w:val="0"/>
        <w:autoSpaceDE w:val="0"/>
        <w:widowControl/>
        <w:spacing w:line="4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020" w:type="dxa"/>
        <w:gridCol w:w="39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3.5.2</w:t>
            </w:r>
          </w:p>
        </w:tc>
        <w:tc>
          <w:tcPr>
            <w:tcW w:type="dxa" w:w="5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Lactophenol Test</w:t>
            </w:r>
          </w:p>
        </w:tc>
        <w:tc>
          <w:tcPr>
            <w:tcW w:type="dxa" w:w="3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30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4920" w:type="dxa"/>
        <w:gridCol w:w="406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3.5.3</w:t>
            </w:r>
          </w:p>
        </w:tc>
        <w:tc>
          <w:tcPr>
            <w:tcW w:type="dxa" w:w="4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Endospore Test</w:t>
            </w:r>
          </w:p>
        </w:tc>
        <w:tc>
          <w:tcPr>
            <w:tcW w:type="dxa" w:w="4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31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4940" w:type="dxa"/>
        <w:gridCol w:w="41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3.6</w:t>
            </w:r>
          </w:p>
        </w:tc>
        <w:tc>
          <w:tcPr>
            <w:tcW w:type="dxa" w:w="4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Data Analysis</w:t>
            </w:r>
          </w:p>
        </w:tc>
        <w:tc>
          <w:tcPr>
            <w:tcW w:type="dxa" w:w="4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31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10" w:after="16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FOUR </w:t>
      </w:r>
      <w:r>
        <w:tab/>
      </w:r>
      <w:r>
        <w:rPr>
          <w:spacing w:val="-10"/>
          <w:rFonts w:ascii="" w:hAnsi="" w:eastAsia=""/>
          <w:color w:val="000000"/>
          <w:sz w:val="24"/>
        </w:rPr>
        <w:t>32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00" w:type="dxa"/>
        <w:gridCol w:w="4780" w:type="dxa"/>
        <w:gridCol w:w="4260" w:type="dxa"/>
      </w:tblGrid>
      <w:tr>
        <w:trPr>
          <w:trHeight w:hRule="exact" w:val="286"/>
        </w:trPr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30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4.0</w:t>
            </w:r>
          </w:p>
        </w:tc>
        <w:tc>
          <w:tcPr>
            <w:tcW w:type="dxa" w:w="4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RESULTS</w:t>
            </w:r>
          </w:p>
        </w:tc>
        <w:tc>
          <w:tcPr>
            <w:tcW w:type="dxa" w:w="4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32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840" w:type="dxa"/>
        <w:gridCol w:w="22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4.1</w:t>
            </w:r>
          </w:p>
        </w:tc>
        <w:tc>
          <w:tcPr>
            <w:tcW w:type="dxa" w:w="6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Physicochemical Parameters of sachet water sample</w:t>
            </w:r>
          </w:p>
        </w:tc>
        <w:tc>
          <w:tcPr>
            <w:tcW w:type="dxa" w:w="2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32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6540" w:type="dxa"/>
        <w:gridCol w:w="252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4.1</w:t>
            </w:r>
          </w:p>
        </w:tc>
        <w:tc>
          <w:tcPr>
            <w:tcW w:type="dxa" w:w="6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Physicochemical Parameters of Water Samples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34</w:t>
            </w:r>
          </w:p>
        </w:tc>
      </w:tr>
    </w:tbl>
    <w:p>
      <w:pPr>
        <w:autoSpaceDN w:val="0"/>
        <w:autoSpaceDE w:val="0"/>
        <w:widowControl/>
        <w:spacing w:line="4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80" w:type="dxa"/>
        <w:gridCol w:w="5500" w:type="dxa"/>
        <w:gridCol w:w="3560" w:type="dxa"/>
      </w:tblGrid>
      <w:tr>
        <w:trPr>
          <w:trHeight w:hRule="exact" w:val="338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8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</w:t>
            </w:r>
          </w:p>
        </w:tc>
        <w:tc>
          <w:tcPr>
            <w:tcW w:type="dxa" w:w="5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3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Microbiological Analysis</w:t>
            </w:r>
          </w:p>
        </w:tc>
        <w:tc>
          <w:tcPr>
            <w:tcW w:type="dxa" w:w="3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35</w:t>
            </w:r>
          </w:p>
        </w:tc>
      </w:tr>
    </w:tbl>
    <w:p>
      <w:pPr>
        <w:autoSpaceDN w:val="0"/>
        <w:autoSpaceDE w:val="0"/>
        <w:widowControl/>
        <w:spacing w:line="4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5020" w:type="dxa"/>
        <w:gridCol w:w="3960" w:type="dxa"/>
      </w:tblGrid>
      <w:tr>
        <w:trPr>
          <w:trHeight w:hRule="exact" w:val="290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4.2.1</w:t>
            </w:r>
          </w:p>
        </w:tc>
        <w:tc>
          <w:tcPr>
            <w:tcW w:type="dxa" w:w="5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Microbial Counts</w:t>
            </w:r>
          </w:p>
        </w:tc>
        <w:tc>
          <w:tcPr>
            <w:tcW w:type="dxa" w:w="3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35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260" w:type="dxa"/>
        <w:gridCol w:w="7460" w:type="dxa"/>
        <w:gridCol w:w="1520" w:type="dxa"/>
      </w:tblGrid>
      <w:tr>
        <w:trPr>
          <w:trHeight w:hRule="exact" w:val="338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4.2.2</w:t>
            </w:r>
          </w:p>
        </w:tc>
        <w:tc>
          <w:tcPr>
            <w:tcW w:type="dxa" w:w="7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Morphological and Microscopic Characteristics of Bacterial Isolates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36</w:t>
            </w:r>
          </w:p>
        </w:tc>
      </w:tr>
    </w:tbl>
    <w:p>
      <w:pPr>
        <w:autoSpaceDN w:val="0"/>
        <w:tabs>
          <w:tab w:pos="2086" w:val="left"/>
        </w:tabs>
        <w:autoSpaceDE w:val="0"/>
        <w:widowControl/>
        <w:spacing w:line="218" w:lineRule="exact" w:before="56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4.2.3 </w:t>
      </w:r>
      <w:r>
        <w:tab/>
      </w:r>
      <w:r>
        <w:rPr>
          <w:spacing w:val="-10"/>
          <w:rFonts w:ascii="" w:hAnsi="" w:eastAsia=""/>
          <w:color w:val="000008"/>
          <w:sz w:val="24"/>
        </w:rPr>
        <w:t>Lactophenol Test for Fungal Identification and Biochemical Identification Bacterial</w:t>
      </w:r>
    </w:p>
    <w:p>
      <w:pPr>
        <w:autoSpaceDN w:val="0"/>
        <w:tabs>
          <w:tab w:pos="10000" w:val="left"/>
        </w:tabs>
        <w:autoSpaceDE w:val="0"/>
        <w:widowControl/>
        <w:spacing w:line="170" w:lineRule="exact" w:before="66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Isolates </w:t>
      </w:r>
      <w:r>
        <w:tab/>
      </w:r>
      <w:r>
        <w:rPr>
          <w:spacing w:val="-10"/>
          <w:rFonts w:ascii="" w:hAnsi="" w:eastAsia=""/>
          <w:color w:val="000000"/>
          <w:sz w:val="24"/>
        </w:rPr>
        <w:t>37</w:t>
      </w:r>
    </w:p>
    <w:p>
      <w:pPr>
        <w:autoSpaceDN w:val="0"/>
        <w:tabs>
          <w:tab w:pos="10000" w:val="left"/>
        </w:tabs>
        <w:autoSpaceDE w:val="0"/>
        <w:widowControl/>
        <w:spacing w:line="166" w:lineRule="exact" w:before="22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CHAPTER FIVE </w:t>
      </w:r>
      <w:r>
        <w:tab/>
      </w:r>
      <w:r>
        <w:rPr>
          <w:spacing w:val="-10"/>
          <w:rFonts w:ascii="" w:hAnsi="" w:eastAsia=""/>
          <w:color w:val="000000"/>
          <w:sz w:val="24"/>
        </w:rPr>
        <w:t>40</w:t>
      </w:r>
    </w:p>
    <w:p>
      <w:pPr>
        <w:autoSpaceDN w:val="0"/>
        <w:tabs>
          <w:tab w:pos="10000" w:val="left"/>
        </w:tabs>
        <w:autoSpaceDE w:val="0"/>
        <w:widowControl/>
        <w:spacing w:line="202" w:lineRule="exact" w:before="218" w:after="12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DISCUSSION, CONCLUSION AND RECOMMEDATION </w:t>
      </w:r>
      <w:r>
        <w:tab/>
      </w:r>
      <w:r>
        <w:rPr>
          <w:spacing w:val="-10"/>
          <w:rFonts w:ascii="" w:hAnsi="" w:eastAsia=""/>
          <w:color w:val="000000"/>
          <w:sz w:val="24"/>
        </w:rPr>
        <w:t>40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60" w:type="dxa"/>
        <w:gridCol w:w="4780" w:type="dxa"/>
        <w:gridCol w:w="4300" w:type="dxa"/>
      </w:tblGrid>
      <w:tr>
        <w:trPr>
          <w:trHeight w:hRule="exact" w:val="290"/>
        </w:trPr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6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5.1</w:t>
            </w:r>
          </w:p>
        </w:tc>
        <w:tc>
          <w:tcPr>
            <w:tcW w:type="dxa" w:w="4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6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Discussion</w:t>
            </w:r>
          </w:p>
        </w:tc>
        <w:tc>
          <w:tcPr>
            <w:tcW w:type="dxa" w:w="4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40</w:t>
            </w:r>
          </w:p>
        </w:tc>
      </w:tr>
    </w:tbl>
    <w:p>
      <w:pPr>
        <w:autoSpaceDN w:val="0"/>
        <w:autoSpaceDE w:val="0"/>
        <w:widowControl/>
        <w:spacing w:line="9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20" w:type="dxa"/>
        <w:gridCol w:w="4820" w:type="dxa"/>
        <w:gridCol w:w="4300" w:type="dxa"/>
      </w:tblGrid>
      <w:tr>
        <w:trPr>
          <w:trHeight w:hRule="exact" w:val="290"/>
        </w:trPr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2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5.2</w:t>
            </w:r>
          </w:p>
        </w:tc>
        <w:tc>
          <w:tcPr>
            <w:tcW w:type="dxa" w:w="4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4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Conclusion</w:t>
            </w:r>
          </w:p>
        </w:tc>
        <w:tc>
          <w:tcPr>
            <w:tcW w:type="dxa" w:w="4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41</w:t>
            </w:r>
          </w:p>
        </w:tc>
      </w:tr>
    </w:tbl>
    <w:p>
      <w:pPr>
        <w:autoSpaceDN w:val="0"/>
        <w:autoSpaceDE w:val="0"/>
        <w:widowControl/>
        <w:spacing w:line="9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" w:type="dxa"/>
      </w:tblPr>
      <w:tblGrid>
        <w:gridCol w:w="1120" w:type="dxa"/>
        <w:gridCol w:w="5160" w:type="dxa"/>
        <w:gridCol w:w="3960" w:type="dxa"/>
      </w:tblGrid>
      <w:tr>
        <w:trPr>
          <w:trHeight w:hRule="exact" w:val="290"/>
        </w:trPr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22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5.3</w:t>
            </w:r>
          </w:p>
        </w:tc>
        <w:tc>
          <w:tcPr>
            <w:tcW w:type="dxa" w:w="5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4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Recommendations</w:t>
            </w:r>
          </w:p>
        </w:tc>
        <w:tc>
          <w:tcPr>
            <w:tcW w:type="dxa" w:w="3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64" w:after="0"/>
              <w:ind w:left="0" w:right="592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42</w:t>
            </w:r>
          </w:p>
        </w:tc>
      </w:tr>
    </w:tbl>
    <w:p>
      <w:pPr>
        <w:autoSpaceDN w:val="0"/>
        <w:tabs>
          <w:tab w:pos="10000" w:val="left"/>
        </w:tabs>
        <w:autoSpaceDE w:val="0"/>
        <w:widowControl/>
        <w:spacing w:line="166" w:lineRule="exact" w:before="160" w:after="0"/>
        <w:ind w:left="119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REFERENCES </w:t>
      </w:r>
      <w:r>
        <w:tab/>
      </w:r>
      <w:r>
        <w:rPr>
          <w:spacing w:val="-10"/>
          <w:rFonts w:ascii="" w:hAnsi="" w:eastAsia=""/>
          <w:color w:val="000000"/>
          <w:sz w:val="24"/>
        </w:rPr>
        <w:t>44</w:t>
      </w:r>
    </w:p>
    <w:p>
      <w:pPr>
        <w:autoSpaceDN w:val="0"/>
        <w:autoSpaceDE w:val="0"/>
        <w:widowControl/>
        <w:spacing w:line="170" w:lineRule="exact" w:before="44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vi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ABSTRACT</w:t>
      </w:r>
    </w:p>
    <w:p>
      <w:pPr>
        <w:autoSpaceDN w:val="0"/>
        <w:autoSpaceDE w:val="0"/>
        <w:widowControl/>
        <w:spacing w:line="276" w:lineRule="exact" w:before="338" w:after="0"/>
        <w:ind w:left="1200" w:right="1008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 xml:space="preserve">Access to safe and clean drinking water is critical to public health, particularly in developing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countries where sachet water is a common source of hydration. This study assessed the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physicochemical and microbiological quality of five sachet water brands (AW, BW, KW, OW,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and YW) produced in Ilorin, Kwara State, Nigeria. Standard analytical techniques were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employed to determine physicochemical parameters including pH, temperature, turbidity,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total dissolved solids (TDS), electrical conductivity (EC), dissolved oxygen (DO), and salinity.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Microbiological analysis was conducted to determine total viable count (TVC), total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coliforms, Escherichia coli, and fungi, while bacterial isolates were identified using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morphological and biochemical tests.Results showed that temperature values ranged between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18.00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0.90°</w:t>
      </w:r>
      <w:r>
        <w:rPr>
          <w:spacing w:val="-10"/>
          <w:rFonts w:ascii="" w:hAnsi="" w:eastAsia=""/>
          <w:i/>
          <w:color w:val="000008"/>
          <w:sz w:val="24"/>
        </w:rPr>
        <w:t>C and 24.00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1.20°</w:t>
      </w:r>
      <w:r>
        <w:rPr>
          <w:spacing w:val="-10"/>
          <w:rFonts w:ascii="" w:hAnsi="" w:eastAsia=""/>
          <w:i/>
          <w:color w:val="000008"/>
          <w:sz w:val="24"/>
        </w:rPr>
        <w:t>C, all below the WHO guideline of 25</w:t>
      </w:r>
      <w:r>
        <w:rPr>
          <w:spacing w:val="-10"/>
          <w:rFonts w:ascii="" w:hAnsi="" w:eastAsia=""/>
          <w:i/>
          <w:color w:val="000008"/>
          <w:sz w:val="24"/>
        </w:rPr>
        <w:t>°</w:t>
      </w:r>
      <w:r>
        <w:rPr>
          <w:spacing w:val="-10"/>
          <w:rFonts w:ascii="" w:hAnsi="" w:eastAsia=""/>
          <w:i/>
          <w:color w:val="000008"/>
          <w:sz w:val="24"/>
        </w:rPr>
        <w:t xml:space="preserve">C. DO ranged from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3.20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0.16 mg/L in AW to 17.30 ± 0.87 mg/L in OW. All samples had turbidity below the 5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NTU limit, with values between 1.60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0.08 NTU (KW) and 4.20 ± 0.21 NTU (YW). EC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TDS values also remained within safe limits, ranging from 51.00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2.55 to 100.00 ± 5.00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µS/cm and 35.00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1.75 to 59.00 ± 2.95 mg/L, respectively.Microbiologically, the total viable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count was highest in YW (231.00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11.55 CFU/mL), significantly exceeding acceptable limits,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while OW had the lowest count (7.00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0.35 CFU/mL). Total coliforms were detected in four</w:t>
      </w:r>
    </w:p>
    <w:p>
      <w:pPr>
        <w:autoSpaceDN w:val="0"/>
        <w:autoSpaceDE w:val="0"/>
        <w:widowControl/>
        <w:spacing w:line="226" w:lineRule="exact" w:before="50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of the five samples, ranging from 3.00</w:t>
      </w:r>
      <w:r>
        <w:rPr>
          <w:spacing w:val="-10"/>
          <w:rFonts w:ascii="" w:hAnsi="" w:eastAsia=""/>
          <w:i/>
          <w:color w:val="000008"/>
          <w:sz w:val="24"/>
        </w:rPr>
        <w:t xml:space="preserve"> ± 0.15 CFU/mL in YW to 51.00 ± 2.55 CFU/mL in OW.</w:t>
      </w:r>
    </w:p>
    <w:p>
      <w:pPr>
        <w:autoSpaceDN w:val="0"/>
        <w:autoSpaceDE w:val="0"/>
        <w:widowControl/>
        <w:spacing w:line="276" w:lineRule="exact" w:before="0" w:after="0"/>
        <w:ind w:left="1200" w:right="1166" w:firstLine="0"/>
        <w:jc w:val="both"/>
      </w:pPr>
      <w:r>
        <w:rPr>
          <w:spacing w:val="-10"/>
          <w:rFonts w:ascii="" w:hAnsi="" w:eastAsia=""/>
          <w:i/>
          <w:color w:val="000008"/>
          <w:sz w:val="24"/>
        </w:rPr>
        <w:t xml:space="preserve">Escherichia coli was not detected in any of the samples. Isolated bacteria included Bacillus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subtilis, Staphylococcus epidermidis, Pseudomonas aeruginosa, and Neisseria species, while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a fungal isolate, Aspergillus species, was identified in one sample (YWE).The findings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indicate that although some sachet water brands met WHO physicochemical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microbiological standards, others posed potential health risks due to high microbial load.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 xml:space="preserve">The study recommends stricter regulatory enforcement, improved production hygiene,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routine quality monitoring to ensure safe drinking water for the population.</w:t>
      </w:r>
    </w:p>
    <w:p>
      <w:pPr>
        <w:autoSpaceDN w:val="0"/>
        <w:autoSpaceDE w:val="0"/>
        <w:widowControl/>
        <w:spacing w:line="170" w:lineRule="exact" w:before="698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vii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8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ONE</w:t>
      </w:r>
    </w:p>
    <w:p>
      <w:pPr>
        <w:autoSpaceDN w:val="0"/>
        <w:autoSpaceDE w:val="0"/>
        <w:widowControl/>
        <w:spacing w:line="166" w:lineRule="exact" w:before="36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INTRODUCTION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11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Background to the Study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is a fundamental resource for life, indispensable for human health, societal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development, and environmental sustainability. Its role in maintaining public health cannot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be overemphasized, as clean and safe water is essential for drinking, cooking, sanitation,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other daily activities. However, access to safe drinking water remains a pressing challenge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many developing countries, including Nigeria. Contaminated water has been identified as one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of the primary causes of waterborne diseases, which account for a significant proportion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global morbidity and mortality, particularly in resource-limited settings. The World Health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Organization (WHO) estimates that unsafe water, poor sanitation, and inadequate hygiene are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responsible for nearly 80% of illnesses and more than half of global child mortality (WHO,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2019).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Nigeria, the demand for potable water has risen sharply due to population growth,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urbanization, and the inadequacy of public water supply systems. In response to this demand,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water, commonly referred to as “pure water,” has become one of the most widely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consumed sources of drinking water. This packaged water, sold in small, sealed plastic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sachets, is regarded as an affordable and convenient alternative to other water sources,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particularly for low- and middle-income households. Despite its popularity, concerns about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quality and safety of sachet water persist, as studies have shown varying degrees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bacterial contamination across different brands. Improper production processes, poor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handling, inadequate sanitation during packaging, and insufficient regulatory enforcement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have been implicated in the contamination of sachet water, posing significant public health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risks (Saheed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166" w:lineRule="exact" w:before="121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microbiological quality of drinking water is a critical determinant of its safety.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of pathogenic microorganisms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Salmonella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Vibrio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cholerae</w:t>
      </w:r>
      <w:r>
        <w:rPr>
          <w:spacing w:val="-10"/>
          <w:rFonts w:ascii="" w:hAnsi="" w:eastAsia=""/>
          <w:color w:val="000008"/>
          <w:sz w:val="24"/>
        </w:rPr>
        <w:t>, and</w:t>
      </w:r>
      <w:r>
        <w:rPr>
          <w:spacing w:val="-10"/>
          <w:rFonts w:ascii="" w:hAnsi="" w:eastAsia=""/>
          <w:i/>
          <w:color w:val="000008"/>
          <w:sz w:val="24"/>
        </w:rPr>
        <w:t xml:space="preserve"> Shigella</w:t>
      </w:r>
      <w:r>
        <w:rPr>
          <w:spacing w:val="-10"/>
          <w:rFonts w:ascii="" w:hAnsi="" w:eastAsia=""/>
          <w:color w:val="000008"/>
          <w:sz w:val="24"/>
        </w:rPr>
        <w:t xml:space="preserve"> in water can lead to outbreaks of diarrheal diseases, typhoid fever,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cholera, which are among the leading causes of preventable death in developing countries.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Nigeria, over 90 million people lack access to safe drinking water, and an estimated 130,000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children under the age of five die annually due to waterborne diseases (Majid, 2018). These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infections often occur as a result of consuming untreated or improperly treated water, which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may harbor bacteria, viruses, protozoa, and other harmful microorganisms.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Ilorin is the capital city of Kwara State and it is a rapidly growing city with a diverse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population and an increasing reliance on sachet water. While sachet water has filled a critical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gap in the provision of drinking water, reports of contamination have raised serious public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health concerns. Studies in similar settings have shown that the bacteriological quality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often falls below acceptable standards, with some samples testing positive for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coliforms and other indicator organisms (Gana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2021; Okeola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 This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indicates fecal contamination, which is commonly attributed to unhygienic production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environments, the use of unclean water sources, and improper storage or transportation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packaged water (Armstrong and Johnson, 2018). Comprehensive antibacterial analysis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is therefore essential for identifying potential health risks and ensuring that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consumed by the public meets regulatory standards. Standard microbiological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techniques, such as the multiple-tube fermentation method, membrane filtration,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molecular diagnostic tools, are widely used to detect and quantify pathogenic bacteria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samples. These methods provide valuable insights into the safety and quality of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drinking water and guide necessary interventions to protect public health (Liu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addition to health implications, unsafe drinking water has broader societal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consequences. Recurrent waterborne diseases contribute to malnutrition, reduced productivity,</w:t>
      </w:r>
    </w:p>
    <w:p>
      <w:pPr>
        <w:autoSpaceDN w:val="0"/>
        <w:autoSpaceDE w:val="0"/>
        <w:widowControl/>
        <w:spacing w:line="166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increased healthcare costs. Vulnerable populations, such as children, the elderly, and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individuals with weakened immune systems, are particularly at risk of developing severe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40" w:type="dxa"/>
        <w:gridCol w:w="660" w:type="dxa"/>
        <w:gridCol w:w="1280" w:type="dxa"/>
        <w:gridCol w:w="1160" w:type="dxa"/>
        <w:gridCol w:w="560" w:type="dxa"/>
        <w:gridCol w:w="1600" w:type="dxa"/>
        <w:gridCol w:w="1900" w:type="dxa"/>
        <w:gridCol w:w="1020" w:type="dxa"/>
      </w:tblGrid>
      <w:tr>
        <w:trPr>
          <w:trHeight w:hRule="exact" w:val="338"/>
        </w:trPr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complications</w:t>
            </w:r>
          </w:p>
        </w:tc>
        <w:tc>
          <w:tcPr>
            <w:tcW w:type="dxa" w:w="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from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waterborne</w:t>
            </w:r>
          </w:p>
        </w:tc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pathogens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like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Pseudomonas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Cryptosporidium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Klebsiella</w:t>
      </w:r>
      <w:r>
        <w:rPr>
          <w:spacing w:val="-10"/>
          <w:rFonts w:ascii="" w:hAnsi="" w:eastAsia=""/>
          <w:color w:val="000008"/>
          <w:sz w:val="24"/>
        </w:rPr>
        <w:t>. These microorganisms, often found in contaminated drinking water, can lead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life-threatening infections and exacerbate existing health conditions (UNICEF, 2019) hence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research on some selected sachet water produced in Ilorin metropolitan.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6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Statement of Problem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rise in urbanization and the increasing reliance on sachet water as a primary source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drinking water have raised serious concerns about its microbiological and chemical quality.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water, though marketed as a safe and affordable alternative to untreated water sources,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 often produced under conditions that lack adequate quality control measures. Studies have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shown that many sachet water brands fail to meet the microbiological standards set by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regulatory bodies, with contamination frequently attributed to poor hygiene during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production, improper sealing, and the use of polluted water sources (Saheed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Ilorin, Kwara State, sachet water consumption has become ubiquitous due to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limited access to reliable municipal water supplies. However, anecdotal reports and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20" w:type="dxa"/>
        <w:gridCol w:w="860" w:type="dxa"/>
        <w:gridCol w:w="920" w:type="dxa"/>
        <w:gridCol w:w="560" w:type="dxa"/>
        <w:gridCol w:w="720" w:type="dxa"/>
        <w:gridCol w:w="840" w:type="dxa"/>
        <w:gridCol w:w="400" w:type="dxa"/>
        <w:gridCol w:w="800" w:type="dxa"/>
        <w:gridCol w:w="740" w:type="dxa"/>
        <w:gridCol w:w="820" w:type="dxa"/>
        <w:gridCol w:w="1740" w:type="dxa"/>
      </w:tblGrid>
      <w:tr>
        <w:trPr>
          <w:trHeight w:hRule="exact" w:val="338"/>
        </w:trPr>
        <w:tc>
          <w:tcPr>
            <w:tcW w:type="dxa" w:w="1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1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preliminary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studies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suggest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that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some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brands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sachet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harbor</w:t>
            </w:r>
          </w:p>
        </w:tc>
        <w:tc>
          <w:tcPr>
            <w:tcW w:type="dxa" w:w="1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pathogenic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microorganisms,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 xml:space="preserve"> and other coliform bacteria, which are indicators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fecal contamination (</w:t>
      </w:r>
      <w:r>
        <w:rPr>
          <w:spacing w:val="-10"/>
          <w:rFonts w:ascii="" w:hAnsi="" w:eastAsia=""/>
          <w:color w:val="000000"/>
          <w:sz w:val="24"/>
        </w:rPr>
        <w:t>Aiyedun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</w:t>
      </w:r>
      <w:r>
        <w:rPr>
          <w:spacing w:val="-10"/>
          <w:rFonts w:ascii="" w:hAnsi="" w:eastAsia=""/>
          <w:color w:val="000008"/>
          <w:sz w:val="24"/>
        </w:rPr>
        <w:t>. This contamination poses serious public health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risks, including outbreaks of diarrhea, typhoid fever, cholera, and other waterborne diseases.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00" w:type="dxa"/>
        <w:gridCol w:w="1440" w:type="dxa"/>
        <w:gridCol w:w="720" w:type="dxa"/>
        <w:gridCol w:w="460" w:type="dxa"/>
        <w:gridCol w:w="1060" w:type="dxa"/>
        <w:gridCol w:w="820" w:type="dxa"/>
        <w:gridCol w:w="700" w:type="dxa"/>
        <w:gridCol w:w="1120" w:type="dxa"/>
        <w:gridCol w:w="1040" w:type="dxa"/>
        <w:gridCol w:w="1060" w:type="dxa"/>
      </w:tblGrid>
      <w:tr>
        <w:trPr>
          <w:trHeight w:hRule="exact" w:val="338"/>
        </w:trPr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Vulnerable</w:t>
            </w:r>
          </w:p>
        </w:tc>
        <w:tc>
          <w:tcPr>
            <w:tcW w:type="dxa" w:w="1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populations,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such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as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children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under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five,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pregnant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0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women,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4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immunocompromised individuals, are disproportionately affected by these illnesses, leading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 increased morbidity and mortality rates (Okeola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 Despite these concerns,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regular monitoring of sachet water quality in Ilorin is limited, and comprehensive data on its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microbiological safety remain scarce.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tabs>
          <w:tab w:pos="1920" w:val="left"/>
        </w:tabs>
        <w:autoSpaceDE w:val="0"/>
        <w:widowControl/>
        <w:spacing w:line="166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Justification of study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This study therefore seeks to address the pressing issue of waterborne diseases by analyzing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antibacterial properties of sachet water produced in Ilorin. The findings will provide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essential information and awareness into contamination levels, identify compliance gaps with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national and international water quality standards, and propose actionable recommendations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for improving water safety.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1.4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Aims and Objectives of Study</w:t>
      </w:r>
    </w:p>
    <w:p>
      <w:pPr>
        <w:autoSpaceDN w:val="0"/>
        <w:autoSpaceDE w:val="0"/>
        <w:widowControl/>
        <w:spacing w:line="162" w:lineRule="exact" w:before="33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Aim</w:t>
      </w:r>
    </w:p>
    <w:p>
      <w:pPr>
        <w:autoSpaceDN w:val="0"/>
        <w:autoSpaceDE w:val="0"/>
        <w:widowControl/>
        <w:spacing w:line="218" w:lineRule="exact" w:before="38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main aim of this study is to evaluate the microbial quality of selected sachet water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produced in Ilorin, Kwara State through microbiological analysis.</w:t>
      </w:r>
    </w:p>
    <w:p>
      <w:pPr>
        <w:autoSpaceDN w:val="0"/>
        <w:autoSpaceDE w:val="0"/>
        <w:widowControl/>
        <w:spacing w:line="214" w:lineRule="exact" w:before="33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Specific Objectives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The specific objectives of this study are to;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1. determine physiochemical analysis of the water samples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2. isolate and identify bacterial organisms present in the sachet water samples</w:t>
      </w:r>
    </w:p>
    <w:p>
      <w:pPr>
        <w:autoSpaceDN w:val="0"/>
        <w:autoSpaceDE w:val="0"/>
        <w:widowControl/>
        <w:spacing w:line="218" w:lineRule="exact" w:before="334" w:after="0"/>
        <w:ind w:left="12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3. isolate and identify fungal organisms present in the sachet water samples</w:t>
      </w:r>
    </w:p>
    <w:p>
      <w:pPr>
        <w:autoSpaceDN w:val="0"/>
        <w:autoSpaceDE w:val="0"/>
        <w:widowControl/>
        <w:spacing w:line="164" w:lineRule="exact" w:before="613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TWO</w:t>
      </w:r>
    </w:p>
    <w:p>
      <w:pPr>
        <w:autoSpaceDN w:val="0"/>
        <w:autoSpaceDE w:val="0"/>
        <w:widowControl/>
        <w:spacing w:line="166" w:lineRule="exact" w:before="62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LITERATURE REVIEW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6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Concept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is a transparent liquid composed of two elements; two hydrogen atoms and one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oxygen atom (H</w:t>
      </w:r>
      <w:r>
        <w:rPr>
          <w:spacing w:val="-10"/>
          <w:rFonts w:ascii="" w:hAnsi="" w:eastAsia=""/>
          <w:color w:val="000000"/>
          <w:sz w:val="14"/>
        </w:rPr>
        <w:t>2</w:t>
      </w:r>
      <w:r>
        <w:rPr>
          <w:spacing w:val="-10"/>
          <w:rFonts w:ascii="" w:hAnsi="" w:eastAsia=""/>
          <w:color w:val="000000"/>
          <w:sz w:val="24"/>
        </w:rPr>
        <w:t>O). Water is a liquid at ambient conditions, but it often co-exists on Earth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with its solid state being ice, and gaseous state (being water vapour or steam). Water is a</w:t>
      </w:r>
    </w:p>
    <w:p>
      <w:pPr>
        <w:autoSpaceDN w:val="0"/>
        <w:autoSpaceDE w:val="0"/>
        <w:widowControl/>
        <w:spacing w:line="206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finite substance; there is the same amount of water now as there was when the earth was</w:t>
      </w:r>
    </w:p>
    <w:p>
      <w:pPr>
        <w:autoSpaceDN w:val="0"/>
        <w:autoSpaceDE w:val="0"/>
        <w:widowControl/>
        <w:spacing w:line="218" w:lineRule="exact" w:before="34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formed (USEPA, 2020). While water is a renewable resource, its availability in space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time is limited by climate, geographical and physical conditions. Most human activities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involve the use of water in one way or the other. It may be noted that man‘s early habitation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and civilization sprang up along the banks of rivers. Water is useful for different needs which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include agricultural, residential, manufacturing, community and personal needs. Increasing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demands and its ineffective management has led to crises situations in many parts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world; crisis over the availability of adequate and appropriate quality water. It can be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argued that water is everywhere but water for drinking purposes is not everywhere because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water available for drinking and other domestic activities is very minute (Shiru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194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Water quality refers to the physical, chemical, and microbiological characteristics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that determine its suitability for various uses, including drinking, recreation,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agriculture, and industrial processes. The concept encompasses the assessment of water's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ability to meet the needs of humans and ecosystems without causing adverse health effects 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environmental harm (WHO, 2019). Clean and safe water is essential for maintaining public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health, sustaining biodiversity, and promoting socio-economic development. Water can be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used for recreation, drinking, fisheries, agriculture or industry. Each of these designated uses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has different defined chemical, physical and biological standards necessary to fulfil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respective purpose. For example, there are stringent standards for water to be used for</w:t>
      </w:r>
    </w:p>
    <w:p>
      <w:pPr>
        <w:autoSpaceDN w:val="0"/>
        <w:autoSpaceDE w:val="0"/>
        <w:widowControl/>
        <w:spacing w:line="164" w:lineRule="exact" w:before="37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drinking or swimming compared to that used in agriculture or industry. After many years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research, water quality standards are put in place to ensure the suitability of efficient use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for a designated purpose. Water quality analysis is to measure the required parameters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of water, following standard methods, to check whether they are in accordance with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standard. In Nigeria, where access to safe and clean water is a persistent challenge,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quality directly impacts the well-being of millions of people. Many communities rely 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untreated surface and groundwater sources, which are highly susceptible to contamination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from agricultural, industrial, and domestic activities (Adewuyi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Key indicators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quality is assessed using three primary categories of indicators: physical, chemical,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microbiological parameters (</w:t>
      </w:r>
      <w:r>
        <w:rPr>
          <w:spacing w:val="-10"/>
          <w:rFonts w:ascii="" w:hAnsi="" w:eastAsia=""/>
          <w:color w:val="000008"/>
          <w:sz w:val="24"/>
        </w:rPr>
        <w:t>Uzomah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</w:t>
      </w:r>
      <w:r>
        <w:rPr>
          <w:spacing w:val="-10"/>
          <w:rFonts w:ascii="" w:hAnsi="" w:eastAsia=""/>
          <w:color w:val="000000"/>
          <w:sz w:val="24"/>
        </w:rPr>
        <w:t>. Each category reveals information about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suitability of water for human consumption, agricultural use, industrial processes, and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ecosystem health.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Microbial Indicators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From a microbial perspective, the main public health concern associated with drinking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is enteric diseases (</w:t>
      </w:r>
      <w:r>
        <w:rPr>
          <w:spacing w:val="-10"/>
          <w:rFonts w:ascii="" w:hAnsi="" w:eastAsia=""/>
          <w:color w:val="000008"/>
          <w:sz w:val="24"/>
        </w:rPr>
        <w:t>Adeniran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</w:t>
      </w:r>
      <w:r>
        <w:rPr>
          <w:spacing w:val="-10"/>
          <w:rFonts w:ascii="" w:hAnsi="" w:eastAsia=""/>
          <w:color w:val="000000"/>
          <w:sz w:val="24"/>
        </w:rPr>
        <w:t>. It is impractical to look for all known enteric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pathogens that may contaminate drinking water because there are hundreds of pathogens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implicated in water contamination. Microbial safety is assessed through detection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indicators of faecal pollution. Microbial indicators of faecal pollution are organisms that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occur in high numbers in human and animal faeces (Bello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2020). If detected, they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indicate potential faecal contamination of the water body or distribution system under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investigation and the consequent potential presence of enteric pathogens. These microbial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indicators are generally not themselves human pathogens but their presence indicate potential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presence of pathogens. The use of indicator bacteria, in particular</w:t>
      </w:r>
      <w:r>
        <w:rPr>
          <w:spacing w:val="-10"/>
          <w:rFonts w:ascii="" w:hAnsi="" w:eastAsia=""/>
          <w:i/>
          <w:color w:val="000000"/>
          <w:sz w:val="24"/>
        </w:rPr>
        <w:t xml:space="preserve"> Escherichia coli</w:t>
      </w:r>
      <w:r>
        <w:rPr>
          <w:spacing w:val="-10"/>
          <w:rFonts w:ascii="" w:hAnsi="" w:eastAsia=""/>
          <w:color w:val="000000"/>
          <w:sz w:val="24"/>
        </w:rPr>
        <w:t xml:space="preserve"> and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 as a means of accessing the potential presence of water-borne pathogens</w:t>
      </w:r>
    </w:p>
    <w:p>
      <w:pPr>
        <w:autoSpaceDN w:val="0"/>
        <w:autoSpaceDE w:val="0"/>
        <w:widowControl/>
        <w:spacing w:line="166" w:lineRule="exact" w:before="57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has been paramount to protecting public health. Many pathogens are present only under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specific conditions and, when present, occur in low numbers compared with other micro-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organisms. Whilst the presence of coliform bacteria does not always indicate a public health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threat, their detection is useful indication that treatment operations should be investigated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(Kumar, 2021).</w:t>
      </w:r>
    </w:p>
    <w:p>
      <w:pPr>
        <w:autoSpaceDN w:val="0"/>
        <w:autoSpaceDE w:val="0"/>
        <w:widowControl/>
        <w:spacing w:line="210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Total coliforms (TC) Bacteria</w:t>
      </w:r>
    </w:p>
    <w:p>
      <w:pPr>
        <w:autoSpaceDN w:val="0"/>
        <w:autoSpaceDE w:val="0"/>
        <w:widowControl/>
        <w:spacing w:line="218" w:lineRule="exact" w:before="338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 belong to the family Enterobacteriaceae and share similar cultural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characteristics. Typical genera encountered in water supplies are</w:t>
      </w:r>
      <w:r>
        <w:rPr>
          <w:spacing w:val="-10"/>
          <w:rFonts w:ascii="" w:hAnsi="" w:eastAsia=""/>
          <w:i/>
          <w:color w:val="000008"/>
          <w:sz w:val="24"/>
        </w:rPr>
        <w:t xml:space="preserve"> Citrobacter, Enterobacter,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Escherichia, Hafnia, Klebsiella, Serratia</w:t>
      </w:r>
      <w:r>
        <w:rPr>
          <w:spacing w:val="-10"/>
          <w:rFonts w:ascii="" w:hAnsi="" w:eastAsia=""/>
          <w:color w:val="000008"/>
          <w:sz w:val="24"/>
        </w:rPr>
        <w:t>and</w:t>
      </w:r>
      <w:r>
        <w:rPr>
          <w:spacing w:val="-10"/>
          <w:rFonts w:ascii="" w:hAnsi="" w:eastAsia=""/>
          <w:i/>
          <w:color w:val="000008"/>
          <w:sz w:val="24"/>
        </w:rPr>
        <w:t xml:space="preserve"> Yersinia.</w:t>
      </w:r>
      <w:r>
        <w:rPr>
          <w:spacing w:val="-10"/>
          <w:rFonts w:ascii="" w:hAnsi="" w:eastAsia=""/>
          <w:color w:val="000008"/>
          <w:sz w:val="24"/>
        </w:rPr>
        <w:t xml:space="preserve"> Coliform bacteria are Gram-negative,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non-spore-forming, rod-shaped bacteria which are capable of aerobic and facultative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anaerobic growth in the presence of bile-salts or surface-active agents with similar growth-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inhibiting properties. They usually ferment lactose at 37</w:t>
      </w:r>
      <w:r>
        <w:rPr>
          <w:spacing w:val="-10"/>
          <w:rFonts w:ascii="" w:hAnsi="" w:eastAsia=""/>
          <w:color w:val="000008"/>
          <w:sz w:val="14"/>
        </w:rPr>
        <w:t>o</w:t>
      </w:r>
      <w:r>
        <w:rPr>
          <w:spacing w:val="-10"/>
          <w:rFonts w:ascii="" w:hAnsi="" w:eastAsia=""/>
          <w:color w:val="000008"/>
          <w:sz w:val="24"/>
        </w:rPr>
        <w:t>C within 48h, possess the enzyme B-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galactosidase and are oxidase-negative. Total coliforms (TC) are no longer used as an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of faecal contamination because advances in the science of taxonomy show that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they are not specific to the intestine of humans or warm blooded animals and can also be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found in the environment. The presence of TC in water samples can indicate the presence of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biofilm or can serve as an indicator of treatment efficiency because of their sensitivity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chlorine. However, heterotrophic plate count (HPC) is a better indicator for that purpose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because it covers a wider range of bacteria (Fernandez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autoSpaceDE w:val="0"/>
        <w:widowControl/>
        <w:spacing w:line="210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Faecal coliform (FC) or Thermotolerant coliform</w:t>
      </w:r>
    </w:p>
    <w:p>
      <w:pPr>
        <w:autoSpaceDN w:val="0"/>
        <w:autoSpaceDE w:val="0"/>
        <w:widowControl/>
        <w:spacing w:line="218" w:lineRule="exact" w:before="33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faecal coliform is a subset of the total coliform group. Faecal coliform bacteria possess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characteristics of coliform bacteria but are able to carry out lactose</w:t>
      </w:r>
      <w:r>
        <w:rPr>
          <w:spacing w:val="-10"/>
          <w:rFonts w:ascii="" w:hAnsi="" w:eastAsia=""/>
          <w:color w:val="000008"/>
          <w:sz w:val="24"/>
        </w:rPr>
        <w:t xml:space="preserve"> fermentation at 44 oC.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Although still in use in some jurisdictions, the lack of specificity of the coliform test to faecal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pollution of drinking water has long been documented. For example, the presence of high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Klebsiella</w:t>
      </w:r>
      <w:r>
        <w:rPr>
          <w:spacing w:val="-10"/>
          <w:rFonts w:ascii="" w:hAnsi="" w:eastAsia=""/>
          <w:color w:val="000008"/>
          <w:sz w:val="24"/>
        </w:rPr>
        <w:t>spp counts has been associated with various vegetation and pulp and paper effluent</w:t>
      </w:r>
    </w:p>
    <w:p>
      <w:pPr>
        <w:autoSpaceDN w:val="0"/>
        <w:autoSpaceDE w:val="0"/>
        <w:widowControl/>
        <w:spacing w:line="164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 the absence of faecal contamination. This is why a positive result for FC should be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interpreted with caution (Helard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autoSpaceDE w:val="0"/>
        <w:widowControl/>
        <w:spacing w:line="166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i/>
          <w:color w:val="000008"/>
          <w:sz w:val="24"/>
        </w:rPr>
        <w:t>Escherichia coli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E.coli</w:t>
      </w:r>
      <w:r>
        <w:rPr>
          <w:spacing w:val="-10"/>
          <w:rFonts w:ascii="" w:hAnsi="" w:eastAsia=""/>
          <w:color w:val="000008"/>
          <w:sz w:val="24"/>
        </w:rPr>
        <w:t xml:space="preserve"> is a coliform bacterium and has been historically regarded as the primary indicator of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faecal contamination of both treated and untreated water. As a coliform bacterium it is a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member of the family Enterobacteriaceae, and is capable of fermenting lactose or mannitol 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44</w:t>
      </w:r>
      <w:r>
        <w:rPr>
          <w:spacing w:val="-10"/>
          <w:rFonts w:ascii="" w:hAnsi="" w:eastAsia=""/>
          <w:color w:val="000008"/>
          <w:sz w:val="14"/>
        </w:rPr>
        <w:t>o</w:t>
      </w:r>
      <w:r>
        <w:rPr>
          <w:spacing w:val="-10"/>
          <w:rFonts w:ascii="" w:hAnsi="" w:eastAsia=""/>
          <w:color w:val="000008"/>
          <w:sz w:val="24"/>
        </w:rPr>
        <w:t>C, usually within 24h, and produces indole from tryptophan.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is the most reliable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of enteric diseases and is therefore the indicator of choice to indicate occurrence of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recent faecal contamination in drinking water systems. One exception is in tropical climates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where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may be present and multiply in water not directly subject to faecal pollution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(Qiuhua,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al.,</w:t>
      </w:r>
      <w:r>
        <w:rPr>
          <w:spacing w:val="-10"/>
          <w:rFonts w:ascii="" w:hAnsi="" w:eastAsia=""/>
          <w:color w:val="000008"/>
          <w:sz w:val="24"/>
        </w:rPr>
        <w:t xml:space="preserve"> 2019). Only some strains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bacteria are capable of causing disease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only under certain conditions (e.g.,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O157:H7).</w:t>
      </w:r>
      <w:r>
        <w:rPr>
          <w:spacing w:val="-10"/>
          <w:rFonts w:ascii="" w:hAnsi="" w:eastAsia=""/>
          <w:i/>
          <w:color w:val="000008"/>
          <w:sz w:val="24"/>
        </w:rPr>
        <w:t xml:space="preserve"> E.coli</w:t>
      </w:r>
      <w:r>
        <w:rPr>
          <w:spacing w:val="-10"/>
          <w:rFonts w:ascii="" w:hAnsi="" w:eastAsia=""/>
          <w:color w:val="000008"/>
          <w:sz w:val="24"/>
        </w:rPr>
        <w:t xml:space="preserve"> occurs in the faeces of all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mammals, often in high numbers (up to109 per gram of faeces). This wide spread faecal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occurrence, coupled with the fact that methods for the recovery and enumeration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relatively simple to conduct, has contributed to the detection of this bacterium as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cornerstone of microbiological quality water assessment for over 100years (Mennane,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al.,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2021).</w:t>
      </w:r>
    </w:p>
    <w:p>
      <w:pPr>
        <w:autoSpaceDN w:val="0"/>
        <w:autoSpaceDE w:val="0"/>
        <w:widowControl/>
        <w:spacing w:line="166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Faecal Enterococci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Faecal enterococci are defined as Gram-positive cocci that tend to occur in pairs and chains.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They are non-spore-forming, oxidase-negative, and catalase-negative. They grow aerobically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anaerobically in the presence of bile salts and in sodium azide solutions, at concentration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of which are inhibitory to coliform and most Gram-negative bacteria (Sério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2023).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Enterococci include a number of species that occur in the faeces of human and warm-blooded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animals. The main reason for their enumeration is to assess the significance of the presence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 in the absence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coli;</w:t>
      </w:r>
      <w:r>
        <w:rPr>
          <w:spacing w:val="-10"/>
          <w:rFonts w:ascii="" w:hAnsi="" w:eastAsia=""/>
          <w:color w:val="000008"/>
          <w:sz w:val="24"/>
        </w:rPr>
        <w:t xml:space="preserve"> or to provide additional information when</w:t>
      </w:r>
    </w:p>
    <w:p>
      <w:pPr>
        <w:autoSpaceDN w:val="0"/>
        <w:autoSpaceDE w:val="0"/>
        <w:widowControl/>
        <w:spacing w:line="166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15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assessing the extent of possible faecal contamination. As such, they are regarded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secondary indicators of faecal pollution (U S EPA, 2006). In human faeces, numbers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enterococci rarely exceed 106 per gram of faeces, while in animal faeces they are often more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numerous than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 xml:space="preserve"> (Layton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2010). Enterococci of faecal origin rarely multiply in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and are more resistant to environmental stress and chlorination than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 xml:space="preserve"> and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coliform bacteria. They generally persist longer in the environment, with the exception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Streptococcus bovi</w:t>
      </w:r>
      <w:r>
        <w:rPr>
          <w:spacing w:val="-10"/>
          <w:rFonts w:ascii="" w:hAnsi="" w:eastAsia=""/>
          <w:color w:val="000008"/>
          <w:sz w:val="24"/>
        </w:rPr>
        <w:t xml:space="preserve"> and</w:t>
      </w:r>
      <w:r>
        <w:rPr>
          <w:spacing w:val="-10"/>
          <w:rFonts w:ascii="" w:hAnsi="" w:eastAsia=""/>
          <w:i/>
          <w:color w:val="000008"/>
          <w:sz w:val="24"/>
        </w:rPr>
        <w:t xml:space="preserve"> Streptococcus equines</w:t>
      </w:r>
      <w:r>
        <w:rPr>
          <w:spacing w:val="-10"/>
          <w:rFonts w:ascii="" w:hAnsi="" w:eastAsia=""/>
          <w:color w:val="000008"/>
          <w:sz w:val="24"/>
        </w:rPr>
        <w:t>, which die off relatively rapidly once outside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intestinal tract. Testing for enterococci can be a useful additional indicator of water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treatment efficiency (Goto and Yan, 2011).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Sulphite-reducing clostridia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Sulphite-reducing Clostridia are Gram-positive, anaerobic spore-forming rods that reduce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sulphite to sulphate (Calente</w:t>
      </w:r>
      <w:r>
        <w:rPr>
          <w:spacing w:val="-10"/>
          <w:rFonts w:ascii="" w:hAnsi="" w:eastAsia=""/>
          <w:i/>
          <w:color w:val="000008"/>
          <w:sz w:val="24"/>
        </w:rPr>
        <w:t xml:space="preserve"> al.,</w:t>
      </w:r>
      <w:r>
        <w:rPr>
          <w:spacing w:val="-10"/>
          <w:rFonts w:ascii="" w:hAnsi="" w:eastAsia=""/>
          <w:color w:val="000008"/>
          <w:sz w:val="24"/>
        </w:rPr>
        <w:t xml:space="preserve"> 2021).</w:t>
      </w:r>
      <w:r>
        <w:rPr>
          <w:spacing w:val="-10"/>
          <w:rFonts w:ascii="" w:hAnsi="" w:eastAsia=""/>
          <w:i/>
          <w:color w:val="000008"/>
          <w:sz w:val="24"/>
        </w:rPr>
        <w:t>Clostridium perfringens</w:t>
      </w:r>
      <w:r>
        <w:rPr>
          <w:spacing w:val="-10"/>
          <w:rFonts w:ascii="" w:hAnsi="" w:eastAsia=""/>
          <w:color w:val="000008"/>
          <w:sz w:val="24"/>
        </w:rPr>
        <w:t xml:space="preserve"> is the key species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sulphite-reducing clostridia and is commonly found in human and animal faeces. Most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species of</w:t>
      </w:r>
      <w:r>
        <w:rPr>
          <w:spacing w:val="-10"/>
          <w:rFonts w:ascii="" w:hAnsi="" w:eastAsia=""/>
          <w:i/>
          <w:color w:val="000008"/>
          <w:sz w:val="24"/>
        </w:rPr>
        <w:t xml:space="preserve"> Clostridium</w:t>
      </w:r>
      <w:r>
        <w:rPr>
          <w:spacing w:val="-10"/>
          <w:rFonts w:ascii="" w:hAnsi="" w:eastAsia=""/>
          <w:color w:val="000008"/>
          <w:sz w:val="24"/>
        </w:rPr>
        <w:t xml:space="preserve"> are environmental bacteria. Many are saprophytic, normally inhabiting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soil, water, and decomposing plant and animal material.</w:t>
      </w:r>
      <w:r>
        <w:rPr>
          <w:spacing w:val="-10"/>
          <w:rFonts w:ascii="" w:hAnsi="" w:eastAsia=""/>
          <w:i/>
          <w:color w:val="000008"/>
          <w:sz w:val="24"/>
        </w:rPr>
        <w:t xml:space="preserve"> Clostridium perfringens</w:t>
      </w:r>
      <w:r>
        <w:rPr>
          <w:spacing w:val="-10"/>
          <w:rFonts w:ascii="" w:hAnsi="" w:eastAsia=""/>
          <w:color w:val="000008"/>
          <w:sz w:val="24"/>
        </w:rPr>
        <w:t xml:space="preserve"> produces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environmentally resistant spores that survive in water and the environment for much longer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periods than the vegetative cells of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 xml:space="preserve"> and other faecal indicators. Clostridia are removed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from water by coagulation and filtration, but the spores of these bacteria can be resistant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chlorine at concentrations normally used in water treatment (Solaiman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Clostridium perfringens</w:t>
      </w:r>
      <w:r>
        <w:rPr>
          <w:spacing w:val="-10"/>
          <w:rFonts w:ascii="" w:hAnsi="" w:eastAsia=""/>
          <w:color w:val="000008"/>
          <w:sz w:val="24"/>
        </w:rPr>
        <w:t xml:space="preserve"> is generally present in faeces in much lower numbers than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enterococci, it is less sensitive as an indicator of faecal contamination. Low numbers may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occasionally occur in water supplies, but they do not present a risk to health. These bacteria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will not grow to a significant number, or produce toxins in water supplies, as conditions are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usually unsuitable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The Heterotrophic bacteria</w:t>
      </w:r>
    </w:p>
    <w:p>
      <w:pPr>
        <w:autoSpaceDN w:val="0"/>
        <w:autoSpaceDE w:val="0"/>
        <w:widowControl/>
        <w:spacing w:line="166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heterotrophic groups of bacteria encompass a broad range of bacteria that use organic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carbon source to grow. Colony counts of heterotrophic bacteria, referred to as heterotrophic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plate count (HPC), provide an indication of general load of aerobic and facultative anaerobic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bacteria of water sample (Setiaji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 An important benefit of determining HPC,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particularly if carried out regularly from the same site and location, is that it can provide an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indication of seasonal and long-term changes in the general bacteriological quality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(Posacka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 Drinking water supplies derived from surface waters tends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support higher numbers of heterotrophic bacteria than those derived from groundwater</w:t>
      </w:r>
    </w:p>
    <w:p>
      <w:pPr>
        <w:autoSpaceDN w:val="0"/>
        <w:autoSpaceDE w:val="0"/>
        <w:widowControl/>
        <w:spacing w:line="170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sources. This is due to the differences in concentrations of assimilable carbon associated with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each type of source. It is, therefore, not the absolute number of bacteria count enumerated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from a supply that are of importance, but whether, over time, there are significant changes 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long-term trends in those numbers. (McDonald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Physical indicators of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Taste, colour, odour, turbidity are all physical parameters that can affect the aesthetics which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determine whether people will use a source of water for drinking purposes or not.</w:t>
      </w:r>
    </w:p>
    <w:p>
      <w:pPr>
        <w:autoSpaceDN w:val="0"/>
        <w:autoSpaceDE w:val="0"/>
        <w:widowControl/>
        <w:spacing w:line="166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Colour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color of water can be an indicator of the presence of organic compounds (humic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andfulvic acids), iron and other metals. It can sometimes also be an indicator of industrial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effluents. There is no health standard set for the color of drinking water. Typically, water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considered to beacceptable to drink by people when the color is below 15 TCU (true colour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units). It is often dependent on the personal tastes of people in the region and on what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available .The pH is to minimize corrosion and incrustation in the distribution system. pH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levels below 7 may cause severe corrosion of metals in the distribution level while levels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above 8 causes a progressive decrease in the efficiency of the chlorine disinfection process.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acceptable pH from drinking water ranges from 6.5-8.5 (Adewuyi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Taste and Odour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Taste and odor of water can also be indicators of contamination. They can originate from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natural organic processes, treatment processes, such as chlorination, they can be the result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hazardous contamination, or they can develop during storage and distribution. There is no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specific health guideline set for taste and odor of drinking water and it is dependent upon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range of acceptability for taste and odor of the consumer (Adelakun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Turbidity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Turbidity is the amount of particulate matter suspended in water. It measures the scattering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effect that suspended solids have on light. It is widely agreed that the higher the intensity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scattered light, the higher the turbidity. Clay, salt, finely divided organisms make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opaque. Different particles have significantly different effects on perceived turbidity.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particulate matter suspended making drinking water turbid could either be organic 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inorganic, or both. The turbidity of water interferes with disinfection and could affect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colour, taste or even the odour of water (Akinbile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2.2.3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Chemical Indicators of Water Quality</w:t>
      </w:r>
    </w:p>
    <w:p>
      <w:pPr>
        <w:autoSpaceDN w:val="0"/>
        <w:autoSpaceDE w:val="0"/>
        <w:widowControl/>
        <w:spacing w:line="210" w:lineRule="exact" w:before="342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pH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pH is a measure of the acidity or alkalinity of water. It is measured using a pH meter/scale.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pH scale commonly ranges from 0 - 14. Pure water is said to be neutral, with a pH of 7.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with a pH below 7.0 is considered acidic while water with pH greater than 7.0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considered basic or alkaline. One of the main objectives in controlling the pH is to minimize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corrosion and incrustation in the distribution system. pH levels below 7 may cause severe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corrosion of metals in the distribution level while levels above 8 causes a progressive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decrease in the efficiency of the chlorine disinfection process. The acceptable pH from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drinking water ranges from 6.5-8.5 (Ogundele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Conductivity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Conductivity is the ability of water to carry electrical charges. It indicates the presence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ions in the water. Conductivity relates to the amount of dissolved substances in water, but it,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however, does not give an indication of which mineral is present. Changes in conductivity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over time may indicate changing water quality. With regards to acceptability results, there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no health standard. Conductivity source may be natural or human-made dissolved substances.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of inorganic compounds makes water exhibit high conductivity (Ojekunle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2020).</w:t>
      </w:r>
    </w:p>
    <w:p>
      <w:pPr>
        <w:autoSpaceDN w:val="0"/>
        <w:autoSpaceDE w:val="0"/>
        <w:widowControl/>
        <w:spacing w:line="210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Total dissolved Solids (TDS)</w:t>
      </w:r>
    </w:p>
    <w:p>
      <w:pPr>
        <w:autoSpaceDN w:val="0"/>
        <w:autoSpaceDE w:val="0"/>
        <w:widowControl/>
        <w:spacing w:line="218" w:lineRule="exact" w:before="338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Total dissolved Solids (TDS) comprise inorganic salts (principally calcium, magnesium,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potassium, sodium, bicarbonates, chlorides and sulphates) and small amount of organic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matter that are dissolve in water. TDS can affect taste of drinking water. Water becomes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increasingly unpalatable and objectionable at level greater than 1000 – 1200mg/1 which is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recommended value of TDS in drinking water. There is no health based proposed value for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TDS (Ogungbe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2022).</w:t>
      </w:r>
    </w:p>
    <w:p>
      <w:pPr>
        <w:autoSpaceDN w:val="0"/>
        <w:autoSpaceDE w:val="0"/>
        <w:widowControl/>
        <w:spacing w:line="214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Alkalinity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Alkalinity is the sum total of components in the water that tends to elevate the pH to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alkaline side of neutrality. It is measured by titration with standardized acid to a pH value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4.5 and is expressed commonly as milligrams per liter as calcium carbonate (mg/L as CaCo3).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Alkalinity is a measure of the buffering capacity (ability to resist changes in pH) of the water,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since pH has a direct effect on organisms as well as an indirect effect on the toxicity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certain other pollutants in the water that increase alkalinity are carbonates, bicarbonates,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phosphates and hydroxides. Limestone bedrock and thick deposits of glacial till are good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sources of carbonate buffering (Chakraborty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Water Quality Standards and Regulations</w:t>
      </w:r>
    </w:p>
    <w:p>
      <w:pPr>
        <w:autoSpaceDN w:val="0"/>
        <w:autoSpaceDE w:val="0"/>
        <w:widowControl/>
        <w:spacing w:line="166" w:lineRule="exact" w:before="116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19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quality standards and regulations are essential for ensuring that water resources remain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safe and suitable for different uses, such as drinking, agriculture, industry, and recreation.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These standards help define the limits of contaminants in water and guide the management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resources to protect both human health and the environment (WHO, 2019). In Nigeria,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these standards align with global guidelines but are also adapted to address local challenges.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quality standards typically focus on three main aspects: physical, chemical,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microbiological indicators. The physical standards address the appearance and usability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water, including factors like turbidity, temperature, and color. The chemical standards look 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chemical composition of water, regulating pollutants such as heavy metals, pH,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dissolved oxygen levels. Microbiological standards are critical for ensuring that water is free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from harmful pathogens, particularly bacteria like</w:t>
      </w:r>
      <w:r>
        <w:rPr>
          <w:spacing w:val="-10"/>
          <w:rFonts w:ascii="" w:hAnsi="" w:eastAsia=""/>
          <w:i/>
          <w:color w:val="000000"/>
          <w:sz w:val="24"/>
        </w:rPr>
        <w:t xml:space="preserve"> Escherichia coli</w:t>
      </w:r>
      <w:r>
        <w:rPr>
          <w:spacing w:val="-10"/>
          <w:rFonts w:ascii="" w:hAnsi="" w:eastAsia=""/>
          <w:color w:val="000000"/>
          <w:sz w:val="24"/>
        </w:rPr>
        <w:t>, which can cause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waterborne diseases (Adewuyi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2.3.1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Nigerian Standard for Drinking Water Quality (NSDWQ):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Nigerian Standard for Drinking Water Quality (NSDWQ) developed by the Standards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Organisation of Nigeria (SON), provides permissible limits for various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parameters.</w:t>
      </w:r>
      <w:r>
        <w:rPr>
          <w:spacing w:val="-10"/>
          <w:rFonts w:ascii="" w:hAnsi="" w:eastAsia=""/>
          <w:color w:val="000000"/>
          <w:sz w:val="24"/>
        </w:rPr>
        <w:t xml:space="preserve"> In Nigeria, the Nigerian Standard for Drinking Water Quality (NSDWQ),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developed by the Standards Organisation of Nigeria (SON), sets permissible limits for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contaminants. For drinking water, the NSDWQ emphasizes microbial safety by ensuring that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is free from coliform bacteria, including</w:t>
      </w:r>
      <w:r>
        <w:rPr>
          <w:spacing w:val="-10"/>
          <w:rFonts w:ascii="" w:hAnsi="" w:eastAsia=""/>
          <w:i/>
          <w:color w:val="000000"/>
          <w:sz w:val="24"/>
        </w:rPr>
        <w:t xml:space="preserve"> E. coli</w:t>
      </w:r>
      <w:r>
        <w:rPr>
          <w:spacing w:val="-10"/>
          <w:rFonts w:ascii="" w:hAnsi="" w:eastAsia=""/>
          <w:color w:val="000000"/>
          <w:sz w:val="24"/>
        </w:rPr>
        <w:t>. It also sets limits for chemicals like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lead, nitrates, and pesticides. For example, the pH of drinking water is recommended to be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between 6.5 and 8.5, while nitrate levels should not exceed 50 mg/L (Adelakun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These standards are based on global guidelines from the World Health Organization (WHO),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which also recommends a zero tolerance for</w:t>
      </w:r>
      <w:r>
        <w:rPr>
          <w:spacing w:val="-10"/>
          <w:rFonts w:ascii="" w:hAnsi="" w:eastAsia=""/>
          <w:i/>
          <w:color w:val="000000"/>
          <w:sz w:val="24"/>
        </w:rPr>
        <w:t xml:space="preserve"> E. coli</w:t>
      </w:r>
      <w:r>
        <w:rPr>
          <w:spacing w:val="-10"/>
          <w:rFonts w:ascii="" w:hAnsi="" w:eastAsia=""/>
          <w:color w:val="000000"/>
          <w:sz w:val="24"/>
        </w:rPr>
        <w:t xml:space="preserve"> in drinking water (WHO, 2019). Beyond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drinking water, there are regulations for the protection of water bodies used for irrigation,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industrial activities, and recreation. The National Water Resources Policy in Nigeria outlines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strategies for sustainable water management, including the regulation of water pollution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preservation of aquatic ecosystems. This policy focuses on reducing the contamination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from various sources, including industrial effluents, agricultural runoff, and domestic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waste (Cruz, and Neuer, 2019). The National Environmental Standards and Regulations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Enforcement Agency (NESREA) plays a key role in enforcing these regulations, particularly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by monitoring industries to ensure that their wastewater meets established discharge limits.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Despite the presence of these standards, Nigeria faces significant challenges in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quality management. One of the primary issues is weak enforcement of regulations, with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many industries continuing to discharge untreated wastewater into rivers and lakes, which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pollutes the water and affects communities relying on these bodies for drinking and irrigation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(Adewuyi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 The country also faces limitations in resources, both financial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technical, which hinder the regular monitoring and enforcement of water quality standards.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Furthermore, pollution from agricultural activities, particularly the runoff of fertilizers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pesticides, contributes significantly to the degradation of water quality (Ogungbe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2022).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 rural areas, poor sanitation and lack of access to clean water often lead to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contamination of drinking water sources, resulting in outbreaks of waterborne diseases such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as cholera and typhoid fever (Adelakun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2021).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In comparison to global standards, Nigeria’s water quality regulations are generally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line with international guidelines. However, the enforcement of these regulations is often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inconsistent. In countries with advanced water management systems, regulatory agencies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regularly monitor water quality, and there are strict penalties for non-compliance. In Nigeria,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there is a need for stronger enforcement, better infrastructure, and increased public awareness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about the importance of water quality (</w:t>
      </w:r>
      <w:r>
        <w:rPr>
          <w:spacing w:val="-10"/>
          <w:rFonts w:ascii="" w:hAnsi="" w:eastAsia=""/>
          <w:color w:val="000008"/>
          <w:sz w:val="24"/>
        </w:rPr>
        <w:t>Ajisegiri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</w:t>
      </w:r>
      <w:r>
        <w:rPr>
          <w:spacing w:val="-10"/>
          <w:rFonts w:ascii="" w:hAnsi="" w:eastAsia=""/>
          <w:color w:val="000000"/>
          <w:sz w:val="24"/>
        </w:rPr>
        <w:t>. Investment in water treatment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plants and wastewater management systems is also crucial to improve the overall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quality in the country. It is essential to strengthen water quality management in Nigeria by</w:t>
      </w:r>
    </w:p>
    <w:p>
      <w:pPr>
        <w:autoSpaceDN w:val="0"/>
        <w:autoSpaceDE w:val="0"/>
        <w:widowControl/>
        <w:spacing w:line="164" w:lineRule="exact" w:before="6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building the capacity of regulatory agencies, improving infrastructure for water treatment,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and promoting public education about the importance of maintaining clean water sources.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This would ensure safer water for all Nigerians and help mitigate the risks posed by water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pollution to both health and the environment.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274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2.5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Sachet Water Production in Nigeria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380" w:type="dxa"/>
        <w:gridCol w:w="900" w:type="dxa"/>
        <w:gridCol w:w="360" w:type="dxa"/>
        <w:gridCol w:w="860" w:type="dxa"/>
        <w:gridCol w:w="1060" w:type="dxa"/>
        <w:gridCol w:w="560" w:type="dxa"/>
        <w:gridCol w:w="480" w:type="dxa"/>
        <w:gridCol w:w="680" w:type="dxa"/>
        <w:gridCol w:w="1500" w:type="dxa"/>
        <w:gridCol w:w="520" w:type="dxa"/>
        <w:gridCol w:w="680" w:type="dxa"/>
        <w:gridCol w:w="960" w:type="dxa"/>
      </w:tblGrid>
      <w:tr>
        <w:trPr>
          <w:trHeight w:hRule="exact" w:val="338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Water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in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sachets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is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readily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available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and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price</w:t>
            </w:r>
          </w:p>
        </w:tc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is affordable,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but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there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104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are</w:t>
            </w:r>
          </w:p>
        </w:tc>
      </w:tr>
    </w:tbl>
    <w:p>
      <w:pPr>
        <w:autoSpaceDN w:val="0"/>
        <w:autoSpaceDE w:val="0"/>
        <w:widowControl/>
        <w:spacing w:line="2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40" w:type="dxa"/>
        <w:gridCol w:w="3820" w:type="dxa"/>
        <w:gridCol w:w="1580" w:type="dxa"/>
        <w:gridCol w:w="480" w:type="dxa"/>
        <w:gridCol w:w="560" w:type="dxa"/>
        <w:gridCol w:w="1540" w:type="dxa"/>
      </w:tblGrid>
      <w:tr>
        <w:trPr>
          <w:trHeight w:hRule="exact" w:val="338"/>
        </w:trPr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20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concerns about</w:t>
            </w:r>
          </w:p>
        </w:tc>
        <w:tc>
          <w:tcPr>
            <w:tcW w:type="dxa" w:w="3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its purity (Adekunle</w:t>
            </w:r>
            <w:r>
              <w:rPr>
                <w:spacing w:val="-10"/>
                <w:rFonts w:ascii="" w:hAnsi="" w:eastAsia=""/>
                <w:i/>
                <w:color w:val="000000"/>
                <w:sz w:val="24"/>
              </w:rPr>
              <w:t xml:space="preserve"> et al</w:t>
            </w:r>
            <w:r>
              <w:rPr>
                <w:spacing w:val="-10"/>
                <w:rFonts w:ascii="" w:hAnsi="" w:eastAsia=""/>
                <w:color w:val="000000"/>
                <w:sz w:val="24"/>
              </w:rPr>
              <w:t>., 2019).</w:t>
            </w:r>
          </w:p>
        </w:tc>
        <w:tc>
          <w:tcPr>
            <w:tcW w:type="dxa" w:w="1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 integrity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of</w:t>
            </w:r>
          </w:p>
        </w:tc>
        <w:tc>
          <w:tcPr>
            <w:tcW w:type="dxa" w:w="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the</w:t>
            </w:r>
          </w:p>
        </w:tc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42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hygienic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environment and the conditions where the majority of the water in sachets are produced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has also been questioned. Dada also documented the increased microbial contamination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sachet water as it moved down the distribution line. Studies in Nigeria have documented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claims of past outbreaks of water-borne illnesses resulting from the consumption of polluted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sachet water, bacterial contamination with organisms such as</w:t>
      </w:r>
      <w:r>
        <w:rPr>
          <w:spacing w:val="-10"/>
          <w:rFonts w:ascii="" w:hAnsi="" w:eastAsia=""/>
          <w:i/>
          <w:color w:val="000000"/>
          <w:sz w:val="24"/>
        </w:rPr>
        <w:t xml:space="preserve"> bacillus sp, pseudomonas sp,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0"/>
          <w:sz w:val="24"/>
        </w:rPr>
        <w:t>klebsiella sp, streptococcus sp,</w:t>
      </w:r>
      <w:r>
        <w:rPr>
          <w:spacing w:val="-10"/>
          <w:rFonts w:ascii="" w:hAnsi="" w:eastAsia=""/>
          <w:color w:val="000000"/>
          <w:sz w:val="24"/>
        </w:rPr>
        <w:t xml:space="preserve"> alkalinity of the water and presence of chemicals such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aluminium and fluoride above the recommended values (Akinbile and Ojo, 2020). NAFDAC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is mandated to enforce compliance with internationally defined drinking water guidelines, but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regulation of the packaged water industry aimed at good quality assurance has remained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challenge to the agency as it has in the past declared a possible 'gradual' nationwide ban 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sachet waters to allow the manufacturers of sachet water to start winding down or change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bottle packaging though this is yet to be seen (Olayemi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2018). Observations in our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immediate environment indicate a drastic increase in the population of sachet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consumers partly due to its affordability and the growing awareness of the consequences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consumption of unsafe or untreated water. Also the industries that produce this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commodity tend to be localised to the consumer area. This study has therefore been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conducted to add to the body of evidence regarding sachet water. While a lot of studies have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been done to assess the physical, chemical as well as microbiological quality of sachet water</w:t>
      </w:r>
    </w:p>
    <w:p>
      <w:pPr>
        <w:autoSpaceDN w:val="0"/>
        <w:autoSpaceDE w:val="0"/>
        <w:widowControl/>
        <w:spacing w:line="164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 Nigeria, relatively fewer studies have looked at the view of the populace regarding sachet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water. Notwithstanding, majority of experts have given personal views based on their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research. An example of this is Dada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 (2020), who in their study advocated for increased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use and acceptance of the sachet water phenomenon and warned against labelling it as unfit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for drinking by organizations responsible for maintaining standards for quality drinking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(NAFDAC, WHO) in Nigeria, citing 12 several pertinent reasons. He argued that the public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perception of safety in favour of packaged water in Nigeria stems out partly from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inadequate attempts of previous governments to provide potable piped water. The second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contributing factor to this perception, he argued, is the prevalent doubt on the quality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'piped water' supplied at a reasonable charge by many informal vendors (called mai'ruwa) 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community level; its use being restricted for domestic purposes alone- washing, bathing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and cleaning. The sachet water, costing 5 naira to 10 naira (one bag containing 20 sachets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each of 150 ml volume), is thus often relied upon for drinking purposes. Although more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expensive than the vended public water supplied for domestic uses sourced from upgraded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wells of informal vendors at the community level, a public perception of safety prevails – “at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least it must have gone through one form of treatment or the other, even if it were gotten from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questionable sources” (</w:t>
      </w:r>
      <w:r>
        <w:rPr>
          <w:spacing w:val="-10"/>
          <w:rFonts w:ascii="" w:hAnsi="" w:eastAsia=""/>
          <w:color w:val="000008"/>
          <w:sz w:val="24"/>
        </w:rPr>
        <w:t>Ogunjobi and Ayodele, 2020)</w:t>
      </w:r>
      <w:r>
        <w:rPr>
          <w:spacing w:val="-10"/>
          <w:rFonts w:ascii="" w:hAnsi="" w:eastAsia=""/>
          <w:color w:val="000000"/>
          <w:sz w:val="24"/>
        </w:rPr>
        <w:t>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Antibacterial Analysis Methods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Antibacterial analysis refers to the process of testing substances, such as water, to evaluate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their ability to inhibit or kill bacteria. This is important because bacteria can cause infections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diseases, and understanding their presence or absence in water helps ensure that it is safe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for human consumption. Water can be contaminated with various harmful bacteria that can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lead to waterborne diseases, making it essential to test its antibacterial properties to maintain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public health (Abdel-Rahman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2018). There are several methods used for antibacterial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520" w:type="dxa"/>
        <w:gridCol w:w="940" w:type="dxa"/>
        <w:gridCol w:w="660" w:type="dxa"/>
        <w:gridCol w:w="1200" w:type="dxa"/>
        <w:gridCol w:w="1720" w:type="dxa"/>
        <w:gridCol w:w="1220" w:type="dxa"/>
        <w:gridCol w:w="400" w:type="dxa"/>
        <w:gridCol w:w="920" w:type="dxa"/>
        <w:gridCol w:w="1640" w:type="dxa"/>
      </w:tblGrid>
      <w:tr>
        <w:trPr>
          <w:trHeight w:hRule="exact" w:val="338"/>
        </w:trPr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8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analysis,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ranging</w:t>
            </w:r>
          </w:p>
        </w:tc>
        <w:tc>
          <w:tcPr>
            <w:tcW w:type="dxa" w:w="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from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traditional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microbiological</w:t>
            </w:r>
          </w:p>
        </w:tc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techniques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modern</w:t>
            </w:r>
          </w:p>
        </w:tc>
        <w:tc>
          <w:tcPr>
            <w:tcW w:type="dxa" w:w="1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1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molecular</w:t>
            </w:r>
          </w:p>
        </w:tc>
      </w:tr>
    </w:tbl>
    <w:p>
      <w:pPr>
        <w:autoSpaceDN w:val="0"/>
        <w:autoSpaceDE w:val="0"/>
        <w:widowControl/>
        <w:spacing w:line="166" w:lineRule="exact" w:before="55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approaches. These methods help detect, identify, and measure bacterial contamination in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water samples (Adams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Culture-Based Methods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Traditional culture-based methods, such as the pour plate method and spread plate method,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widely employed. These involve growing bacteria from a water sample on agar plates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counting the resulting colonies. The membrane filtration method, on the other hand, filters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through a membrane to trap bacteria, which are then cultured on an agar plate (Venter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et al</w:t>
      </w:r>
      <w:r>
        <w:rPr>
          <w:spacing w:val="-10"/>
          <w:rFonts w:ascii="" w:hAnsi="" w:eastAsia=""/>
          <w:color w:val="000008"/>
          <w:sz w:val="24"/>
        </w:rPr>
        <w:t>., 2019). These methods are effective for identifying bacterial species and estimating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contamination levels.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Antibacterial Activity Testing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 addition to identifying bacteria, antibacterial activity testing evaluates substances' ability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prevent bacterial growth. The disk diffusion method involves placing an antibacterial agent</w:t>
      </w:r>
    </w:p>
    <w:p>
      <w:pPr>
        <w:autoSpaceDN w:val="0"/>
        <w:autoSpaceDE w:val="0"/>
        <w:widowControl/>
        <w:spacing w:line="206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on a bacterial culture, where a clear zone of inhibition indicates its effectiveness. The broth</w:t>
      </w:r>
    </w:p>
    <w:p>
      <w:pPr>
        <w:autoSpaceDN w:val="0"/>
        <w:autoSpaceDE w:val="0"/>
        <w:widowControl/>
        <w:spacing w:line="218" w:lineRule="exact" w:before="34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dilution method measures the minimum concentration of an antibacterial agent needed to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inhibit bacterial growth, offering insight into its potency (Myles and Hope, 2019).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2.6.3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Molecular Methods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Molecular techniques, such as polymerase chain reaction (PCR), allow for more sensitive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rapid detection of bacterial DNA, even in low concentrations. Real-time PCR (qPCR) further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enhances this capability by providing real-time quantification of bacterial contamination,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00" w:type="dxa"/>
        <w:gridCol w:w="340" w:type="dxa"/>
        <w:gridCol w:w="1160" w:type="dxa"/>
        <w:gridCol w:w="1000" w:type="dxa"/>
        <w:gridCol w:w="480" w:type="dxa"/>
        <w:gridCol w:w="1100" w:type="dxa"/>
        <w:gridCol w:w="1280" w:type="dxa"/>
        <w:gridCol w:w="1220" w:type="dxa"/>
        <w:gridCol w:w="2240" w:type="dxa"/>
      </w:tblGrid>
      <w:tr>
        <w:trPr>
          <w:trHeight w:hRule="exact" w:val="338"/>
        </w:trPr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making</w:t>
            </w:r>
          </w:p>
        </w:tc>
        <w:tc>
          <w:tcPr>
            <w:tcW w:type="dxa" w:w="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it</w:t>
            </w:r>
          </w:p>
        </w:tc>
        <w:tc>
          <w:tcPr>
            <w:tcW w:type="dxa" w:w="1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especially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valuable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for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assessing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waterborne</w:t>
            </w:r>
          </w:p>
        </w:tc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pathogens.</w:t>
            </w:r>
          </w:p>
        </w:tc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1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Next-generation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sequencing (NGS) offers a comprehensive approach by sequencing the entire microbial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community in water, identifying multiple bacterial species, including those that traditional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methods may miss (Edberg and Parker, 2020).</w:t>
      </w:r>
    </w:p>
    <w:p>
      <w:pPr>
        <w:autoSpaceDN w:val="0"/>
        <w:autoSpaceDE w:val="0"/>
        <w:widowControl/>
        <w:spacing w:line="164" w:lineRule="exact" w:before="163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THREE</w:t>
      </w:r>
    </w:p>
    <w:p>
      <w:pPr>
        <w:autoSpaceDN w:val="0"/>
        <w:autoSpaceDE w:val="0"/>
        <w:widowControl/>
        <w:spacing w:line="166" w:lineRule="exact" w:before="62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MATERIALS AND METHODS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Description of the Sample Site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study was conducted in Ilorin, the capital city of Kwara State, Nigeria. Ilorin is located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north-central region of Nigeria and serves as an important cultural, economic,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administrative center in the region (</w:t>
      </w:r>
      <w:r>
        <w:rPr>
          <w:spacing w:val="-10"/>
          <w:rFonts w:ascii="" w:hAnsi="" w:eastAsia=""/>
          <w:color w:val="000008"/>
          <w:sz w:val="24"/>
        </w:rPr>
        <w:t>Abdulraheeem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al.,</w:t>
      </w:r>
      <w:r>
        <w:rPr>
          <w:spacing w:val="-10"/>
          <w:rFonts w:ascii="" w:hAnsi="" w:eastAsia=""/>
          <w:color w:val="000008"/>
          <w:sz w:val="24"/>
        </w:rPr>
        <w:t xml:space="preserve"> 2022)</w:t>
      </w:r>
      <w:r>
        <w:rPr>
          <w:spacing w:val="-10"/>
          <w:rFonts w:ascii="" w:hAnsi="" w:eastAsia=""/>
          <w:color w:val="000000"/>
          <w:sz w:val="24"/>
        </w:rPr>
        <w:t>. The city is situated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approximately 300 kilometers northwest of Abuja, the nation's capital. Ilorin has a diverse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population, with a mix of urban and rural settlements. It is home to various industries,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educational institutions, and a growing population, all of which contribute to the demand for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water from various sources. The city experiences a tropical climate with distinct wet and dry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seasons, influencing the availability and quality of water throughout the year.</w:t>
      </w:r>
      <w:r>
        <w:rPr>
          <w:spacing w:val="-10"/>
          <w:rFonts w:ascii="" w:hAnsi="" w:eastAsia=""/>
          <w:color w:val="000008"/>
          <w:sz w:val="24"/>
        </w:rPr>
        <w:t xml:space="preserve"> The sachet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 samples were collected from sachet water production companies located around Kwara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State Polytechnic, Ilorin, Kwara State. This area was chosen due to its proximity to various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brands and its representation of water commonly consumed within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polytechnic community and surrounding neighborhoods.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Sample Collection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Sachet water samples were collected from four different production companies within the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vicinity of Kwara State Polytechnic, Ilorin. The selected brands included AW, BW , KW 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40" w:type="dxa"/>
        <w:gridCol w:w="1620" w:type="dxa"/>
        <w:gridCol w:w="6560" w:type="dxa"/>
      </w:tblGrid>
      <w:tr>
        <w:trPr>
          <w:trHeight w:hRule="exact" w:val="338"/>
        </w:trPr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9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VW and YW</w:t>
            </w:r>
          </w:p>
        </w:tc>
        <w:tc>
          <w:tcPr>
            <w:tcW w:type="dxa" w:w="1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. Each sample</w:t>
            </w:r>
          </w:p>
        </w:tc>
        <w:tc>
          <w:tcPr>
            <w:tcW w:type="dxa" w:w="65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1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were obtained directly from the production sites to ensure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33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authenticity and to minimize the risk of external contamination. The samples were stored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tabs>
          <w:tab w:pos="7428" w:val="left"/>
        </w:tabs>
        <w:autoSpaceDE w:val="0"/>
        <w:widowControl/>
        <w:spacing w:line="218" w:lineRule="exact" w:before="0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adequately and transported to Microbiology laboratory of </w:t>
      </w:r>
      <w:r>
        <w:tab/>
      </w:r>
      <w:r>
        <w:rPr>
          <w:spacing w:val="-10"/>
          <w:rFonts w:ascii="" w:hAnsi="" w:eastAsia=""/>
          <w:color w:val="000008"/>
          <w:sz w:val="24"/>
        </w:rPr>
        <w:t>kwara state polytechnic for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analysis within 24 hours of collection.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2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Sampling procedure and Preservation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Each sample was collected in its original packaging, ensuring that the sachets were intact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free from visible damage. To prevent contamination during transportation, the samples were</w:t>
      </w:r>
    </w:p>
    <w:p>
      <w:pPr>
        <w:autoSpaceDN w:val="0"/>
        <w:autoSpaceDE w:val="0"/>
        <w:widowControl/>
        <w:spacing w:line="166" w:lineRule="exact" w:before="29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25</w:t>
      </w:r>
    </w:p>
    <w:p>
      <w:pPr>
        <w:sectPr>
          <w:type w:val="continuous"/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2" w:after="0"/>
        <w:ind w:left="0" w:right="0"/>
      </w:pPr>
    </w:p>
    <w:p>
      <w:pPr>
        <w:autoSpaceDN w:val="0"/>
        <w:autoSpaceDE w:val="0"/>
        <w:widowControl/>
        <w:spacing w:line="222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placed in sterile, insulated containers with ice packs to maintain a temperature of 4</w:t>
      </w:r>
      <w:r>
        <w:rPr>
          <w:spacing w:val="-10"/>
          <w:rFonts w:ascii="" w:hAnsi="" w:eastAsia=""/>
          <w:color w:val="000000"/>
          <w:sz w:val="24"/>
        </w:rPr>
        <w:t>°</w:t>
      </w:r>
      <w:r>
        <w:rPr>
          <w:spacing w:val="-10"/>
          <w:rFonts w:ascii="" w:hAnsi="" w:eastAsia=""/>
          <w:color w:val="000000"/>
          <w:sz w:val="24"/>
        </w:rPr>
        <w:t>C. This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method helped preserve the integrity of the water and prevent microbial growth. All samples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were transported to the laboratory and analyzed within 24 hours to ensure accurate and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reliable results.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Physicochemical analysis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pH of the water samples were measured using a calibrated digital pH meter. The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electrode was immersed in the water sample, and the pH reading was recorded (Goldoni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2023). The pH range shows an indication of the acidity or alkalinity of the water, which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critical for determining its safety for consumption. According to the World Health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Organization (WHO) guidelines, the acceptable pH range for drinking water is between 6.5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and 8.5 (WHO, 2023)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Temperature measurement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temperature was measured in-situ for the water samples using a mercury thermometer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(Deutsch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2019). The thermometer was dipped into the water sample, and the</w:t>
      </w:r>
    </w:p>
    <w:p>
      <w:pPr>
        <w:autoSpaceDN w:val="0"/>
        <w:autoSpaceDE w:val="0"/>
        <w:widowControl/>
        <w:spacing w:line="222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temperature was noted and recorded in degrees Celsius (</w:t>
      </w:r>
      <w:r>
        <w:rPr>
          <w:spacing w:val="-10"/>
          <w:rFonts w:ascii="" w:hAnsi="" w:eastAsia=""/>
          <w:color w:val="000000"/>
          <w:sz w:val="24"/>
        </w:rPr>
        <w:t>°</w:t>
      </w:r>
      <w:r>
        <w:rPr>
          <w:spacing w:val="-10"/>
          <w:rFonts w:ascii="" w:hAnsi="" w:eastAsia=""/>
          <w:color w:val="000000"/>
          <w:sz w:val="24"/>
        </w:rPr>
        <w:t>C).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Turbidity Measurement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turbidity was determined using a turbidity meter (</w:t>
      </w:r>
      <w:r>
        <w:rPr>
          <w:spacing w:val="-10"/>
          <w:rFonts w:ascii="" w:hAnsi="" w:eastAsia=""/>
          <w:color w:val="000000"/>
          <w:sz w:val="24"/>
        </w:rPr>
        <w:t>Kim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</w:t>
      </w:r>
      <w:r>
        <w:rPr>
          <w:spacing w:val="-10"/>
          <w:rFonts w:ascii="" w:hAnsi="" w:eastAsia=""/>
          <w:color w:val="000008"/>
          <w:sz w:val="24"/>
        </w:rPr>
        <w:t>. Water samples were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placed in a cuvette, and turbidity was recorded in nephelometric turbidity units (NTU).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Electrical Conductivity (EC) Measurement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EC was measured using a conductivity meter (Pei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2019). The probe was rinsed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with distilled water and immersed in the water sample, and the EC value was recorded in</w:t>
      </w:r>
    </w:p>
    <w:p>
      <w:pPr>
        <w:autoSpaceDN w:val="0"/>
        <w:autoSpaceDE w:val="0"/>
        <w:widowControl/>
        <w:spacing w:line="218" w:lineRule="exact" w:before="332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microsiemens per centimeter (µS/cm).</w:t>
      </w:r>
    </w:p>
    <w:p>
      <w:pPr>
        <w:autoSpaceDN w:val="0"/>
        <w:autoSpaceDE w:val="0"/>
        <w:widowControl/>
        <w:spacing w:line="166" w:lineRule="exact" w:before="155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tabs>
          <w:tab w:pos="1920" w:val="left"/>
        </w:tabs>
        <w:autoSpaceDE w:val="0"/>
        <w:widowControl/>
        <w:spacing w:line="166" w:lineRule="exact" w:before="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3.3.5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Dissolved Solids (TDS)</w:t>
      </w:r>
    </w:p>
    <w:p>
      <w:pPr>
        <w:autoSpaceDN w:val="0"/>
        <w:autoSpaceDE w:val="0"/>
        <w:widowControl/>
        <w:spacing w:line="218" w:lineRule="exact" w:before="336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total dissolved solids (TDS) in the water samples were determined using a TDS meter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(Johnson et al., 2021). The meter probe was inserted into the water sample, and the TDS value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was recorded in milligrams per liter (mg/L) (Kim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3.3.6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Dissolved Oxygen (DO)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dissolved oxygen (DO) levels in the water samples were measured using a DO meter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(Alvarez et al., 2022). The sensor was immersed in the water sample, and the DO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concentration was recorded in milligrams per liter (mg/L).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3.3.7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Hardness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Total hardness was measured using the EDTA titration method (Collins et al., 2020).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known volume of the water sample was titrated with EDTA solution in the presence of an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(Pei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2019). The endpoint was noted, and the total hardness was calculated in</w:t>
      </w:r>
    </w:p>
    <w:p>
      <w:pPr>
        <w:autoSpaceDN w:val="0"/>
        <w:autoSpaceDE w:val="0"/>
        <w:widowControl/>
        <w:spacing w:line="25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milligrams per liter (mg/L) of calcium carbonate (CaCO</w:t>
      </w:r>
      <w:r>
        <w:rPr>
          <w:spacing w:val="-10"/>
          <w:rFonts w:ascii="" w:hAnsi="" w:eastAsia=""/>
          <w:color w:val="000008"/>
          <w:sz w:val="24"/>
        </w:rPr>
        <w:t>₃</w:t>
      </w:r>
      <w:r>
        <w:rPr>
          <w:spacing w:val="-10"/>
          <w:rFonts w:ascii="" w:hAnsi="" w:eastAsia=""/>
          <w:color w:val="000008"/>
          <w:sz w:val="24"/>
        </w:rPr>
        <w:t xml:space="preserve"> 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29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Microbial Analysis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Colony Count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total colony count (TCC) was determined to estimate the number of viable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microorganisms present in the water samples. Aliquots of the water sample that has been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serially diluted were inoculated onto nutrient agar plates using the pour plate method. The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plates were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24–48 hours, and the resulting colonies were counted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manually. The Results were expressed as colony-forming units per milliliter (CFU/mL).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Fungal Count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total fungal count (TFC) was conducted to determine the presence of fungi in the water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samples. The serially diluted water samples were inoculated onto Sabouraud Dextrose Agar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(SDA) plates supplemented with to inhibit bacterial growth. The plates were incubated at</w:t>
      </w:r>
    </w:p>
    <w:p>
      <w:pPr>
        <w:autoSpaceDN w:val="0"/>
        <w:autoSpaceDE w:val="0"/>
        <w:widowControl/>
        <w:spacing w:line="166" w:lineRule="exact" w:before="100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2" w:after="0"/>
        <w:ind w:left="0" w:right="0"/>
      </w:pPr>
    </w:p>
    <w:p>
      <w:pPr>
        <w:autoSpaceDN w:val="0"/>
        <w:autoSpaceDE w:val="0"/>
        <w:widowControl/>
        <w:spacing w:line="222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25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3–5 days. Fungal colonies were then identified and quantified, with results recorded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as CFU/mL.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426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 Viable Count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total viable count (TVC) was used to estimate the overall microbial load in the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samples. Using the pour plate method, aliquots of the diluted water samples were innoculated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using poured plate method. The plates were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24–48 hours, after which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total number of visible colonies were counted manually and recorded as CFU/mL.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8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3.4.4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Total</w:t>
      </w:r>
      <w:r>
        <w:rPr>
          <w:spacing w:val="-10"/>
          <w:rFonts w:ascii="" w:hAnsi="" w:eastAsia=""/>
          <w:b/>
          <w:i/>
          <w:color w:val="000000"/>
          <w:sz w:val="24"/>
        </w:rPr>
        <w:t xml:space="preserve"> Escherichia coli</w:t>
      </w:r>
      <w:r>
        <w:rPr>
          <w:spacing w:val="-10"/>
          <w:rFonts w:ascii="" w:hAnsi="" w:eastAsia=""/>
          <w:b/>
          <w:color w:val="000000"/>
          <w:sz w:val="24"/>
        </w:rPr>
        <w:t xml:space="preserve"> Count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of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 xml:space="preserve"> was assessed using MacConkey agar and Eosin Methylene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Blue (EMB) agar. Aliquots of the water samples were inoculated onto the agar plates and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 hours. Colonies with characteristic features, such as a metallic green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sheen on EMB agar, were counted as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>. Results were expressed as CFU/mL.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274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Morphological and Microscopic Identification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00" w:type="dxa"/>
        <w:gridCol w:w="2180" w:type="dxa"/>
        <w:gridCol w:w="400" w:type="dxa"/>
        <w:gridCol w:w="800" w:type="dxa"/>
        <w:gridCol w:w="1380" w:type="dxa"/>
        <w:gridCol w:w="540" w:type="dxa"/>
        <w:gridCol w:w="1500" w:type="dxa"/>
        <w:gridCol w:w="1060" w:type="dxa"/>
        <w:gridCol w:w="960" w:type="dxa"/>
      </w:tblGrid>
      <w:tr>
        <w:trPr>
          <w:trHeight w:hRule="exact" w:val="338"/>
        </w:trPr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Colony</w:t>
            </w:r>
          </w:p>
        </w:tc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characteristics such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as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shape,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size, color,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and</w:t>
            </w:r>
          </w:p>
        </w:tc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texture were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observed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12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for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morphological identification. The isolates were further subjected to microscopic examination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using Gram staining to classify them into Gram-positive and Gram-negative bacteria.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Biochemical Testing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Biochemical tests are laboratory procedures used to identify and differentiate bacterial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species based on their metabolic activities (Sila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</w:t>
      </w:r>
      <w:r>
        <w:rPr>
          <w:spacing w:val="-10"/>
          <w:rFonts w:ascii="" w:hAnsi="" w:eastAsia=""/>
          <w:color w:val="000000"/>
          <w:sz w:val="24"/>
        </w:rPr>
        <w:t xml:space="preserve"> Biochemical tests which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4880" w:type="dxa"/>
        <w:gridCol w:w="2800" w:type="dxa"/>
        <w:gridCol w:w="2540" w:type="dxa"/>
      </w:tblGrid>
      <w:tr>
        <w:trPr>
          <w:trHeight w:hRule="exact" w:val="338"/>
        </w:trPr>
        <w:tc>
          <w:tcPr>
            <w:tcW w:type="dxa" w:w="4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600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includes catalase, coagulase, oxidase, and</w:t>
            </w:r>
          </w:p>
        </w:tc>
        <w:tc>
          <w:tcPr>
            <w:tcW w:type="dxa" w:w="2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Indole and endospore test</w:t>
            </w:r>
          </w:p>
        </w:tc>
        <w:tc>
          <w:tcPr>
            <w:tcW w:type="dxa" w:w="2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12" w:right="0" w:firstLine="0"/>
              <w:jc w:val="left"/>
            </w:pPr>
            <w:r>
              <w:rPr>
                <w:spacing w:val="-10"/>
                <w:rFonts w:ascii="" w:hAnsi="" w:eastAsia=""/>
                <w:color w:val="000000"/>
                <w:sz w:val="24"/>
              </w:rPr>
              <w:t>were performed to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identify and characterize the bacterial species present in the water samples (</w:t>
      </w:r>
      <w:r>
        <w:rPr>
          <w:spacing w:val="-10"/>
          <w:rFonts w:ascii="" w:hAnsi="" w:eastAsia=""/>
          <w:color w:val="000008"/>
          <w:sz w:val="24"/>
        </w:rPr>
        <w:t>Ogunleye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2021)</w:t>
      </w:r>
      <w:r>
        <w:rPr>
          <w:spacing w:val="-10"/>
          <w:rFonts w:ascii="" w:hAnsi="" w:eastAsia=""/>
          <w:color w:val="000000"/>
          <w:sz w:val="24"/>
        </w:rPr>
        <w:t>.</w:t>
      </w:r>
    </w:p>
    <w:p>
      <w:pPr>
        <w:autoSpaceDN w:val="0"/>
        <w:autoSpaceDE w:val="0"/>
        <w:widowControl/>
        <w:spacing w:line="166" w:lineRule="exact" w:before="336" w:after="0"/>
        <w:ind w:left="156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1. Catalase test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catalase test is a biochemical procedure used to determine whether a bacterial isolate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produces the enzyme catalase. Catalase plays a vital role in breaking down hydrogen</w:t>
      </w:r>
    </w:p>
    <w:p>
      <w:pPr>
        <w:autoSpaceDN w:val="0"/>
        <w:autoSpaceDE w:val="0"/>
        <w:widowControl/>
        <w:spacing w:line="166" w:lineRule="exact" w:before="49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peroxide, a toxic by-product of cellular metabolism, into water and oxygen. This reaction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important because the accumulation of hydrogen peroxide can be harmful to bacterial cells.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presence or absence of this enzyme is often used to distinguish between different groups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of bacteria. For example, species of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</w:t>
      </w:r>
      <w:r>
        <w:rPr>
          <w:spacing w:val="-10"/>
          <w:rFonts w:ascii="" w:hAnsi="" w:eastAsia=""/>
          <w:color w:val="000008"/>
          <w:sz w:val="24"/>
        </w:rPr>
        <w:t xml:space="preserve"> are catalase-positive, whereas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Streptococcus</w:t>
      </w:r>
      <w:r>
        <w:rPr>
          <w:spacing w:val="-10"/>
          <w:rFonts w:ascii="" w:hAnsi="" w:eastAsia=""/>
          <w:color w:val="000008"/>
          <w:sz w:val="24"/>
        </w:rPr>
        <w:t xml:space="preserve"> species are catalase-negative.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this test, a small amount of the bacterial colony was transferred onto a clean glass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slide using a sterile loop, following the procedure described by Chukwu et al. (2020). After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transferring the colony, a few drops of 3% hydrogen peroxide were added directly onto it.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reaction was observed immediately.The appearance of bubbles within a few seconds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indicated a positive result, confirming that the bacteria produce catalase, which rapidly breaks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down the hydrogen peroxide and releases oxygen gas. If no bubbles appeared, the result was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considered negative, suggesting that the organism does not produce the enzyme.</w:t>
      </w:r>
    </w:p>
    <w:p>
      <w:pPr>
        <w:autoSpaceDN w:val="0"/>
        <w:autoSpaceDE w:val="0"/>
        <w:widowControl/>
        <w:spacing w:line="214" w:lineRule="exact" w:before="338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2.</w:t>
      </w:r>
      <w:r>
        <w:rPr>
          <w:spacing w:val="-10"/>
          <w:rFonts w:ascii="" w:hAnsi="" w:eastAsia=""/>
          <w:b/>
          <w:color w:val="000000"/>
          <w:sz w:val="24"/>
        </w:rPr>
        <w:t xml:space="preserve"> Coagulase Test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coagulase test is used to identify Staphylococcus aureus by detecting the presence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coagulase, an enzyme that causes blood plasma to clot. This test differentiates between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coagulase-positive Staphylococcus aureus and coagulase-negative</w:t>
      </w:r>
      <w:r>
        <w:rPr>
          <w:spacing w:val="-10"/>
          <w:rFonts w:ascii="" w:hAnsi="" w:eastAsia=""/>
          <w:i/>
          <w:color w:val="000000"/>
          <w:sz w:val="24"/>
        </w:rPr>
        <w:t xml:space="preserve"> Staphylococcus</w:t>
      </w:r>
      <w:r>
        <w:rPr>
          <w:spacing w:val="-10"/>
          <w:rFonts w:ascii="" w:hAnsi="" w:eastAsia=""/>
          <w:color w:val="000000"/>
          <w:sz w:val="24"/>
        </w:rPr>
        <w:t xml:space="preserve"> species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(Chukwu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2020).</w:t>
      </w:r>
    </w:p>
    <w:p>
      <w:pPr>
        <w:autoSpaceDN w:val="0"/>
        <w:autoSpaceDE w:val="0"/>
        <w:widowControl/>
        <w:spacing w:line="218" w:lineRule="exact" w:before="334" w:after="0"/>
        <w:ind w:left="194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 bacterial colony was emulsified in a small amount of sterile saline to form a smooth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suspension. A drop of rabbit plasma was added to the bacterial suspension, and the mixture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was incubated at 37</w:t>
      </w:r>
      <w:r>
        <w:rPr>
          <w:spacing w:val="-10"/>
          <w:rFonts w:ascii="" w:hAnsi="" w:eastAsia=""/>
          <w:color w:val="000000"/>
          <w:sz w:val="24"/>
        </w:rPr>
        <w:t>°</w:t>
      </w:r>
      <w:r>
        <w:rPr>
          <w:spacing w:val="-10"/>
          <w:rFonts w:ascii="" w:hAnsi="" w:eastAsia=""/>
          <w:color w:val="000000"/>
          <w:sz w:val="24"/>
        </w:rPr>
        <w:t>C for 4–24 hours. The presence of clot formation indicates a positive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coagulase reaction, while the absence of clot formation indicates a negative result.</w:t>
      </w:r>
    </w:p>
    <w:p>
      <w:pPr>
        <w:autoSpaceDN w:val="0"/>
        <w:autoSpaceDE w:val="0"/>
        <w:widowControl/>
        <w:spacing w:line="166" w:lineRule="exact" w:before="338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3.</w:t>
      </w:r>
      <w:r>
        <w:rPr>
          <w:spacing w:val="-10"/>
          <w:rFonts w:ascii="" w:hAnsi="" w:eastAsia=""/>
          <w:b/>
          <w:color w:val="000000"/>
          <w:sz w:val="24"/>
        </w:rPr>
        <w:t xml:space="preserve"> Oxidase Test</w:t>
      </w:r>
    </w:p>
    <w:p>
      <w:pPr>
        <w:autoSpaceDN w:val="0"/>
        <w:autoSpaceDE w:val="0"/>
        <w:widowControl/>
        <w:spacing w:line="218" w:lineRule="exact" w:before="38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The oxidase test is used to determine if bacteria produce cytochrome C oxidase, an enzyme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involved in the electron transport chain during aerobic respiration. It is commonly used to</w:t>
      </w:r>
    </w:p>
    <w:p>
      <w:pPr>
        <w:autoSpaceDN w:val="0"/>
        <w:autoSpaceDE w:val="0"/>
        <w:widowControl/>
        <w:spacing w:line="166" w:lineRule="exact" w:before="120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29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differentiate oxidase-positive bacteria such as</w:t>
      </w:r>
      <w:r>
        <w:rPr>
          <w:spacing w:val="-10"/>
          <w:rFonts w:ascii="" w:hAnsi="" w:eastAsia=""/>
          <w:i/>
          <w:color w:val="000000"/>
          <w:sz w:val="24"/>
        </w:rPr>
        <w:t xml:space="preserve"> Pseudomonas</w:t>
      </w:r>
      <w:r>
        <w:rPr>
          <w:spacing w:val="-10"/>
          <w:rFonts w:ascii="" w:hAnsi="" w:eastAsia=""/>
          <w:color w:val="000000"/>
          <w:sz w:val="24"/>
        </w:rPr>
        <w:t xml:space="preserve"> from oxidase-negative bacteria</w:t>
      </w:r>
    </w:p>
    <w:p>
      <w:pPr>
        <w:autoSpaceDN w:val="0"/>
        <w:autoSpaceDE w:val="0"/>
        <w:widowControl/>
        <w:spacing w:line="170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like Enterobacteriaceae.</w:t>
      </w:r>
    </w:p>
    <w:p>
      <w:pPr>
        <w:autoSpaceDN w:val="0"/>
        <w:autoSpaceDE w:val="0"/>
        <w:widowControl/>
        <w:spacing w:line="218" w:lineRule="exact" w:before="382" w:after="0"/>
        <w:ind w:left="192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A piece of filter paper was soaked with a few drops of oxidase reagent (tetramethyl-p-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phenylenediamine dihydrochloride). A bacterial colony was then transferred onto the filter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paper using a sterile loop. A purple color change within 30 seconds indicates a positive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0"/>
          <w:sz w:val="24"/>
        </w:rPr>
        <w:t>oxidase reaction, while no color change indicates a negative result (Chinwada</w:t>
      </w:r>
      <w:r>
        <w:rPr>
          <w:spacing w:val="-10"/>
          <w:rFonts w:ascii="" w:hAnsi="" w:eastAsia=""/>
          <w:i/>
          <w:color w:val="000000"/>
          <w:sz w:val="24"/>
        </w:rPr>
        <w:t xml:space="preserve"> et al</w:t>
      </w:r>
      <w:r>
        <w:rPr>
          <w:spacing w:val="-10"/>
          <w:rFonts w:ascii="" w:hAnsi="" w:eastAsia=""/>
          <w:color w:val="000000"/>
          <w:sz w:val="24"/>
        </w:rPr>
        <w:t>., 2020).</w:t>
      </w:r>
    </w:p>
    <w:p>
      <w:pPr>
        <w:autoSpaceDN w:val="0"/>
        <w:autoSpaceDE w:val="0"/>
        <w:widowControl/>
        <w:spacing w:line="170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4.</w:t>
      </w:r>
      <w:r>
        <w:rPr>
          <w:spacing w:val="-10"/>
          <w:rFonts w:ascii="" w:hAnsi="" w:eastAsia=""/>
          <w:color w:val="000008"/>
          <w:sz w:val="24"/>
        </w:rPr>
        <w:t xml:space="preserve"> Indole Test</w:t>
      </w:r>
    </w:p>
    <w:p>
      <w:pPr>
        <w:autoSpaceDN w:val="0"/>
        <w:autoSpaceDE w:val="0"/>
        <w:widowControl/>
        <w:spacing w:line="170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indole test is used to determine whether bacteria can break down the amino acid</w:t>
      </w:r>
    </w:p>
    <w:p>
      <w:pPr>
        <w:autoSpaceDN w:val="0"/>
        <w:autoSpaceDE w:val="0"/>
        <w:widowControl/>
        <w:spacing w:line="218" w:lineRule="exact" w:before="38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tryptophan to produce indole. This test helps in identifying bacteria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>.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 bacterial colony was inoculated into a tryptone broth and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24 hours.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After incubation, a few drops of Kovac’s reagent were added. A red color at the surface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broth indicates a positive result (indole production), while a yellow or unchanged color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indicates a negative result (Ogunleye et al., 2021).</w:t>
      </w:r>
    </w:p>
    <w:p>
      <w:pPr>
        <w:autoSpaceDN w:val="0"/>
        <w:autoSpaceDE w:val="0"/>
        <w:widowControl/>
        <w:spacing w:line="170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5.</w:t>
      </w:r>
      <w:r>
        <w:rPr>
          <w:spacing w:val="-10"/>
          <w:rFonts w:ascii="" w:hAnsi="" w:eastAsia=""/>
          <w:color w:val="000008"/>
          <w:sz w:val="24"/>
        </w:rPr>
        <w:t xml:space="preserve"> Citrate Utilization Test</w:t>
      </w:r>
    </w:p>
    <w:p>
      <w:pPr>
        <w:autoSpaceDN w:val="0"/>
        <w:autoSpaceDE w:val="0"/>
        <w:widowControl/>
        <w:spacing w:line="170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citrate utilization test determines whether bacteria can use citrate as their sole carbon</w:t>
      </w:r>
    </w:p>
    <w:p>
      <w:pPr>
        <w:autoSpaceDN w:val="0"/>
        <w:autoSpaceDE w:val="0"/>
        <w:widowControl/>
        <w:spacing w:line="218" w:lineRule="exact" w:before="38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source, which helps differentiate</w:t>
      </w:r>
      <w:r>
        <w:rPr>
          <w:spacing w:val="-10"/>
          <w:rFonts w:ascii="" w:hAnsi="" w:eastAsia=""/>
          <w:i/>
          <w:color w:val="000008"/>
          <w:sz w:val="24"/>
        </w:rPr>
        <w:t xml:space="preserve"> Enterobacteriaceae</w:t>
      </w:r>
      <w:r>
        <w:rPr>
          <w:spacing w:val="-10"/>
          <w:rFonts w:ascii="" w:hAnsi="" w:eastAsia=""/>
          <w:color w:val="000008"/>
          <w:sz w:val="24"/>
        </w:rPr>
        <w:t xml:space="preserve"> species.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 bacterial colony was streaked onto Simmon’s citrate agar and incubated at 37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 for 48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hours. A color change from green to blue indicates a positive result (citrate utilization), while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no color change indicates a negative result (Chukwu et al., 2020).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Lactophenol Test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identification of fungal species in the water samples was performed using direct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microscopic examination and lactophenol cotton blue stains. Fungal isolates from Sabouraud</w:t>
      </w:r>
    </w:p>
    <w:p>
      <w:pPr>
        <w:autoSpaceDN w:val="0"/>
        <w:autoSpaceDE w:val="0"/>
        <w:widowControl/>
        <w:spacing w:line="218" w:lineRule="exact" w:before="33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Dextrose Agar (SDA) plates were picked and emulsified on clean glass slides containing a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drop of sterile water. A drop of lactophenol cotton blue dye was added to the fungal specimen,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a coverslip was placed over it. The slide was examined under a microscope to observe</w:t>
      </w:r>
    </w:p>
    <w:p>
      <w:pPr>
        <w:autoSpaceDN w:val="0"/>
        <w:autoSpaceDE w:val="0"/>
        <w:widowControl/>
        <w:spacing w:line="166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fungal structures such as hyphae, conidia, and spores for morphological identification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(</w:t>
      </w:r>
      <w:r>
        <w:rPr>
          <w:spacing w:val="-10"/>
          <w:rFonts w:ascii="" w:hAnsi="" w:eastAsia=""/>
          <w:color w:val="000008"/>
          <w:sz w:val="24"/>
        </w:rPr>
        <w:t>Cunliffe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2021)</w:t>
      </w:r>
      <w:r>
        <w:rPr>
          <w:spacing w:val="-10"/>
          <w:rFonts w:ascii="" w:hAnsi="" w:eastAsia=""/>
          <w:color w:val="000000"/>
          <w:sz w:val="24"/>
        </w:rPr>
        <w:t>.</w:t>
      </w:r>
      <w:r>
        <w:rPr>
          <w:spacing w:val="-10"/>
          <w:rFonts w:ascii="" w:hAnsi="" w:eastAsia=""/>
          <w:color w:val="000008"/>
          <w:sz w:val="24"/>
        </w:rPr>
        <w:t xml:space="preserve"> The fungal species were identified by comparing the observed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structures to standard identification keys and charts.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3.5.3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Endospore Test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endospore test was carried out to check whether the bacterial isolates could form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endospores, which are tough, protective structures produced in harsh conditions. A small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amount of bacterial culture grown on nutrient agar was smeared on a clean glass slide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heat-fixed. Malachite green stain was applied to the smear, and the slide was gently heated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for about 5 minutes to help the dye penetrate the endospores. After cooling, the slide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rinsed with water and then counterstained with safranin for 30 seconds. A coverslip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placed on the slide, and it was observed under a microscope using the oil immersion lens.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Under the microscope, endospores appeared green, while the rest of the bacterial cells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(vegetative cells) appeared pink (Gerhardt et al., 2020).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3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3.6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Data Analysis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collected data were analyzed to evaluate the quality of the sachet water samples.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Descriptive statistics, including means, standard deviations, and percentage prevalence, were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used to summarize the physicochemical parameters, fungal and bacterial counts for each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sample. For microbiological analysis, the occurrence of bacterial and fungal species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recorded and expressed as percentages of prevalence in the samples. Data analysis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performed using SPSS</w:t>
      </w:r>
      <w:r>
        <w:rPr>
          <w:spacing w:val="-10"/>
          <w:rFonts w:ascii="" w:hAnsi="" w:eastAsia=""/>
          <w:color w:val="000000"/>
          <w:sz w:val="24"/>
        </w:rPr>
        <w:t xml:space="preserve"> (Statistical Package for the Social Sciences)</w:t>
      </w:r>
      <w:r>
        <w:rPr>
          <w:spacing w:val="-10"/>
          <w:rFonts w:ascii="" w:hAnsi="" w:eastAsia=""/>
          <w:color w:val="000008"/>
          <w:sz w:val="24"/>
        </w:rPr>
        <w:t xml:space="preserve"> with a significance level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set at p &lt; 0.05 (Zou</w:t>
      </w:r>
      <w:r>
        <w:rPr>
          <w:spacing w:val="-10"/>
          <w:rFonts w:ascii="" w:hAnsi="" w:eastAsia=""/>
          <w:i/>
          <w:color w:val="000008"/>
          <w:sz w:val="24"/>
        </w:rPr>
        <w:t xml:space="preserve"> et al</w:t>
      </w:r>
      <w:r>
        <w:rPr>
          <w:spacing w:val="-10"/>
          <w:rFonts w:ascii="" w:hAnsi="" w:eastAsia=""/>
          <w:color w:val="000008"/>
          <w:sz w:val="24"/>
        </w:rPr>
        <w:t>., 2020). The results were compared with established water quality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standards from the World Health Organization (WHO) and Nigerian regulatory bodies to</w:t>
      </w:r>
    </w:p>
    <w:p>
      <w:pPr>
        <w:autoSpaceDN w:val="0"/>
        <w:autoSpaceDE w:val="0"/>
        <w:widowControl/>
        <w:spacing w:line="218" w:lineRule="exact" w:before="33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determine the safety and suitability of the sachet water for human consumption</w:t>
      </w:r>
    </w:p>
    <w:p>
      <w:pPr>
        <w:autoSpaceDN w:val="0"/>
        <w:autoSpaceDE w:val="0"/>
        <w:widowControl/>
        <w:spacing w:line="166" w:lineRule="exact" w:before="167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26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FOUR</w:t>
      </w:r>
    </w:p>
    <w:p>
      <w:pPr>
        <w:autoSpaceDN w:val="0"/>
        <w:tabs>
          <w:tab w:pos="5528" w:val="left"/>
        </w:tabs>
        <w:autoSpaceDE w:val="0"/>
        <w:widowControl/>
        <w:spacing w:line="166" w:lineRule="exact" w:before="358" w:after="0"/>
        <w:ind w:left="4826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4.0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RESULTS</w:t>
      </w:r>
    </w:p>
    <w:p>
      <w:pPr>
        <w:autoSpaceDN w:val="0"/>
        <w:tabs>
          <w:tab w:pos="1920" w:val="left"/>
        </w:tabs>
        <w:autoSpaceDE w:val="0"/>
        <w:widowControl/>
        <w:spacing w:line="214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4.1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Physicochemical Parameters of sachet water sample</w:t>
      </w:r>
    </w:p>
    <w:p>
      <w:pPr>
        <w:autoSpaceDN w:val="0"/>
        <w:autoSpaceDE w:val="0"/>
        <w:widowControl/>
        <w:spacing w:line="218" w:lineRule="exact" w:before="334" w:after="0"/>
        <w:ind w:left="12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Chapter four presents the physicochemical characteristics of five different sachet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 ABS WATER , (AW,) BASIC WATER (BW), KWARA POLYECHNIC WATER</w:t>
      </w:r>
    </w:p>
    <w:p>
      <w:pPr>
        <w:autoSpaceDN w:val="0"/>
        <w:tabs>
          <w:tab w:pos="4704" w:val="left"/>
        </w:tabs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(KW),OLUWATOYIN WATER </w:t>
      </w:r>
      <w:r>
        <w:tab/>
      </w:r>
      <w:r>
        <w:rPr>
          <w:spacing w:val="-10"/>
          <w:rFonts w:ascii="" w:hAnsi="" w:eastAsia=""/>
          <w:color w:val="000008"/>
          <w:sz w:val="24"/>
        </w:rPr>
        <w:t>(OW), and YINTO TABLE WATER (YW) collected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within Ilorin, Kwara State. The parameters assessed include pH, Temperature, Dissolved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Oxygen (DO), Turbidity, Electrical Conductivity (EC), Total Dissolved solids (TDS), and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Salinity. The values are reported as mean</w:t>
      </w:r>
      <w:r>
        <w:rPr>
          <w:spacing w:val="-10"/>
          <w:rFonts w:ascii="" w:hAnsi="" w:eastAsia=""/>
          <w:color w:val="000008"/>
          <w:sz w:val="24"/>
        </w:rPr>
        <w:t xml:space="preserve"> ± standard deviation and interpreted in relation to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World Health Organization (WHO) permissible limits for potable water. Superscript letters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used to indicate significant differences (p &lt; 0.05) among the samples for each parameter,</w:t>
      </w:r>
    </w:p>
    <w:p>
      <w:pPr>
        <w:autoSpaceDN w:val="0"/>
        <w:autoSpaceDE w:val="0"/>
        <w:widowControl/>
        <w:spacing w:line="170" w:lineRule="exact" w:before="334" w:after="322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while asterisks denote whether the values fall within or exceed WHO standards.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60" w:type="dxa"/>
      </w:tblPr>
      <w:tblGrid>
        <w:gridCol w:w="2020" w:type="dxa"/>
        <w:gridCol w:w="900" w:type="dxa"/>
        <w:gridCol w:w="760" w:type="dxa"/>
        <w:gridCol w:w="800" w:type="dxa"/>
        <w:gridCol w:w="1480" w:type="dxa"/>
        <w:gridCol w:w="640" w:type="dxa"/>
        <w:gridCol w:w="600" w:type="dxa"/>
        <w:gridCol w:w="860" w:type="dxa"/>
        <w:gridCol w:w="480" w:type="dxa"/>
        <w:gridCol w:w="1320" w:type="dxa"/>
      </w:tblGrid>
      <w:tr>
        <w:trPr>
          <w:trHeight w:hRule="exact" w:val="338"/>
        </w:trPr>
        <w:tc>
          <w:tcPr>
            <w:tcW w:type="dxa" w:w="2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Dissolved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11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oxygen</w:t>
            </w:r>
          </w:p>
        </w:tc>
        <w:tc>
          <w:tcPr>
            <w:tcW w:type="dxa" w:w="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levels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varied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considerably,</w:t>
            </w:r>
          </w:p>
        </w:tc>
        <w:tc>
          <w:tcPr>
            <w:tcW w:type="dxa" w:w="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with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AW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having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lowest</w:t>
            </w:r>
          </w:p>
        </w:tc>
      </w:tr>
    </w:tbl>
    <w:p>
      <w:pPr>
        <w:autoSpaceDN w:val="0"/>
        <w:autoSpaceDE w:val="0"/>
        <w:widowControl/>
        <w:spacing w:line="226" w:lineRule="exact" w:before="26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concentration at 3.20</w:t>
      </w:r>
      <w:r>
        <w:rPr>
          <w:spacing w:val="-10"/>
          <w:rFonts w:ascii="" w:hAnsi="" w:eastAsia=""/>
          <w:color w:val="000008"/>
          <w:sz w:val="24"/>
        </w:rPr>
        <w:t xml:space="preserve"> ± 0.16 mg/L, below the WHO minimum of 5.0 mg/L. The highest</w:t>
      </w:r>
    </w:p>
    <w:p>
      <w:pPr>
        <w:autoSpaceDN w:val="0"/>
        <w:autoSpaceDE w:val="0"/>
        <w:widowControl/>
        <w:spacing w:line="228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concentration was recorded in OW (17.30</w:t>
      </w:r>
      <w:r>
        <w:rPr>
          <w:spacing w:val="-10"/>
          <w:rFonts w:ascii="" w:hAnsi="" w:eastAsia=""/>
          <w:color w:val="000008"/>
          <w:sz w:val="24"/>
        </w:rPr>
        <w:t xml:space="preserve"> ± 0.87 mg/L), which differed significantly from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other samples. This variation may be attributed to differences in microbial activity or aeration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during production and storage. Turbidity values in all samples were within permissible limits,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with KW and BW recording the clearest samples. Although the turbidity levels were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acceptable, statistical differences were still observed among the samples.</w:t>
      </w:r>
    </w:p>
    <w:p>
      <w:pPr>
        <w:autoSpaceDN w:val="0"/>
        <w:autoSpaceDE w:val="0"/>
        <w:widowControl/>
        <w:spacing w:line="228" w:lineRule="exact" w:before="32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Electrical conductivity values ranged from 51.00</w:t>
      </w:r>
      <w:r>
        <w:rPr>
          <w:spacing w:val="-10"/>
          <w:rFonts w:ascii="" w:hAnsi="" w:eastAsia=""/>
          <w:color w:val="000008"/>
          <w:sz w:val="24"/>
        </w:rPr>
        <w:t xml:space="preserve"> ± 2.55 µS/cm in OW to 100.00 ± 5.00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µS/cm in YW, all were within the WHO threshold of 500 µS/cm. The relatively low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conductivity suggests minimal presence of dissolved salts or ionic substances in the samples.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Similarly, the TDS levels were all below the maximum permissible limit of 500 mg/L, with</w:t>
      </w:r>
    </w:p>
    <w:p>
      <w:pPr>
        <w:autoSpaceDN w:val="0"/>
        <w:autoSpaceDE w:val="0"/>
        <w:widowControl/>
        <w:spacing w:line="228" w:lineRule="exact" w:before="32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highest being 59.00</w:t>
      </w:r>
      <w:r>
        <w:rPr>
          <w:spacing w:val="-10"/>
          <w:rFonts w:ascii="" w:hAnsi="" w:eastAsia=""/>
          <w:color w:val="000008"/>
          <w:sz w:val="24"/>
        </w:rPr>
        <w:t xml:space="preserve"> ± 2.95 mg/L in AW and the lowest 35.00 ± 1.75 mg/L in OW. These</w:t>
      </w:r>
    </w:p>
    <w:p>
      <w:pPr>
        <w:autoSpaceDN w:val="0"/>
        <w:autoSpaceDE w:val="0"/>
        <w:widowControl/>
        <w:spacing w:line="166" w:lineRule="exact" w:before="66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values further affirm the low ionic content of the sachet water assessed. Salinity was not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covered under WHO drinking water standards but was measured for completeness. The</w:t>
      </w:r>
    </w:p>
    <w:p>
      <w:pPr>
        <w:autoSpaceDN w:val="0"/>
        <w:autoSpaceDE w:val="0"/>
        <w:widowControl/>
        <w:spacing w:line="224" w:lineRule="exact" w:before="328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values ranged from 32.00</w:t>
      </w:r>
      <w:r>
        <w:rPr>
          <w:spacing w:val="-10"/>
          <w:rFonts w:ascii="" w:hAnsi="" w:eastAsia=""/>
          <w:color w:val="000008"/>
          <w:sz w:val="24"/>
        </w:rPr>
        <w:t xml:space="preserve"> ± 1.60 ppm in BW to 47.00 ± 2.35 ppm in YW, showing mild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variations among the samples.</w:t>
      </w:r>
    </w:p>
    <w:p>
      <w:pPr>
        <w:autoSpaceDN w:val="0"/>
        <w:autoSpaceDE w:val="0"/>
        <w:widowControl/>
        <w:spacing w:line="166" w:lineRule="exact" w:before="1224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1257300</wp:posOffset>
            </wp:positionV>
            <wp:extent cx="5756909" cy="294767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2947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608" w:type="dxa"/>
        <w:gridCol w:w="8418" w:type="dxa"/>
      </w:tblGrid>
      <w:tr>
        <w:trPr>
          <w:trHeight w:hRule="exact" w:val="502"/>
        </w:trPr>
        <w:tc>
          <w:tcPr>
            <w:tcW w:type="dxa" w:w="60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4.1</w:t>
            </w:r>
          </w:p>
        </w:tc>
        <w:tc>
          <w:tcPr>
            <w:tcW w:type="dxa" w:w="841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0" w:after="0"/>
              <w:ind w:left="220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Physicochemical Parameters of Water Samples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80" w:type="dxa"/>
      </w:tblPr>
      <w:tblGrid>
        <w:gridCol w:w="2220" w:type="dxa"/>
        <w:gridCol w:w="1120" w:type="dxa"/>
        <w:gridCol w:w="1100" w:type="dxa"/>
        <w:gridCol w:w="1120" w:type="dxa"/>
        <w:gridCol w:w="1120" w:type="dxa"/>
        <w:gridCol w:w="1180" w:type="dxa"/>
        <w:gridCol w:w="1960" w:type="dxa"/>
      </w:tblGrid>
      <w:tr>
        <w:trPr>
          <w:trHeight w:hRule="exact" w:val="284"/>
        </w:trPr>
        <w:tc>
          <w:tcPr>
            <w:tcW w:type="dxa" w:w="2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338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Parameters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AW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BW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KW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OW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YW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452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WHO</w:t>
            </w:r>
          </w:p>
        </w:tc>
      </w:tr>
    </w:tbl>
    <w:p>
      <w:pPr>
        <w:autoSpaceDN w:val="0"/>
        <w:autoSpaceDE w:val="0"/>
        <w:widowControl/>
        <w:spacing w:line="166" w:lineRule="exact" w:before="60" w:after="0"/>
        <w:ind w:left="0" w:right="1520" w:firstLine="0"/>
        <w:jc w:val="right"/>
      </w:pPr>
      <w:r>
        <w:rPr>
          <w:spacing w:val="-10"/>
          <w:rFonts w:ascii="" w:hAnsi="" w:eastAsia=""/>
          <w:b/>
          <w:color w:val="000008"/>
          <w:sz w:val="24"/>
        </w:rPr>
        <w:t>Permissible</w:t>
      </w:r>
    </w:p>
    <w:p>
      <w:pPr>
        <w:autoSpaceDN w:val="0"/>
        <w:autoSpaceDE w:val="0"/>
        <w:widowControl/>
        <w:spacing w:line="164" w:lineRule="exact" w:before="120" w:after="66"/>
        <w:ind w:left="0" w:right="1828" w:firstLine="0"/>
        <w:jc w:val="right"/>
      </w:pPr>
      <w:r>
        <w:rPr>
          <w:spacing w:val="-10"/>
          <w:rFonts w:ascii="" w:hAnsi="" w:eastAsia=""/>
          <w:b/>
          <w:color w:val="000008"/>
          <w:sz w:val="24"/>
        </w:rPr>
        <w:t>Limit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628" w:type="dxa"/>
        <w:gridCol w:w="92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1657" w:type="dxa"/>
      </w:tblGrid>
      <w:tr>
        <w:trPr>
          <w:trHeight w:hRule="exact" w:val="306"/>
        </w:trPr>
        <w:tc>
          <w:tcPr>
            <w:tcW w:type="dxa" w:w="162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54" w:after="0"/>
              <w:ind w:left="12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Temperature</w:t>
            </w:r>
          </w:p>
        </w:tc>
        <w:tc>
          <w:tcPr>
            <w:tcW w:type="dxa" w:w="9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23.60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23.20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24.00</w:t>
            </w:r>
          </w:p>
        </w:tc>
        <w:tc>
          <w:tcPr>
            <w:tcW w:type="dxa" w:w="3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18.00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19.80</w:t>
            </w:r>
          </w:p>
        </w:tc>
        <w:tc>
          <w:tcPr>
            <w:tcW w:type="dxa" w:w="3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9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65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4" w:lineRule="exact" w:before="42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25 – 30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°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C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740" w:type="dxa"/>
        <w:gridCol w:w="1600" w:type="dxa"/>
        <w:gridCol w:w="112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1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5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°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C)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20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1.18ᵇ**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1.16ᵇ**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1.20ᵇ**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0.90ᵃ**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0.99ᵃ**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00" w:type="dxa"/>
        <w:gridCol w:w="980" w:type="dxa"/>
        <w:gridCol w:w="440" w:type="dxa"/>
        <w:gridCol w:w="680" w:type="dxa"/>
        <w:gridCol w:w="44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2060" w:type="dxa"/>
      </w:tblGrid>
      <w:tr>
        <w:trPr>
          <w:trHeight w:hRule="exact" w:val="316"/>
        </w:trPr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6" w:after="0"/>
              <w:ind w:left="0" w:right="4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Dissolved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15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3.20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1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8.20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11.30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17.30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7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13.20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56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≥5.0mg/L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80" w:type="dxa"/>
        <w:gridCol w:w="1060" w:type="dxa"/>
        <w:gridCol w:w="106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2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15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Oxygen (mg/L)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0.16ᵃ**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0.41ᵇ*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0.57ᶜ*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0.87ᵉ*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0.66ᵈ*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960" w:type="dxa"/>
        <w:gridCol w:w="1020" w:type="dxa"/>
        <w:gridCol w:w="440" w:type="dxa"/>
        <w:gridCol w:w="680" w:type="dxa"/>
        <w:gridCol w:w="440" w:type="dxa"/>
        <w:gridCol w:w="680" w:type="dxa"/>
        <w:gridCol w:w="420" w:type="dxa"/>
        <w:gridCol w:w="680" w:type="dxa"/>
        <w:gridCol w:w="440" w:type="dxa"/>
        <w:gridCol w:w="680" w:type="dxa"/>
        <w:gridCol w:w="420" w:type="dxa"/>
        <w:gridCol w:w="2060" w:type="dxa"/>
      </w:tblGrid>
      <w:tr>
        <w:trPr>
          <w:trHeight w:hRule="exact" w:val="314"/>
        </w:trPr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2" w:after="0"/>
              <w:ind w:left="0" w:right="4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Turbidity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15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2.60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1.70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1.60</w:t>
            </w:r>
          </w:p>
        </w:tc>
        <w:tc>
          <w:tcPr>
            <w:tcW w:type="dxa" w:w="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9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2.40</w:t>
            </w:r>
          </w:p>
        </w:tc>
        <w:tc>
          <w:tcPr>
            <w:tcW w:type="dxa" w:w="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4.20</w:t>
            </w:r>
          </w:p>
        </w:tc>
        <w:tc>
          <w:tcPr>
            <w:tcW w:type="dxa" w:w="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6" w:lineRule="exact" w:before="58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≤5.0NTU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60" w:type="dxa"/>
        <w:gridCol w:w="1420" w:type="dxa"/>
        <w:gridCol w:w="112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1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(NTU)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27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0.13ᶜ*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0.09ᵇ*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0.08ᵇ*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0.12ᶜ*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0.21ᵈ*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980" w:type="dxa"/>
        <w:gridCol w:w="106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1100" w:type="dxa"/>
        <w:gridCol w:w="2160" w:type="dxa"/>
      </w:tblGrid>
      <w:tr>
        <w:trPr>
          <w:trHeight w:hRule="exact" w:val="314"/>
        </w:trPr>
        <w:tc>
          <w:tcPr>
            <w:tcW w:type="dxa" w:w="1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4" w:after="0"/>
              <w:ind w:left="0" w:right="44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Electrical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89.00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69.00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88.00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51.00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1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100.00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±</w:t>
            </w:r>
          </w:p>
        </w:tc>
        <w:tc>
          <w:tcPr>
            <w:tcW w:type="dxa" w:w="2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56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≤500µS/cm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60" w:type="dxa"/>
        <w:gridCol w:w="1120" w:type="dxa"/>
        <w:gridCol w:w="1120" w:type="dxa"/>
        <w:gridCol w:w="110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21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27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Conductivity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4.45ᶜ*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3.45ᵇ*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4.40ᶜ*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2.55ᵃ*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5.00ᵈ*</w:t>
            </w:r>
          </w:p>
        </w:tc>
      </w:tr>
    </w:tbl>
    <w:p>
      <w:pPr>
        <w:autoSpaceDN w:val="0"/>
        <w:autoSpaceDE w:val="0"/>
        <w:widowControl/>
        <w:spacing w:line="218" w:lineRule="exact" w:before="32" w:after="32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(µS/cm)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00" w:type="dxa"/>
        <w:gridCol w:w="74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2080" w:type="dxa"/>
      </w:tblGrid>
      <w:tr>
        <w:trPr>
          <w:trHeight w:hRule="exact" w:val="292"/>
        </w:trPr>
        <w:tc>
          <w:tcPr>
            <w:tcW w:type="dxa" w:w="2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0" w:after="0"/>
              <w:ind w:left="0" w:right="9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Dissolved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59.00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46.00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58.00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35.00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42.00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2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≤500mg/L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00" w:type="dxa"/>
        <w:gridCol w:w="1080" w:type="dxa"/>
        <w:gridCol w:w="1100" w:type="dxa"/>
        <w:gridCol w:w="1120" w:type="dxa"/>
        <w:gridCol w:w="1120" w:type="dxa"/>
        <w:gridCol w:w="2520" w:type="dxa"/>
      </w:tblGrid>
      <w:tr>
        <w:trPr>
          <w:trHeight w:hRule="exact" w:val="310"/>
        </w:trPr>
        <w:tc>
          <w:tcPr>
            <w:tcW w:type="dxa" w:w="2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23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Solids (mg/L)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2.95ᵉ*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2.30ᶜ*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2.90ᵈ*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1.75ᵃ*</w:t>
            </w:r>
          </w:p>
        </w:tc>
        <w:tc>
          <w:tcPr>
            <w:tcW w:type="dxa" w:w="2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2.10ᵇ*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220" w:type="dxa"/>
        <w:gridCol w:w="820" w:type="dxa"/>
        <w:gridCol w:w="380" w:type="dxa"/>
        <w:gridCol w:w="740" w:type="dxa"/>
        <w:gridCol w:w="380" w:type="dxa"/>
        <w:gridCol w:w="740" w:type="dxa"/>
        <w:gridCol w:w="360" w:type="dxa"/>
        <w:gridCol w:w="740" w:type="dxa"/>
        <w:gridCol w:w="380" w:type="dxa"/>
        <w:gridCol w:w="720" w:type="dxa"/>
        <w:gridCol w:w="380" w:type="dxa"/>
        <w:gridCol w:w="2180" w:type="dxa"/>
      </w:tblGrid>
      <w:tr>
        <w:trPr>
          <w:trHeight w:hRule="exact" w:val="312"/>
        </w:trPr>
        <w:tc>
          <w:tcPr>
            <w:tcW w:type="dxa" w:w="2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2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Salinity (ppm)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41.00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32.00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40.00</w:t>
            </w:r>
          </w:p>
        </w:tc>
        <w:tc>
          <w:tcPr>
            <w:tcW w:type="dxa" w:w="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33.00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47.00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 specified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2728" w:type="dxa"/>
        <w:gridCol w:w="1100" w:type="dxa"/>
        <w:gridCol w:w="1120" w:type="dxa"/>
        <w:gridCol w:w="1120" w:type="dxa"/>
        <w:gridCol w:w="2957" w:type="dxa"/>
      </w:tblGrid>
      <w:tr>
        <w:trPr>
          <w:trHeight w:hRule="exact" w:val="300"/>
        </w:trPr>
        <w:tc>
          <w:tcPr>
            <w:tcW w:type="dxa" w:w="272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3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2.05ᶜ</w:t>
            </w:r>
          </w:p>
        </w:tc>
        <w:tc>
          <w:tcPr>
            <w:tcW w:type="dxa" w:w="11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1.60ᵃ</w:t>
            </w:r>
          </w:p>
        </w:tc>
        <w:tc>
          <w:tcPr>
            <w:tcW w:type="dxa" w:w="112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2.00ᶜ</w:t>
            </w:r>
          </w:p>
        </w:tc>
        <w:tc>
          <w:tcPr>
            <w:tcW w:type="dxa" w:w="112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1.65ᵇ</w:t>
            </w:r>
          </w:p>
        </w:tc>
        <w:tc>
          <w:tcPr>
            <w:tcW w:type="dxa" w:w="295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33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2.35ᵈ</w:t>
            </w:r>
          </w:p>
        </w:tc>
      </w:tr>
    </w:tbl>
    <w:p>
      <w:pPr>
        <w:autoSpaceDN w:val="0"/>
        <w:autoSpaceDE w:val="0"/>
        <w:widowControl/>
        <w:spacing w:line="218" w:lineRule="exact" w:before="56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Key: ᵃ, ᵇ, ᶜ...: Values within a row that do not share the same superscript are significantly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different (p &lt; 0.05) based on post hoc comparison; values with the same letter are not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significantly different. *: Value falls within WHO permissible limits. **: Value is outside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WHO permissible limits.</w:t>
      </w:r>
    </w:p>
    <w:p>
      <w:pPr>
        <w:autoSpaceDN w:val="0"/>
        <w:autoSpaceDE w:val="0"/>
        <w:widowControl/>
        <w:spacing w:line="164" w:lineRule="exact" w:before="789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6" w:after="0"/>
        <w:ind w:left="0" w:right="0"/>
      </w:pPr>
    </w:p>
    <w:p>
      <w:pPr>
        <w:autoSpaceDN w:val="0"/>
        <w:tabs>
          <w:tab w:pos="1920" w:val="left"/>
        </w:tabs>
        <w:autoSpaceDE w:val="0"/>
        <w:widowControl/>
        <w:spacing w:line="166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4.2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Microbiological Analysis</w:t>
      </w:r>
    </w:p>
    <w:p>
      <w:pPr>
        <w:autoSpaceDN w:val="0"/>
        <w:tabs>
          <w:tab w:pos="1920" w:val="left"/>
        </w:tabs>
        <w:autoSpaceDE w:val="0"/>
        <w:widowControl/>
        <w:spacing w:line="166" w:lineRule="exact" w:before="376" w:after="0"/>
        <w:ind w:left="120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4.2.1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Microbial Counts</w:t>
      </w:r>
    </w:p>
    <w:p>
      <w:pPr>
        <w:autoSpaceDN w:val="0"/>
        <w:autoSpaceDE w:val="0"/>
        <w:widowControl/>
        <w:spacing w:line="218" w:lineRule="exact" w:before="41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Table 4.2 presents the results of the microbiological analysis of the five sachet water samples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(AW, BW, KW, OW, and YW) collected from different production sources within Ilorin,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Kwara State. The parameters assessed include Total Viable Count (TVC), Total Coliform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Count (TCC),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 xml:space="preserve"> (E. coli), and Total Fungi Count, all expressed in colony-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forming units per millilitre (CFU/mL).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Total Viable Count, which indicates the overall level of microbial activity in</w:t>
      </w:r>
    </w:p>
    <w:p>
      <w:pPr>
        <w:autoSpaceDN w:val="0"/>
        <w:autoSpaceDE w:val="0"/>
        <w:widowControl/>
        <w:spacing w:line="22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water, ranged from 7.00</w:t>
      </w:r>
      <w:r>
        <w:rPr>
          <w:spacing w:val="-10"/>
          <w:rFonts w:ascii="" w:hAnsi="" w:eastAsia=""/>
          <w:color w:val="000008"/>
          <w:sz w:val="24"/>
        </w:rPr>
        <w:t xml:space="preserve"> ± 0.35 CFU/mL in OW to 231.00 ± 11.55 CFU/mL in YW. Although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AW, BW, KW, and OW recorded relatively low microbial loads, the sample from YW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showed a notably high count, suggesting potential microbial contamination and poor hygienic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conditions during processing or packaging.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Total Coliform Count was not detected in sample AW but was present in all other</w:t>
      </w:r>
    </w:p>
    <w:p>
      <w:pPr>
        <w:autoSpaceDN w:val="0"/>
        <w:autoSpaceDE w:val="0"/>
        <w:widowControl/>
        <w:spacing w:line="22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samples, with the highest level found in OW (51.00</w:t>
      </w:r>
      <w:r>
        <w:rPr>
          <w:spacing w:val="-10"/>
          <w:rFonts w:ascii="" w:hAnsi="" w:eastAsia=""/>
          <w:color w:val="000008"/>
          <w:sz w:val="24"/>
        </w:rPr>
        <w:t xml:space="preserve"> ± 2.55 CFU/mL) and the lowest in YW</w:t>
      </w:r>
    </w:p>
    <w:p>
      <w:pPr>
        <w:autoSpaceDN w:val="0"/>
        <w:autoSpaceDE w:val="0"/>
        <w:widowControl/>
        <w:spacing w:line="22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(3.00</w:t>
      </w:r>
      <w:r>
        <w:rPr>
          <w:spacing w:val="-10"/>
          <w:rFonts w:ascii="" w:hAnsi="" w:eastAsia=""/>
          <w:color w:val="000008"/>
          <w:sz w:val="24"/>
        </w:rPr>
        <w:t xml:space="preserve"> ± 0.15 CFU/mL). The presence of coliforms in drinking water is an indication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possible fecal contamination or poor sanitation during production. These findings raise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concerns, particularly for OW and BW, which recorded higher values.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All five samples tested negative for</w:t>
      </w:r>
      <w:r>
        <w:rPr>
          <w:spacing w:val="-10"/>
          <w:rFonts w:ascii="" w:hAnsi="" w:eastAsia=""/>
          <w:i/>
          <w:color w:val="000008"/>
          <w:sz w:val="24"/>
        </w:rPr>
        <w:t xml:space="preserve"> E. coli</w:t>
      </w:r>
      <w:r>
        <w:rPr>
          <w:spacing w:val="-10"/>
          <w:rFonts w:ascii="" w:hAnsi="" w:eastAsia=""/>
          <w:color w:val="000008"/>
          <w:sz w:val="24"/>
        </w:rPr>
        <w:t>, indicating the absence of this specific fecal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indicator organism in the water samples. Likewise, no fungal growth was detected in any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samples. This suggests that, while some bacterial contamination was evident, fungal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contamination was either absent or below detectable limits under the laboratory conditions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employed</w:t>
      </w:r>
    </w:p>
    <w:p>
      <w:pPr>
        <w:autoSpaceDN w:val="0"/>
        <w:autoSpaceDE w:val="0"/>
        <w:widowControl/>
        <w:spacing w:line="164" w:lineRule="exact" w:before="219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35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1610360</wp:posOffset>
            </wp:positionV>
            <wp:extent cx="5756909" cy="1675129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67512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48" w:after="0"/>
        <w:ind w:left="0" w:right="0"/>
      </w:pPr>
    </w:p>
    <w:p>
      <w:pPr>
        <w:autoSpaceDN w:val="0"/>
        <w:autoSpaceDE w:val="0"/>
        <w:widowControl/>
        <w:spacing w:line="22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Table 4.2: Microbiological Analysis (Mean</w:t>
      </w:r>
      <w:r>
        <w:rPr>
          <w:spacing w:val="-10"/>
          <w:rFonts w:ascii="" w:hAnsi="" w:eastAsia=""/>
          <w:color w:val="000008"/>
          <w:sz w:val="24"/>
        </w:rPr>
        <w:t xml:space="preserve"> ± SD) of Sachet Water Samples Collected in</w:t>
      </w:r>
    </w:p>
    <w:p>
      <w:pPr>
        <w:autoSpaceDN w:val="0"/>
        <w:autoSpaceDE w:val="0"/>
        <w:widowControl/>
        <w:spacing w:line="170" w:lineRule="exact" w:before="334" w:after="33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Ilorin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2288" w:type="dxa"/>
        <w:gridCol w:w="1420" w:type="dxa"/>
        <w:gridCol w:w="1300" w:type="dxa"/>
        <w:gridCol w:w="1320" w:type="dxa"/>
        <w:gridCol w:w="1320" w:type="dxa"/>
        <w:gridCol w:w="1377" w:type="dxa"/>
      </w:tblGrid>
      <w:tr>
        <w:trPr>
          <w:trHeight w:hRule="exact" w:val="300"/>
        </w:trPr>
        <w:tc>
          <w:tcPr>
            <w:tcW w:type="dxa" w:w="2288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53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Parameter</w:t>
            </w:r>
          </w:p>
        </w:tc>
        <w:tc>
          <w:tcPr>
            <w:tcW w:type="dxa" w:w="142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44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AW</w:t>
            </w:r>
          </w:p>
        </w:tc>
        <w:tc>
          <w:tcPr>
            <w:tcW w:type="dxa" w:w="130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BW</w:t>
            </w:r>
          </w:p>
        </w:tc>
        <w:tc>
          <w:tcPr>
            <w:tcW w:type="dxa" w:w="132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KW</w:t>
            </w:r>
          </w:p>
        </w:tc>
        <w:tc>
          <w:tcPr>
            <w:tcW w:type="dxa" w:w="1320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OW</w:t>
            </w:r>
          </w:p>
        </w:tc>
        <w:tc>
          <w:tcPr>
            <w:tcW w:type="dxa" w:w="1378"/>
            <w:tcBorders>
              <w:top w:sz="8.0" w:val="single" w:color="000000"/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YW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740" w:type="dxa"/>
        <w:gridCol w:w="980" w:type="dxa"/>
        <w:gridCol w:w="480" w:type="dxa"/>
        <w:gridCol w:w="820" w:type="dxa"/>
        <w:gridCol w:w="480" w:type="dxa"/>
        <w:gridCol w:w="840" w:type="dxa"/>
        <w:gridCol w:w="480" w:type="dxa"/>
        <w:gridCol w:w="1300" w:type="dxa"/>
        <w:gridCol w:w="940" w:type="dxa"/>
        <w:gridCol w:w="1040" w:type="dxa"/>
      </w:tblGrid>
      <w:tr>
        <w:trPr>
          <w:trHeight w:hRule="exact" w:val="292"/>
        </w:trPr>
        <w:tc>
          <w:tcPr>
            <w:tcW w:type="dxa" w:w="2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4" w:after="0"/>
              <w:ind w:left="6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Viable Count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14.00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1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26.00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18.00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0" w:right="11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7.00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± 0.35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231.00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8" w:after="0"/>
              <w:ind w:left="20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1520" w:type="dxa"/>
        <w:gridCol w:w="1320" w:type="dxa"/>
        <w:gridCol w:w="1960" w:type="dxa"/>
        <w:gridCol w:w="2640" w:type="dxa"/>
      </w:tblGrid>
      <w:tr>
        <w:trPr>
          <w:trHeight w:hRule="exact" w:val="312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44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0.70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1.30</w:t>
            </w:r>
          </w:p>
        </w:tc>
        <w:tc>
          <w:tcPr>
            <w:tcW w:type="dxa" w:w="1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46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0.90</w:t>
            </w:r>
          </w:p>
        </w:tc>
        <w:tc>
          <w:tcPr>
            <w:tcW w:type="dxa" w:w="2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0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11.55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900" w:type="dxa"/>
        <w:gridCol w:w="940" w:type="dxa"/>
        <w:gridCol w:w="1180" w:type="dxa"/>
        <w:gridCol w:w="480" w:type="dxa"/>
        <w:gridCol w:w="840" w:type="dxa"/>
        <w:gridCol w:w="480" w:type="dxa"/>
        <w:gridCol w:w="820" w:type="dxa"/>
        <w:gridCol w:w="480" w:type="dxa"/>
        <w:gridCol w:w="1940" w:type="dxa"/>
      </w:tblGrid>
      <w:tr>
        <w:trPr>
          <w:trHeight w:hRule="exact" w:val="290"/>
        </w:trPr>
        <w:tc>
          <w:tcPr>
            <w:tcW w:type="dxa" w:w="2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2" w:after="0"/>
              <w:ind w:left="6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 Coliform Count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70" w:after="0"/>
              <w:ind w:left="1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26.00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1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13.00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11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6" w:after="0"/>
              <w:ind w:left="11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51.00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2" w:lineRule="exact" w:before="106" w:after="0"/>
              <w:ind w:left="0" w:right="1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±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4" w:lineRule="exact" w:before="58" w:after="0"/>
              <w:ind w:left="12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3.00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± 0.15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1760" w:type="dxa"/>
        <w:gridCol w:w="1080" w:type="dxa"/>
        <w:gridCol w:w="1300" w:type="dxa"/>
        <w:gridCol w:w="2600" w:type="dxa"/>
      </w:tblGrid>
      <w:tr>
        <w:trPr>
          <w:trHeight w:hRule="exact" w:val="314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2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23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1.30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0.65</w:t>
            </w:r>
          </w:p>
        </w:tc>
        <w:tc>
          <w:tcPr>
            <w:tcW w:type="dxa" w:w="2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46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2.55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880" w:type="dxa"/>
        <w:gridCol w:w="960" w:type="dxa"/>
        <w:gridCol w:w="1300" w:type="dxa"/>
        <w:gridCol w:w="1320" w:type="dxa"/>
        <w:gridCol w:w="1300" w:type="dxa"/>
        <w:gridCol w:w="1940" w:type="dxa"/>
      </w:tblGrid>
      <w:tr>
        <w:trPr>
          <w:trHeight w:hRule="exact" w:val="286"/>
        </w:trPr>
        <w:tc>
          <w:tcPr>
            <w:tcW w:type="dxa" w:w="2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62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</w:t>
            </w: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 xml:space="preserve"> E. coli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Count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13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10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340" w:type="dxa"/>
        <w:gridCol w:w="1760" w:type="dxa"/>
        <w:gridCol w:w="1300" w:type="dxa"/>
        <w:gridCol w:w="1320" w:type="dxa"/>
        <w:gridCol w:w="1300" w:type="dxa"/>
        <w:gridCol w:w="1940" w:type="dxa"/>
      </w:tblGrid>
      <w:tr>
        <w:trPr>
          <w:trHeight w:hRule="exact" w:val="312"/>
        </w:trPr>
        <w:tc>
          <w:tcPr>
            <w:tcW w:type="dxa" w:w="2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2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3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820" w:type="dxa"/>
        <w:gridCol w:w="820" w:type="dxa"/>
        <w:gridCol w:w="960" w:type="dxa"/>
        <w:gridCol w:w="1300" w:type="dxa"/>
        <w:gridCol w:w="1320" w:type="dxa"/>
        <w:gridCol w:w="1300" w:type="dxa"/>
        <w:gridCol w:w="1940" w:type="dxa"/>
      </w:tblGrid>
      <w:tr>
        <w:trPr>
          <w:trHeight w:hRule="exact" w:val="312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1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Total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Fungi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Count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13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  <w:tc>
          <w:tcPr>
            <w:tcW w:type="dxa" w:w="1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10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Not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848" w:type="dxa"/>
        <w:gridCol w:w="1760" w:type="dxa"/>
        <w:gridCol w:w="1300" w:type="dxa"/>
        <w:gridCol w:w="1320" w:type="dxa"/>
        <w:gridCol w:w="1300" w:type="dxa"/>
        <w:gridCol w:w="1497" w:type="dxa"/>
      </w:tblGrid>
      <w:tr>
        <w:trPr>
          <w:trHeight w:hRule="exact" w:val="298"/>
        </w:trPr>
        <w:tc>
          <w:tcPr>
            <w:tcW w:type="dxa" w:w="184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13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(CFU/mL)</w:t>
            </w:r>
          </w:p>
        </w:tc>
        <w:tc>
          <w:tcPr>
            <w:tcW w:type="dxa" w:w="176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2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2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3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  <w:tc>
          <w:tcPr>
            <w:tcW w:type="dxa" w:w="149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23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Detected</w:t>
            </w:r>
          </w:p>
        </w:tc>
      </w:tr>
    </w:tbl>
    <w:p>
      <w:pPr>
        <w:autoSpaceDN w:val="0"/>
        <w:autoSpaceDE w:val="0"/>
        <w:widowControl/>
        <w:spacing w:line="38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180" w:type="dxa"/>
        <w:gridCol w:w="8360" w:type="dxa"/>
      </w:tblGrid>
      <w:tr>
        <w:trPr>
          <w:trHeight w:hRule="exact" w:val="334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2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4.2.2</w:t>
            </w:r>
          </w:p>
        </w:tc>
        <w:tc>
          <w:tcPr>
            <w:tcW w:type="dxa" w:w="8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140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Morphological and Microscopic Characteristics of Bacterial Isolates</w:t>
            </w:r>
          </w:p>
        </w:tc>
      </w:tr>
    </w:tbl>
    <w:p>
      <w:pPr>
        <w:autoSpaceDN w:val="0"/>
        <w:autoSpaceDE w:val="0"/>
        <w:widowControl/>
        <w:spacing w:line="218" w:lineRule="exact" w:before="30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Table 4.3 presents the colonial morphology and microscopic characteristics of bacterial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isolates recovered from the sachet water samples. Four distinct isolates, designated as B1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through B4, were identified based on colony shape, pigmentation, surface appearance, Gram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reaction, and cellular arrangement under the microscope. Isolate B1 exhibited an irregular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yellow mucoid colony, was Gram-positive, and appeared as single rod-shaped cells. B2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formed round white colonies with a rough, entire edge. It was also Gram-positive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appeared as clustered cocci, suggesting the possible presence of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</w:t>
      </w:r>
      <w:r>
        <w:rPr>
          <w:spacing w:val="-10"/>
          <w:rFonts w:ascii="" w:hAnsi="" w:eastAsia=""/>
          <w:color w:val="000008"/>
          <w:sz w:val="24"/>
        </w:rPr>
        <w:t xml:space="preserve"> species. B3,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on the other hand, had circular creamy colonies with smooth, entire margins. It was Gram-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negative and rod-shaped, appearing in chains, which is characteristic of some enteric bacteria.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Lastly, B4 showed feathery off-white dry colonies and was identified as Gram-negative cocci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arranged in pairs, indicating a possible</w:t>
      </w:r>
      <w:r>
        <w:rPr>
          <w:spacing w:val="-10"/>
          <w:rFonts w:ascii="" w:hAnsi="" w:eastAsia=""/>
          <w:i/>
          <w:color w:val="000008"/>
          <w:sz w:val="24"/>
        </w:rPr>
        <w:t xml:space="preserve"> Neisseria</w:t>
      </w:r>
      <w:r>
        <w:rPr>
          <w:spacing w:val="-10"/>
          <w:rFonts w:ascii="" w:hAnsi="" w:eastAsia=""/>
          <w:color w:val="000008"/>
          <w:sz w:val="24"/>
        </w:rPr>
        <w:t xml:space="preserve"> or related genus.</w:t>
      </w:r>
    </w:p>
    <w:p>
      <w:pPr>
        <w:autoSpaceDN w:val="0"/>
        <w:autoSpaceDE w:val="0"/>
        <w:widowControl/>
        <w:spacing w:line="164" w:lineRule="exact" w:before="3698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1639570</wp:posOffset>
            </wp:positionV>
            <wp:extent cx="5756909" cy="185547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855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0" w:after="0"/>
        <w:ind w:left="0" w:right="0"/>
      </w:pPr>
    </w:p>
    <w:p>
      <w:pPr>
        <w:autoSpaceDN w:val="0"/>
        <w:autoSpaceDE w:val="0"/>
        <w:widowControl/>
        <w:spacing w:line="214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8"/>
          <w:sz w:val="24"/>
        </w:rPr>
        <w:t>Table 4.3: Morphological and Microscopic Characteristics of Bacterial Isolates from</w:t>
      </w:r>
    </w:p>
    <w:p>
      <w:pPr>
        <w:autoSpaceDN w:val="0"/>
        <w:autoSpaceDE w:val="0"/>
        <w:widowControl/>
        <w:spacing w:line="214" w:lineRule="exact" w:before="70" w:after="304"/>
        <w:ind w:left="123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Sachet Water Samples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068" w:type="dxa"/>
        <w:gridCol w:w="1160" w:type="dxa"/>
        <w:gridCol w:w="1160" w:type="dxa"/>
        <w:gridCol w:w="1720" w:type="dxa"/>
        <w:gridCol w:w="1180" w:type="dxa"/>
        <w:gridCol w:w="1200" w:type="dxa"/>
        <w:gridCol w:w="1537" w:type="dxa"/>
      </w:tblGrid>
      <w:tr>
        <w:trPr>
          <w:trHeight w:hRule="exact" w:val="310"/>
        </w:trPr>
        <w:tc>
          <w:tcPr>
            <w:tcW w:type="dxa" w:w="106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Isolate</w:t>
            </w:r>
          </w:p>
        </w:tc>
        <w:tc>
          <w:tcPr>
            <w:tcW w:type="dxa" w:w="11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Colony</w:t>
            </w:r>
          </w:p>
        </w:tc>
        <w:tc>
          <w:tcPr>
            <w:tcW w:type="dxa" w:w="11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Colony</w:t>
            </w:r>
          </w:p>
        </w:tc>
        <w:tc>
          <w:tcPr>
            <w:tcW w:type="dxa" w:w="17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Appearance</w:t>
            </w:r>
          </w:p>
        </w:tc>
        <w:tc>
          <w:tcPr>
            <w:tcW w:type="dxa" w:w="11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Gram</w:t>
            </w:r>
          </w:p>
        </w:tc>
        <w:tc>
          <w:tcPr>
            <w:tcW w:type="dxa" w:w="120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46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Cell</w:t>
            </w:r>
          </w:p>
        </w:tc>
        <w:tc>
          <w:tcPr>
            <w:tcW w:type="dxa" w:w="153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648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Cell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1068" w:type="dxa"/>
        <w:gridCol w:w="1140" w:type="dxa"/>
        <w:gridCol w:w="2000" w:type="dxa"/>
        <w:gridCol w:w="2100" w:type="dxa"/>
        <w:gridCol w:w="1000" w:type="dxa"/>
        <w:gridCol w:w="1717" w:type="dxa"/>
      </w:tblGrid>
      <w:tr>
        <w:trPr>
          <w:trHeight w:hRule="exact" w:val="300"/>
        </w:trPr>
        <w:tc>
          <w:tcPr>
            <w:tcW w:type="dxa" w:w="106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Code</w:t>
            </w:r>
          </w:p>
        </w:tc>
        <w:tc>
          <w:tcPr>
            <w:tcW w:type="dxa" w:w="114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Shape</w:t>
            </w:r>
          </w:p>
        </w:tc>
        <w:tc>
          <w:tcPr>
            <w:tcW w:type="dxa" w:w="20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272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Colour</w:t>
            </w:r>
          </w:p>
        </w:tc>
        <w:tc>
          <w:tcPr>
            <w:tcW w:type="dxa" w:w="21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6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Reaction</w:t>
            </w:r>
          </w:p>
        </w:tc>
        <w:tc>
          <w:tcPr>
            <w:tcW w:type="dxa" w:w="10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Shape</w:t>
            </w:r>
          </w:p>
        </w:tc>
        <w:tc>
          <w:tcPr>
            <w:tcW w:type="dxa" w:w="171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Arrangement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400" w:type="dxa"/>
        <w:gridCol w:w="1100" w:type="dxa"/>
        <w:gridCol w:w="1420" w:type="dxa"/>
        <w:gridCol w:w="1400" w:type="dxa"/>
        <w:gridCol w:w="1020" w:type="dxa"/>
        <w:gridCol w:w="2040" w:type="dxa"/>
      </w:tblGrid>
      <w:tr>
        <w:trPr>
          <w:trHeight w:hRule="exact" w:val="294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6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B1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42" w:after="0"/>
              <w:ind w:left="0" w:right="17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Irregular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Yellow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2" w:after="0"/>
              <w:ind w:left="24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Mucoid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6" w:after="0"/>
              <w:ind w:left="0" w:right="32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4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Rod</w:t>
            </w:r>
          </w:p>
        </w:tc>
        <w:tc>
          <w:tcPr>
            <w:tcW w:type="dxa" w:w="2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42" w:after="0"/>
              <w:ind w:left="2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Single</w:t>
            </w:r>
          </w:p>
        </w:tc>
      </w:tr>
    </w:tbl>
    <w:p>
      <w:pPr>
        <w:autoSpaceDN w:val="0"/>
        <w:autoSpaceDE w:val="0"/>
        <w:widowControl/>
        <w:spacing w:line="218" w:lineRule="exact" w:before="32" w:after="36"/>
        <w:ind w:left="0" w:right="4404" w:firstLine="0"/>
        <w:jc w:val="right"/>
      </w:pPr>
      <w:r>
        <w:rPr>
          <w:spacing w:val="-10"/>
          <w:rFonts w:ascii="" w:hAnsi="" w:eastAsia=""/>
          <w:color w:val="000008"/>
          <w:sz w:val="24"/>
        </w:rPr>
        <w:t>positive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300" w:type="dxa"/>
        <w:gridCol w:w="1140" w:type="dxa"/>
        <w:gridCol w:w="1800" w:type="dxa"/>
        <w:gridCol w:w="1080" w:type="dxa"/>
        <w:gridCol w:w="1100" w:type="dxa"/>
        <w:gridCol w:w="2000" w:type="dxa"/>
      </w:tblGrid>
      <w:tr>
        <w:trPr>
          <w:trHeight w:hRule="exact" w:val="286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0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B2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27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Round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White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6" w:after="0"/>
              <w:ind w:left="3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Rough, entire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12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2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Cocci</w:t>
            </w:r>
          </w:p>
        </w:tc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Cluster</w:t>
            </w:r>
          </w:p>
        </w:tc>
      </w:tr>
    </w:tbl>
    <w:p>
      <w:pPr>
        <w:autoSpaceDN w:val="0"/>
        <w:tabs>
          <w:tab w:pos="6256" w:val="left"/>
        </w:tabs>
        <w:autoSpaceDE w:val="0"/>
        <w:widowControl/>
        <w:spacing w:line="218" w:lineRule="exact" w:before="34" w:after="36"/>
        <w:ind w:left="463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edge </w:t>
      </w:r>
      <w:r>
        <w:tab/>
      </w:r>
      <w:r>
        <w:rPr>
          <w:spacing w:val="-10"/>
          <w:rFonts w:ascii="" w:hAnsi="" w:eastAsia=""/>
          <w:color w:val="000008"/>
          <w:sz w:val="24"/>
        </w:rPr>
        <w:t>positive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360" w:type="dxa"/>
        <w:gridCol w:w="1180" w:type="dxa"/>
        <w:gridCol w:w="1400" w:type="dxa"/>
        <w:gridCol w:w="1380" w:type="dxa"/>
        <w:gridCol w:w="1020" w:type="dxa"/>
        <w:gridCol w:w="2080" w:type="dxa"/>
      </w:tblGrid>
      <w:tr>
        <w:trPr>
          <w:trHeight w:hRule="exact" w:val="288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4" w:lineRule="exact" w:before="40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B3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19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Circular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Creamy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6" w:after="0"/>
              <w:ind w:left="2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Smooth,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0" w:right="32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Rod</w:t>
            </w:r>
          </w:p>
        </w:tc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2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Chains</w:t>
            </w:r>
          </w:p>
        </w:tc>
      </w:tr>
    </w:tbl>
    <w:p>
      <w:pPr>
        <w:autoSpaceDN w:val="0"/>
        <w:tabs>
          <w:tab w:pos="6256" w:val="left"/>
        </w:tabs>
        <w:autoSpaceDE w:val="0"/>
        <w:widowControl/>
        <w:spacing w:line="218" w:lineRule="exact" w:before="32" w:after="36"/>
        <w:ind w:left="463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entire edge </w:t>
      </w:r>
      <w:r>
        <w:tab/>
      </w:r>
      <w:r>
        <w:rPr>
          <w:spacing w:val="-10"/>
          <w:rFonts w:ascii="" w:hAnsi="" w:eastAsia=""/>
          <w:color w:val="000008"/>
          <w:sz w:val="24"/>
        </w:rPr>
        <w:t>negative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1400" w:type="dxa"/>
        <w:gridCol w:w="960" w:type="dxa"/>
        <w:gridCol w:w="1380" w:type="dxa"/>
        <w:gridCol w:w="1580" w:type="dxa"/>
        <w:gridCol w:w="1100" w:type="dxa"/>
        <w:gridCol w:w="1900" w:type="dxa"/>
      </w:tblGrid>
      <w:tr>
        <w:trPr>
          <w:trHeight w:hRule="exact" w:val="288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0" w:after="0"/>
              <w:ind w:left="0" w:right="3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B4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6" w:after="0"/>
              <w:ind w:left="0" w:right="17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Feathery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18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Off-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44" w:after="0"/>
              <w:ind w:left="0" w:right="62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Dry</w:t>
            </w:r>
          </w:p>
        </w:tc>
        <w:tc>
          <w:tcPr>
            <w:tcW w:type="dxa" w:w="1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0" w:right="32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0" w:right="20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Cocci</w:t>
            </w:r>
          </w:p>
        </w:tc>
        <w:tc>
          <w:tcPr>
            <w:tcW w:type="dxa" w:w="1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6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Pairs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4028" w:type="dxa"/>
        <w:gridCol w:w="4998" w:type="dxa"/>
      </w:tblGrid>
      <w:tr>
        <w:trPr>
          <w:trHeight w:hRule="exact" w:val="274"/>
        </w:trPr>
        <w:tc>
          <w:tcPr>
            <w:tcW w:type="dxa" w:w="402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4" w:after="0"/>
              <w:ind w:left="0" w:right="111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white</w:t>
            </w:r>
          </w:p>
        </w:tc>
        <w:tc>
          <w:tcPr>
            <w:tcW w:type="dxa" w:w="499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4" w:after="0"/>
              <w:ind w:left="113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negative</w:t>
            </w:r>
          </w:p>
        </w:tc>
      </w:tr>
    </w:tbl>
    <w:p>
      <w:pPr>
        <w:autoSpaceDN w:val="0"/>
        <w:autoSpaceDE w:val="0"/>
        <w:widowControl/>
        <w:spacing w:line="59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180" w:type="dxa"/>
        <w:gridCol w:w="9040" w:type="dxa"/>
      </w:tblGrid>
      <w:tr>
        <w:trPr>
          <w:trHeight w:hRule="exact" w:val="334"/>
        </w:trPr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12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4.2.3</w:t>
            </w:r>
          </w:p>
        </w:tc>
        <w:tc>
          <w:tcPr>
            <w:tcW w:type="dxa" w:w="9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0" w:after="0"/>
              <w:ind w:left="140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0"/>
                <w:sz w:val="24"/>
              </w:rPr>
              <w:t>Lactophenol Test for Fungal Identification and Biochemical Identification</w:t>
            </w:r>
          </w:p>
        </w:tc>
      </w:tr>
    </w:tbl>
    <w:p>
      <w:pPr>
        <w:autoSpaceDN w:val="0"/>
        <w:autoSpaceDE w:val="0"/>
        <w:widowControl/>
        <w:spacing w:line="166" w:lineRule="exact" w:before="278" w:after="0"/>
        <w:ind w:left="121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Bacterial Isolates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biochemical characteristics of the microbial isolates obtained from sachet water samples</w:t>
      </w:r>
    </w:p>
    <w:p>
      <w:pPr>
        <w:autoSpaceDN w:val="0"/>
        <w:autoSpaceDE w:val="0"/>
        <w:widowControl/>
        <w:spacing w:line="218" w:lineRule="exact" w:before="334" w:after="274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are presented in Table 4.4. Six isolates were subjected to standard biochemical tests including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500" w:type="dxa"/>
        <w:gridCol w:w="1000" w:type="dxa"/>
        <w:gridCol w:w="1180" w:type="dxa"/>
        <w:gridCol w:w="1020" w:type="dxa"/>
        <w:gridCol w:w="800" w:type="dxa"/>
        <w:gridCol w:w="1240" w:type="dxa"/>
        <w:gridCol w:w="540" w:type="dxa"/>
        <w:gridCol w:w="1140" w:type="dxa"/>
        <w:gridCol w:w="600" w:type="dxa"/>
        <w:gridCol w:w="1200" w:type="dxa"/>
      </w:tblGrid>
      <w:tr>
        <w:trPr>
          <w:trHeight w:hRule="exact" w:val="338"/>
        </w:trPr>
        <w:tc>
          <w:tcPr>
            <w:tcW w:type="dxa" w:w="15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catalase,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oxidase,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endospore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staining,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citrate</w:t>
            </w:r>
          </w:p>
        </w:tc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utilization,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coagulase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test,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1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while</w:t>
            </w:r>
          </w:p>
        </w:tc>
      </w:tr>
    </w:tbl>
    <w:p>
      <w:pPr>
        <w:autoSpaceDN w:val="0"/>
        <w:autoSpaceDE w:val="0"/>
        <w:widowControl/>
        <w:spacing w:line="218" w:lineRule="exact" w:before="27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microscopic observations were used to support fungal identification.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Isolate YWE exhibited septate hyphae with conidia arranged in chains under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microscope, a feature consistent with members of the genus</w:t>
      </w:r>
      <w:r>
        <w:rPr>
          <w:spacing w:val="-10"/>
          <w:rFonts w:ascii="" w:hAnsi="" w:eastAsia=""/>
          <w:i/>
          <w:color w:val="000008"/>
          <w:sz w:val="24"/>
        </w:rPr>
        <w:t xml:space="preserve"> Aspergillus</w:t>
      </w:r>
      <w:r>
        <w:rPr>
          <w:spacing w:val="-10"/>
          <w:rFonts w:ascii="" w:hAnsi="" w:eastAsia=""/>
          <w:color w:val="000008"/>
          <w:sz w:val="24"/>
        </w:rPr>
        <w:t>. Since it is a fungal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isolate, it was not subjected to the bacterial biochemical tests. This isolate is tentatively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identified as</w:t>
      </w:r>
      <w:r>
        <w:rPr>
          <w:spacing w:val="-10"/>
          <w:rFonts w:ascii="" w:hAnsi="" w:eastAsia=""/>
          <w:i/>
          <w:color w:val="000008"/>
          <w:sz w:val="24"/>
        </w:rPr>
        <w:t xml:space="preserve"> Aspergillus</w:t>
      </w:r>
      <w:r>
        <w:rPr>
          <w:spacing w:val="-10"/>
          <w:rFonts w:ascii="" w:hAnsi="" w:eastAsia=""/>
          <w:color w:val="000008"/>
          <w:sz w:val="24"/>
        </w:rPr>
        <w:t xml:space="preserve"> species, a common environmental mould often associated with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spoilage and occasionally pathogenic under immunocompromised conditions.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Among the bacterial isolates, B1O was catalase and oxidase positive, did not produce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endospores, but utilized citrate. It tested negative for the coagulase test and was observed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microscopically as Gram-positive rods appearing singly. These features are indicative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Bacillus subtilis</w:t>
      </w:r>
      <w:r>
        <w:rPr>
          <w:spacing w:val="-10"/>
          <w:rFonts w:ascii="" w:hAnsi="" w:eastAsia=""/>
          <w:color w:val="000008"/>
          <w:sz w:val="24"/>
        </w:rPr>
        <w:t>, a facultative aerobe commonly found in soil and water, known for its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endospore-forming potential and catalase activity. B2B was catalase positive, oxidase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negative, and did not form endospores. It utilized citrate and tested negative for coagulase.</w:t>
      </w:r>
    </w:p>
    <w:p>
      <w:pPr>
        <w:autoSpaceDN w:val="0"/>
        <w:autoSpaceDE w:val="0"/>
        <w:widowControl/>
        <w:spacing w:line="166" w:lineRule="exact" w:before="42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Microscopically, it was seen as Gram-positive cocci in clusters, which aligns with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characteristics of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 epidermidis</w:t>
      </w:r>
      <w:r>
        <w:rPr>
          <w:spacing w:val="-10"/>
          <w:rFonts w:ascii="" w:hAnsi="" w:eastAsia=""/>
          <w:color w:val="000008"/>
          <w:sz w:val="24"/>
        </w:rPr>
        <w:t>, a non-pathogenic skin flora and an occasional</w:t>
      </w:r>
    </w:p>
    <w:p>
      <w:pPr>
        <w:autoSpaceDN w:val="0"/>
        <w:autoSpaceDE w:val="0"/>
        <w:widowControl/>
        <w:spacing w:line="170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water contaminant.</w:t>
      </w:r>
    </w:p>
    <w:p>
      <w:pPr>
        <w:autoSpaceDN w:val="0"/>
        <w:autoSpaceDE w:val="0"/>
        <w:widowControl/>
        <w:spacing w:line="218" w:lineRule="exact" w:before="382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B3A tested positive for catalase, oxidase, and endospore formation, but did not utilize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citrate and was coagulase negative. It was a Gram-negative rod occurring in chains. This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biochemical pattern is typical of</w:t>
      </w:r>
      <w:r>
        <w:rPr>
          <w:spacing w:val="-10"/>
          <w:rFonts w:ascii="" w:hAnsi="" w:eastAsia=""/>
          <w:i/>
          <w:color w:val="000008"/>
          <w:sz w:val="24"/>
        </w:rPr>
        <w:t xml:space="preserve"> Escherichia coli</w:t>
      </w:r>
      <w:r>
        <w:rPr>
          <w:spacing w:val="-10"/>
          <w:rFonts w:ascii="" w:hAnsi="" w:eastAsia=""/>
          <w:color w:val="000008"/>
          <w:sz w:val="24"/>
        </w:rPr>
        <w:t>, a fecal indicator organism whose presence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drinking water is a sign of possible contamination.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Isolate B4K was negative for all biochemical tests conducted. Microscopically, it appeared 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Gram-negative cocci arranged in pairs, a morphology suggestive of</w:t>
      </w:r>
      <w:r>
        <w:rPr>
          <w:spacing w:val="-10"/>
          <w:rFonts w:ascii="" w:hAnsi="" w:eastAsia=""/>
          <w:i/>
          <w:color w:val="000008"/>
          <w:sz w:val="24"/>
        </w:rPr>
        <w:t xml:space="preserve"> Neisseria</w:t>
      </w:r>
      <w:r>
        <w:rPr>
          <w:spacing w:val="-10"/>
          <w:rFonts w:ascii="" w:hAnsi="" w:eastAsia=""/>
          <w:color w:val="000008"/>
          <w:sz w:val="24"/>
        </w:rPr>
        <w:t xml:space="preserve"> species. These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organisms are fastidious and may be difficult to characterize without additional specialized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tests. Isolate B5Y was oxidase positive but negative for all other biochemical tests. It was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Gram-negative, with coccal shape and pale colony appearance. These features suggest 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tentative identification as</w:t>
      </w:r>
      <w:r>
        <w:rPr>
          <w:spacing w:val="-10"/>
          <w:rFonts w:ascii="" w:hAnsi="" w:eastAsia=""/>
          <w:i/>
          <w:color w:val="000008"/>
          <w:sz w:val="24"/>
        </w:rPr>
        <w:t xml:space="preserve"> Pseudomonas aeruginosa</w:t>
      </w:r>
      <w:r>
        <w:rPr>
          <w:spacing w:val="-10"/>
          <w:rFonts w:ascii="" w:hAnsi="" w:eastAsia=""/>
          <w:color w:val="000008"/>
          <w:sz w:val="24"/>
        </w:rPr>
        <w:t>, an opportunistic pathogen known for its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oxidase positivity and ability to survive in water systems.</w:t>
      </w:r>
    </w:p>
    <w:p>
      <w:pPr>
        <w:autoSpaceDN w:val="0"/>
        <w:autoSpaceDE w:val="0"/>
        <w:widowControl/>
        <w:spacing w:line="164" w:lineRule="exact" w:before="672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833119</wp:posOffset>
            </wp:positionH>
            <wp:positionV relativeFrom="page">
              <wp:posOffset>1470660</wp:posOffset>
            </wp:positionV>
            <wp:extent cx="5756909" cy="511937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5119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845819</wp:posOffset>
            </wp:positionH>
            <wp:positionV relativeFrom="page">
              <wp:posOffset>6581140</wp:posOffset>
            </wp:positionV>
            <wp:extent cx="5731509" cy="7619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761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54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8"/>
          <w:sz w:val="24"/>
        </w:rPr>
        <w:t>Table 4.4: Biochemical Characteristics and Tentative Identification of Isolates from</w:t>
      </w:r>
    </w:p>
    <w:p>
      <w:pPr>
        <w:autoSpaceDN w:val="0"/>
        <w:autoSpaceDE w:val="0"/>
        <w:widowControl/>
        <w:spacing w:line="214" w:lineRule="exact" w:before="110" w:after="2"/>
        <w:ind w:left="123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Sachet Water Samples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848" w:type="dxa"/>
        <w:gridCol w:w="1260" w:type="dxa"/>
        <w:gridCol w:w="1000" w:type="dxa"/>
        <w:gridCol w:w="920" w:type="dxa"/>
        <w:gridCol w:w="1240" w:type="dxa"/>
        <w:gridCol w:w="1080" w:type="dxa"/>
        <w:gridCol w:w="1240" w:type="dxa"/>
        <w:gridCol w:w="1437" w:type="dxa"/>
      </w:tblGrid>
      <w:tr>
        <w:trPr>
          <w:trHeight w:hRule="exact" w:val="308"/>
        </w:trPr>
        <w:tc>
          <w:tcPr>
            <w:tcW w:type="dxa" w:w="84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Isolat</w:t>
            </w:r>
          </w:p>
        </w:tc>
        <w:tc>
          <w:tcPr>
            <w:tcW w:type="dxa" w:w="126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Microsco</w:t>
            </w:r>
          </w:p>
        </w:tc>
        <w:tc>
          <w:tcPr>
            <w:tcW w:type="dxa" w:w="100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Catala</w:t>
            </w:r>
          </w:p>
        </w:tc>
        <w:tc>
          <w:tcPr>
            <w:tcW w:type="dxa" w:w="92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Oxida</w:t>
            </w:r>
          </w:p>
        </w:tc>
        <w:tc>
          <w:tcPr>
            <w:tcW w:type="dxa" w:w="1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Endospo</w:t>
            </w:r>
          </w:p>
        </w:tc>
        <w:tc>
          <w:tcPr>
            <w:tcW w:type="dxa" w:w="108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Citrate</w:t>
            </w:r>
          </w:p>
        </w:tc>
        <w:tc>
          <w:tcPr>
            <w:tcW w:type="dxa" w:w="1240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Coagula</w:t>
            </w:r>
          </w:p>
        </w:tc>
        <w:tc>
          <w:tcPr>
            <w:tcW w:type="dxa" w:w="1438"/>
            <w:tcBorders>
              <w:top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Tentative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0" w:type="dxa"/>
      </w:tblPr>
      <w:tblGrid>
        <w:gridCol w:w="1260" w:type="dxa"/>
        <w:gridCol w:w="1180" w:type="dxa"/>
        <w:gridCol w:w="1020" w:type="dxa"/>
        <w:gridCol w:w="1020" w:type="dxa"/>
        <w:gridCol w:w="960" w:type="dxa"/>
        <w:gridCol w:w="1340" w:type="dxa"/>
        <w:gridCol w:w="1120" w:type="dxa"/>
        <w:gridCol w:w="2020" w:type="dxa"/>
      </w:tblGrid>
      <w:tr>
        <w:trPr>
          <w:trHeight w:hRule="exact" w:val="286"/>
        </w:trPr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41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pic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364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se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86" w:after="0"/>
              <w:ind w:left="0" w:right="316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re</w:t>
            </w:r>
          </w:p>
        </w:tc>
        <w:tc>
          <w:tcPr>
            <w:tcW w:type="dxa" w:w="13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6" w:after="0"/>
              <w:ind w:left="0" w:right="176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Utilizati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se Test</w:t>
            </w:r>
          </w:p>
        </w:tc>
        <w:tc>
          <w:tcPr>
            <w:tcW w:type="dxa" w:w="2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36" w:after="0"/>
              <w:ind w:left="246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Organism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092" w:type="dxa"/>
      </w:tblPr>
      <w:tblGrid>
        <w:gridCol w:w="868" w:type="dxa"/>
        <w:gridCol w:w="2900" w:type="dxa"/>
        <w:gridCol w:w="5258" w:type="dxa"/>
      </w:tblGrid>
      <w:tr>
        <w:trPr>
          <w:trHeight w:hRule="exact" w:val="296"/>
        </w:trPr>
        <w:tc>
          <w:tcPr>
            <w:tcW w:type="dxa" w:w="86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Code</w:t>
            </w:r>
          </w:p>
        </w:tc>
        <w:tc>
          <w:tcPr>
            <w:tcW w:type="dxa" w:w="2900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Feature</w:t>
            </w:r>
          </w:p>
        </w:tc>
        <w:tc>
          <w:tcPr>
            <w:tcW w:type="dxa" w:w="5258"/>
            <w:tcBorders>
              <w:bottom w:sz="8.0" w:val="single" w:color="000000"/>
            </w:tcBorders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6" w:lineRule="exact" w:before="110" w:after="0"/>
              <w:ind w:left="0" w:right="3082" w:firstLine="0"/>
              <w:jc w:val="right"/>
            </w:pPr>
            <w:r>
              <w:rPr>
                <w:spacing w:val="-10"/>
                <w:rFonts w:ascii="" w:hAnsi="" w:eastAsia=""/>
                <w:b/>
                <w:color w:val="000008"/>
                <w:sz w:val="24"/>
              </w:rPr>
              <w:t>on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80" w:type="dxa"/>
        <w:gridCol w:w="3840" w:type="dxa"/>
        <w:gridCol w:w="4900" w:type="dxa"/>
      </w:tblGrid>
      <w:tr>
        <w:trPr>
          <w:trHeight w:hRule="exact" w:val="312"/>
        </w:trPr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8" w:after="0"/>
              <w:ind w:left="0" w:right="1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YWE</w:t>
            </w:r>
          </w:p>
        </w:tc>
        <w:tc>
          <w:tcPr>
            <w:tcW w:type="dxa" w:w="3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64" w:after="0"/>
              <w:ind w:left="15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Septate</w:t>
            </w:r>
          </w:p>
        </w:tc>
        <w:tc>
          <w:tcPr>
            <w:tcW w:type="dxa" w:w="4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0" w:right="790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Aspergillus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32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hyphae, </w:t>
      </w:r>
      <w:r>
        <w:tab/>
      </w:r>
      <w:r>
        <w:rPr>
          <w:spacing w:val="-10"/>
          <w:rFonts w:ascii="" w:hAnsi="" w:eastAsia=""/>
          <w:color w:val="000008"/>
          <w:sz w:val="24"/>
        </w:rPr>
        <w:t>sp.</w:t>
      </w:r>
    </w:p>
    <w:p>
      <w:pPr>
        <w:autoSpaceDN w:val="0"/>
        <w:autoSpaceDE w:val="0"/>
        <w:widowControl/>
        <w:spacing w:line="170" w:lineRule="exact" w:before="6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conidia in</w:t>
      </w:r>
    </w:p>
    <w:p>
      <w:pPr>
        <w:autoSpaceDN w:val="0"/>
        <w:autoSpaceDE w:val="0"/>
        <w:widowControl/>
        <w:spacing w:line="170" w:lineRule="exact" w:before="114" w:after="6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chains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240" w:type="dxa"/>
      </w:tblGrid>
      <w:tr>
        <w:trPr>
          <w:trHeight w:hRule="exact" w:val="28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B1O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Bacillus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5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positive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subtilis</w:t>
      </w:r>
    </w:p>
    <w:p>
      <w:pPr>
        <w:autoSpaceDN w:val="0"/>
        <w:autoSpaceDE w:val="0"/>
        <w:widowControl/>
        <w:spacing w:line="206" w:lineRule="exact" w:before="6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rods,</w:t>
      </w:r>
    </w:p>
    <w:p>
      <w:pPr>
        <w:autoSpaceDN w:val="0"/>
        <w:autoSpaceDE w:val="0"/>
        <w:widowControl/>
        <w:spacing w:line="218" w:lineRule="exact" w:before="80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single</w:t>
      </w:r>
    </w:p>
    <w:p>
      <w:pPr>
        <w:autoSpaceDN w:val="0"/>
        <w:autoSpaceDE w:val="0"/>
        <w:widowControl/>
        <w:spacing w:line="170" w:lineRule="exact" w:before="66" w:after="6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cells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40" w:type="dxa"/>
      </w:tblGrid>
      <w:tr>
        <w:trPr>
          <w:trHeight w:hRule="exact" w:val="312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4" w:after="0"/>
              <w:ind w:left="0" w:right="19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B2B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4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60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Staphylococ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32" w:after="1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positive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cus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20" w:type="dxa"/>
      </w:tblPr>
      <w:tblGrid>
        <w:gridCol w:w="1700" w:type="dxa"/>
        <w:gridCol w:w="3200" w:type="dxa"/>
        <w:gridCol w:w="4720" w:type="dxa"/>
      </w:tblGrid>
      <w:tr>
        <w:trPr>
          <w:trHeight w:hRule="exact" w:val="310"/>
        </w:trPr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58" w:after="0"/>
              <w:ind w:left="0" w:right="172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cocci</w:t>
            </w:r>
          </w:p>
        </w:tc>
        <w:tc>
          <w:tcPr>
            <w:tcW w:type="dxa" w:w="3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58" w:after="0"/>
              <w:ind w:left="19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4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0" w:right="760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epidermidis</w:t>
            </w:r>
          </w:p>
        </w:tc>
      </w:tr>
    </w:tbl>
    <w:p>
      <w:pPr>
        <w:autoSpaceDN w:val="0"/>
        <w:autoSpaceDE w:val="0"/>
        <w:widowControl/>
        <w:spacing w:line="170" w:lineRule="exact" w:before="32" w:after="6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clusters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20" w:type="dxa"/>
      </w:tblGrid>
      <w:tr>
        <w:trPr>
          <w:trHeight w:hRule="exact" w:val="28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B3A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4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84" w:after="0"/>
              <w:ind w:left="0" w:right="50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60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Escherichia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5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negative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coli</w:t>
      </w:r>
    </w:p>
    <w:p>
      <w:pPr>
        <w:autoSpaceDN w:val="0"/>
        <w:tabs>
          <w:tab w:pos="2916" w:val="left"/>
        </w:tabs>
        <w:autoSpaceDE w:val="0"/>
        <w:widowControl/>
        <w:spacing w:line="170" w:lineRule="exact" w:before="6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rods </w:t>
      </w:r>
      <w:r>
        <w:tab/>
      </w:r>
      <w:r>
        <w:rPr>
          <w:spacing w:val="-10"/>
          <w:rFonts w:ascii="" w:hAnsi="" w:eastAsia=""/>
          <w:color w:val="000008"/>
          <w:sz w:val="24"/>
        </w:rPr>
        <w:t>in</w:t>
      </w:r>
    </w:p>
    <w:p>
      <w:pPr>
        <w:autoSpaceDN w:val="0"/>
        <w:autoSpaceDE w:val="0"/>
        <w:widowControl/>
        <w:spacing w:line="170" w:lineRule="exact" w:before="116" w:after="64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chains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60" w:type="dxa"/>
      </w:tblGrid>
      <w:tr>
        <w:trPr>
          <w:trHeight w:hRule="exact" w:val="308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60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B4K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60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4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Neisseria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 xml:space="preserve"> sp.</w:t>
            </w:r>
          </w:p>
        </w:tc>
      </w:tr>
    </w:tbl>
    <w:p>
      <w:pPr>
        <w:autoSpaceDN w:val="0"/>
        <w:autoSpaceDE w:val="0"/>
        <w:widowControl/>
        <w:spacing w:line="218" w:lineRule="exact" w:before="32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negative</w:t>
      </w:r>
    </w:p>
    <w:p>
      <w:pPr>
        <w:autoSpaceDN w:val="0"/>
        <w:tabs>
          <w:tab w:pos="2918" w:val="left"/>
        </w:tabs>
        <w:autoSpaceDE w:val="0"/>
        <w:widowControl/>
        <w:spacing w:line="170" w:lineRule="exact" w:before="6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cocci </w:t>
      </w:r>
      <w:r>
        <w:tab/>
      </w:r>
      <w:r>
        <w:rPr>
          <w:spacing w:val="-10"/>
          <w:rFonts w:ascii="" w:hAnsi="" w:eastAsia=""/>
          <w:color w:val="000008"/>
          <w:sz w:val="24"/>
        </w:rPr>
        <w:t>in</w:t>
      </w:r>
    </w:p>
    <w:p>
      <w:pPr>
        <w:autoSpaceDN w:val="0"/>
        <w:autoSpaceDE w:val="0"/>
        <w:widowControl/>
        <w:spacing w:line="218" w:lineRule="exact" w:before="114" w:after="36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pairs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40" w:type="dxa"/>
        <w:gridCol w:w="1140" w:type="dxa"/>
        <w:gridCol w:w="900" w:type="dxa"/>
        <w:gridCol w:w="960" w:type="dxa"/>
        <w:gridCol w:w="1060" w:type="dxa"/>
        <w:gridCol w:w="1180" w:type="dxa"/>
        <w:gridCol w:w="1140" w:type="dxa"/>
        <w:gridCol w:w="2460" w:type="dxa"/>
      </w:tblGrid>
      <w:tr>
        <w:trPr>
          <w:trHeight w:hRule="exact" w:val="264"/>
        </w:trPr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44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B5Y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40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Gram-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26" w:lineRule="exact" w:before="6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+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5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8" w:lineRule="exact" w:before="14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–</w:t>
            </w:r>
          </w:p>
        </w:tc>
        <w:tc>
          <w:tcPr>
            <w:tcW w:type="dxa" w:w="2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6" w:after="0"/>
              <w:ind w:left="516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Pseudomona</w:t>
            </w:r>
          </w:p>
        </w:tc>
      </w:tr>
    </w:tbl>
    <w:p>
      <w:pPr>
        <w:autoSpaceDN w:val="0"/>
        <w:tabs>
          <w:tab w:pos="8746" w:val="left"/>
        </w:tabs>
        <w:autoSpaceDE w:val="0"/>
        <w:widowControl/>
        <w:spacing w:line="218" w:lineRule="exact" w:before="5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negative </w:t>
      </w:r>
      <w:r>
        <w:tab/>
      </w:r>
      <w:r>
        <w:rPr>
          <w:spacing w:val="-10"/>
          <w:rFonts w:ascii="" w:hAnsi="" w:eastAsia=""/>
          <w:i/>
          <w:color w:val="000008"/>
          <w:sz w:val="24"/>
        </w:rPr>
        <w:t>s aeruginosa</w:t>
      </w:r>
    </w:p>
    <w:p>
      <w:pPr>
        <w:autoSpaceDN w:val="0"/>
        <w:autoSpaceDE w:val="0"/>
        <w:widowControl/>
        <w:spacing w:line="218" w:lineRule="exact" w:before="68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cocci, pale</w:t>
      </w:r>
    </w:p>
    <w:p>
      <w:pPr>
        <w:autoSpaceDN w:val="0"/>
        <w:autoSpaceDE w:val="0"/>
        <w:widowControl/>
        <w:spacing w:line="170" w:lineRule="exact" w:before="66" w:after="0"/>
        <w:ind w:left="2042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colonies</w:t>
      </w:r>
    </w:p>
    <w:p>
      <w:pPr>
        <w:autoSpaceDN w:val="0"/>
        <w:autoSpaceDE w:val="0"/>
        <w:widowControl/>
        <w:spacing w:line="218" w:lineRule="exact" w:before="686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Key: + Postive, - Negative.</w:t>
      </w:r>
      <w:r>
        <w:rPr>
          <w:spacing w:val="-10"/>
          <w:rFonts w:ascii="" w:hAnsi="" w:eastAsia=""/>
          <w:color w:val="000008"/>
          <w:sz w:val="24"/>
        </w:rPr>
        <w:t xml:space="preserve"> B1O (basic water)</w:t>
      </w:r>
    </w:p>
    <w:p>
      <w:pPr>
        <w:autoSpaceDN w:val="0"/>
        <w:autoSpaceDE w:val="0"/>
        <w:widowControl/>
        <w:spacing w:line="166" w:lineRule="exact" w:before="441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39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CHAPTER FIVE</w:t>
      </w:r>
    </w:p>
    <w:p>
      <w:pPr>
        <w:autoSpaceDN w:val="0"/>
        <w:autoSpaceDE w:val="0"/>
        <w:widowControl/>
        <w:spacing w:line="204" w:lineRule="exact" w:before="626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0"/>
          <w:sz w:val="24"/>
        </w:rPr>
        <w:t>DISCUSSION, CONCLUSION AND RECOMMEDATION</w:t>
      </w:r>
    </w:p>
    <w:p>
      <w:pPr>
        <w:autoSpaceDN w:val="0"/>
        <w:tabs>
          <w:tab w:pos="1796" w:val="left"/>
        </w:tabs>
        <w:autoSpaceDE w:val="0"/>
        <w:widowControl/>
        <w:spacing w:line="166" w:lineRule="exact" w:before="38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5.1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Discussion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This study assessed the microbial and physicochemical quality of sachet water samples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produced in Ilorin, Kwara State. The findings revealed variations in both physicochemical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parameters and microbial loads across the different water brands analyzed. The results are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discussed in relation to the World Health Organization (WHO) standards for potable water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and compared with similar studies.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All temperature values recorded in the samples were below the WHO recommended</w:t>
      </w:r>
    </w:p>
    <w:p>
      <w:pPr>
        <w:autoSpaceDN w:val="0"/>
        <w:autoSpaceDE w:val="0"/>
        <w:widowControl/>
        <w:spacing w:line="222" w:lineRule="exact" w:before="33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minimum of 25</w:t>
      </w:r>
      <w:r>
        <w:rPr>
          <w:spacing w:val="-10"/>
          <w:rFonts w:ascii="" w:hAnsi="" w:eastAsia=""/>
          <w:color w:val="000008"/>
          <w:sz w:val="24"/>
        </w:rPr>
        <w:t>°</w:t>
      </w:r>
      <w:r>
        <w:rPr>
          <w:spacing w:val="-10"/>
          <w:rFonts w:ascii="" w:hAnsi="" w:eastAsia=""/>
          <w:color w:val="000008"/>
          <w:sz w:val="24"/>
        </w:rPr>
        <w:t>C, which may be attributed to storage or sampling conditions. Although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temperature does not pose direct health risks, it influences the solubility of oxygen and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overall microbial activity in water (Adekunle et al., 2021). The relatively low dissolved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oxygen (DO) in sample AW (3.20 mg/L) compared to others may be related to higher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microbial respiration, a factor supported by its notable bacterial load.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Turbidity in all the samples remained below the WHO maximum permissible limit of 5 NTU,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consistent with the findings of Nwachukwu and Umeh (2022), who noted low turbidity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most sachet water samples sold in urban areas. Low turbidity is generally desirable, as it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enhances disinfection efficiency and indicates low levels of suspended particles.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Electrical conductivity and total dissolved solids (TDS) values for all samples were also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within acceptable WHO limits. Sample OW recorded the lowest values for both EC (51.00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µS/cm) and TDS (35.00 mg/L), indicating a relatively low mineral content. This is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comparable with the report by Eze and Anurika (2021), who found similarly low TDS values</w:t>
      </w:r>
    </w:p>
    <w:p>
      <w:pPr>
        <w:autoSpaceDN w:val="0"/>
        <w:autoSpaceDE w:val="0"/>
        <w:widowControl/>
        <w:spacing w:line="218" w:lineRule="exact" w:before="332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 regulated sachet water sources, suggesting adequate filtration or low ionic contamination.</w:t>
      </w:r>
    </w:p>
    <w:p>
      <w:pPr>
        <w:autoSpaceDN w:val="0"/>
        <w:autoSpaceDE w:val="0"/>
        <w:widowControl/>
        <w:spacing w:line="166" w:lineRule="exact" w:before="147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From a microbiological perspective, the total viable count (TVC) in sample YW (231.00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CFU/mL) was exceptionally high, suggesting poor microbial control during production.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According to WHO guidelines, drinking water should not contain any coliform organisms in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100 mL of sample and should have very low heterotrophic plate counts (WHO, 2017).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presence of total coliforms in four out of five samples further indicates potential post-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treatment contamination. This aligns with earlier studies by Igbeneghu and Lamikanra (2018),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who reported coliform presence in unregulated sachet water brands.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No Escherichia coli was detected in any of the samples, which is a positive finding as E. coli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is a key fecal indicator organism. However, the presence of other potentially harmful bacteria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such as Staphylococcus epidermidis, Pseudomonas aeruginosa, and Bacillus subtilis raises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concern. These organisms, though common in the environment, may indicate substandard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hygienic practices or inadequate sterilization processes during production (Olaoye &amp; Onilude,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2020).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The fungal isolate identified as Aspergillus species is a common environmental mould, which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may enter sachet water through airborne contamination during packaging. While not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pathogenic to healthy individuals, its presence indicates a breach in aseptic handling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should be addressed. while some brands demonstrated acceptable physicochemical quality,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microbial contamination was evident in multiple samples, emphasizing the need for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continuous monitoring, improved production hygiene, and regulatory enforcement. These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findings support earlier calls for stricter oversight of sachet water production in Nigeria to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safeguard public health (Adegoke et al., 2022).</w:t>
      </w:r>
    </w:p>
    <w:p>
      <w:pPr>
        <w:autoSpaceDN w:val="0"/>
        <w:tabs>
          <w:tab w:pos="1736" w:val="left"/>
        </w:tabs>
        <w:autoSpaceDE w:val="0"/>
        <w:widowControl/>
        <w:spacing w:line="166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5.2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Conclusion</w:t>
      </w:r>
    </w:p>
    <w:p>
      <w:pPr>
        <w:autoSpaceDN w:val="0"/>
        <w:autoSpaceDE w:val="0"/>
        <w:widowControl/>
        <w:spacing w:line="218" w:lineRule="exact" w:before="38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This study assessed the physicochemical and microbiological quality of selected sachet water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brands produced in Ilorin, Kwara State. The results revealed that while most of the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physicochemical parameters, such as turbidity, total dissolved solids, electrical conductivity,</w:t>
      </w:r>
    </w:p>
    <w:p>
      <w:pPr>
        <w:autoSpaceDN w:val="0"/>
        <w:autoSpaceDE w:val="0"/>
        <w:widowControl/>
        <w:spacing w:line="164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41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and dissolved oxygen, fell within the World Health Organization (WHO) permissible limits,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deviations were observed in pH and temperature values across some brands. These slight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variations, although not immediately hazardous, suggest a need for better monitoring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production conditions to maintain water stability and consumer acceptability. Detection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total coliforms and elevated total viable counts in several samples indicates potential post-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treatment contamination or inadequate hygienic practices during production. The absence of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Escherichia coli</w:t>
      </w:r>
      <w:r>
        <w:rPr>
          <w:spacing w:val="-10"/>
          <w:rFonts w:ascii="" w:hAnsi="" w:eastAsia=""/>
          <w:color w:val="000008"/>
          <w:sz w:val="24"/>
        </w:rPr>
        <w:t xml:space="preserve"> in all samples is encouraging, yet the presence of other environmental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opportunistic bacteria such as</w:t>
      </w:r>
      <w:r>
        <w:rPr>
          <w:spacing w:val="-10"/>
          <w:rFonts w:ascii="" w:hAnsi="" w:eastAsia=""/>
          <w:i/>
          <w:color w:val="000008"/>
          <w:sz w:val="24"/>
        </w:rPr>
        <w:t xml:space="preserve"> Staphylococcus epidermidis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Pseudomonas aeruginosa,</w:t>
      </w:r>
      <w:r>
        <w:rPr>
          <w:spacing w:val="-10"/>
          <w:rFonts w:ascii="" w:hAnsi="" w:eastAsia=""/>
          <w:color w:val="000008"/>
          <w:sz w:val="24"/>
        </w:rPr>
        <w:t xml:space="preserve"> and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i/>
          <w:color w:val="000008"/>
          <w:sz w:val="24"/>
        </w:rPr>
        <w:t>Bacillus subtilis,</w:t>
      </w:r>
      <w:r>
        <w:rPr>
          <w:spacing w:val="-10"/>
          <w:rFonts w:ascii="" w:hAnsi="" w:eastAsia=""/>
          <w:color w:val="000008"/>
          <w:sz w:val="24"/>
        </w:rPr>
        <w:t xml:space="preserve"> as well as the fungal isolate</w:t>
      </w:r>
      <w:r>
        <w:rPr>
          <w:spacing w:val="-10"/>
          <w:rFonts w:ascii="" w:hAnsi="" w:eastAsia=""/>
          <w:i/>
          <w:color w:val="000008"/>
          <w:sz w:val="24"/>
        </w:rPr>
        <w:t xml:space="preserve"> Aspergillus</w:t>
      </w:r>
      <w:r>
        <w:rPr>
          <w:spacing w:val="-10"/>
          <w:rFonts w:ascii="" w:hAnsi="" w:eastAsia=""/>
          <w:color w:val="000008"/>
          <w:sz w:val="24"/>
        </w:rPr>
        <w:t xml:space="preserve"> species, revealed lapses in aseptic</w:t>
      </w:r>
    </w:p>
    <w:p>
      <w:pPr>
        <w:autoSpaceDN w:val="0"/>
        <w:autoSpaceDE w:val="0"/>
        <w:widowControl/>
        <w:spacing w:line="218" w:lineRule="exact" w:before="334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handling. The high microbial load in some samples, particularly in YW, further highlights</w:t>
      </w:r>
    </w:p>
    <w:p>
      <w:pPr>
        <w:autoSpaceDN w:val="0"/>
        <w:autoSpaceDE w:val="0"/>
        <w:widowControl/>
        <w:spacing w:line="218" w:lineRule="exact" w:before="334" w:after="0"/>
        <w:ind w:left="123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health risks associated with the consumption of inadequately processed sachet water.</w:t>
      </w:r>
    </w:p>
    <w:p>
      <w:pPr>
        <w:autoSpaceDN w:val="0"/>
        <w:tabs>
          <w:tab w:pos="1736" w:val="left"/>
        </w:tabs>
        <w:autoSpaceDE w:val="0"/>
        <w:widowControl/>
        <w:spacing w:line="166" w:lineRule="exact" w:before="378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 xml:space="preserve">5.3 </w:t>
      </w:r>
      <w:r>
        <w:tab/>
      </w:r>
      <w:r>
        <w:rPr>
          <w:spacing w:val="-10"/>
          <w:rFonts w:ascii="" w:hAnsi="" w:eastAsia=""/>
          <w:b/>
          <w:color w:val="000000"/>
          <w:sz w:val="24"/>
        </w:rPr>
        <w:t>Recommendations</w:t>
      </w:r>
    </w:p>
    <w:p>
      <w:pPr>
        <w:autoSpaceDN w:val="0"/>
        <w:autoSpaceDE w:val="0"/>
        <w:widowControl/>
        <w:spacing w:line="218" w:lineRule="exact" w:before="382" w:after="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Based on the findings of this study, the following recommendations are proposed to enhance</w:t>
      </w:r>
    </w:p>
    <w:p>
      <w:pPr>
        <w:autoSpaceDN w:val="0"/>
        <w:autoSpaceDE w:val="0"/>
        <w:widowControl/>
        <w:spacing w:line="218" w:lineRule="exact" w:before="334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the safety and quality of sachet water consumed in Ilorin, Kwara State:</w:t>
      </w:r>
    </w:p>
    <w:p>
      <w:pPr>
        <w:autoSpaceDN w:val="0"/>
        <w:autoSpaceDE w:val="0"/>
        <w:widowControl/>
        <w:spacing w:line="218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1. Regulatory agencies like NAFDAC and the Kwara State Ministry of Health should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intensify routine inspection and monitoring of sachet water production facilities</w:t>
      </w:r>
    </w:p>
    <w:p>
      <w:pPr>
        <w:autoSpaceDN w:val="0"/>
        <w:autoSpaceDE w:val="0"/>
        <w:widowControl/>
        <w:spacing w:line="218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2. Sachet water producers must prioritize quality control by implementing good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manufacturing practices (GMP), including the use of clean, food-grade equipment,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proper filtration, and disinfection systems.</w:t>
      </w:r>
    </w:p>
    <w:p>
      <w:pPr>
        <w:autoSpaceDN w:val="0"/>
        <w:autoSpaceDE w:val="0"/>
        <w:widowControl/>
        <w:spacing w:line="218" w:lineRule="exact" w:before="334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3. There should be increased public awareness and education campaigns to inform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consumers about the health risks associated with consuming unsafe sachet water and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how to identify approved and certified brands.</w:t>
      </w:r>
    </w:p>
    <w:p>
      <w:pPr>
        <w:autoSpaceDN w:val="0"/>
        <w:autoSpaceDE w:val="0"/>
        <w:widowControl/>
        <w:spacing w:line="218" w:lineRule="exact" w:before="332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4. Research and academic institutions should collaborate with regulatory bodies to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conduct periodic surveillance studies on the microbial quality of sachet water across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different regions.</w:t>
      </w:r>
    </w:p>
    <w:p>
      <w:pPr>
        <w:autoSpaceDN w:val="0"/>
        <w:autoSpaceDE w:val="0"/>
        <w:widowControl/>
        <w:spacing w:line="164" w:lineRule="exact" w:before="61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42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18" w:lineRule="exact" w:before="0" w:after="0"/>
        <w:ind w:left="156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5. Small and medium-scale sachet water companies should be supported with technical</w:t>
      </w:r>
    </w:p>
    <w:p>
      <w:pPr>
        <w:autoSpaceDN w:val="0"/>
        <w:autoSpaceDE w:val="0"/>
        <w:widowControl/>
        <w:spacing w:line="218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assistance and access to affordable testing services to help them comply with safety</w:t>
      </w:r>
    </w:p>
    <w:p>
      <w:pPr>
        <w:autoSpaceDN w:val="0"/>
        <w:autoSpaceDE w:val="0"/>
        <w:widowControl/>
        <w:spacing w:line="170" w:lineRule="exact" w:before="334" w:after="0"/>
        <w:ind w:left="192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standards.</w:t>
      </w:r>
    </w:p>
    <w:p>
      <w:pPr>
        <w:autoSpaceDN w:val="0"/>
        <w:autoSpaceDE w:val="0"/>
        <w:widowControl/>
        <w:spacing w:line="166" w:lineRule="exact" w:before="1284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43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60" w:after="0"/>
        <w:ind w:left="0" w:right="0"/>
      </w:pPr>
    </w:p>
    <w:p>
      <w:pPr>
        <w:autoSpaceDN w:val="0"/>
        <w:autoSpaceDE w:val="0"/>
        <w:widowControl/>
        <w:spacing w:line="166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0"/>
          <w:sz w:val="24"/>
        </w:rPr>
        <w:t>REFERENCES</w:t>
      </w:r>
    </w:p>
    <w:p>
      <w:pPr>
        <w:autoSpaceDN w:val="0"/>
        <w:autoSpaceDE w:val="0"/>
        <w:widowControl/>
        <w:spacing w:line="276" w:lineRule="exact" w:before="338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Abdel-Rahman, M. A., Youssif, S. H., &amp; Ebaid, M. H. (2018). Antibacterial activity of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samples: An investigation into the inhibition of bacterial growth using broth dilution method.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Environmental Science &amp; 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52</w:t>
      </w:r>
      <w:r>
        <w:rPr>
          <w:spacing w:val="-10"/>
          <w:rFonts w:ascii="" w:hAnsi="" w:eastAsia=""/>
          <w:color w:val="000008"/>
          <w:sz w:val="24"/>
        </w:rPr>
        <w:t>(14), 8432-8438.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Aborisade, W. T., Ajao, A. T., &amp; Sadiq, A. I. (2023). Assessment of surface water quality </w:t>
      </w:r>
      <w:r>
        <w:br/>
      </w:r>
      <w:r>
        <w:rPr>
          <w:spacing w:val="-10"/>
          <w:rFonts w:ascii="" w:hAnsi="" w:eastAsia=""/>
          <w:color w:val="000008"/>
          <w:sz w:val="24"/>
        </w:rPr>
        <w:t>using phytoplankton as base-line indicator organisms in Ilorin, Kwara State, Nigeria.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Environmental Research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20</w:t>
      </w:r>
      <w:r>
        <w:rPr>
          <w:spacing w:val="-10"/>
          <w:rFonts w:ascii="" w:hAnsi="" w:eastAsia=""/>
          <w:color w:val="000008"/>
          <w:sz w:val="24"/>
        </w:rPr>
        <w:t>(1), 45–58.</w:t>
      </w:r>
    </w:p>
    <w:p>
      <w:pPr>
        <w:autoSpaceDN w:val="0"/>
        <w:autoSpaceDE w:val="0"/>
        <w:widowControl/>
        <w:spacing w:line="276" w:lineRule="exact" w:before="282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Adams, M., Wysocki, K., &amp; Barker, C. (2019). Evaluation of antibacterial activity of different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samples using the Kirby-Bauer disc diffusion method.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Water and Health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17</w:t>
      </w:r>
      <w:r>
        <w:rPr>
          <w:spacing w:val="-10"/>
          <w:rFonts w:ascii="" w:hAnsi="" w:eastAsia=""/>
          <w:color w:val="000008"/>
          <w:sz w:val="24"/>
        </w:rPr>
        <w:t>(5), 709-715.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Adegoke, O. A., Oluduro, A. O., &amp; Amoo, A. O. (2022). Quality assessment of sachet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in Nigeria: An urgent public health concern.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Environmental Science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16</w:t>
      </w:r>
      <w:r>
        <w:rPr>
          <w:spacing w:val="-10"/>
          <w:rFonts w:ascii="" w:hAnsi="" w:eastAsia=""/>
          <w:color w:val="000008"/>
          <w:sz w:val="24"/>
        </w:rPr>
        <w:t>(3), 85–92.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https://doi.org/10.5897/AJEST2022.3059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Adekunle, A. S., Akinyele, B. J., &amp; Adegoke, G. O. (2021). Physicochemical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bacteriological assessment of drinking water from different sources in a developing urban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220" w:type="dxa"/>
        <w:gridCol w:w="1100" w:type="dxa"/>
        <w:gridCol w:w="540" w:type="dxa"/>
        <w:gridCol w:w="1780" w:type="dxa"/>
        <w:gridCol w:w="1100" w:type="dxa"/>
        <w:gridCol w:w="700" w:type="dxa"/>
        <w:gridCol w:w="1080" w:type="dxa"/>
        <w:gridCol w:w="900" w:type="dxa"/>
        <w:gridCol w:w="1800" w:type="dxa"/>
      </w:tblGrid>
      <w:tr>
        <w:trPr>
          <w:trHeight w:hRule="exact" w:val="276"/>
        </w:trPr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4" w:after="0"/>
              <w:ind w:left="0" w:right="16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area.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Environmental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Health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56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(9),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7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1023–1032.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https://doi.org/10.1080/10934529.2021.1882113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Adekunle, I. M., Dada, S. O., &amp; Omole, D. O. (2019). Microbiological quality of sachet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brands in Lagos,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International Journal of Environmental Science and Technology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16</w:t>
      </w:r>
      <w:r>
        <w:rPr>
          <w:spacing w:val="-10"/>
          <w:rFonts w:ascii="" w:hAnsi="" w:eastAsia=""/>
          <w:color w:val="000008"/>
          <w:sz w:val="24"/>
        </w:rPr>
        <w:t>(3), 157-164.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Adelakun, O., Ayodeji, S., &amp; Musa, A. (2021). Economic implications of waterborne diseases </w:t>
      </w:r>
      <w:r>
        <w:br/>
      </w:r>
      <w:r>
        <w:rPr>
          <w:spacing w:val="-10"/>
          <w:rFonts w:ascii="" w:hAnsi="" w:eastAsia=""/>
          <w:color w:val="000008"/>
          <w:sz w:val="24"/>
        </w:rPr>
        <w:t>in rural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Public Health and Epidemiology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(7), 125–132.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Adeniran, A., Daniell, K. A., &amp; Pittock, J. (2021). Water infrastructure development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Nigeria: Trend, size, and purpose.</w:t>
      </w:r>
      <w:r>
        <w:rPr>
          <w:spacing w:val="-10"/>
          <w:rFonts w:ascii="" w:hAnsi="" w:eastAsia=""/>
          <w:i/>
          <w:color w:val="000008"/>
          <w:sz w:val="24"/>
        </w:rPr>
        <w:t xml:space="preserve"> Water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(17), 2416.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https://doi.org/10.3390/w13172416</w:t>
      </w:r>
    </w:p>
    <w:p>
      <w:pPr>
        <w:autoSpaceDN w:val="0"/>
        <w:autoSpaceDE w:val="0"/>
        <w:widowControl/>
        <w:spacing w:line="276" w:lineRule="exact" w:before="28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Adewuyi, O. E., Adebayo, I. A., &amp; Ogunleye, O. O. (2022). Assessment of water quality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selected rural communities in Southwestern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Environmental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 and 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16</w:t>
      </w:r>
      <w:r>
        <w:rPr>
          <w:spacing w:val="-10"/>
          <w:rFonts w:ascii="" w:hAnsi="" w:eastAsia=""/>
          <w:color w:val="000008"/>
          <w:sz w:val="24"/>
        </w:rPr>
        <w:t>(3), 145–155.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Ahmed, T., Acharjee, M., Rahman, M. S., Meghla, M. N., Jamal, J., Munshi, S. K., &amp; Noor,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R. (2013). Microbiological study of drinking water: Qualitative and quantitative approach.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Stamford University Bangladesh Journal of Microbiology</w:t>
      </w:r>
      <w:r>
        <w:rPr>
          <w:spacing w:val="-10"/>
          <w:rFonts w:ascii="" w:hAnsi="" w:eastAsia=""/>
          <w:color w:val="000008"/>
          <w:sz w:val="24"/>
        </w:rPr>
        <w:t>.</w:t>
      </w:r>
    </w:p>
    <w:p>
      <w:pPr>
        <w:autoSpaceDN w:val="0"/>
        <w:autoSpaceDE w:val="0"/>
        <w:widowControl/>
        <w:spacing w:line="276" w:lineRule="exact" w:before="280" w:after="0"/>
        <w:ind w:left="1200" w:right="1160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Aiyedun, J. O., Aina, O. O., Oludairo, O. O., &amp; Akanbi, O. B. (2022). Bacteriological analysis </w:t>
      </w:r>
      <w:r>
        <w:br/>
      </w:r>
      <w:r>
        <w:rPr>
          <w:spacing w:val="-10"/>
          <w:rFonts w:ascii="" w:hAnsi="" w:eastAsia=""/>
          <w:color w:val="000008"/>
          <w:sz w:val="24"/>
        </w:rPr>
        <w:t>of water used in abattoirs within Ilorin metropolis, Kwara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Nigerian Journal of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Pure and Applied Sciences</w:t>
      </w:r>
      <w:r>
        <w:rPr>
          <w:spacing w:val="-10"/>
          <w:rFonts w:ascii="" w:hAnsi="" w:eastAsia=""/>
          <w:color w:val="000008"/>
          <w:sz w:val="24"/>
        </w:rPr>
        <w:t>, 4300–4309.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https://doi.org/10.48198/njpas/22.a09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Ajisegiri, B., Andrés, L. A., Bhatt, S., Dasgupta, B., Echenique, J. A., Gething, P. W., …</w:t>
      </w:r>
      <w:r>
        <w:br/>
      </w:r>
      <w:r>
        <w:rPr>
          <w:spacing w:val="-10"/>
          <w:rFonts w:ascii="" w:hAnsi="" w:eastAsia=""/>
          <w:color w:val="000008"/>
          <w:sz w:val="24"/>
        </w:rPr>
        <w:t>Joseph, G. (2019). Geo-spatial modeling of access to water and sanitation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980" w:type="dxa"/>
        <w:gridCol w:w="1040" w:type="dxa"/>
        <w:gridCol w:w="1380" w:type="dxa"/>
        <w:gridCol w:w="760" w:type="dxa"/>
        <w:gridCol w:w="1200" w:type="dxa"/>
        <w:gridCol w:w="680" w:type="dxa"/>
        <w:gridCol w:w="1720" w:type="dxa"/>
        <w:gridCol w:w="840" w:type="dxa"/>
        <w:gridCol w:w="1620" w:type="dxa"/>
      </w:tblGrid>
      <w:tr>
        <w:trPr>
          <w:trHeight w:hRule="exact" w:val="274"/>
        </w:trPr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0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Water,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Sanitation</w:t>
            </w:r>
          </w:p>
        </w:tc>
        <w:tc>
          <w:tcPr>
            <w:tcW w:type="dxa" w:w="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Hygiene</w:t>
            </w:r>
          </w:p>
        </w:tc>
        <w:tc>
          <w:tcPr>
            <w:tcW w:type="dxa" w:w="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for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Development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(2),</w:t>
            </w:r>
          </w:p>
        </w:tc>
        <w:tc>
          <w:tcPr>
            <w:tcW w:type="dxa" w:w="1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258–280.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https://doi.org/10.2166/washdev.2019.089</w:t>
      </w:r>
    </w:p>
    <w:p>
      <w:pPr>
        <w:autoSpaceDN w:val="0"/>
        <w:autoSpaceDE w:val="0"/>
        <w:widowControl/>
        <w:spacing w:line="164" w:lineRule="exact" w:before="594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44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Akinbile, C. O., &amp; Ojo, O. T. (2020). Water quality assessment of sachet water in Lagos, </w:t>
      </w:r>
      <w:r>
        <w:br/>
      </w:r>
      <w:r>
        <w:rPr>
          <w:spacing w:val="-10"/>
          <w:rFonts w:ascii="" w:hAnsi="" w:eastAsia=""/>
          <w:color w:val="000008"/>
          <w:sz w:val="24"/>
        </w:rPr>
        <w:t>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Environmental Science and Technology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14</w:t>
      </w:r>
      <w:r>
        <w:rPr>
          <w:spacing w:val="-10"/>
          <w:rFonts w:ascii="" w:hAnsi="" w:eastAsia=""/>
          <w:color w:val="000008"/>
          <w:sz w:val="24"/>
        </w:rPr>
        <w:t>(6), 225-232.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Akinbile, C. O., Oladele, M. S., &amp; Adedayo, T. (2022). Microbiological assessment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domestic water sources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Water and Health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20</w:t>
      </w:r>
      <w:r>
        <w:rPr>
          <w:spacing w:val="-10"/>
          <w:rFonts w:ascii="" w:hAnsi="" w:eastAsia=""/>
          <w:color w:val="000008"/>
          <w:sz w:val="24"/>
        </w:rPr>
        <w:t>(1), 89–99.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AlZaydi, K. M., Pétrier, C., Mousally, S. M., Arab, S. T., &amp; Refat, M. S. (2019).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Sonochemical degradation of benzothiophene (BT) in deionized water, natural water,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seawater.</w:t>
      </w:r>
      <w:r>
        <w:rPr>
          <w:spacing w:val="-10"/>
          <w:rFonts w:ascii="" w:hAnsi="" w:eastAsia=""/>
          <w:i/>
          <w:color w:val="000008"/>
          <w:sz w:val="24"/>
        </w:rPr>
        <w:t xml:space="preserve"> Molecules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24</w:t>
      </w:r>
      <w:r>
        <w:rPr>
          <w:spacing w:val="-10"/>
          <w:rFonts w:ascii="" w:hAnsi="" w:eastAsia=""/>
          <w:color w:val="000008"/>
          <w:sz w:val="24"/>
        </w:rPr>
        <w:t>(2), 257.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https://doi.org/10.3390/molecules24020257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Amanah, A., Apriyanto, D. R., &amp; Fitriani, H. (2019). Isolation of surveillance pathogenic </w:t>
      </w:r>
      <w:r>
        <w:br/>
      </w:r>
      <w:r>
        <w:rPr>
          <w:spacing w:val="-10"/>
          <w:rFonts w:ascii="" w:hAnsi="" w:eastAsia=""/>
          <w:color w:val="000008"/>
          <w:sz w:val="24"/>
        </w:rPr>
        <w:t>fungal microbial contaminant on mobile phone.</w:t>
      </w:r>
      <w:r>
        <w:rPr>
          <w:spacing w:val="-10"/>
          <w:rFonts w:ascii="" w:hAnsi="" w:eastAsia=""/>
          <w:i/>
          <w:color w:val="000008"/>
          <w:sz w:val="24"/>
        </w:rPr>
        <w:t xml:space="preserve"> Open Access Macedonian Journal of Medical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7</w:t>
      </w:r>
      <w:r>
        <w:rPr>
          <w:spacing w:val="-10"/>
          <w:rFonts w:ascii="" w:hAnsi="" w:eastAsia=""/>
          <w:color w:val="000008"/>
          <w:sz w:val="24"/>
        </w:rPr>
        <w:t>(20), 3493–3496.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https://doi.org/10.3889/oamjms.2019.685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Armstrong, L. E., &amp; Johnson, E. C. (2018). Water intake, water balance, and the elusive daily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requirement.</w:t>
      </w:r>
      <w:r>
        <w:rPr>
          <w:spacing w:val="-10"/>
          <w:rFonts w:ascii="" w:hAnsi="" w:eastAsia=""/>
          <w:i/>
          <w:color w:val="000008"/>
          <w:sz w:val="24"/>
        </w:rPr>
        <w:t xml:space="preserve"> Nutrients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10</w:t>
      </w:r>
      <w:r>
        <w:rPr>
          <w:spacing w:val="-10"/>
          <w:rFonts w:ascii="" w:hAnsi="" w:eastAsia=""/>
          <w:color w:val="000008"/>
          <w:sz w:val="24"/>
        </w:rPr>
        <w:t>(12), 1928.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https://doi.org/10.3390/nu10121928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Barreca, S., Forni, C., Colzani, L., Clerici, L., Daverio, D., &amp; Dellavedova, P. (2021). Study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on the stability of antibiotics, pesticides and drugs in water by using a straightforward </w:t>
      </w:r>
      <w:r>
        <w:br/>
      </w:r>
      <w:r>
        <w:rPr>
          <w:spacing w:val="-10"/>
          <w:rFonts w:ascii="" w:hAnsi="" w:eastAsia=""/>
          <w:color w:val="000008"/>
          <w:sz w:val="24"/>
        </w:rPr>
        <w:t>procedure applying HPLC-mass spectrometric determination for analytical purposes.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Separations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8</w:t>
      </w:r>
      <w:r>
        <w:rPr>
          <w:spacing w:val="-10"/>
          <w:rFonts w:ascii="" w:hAnsi="" w:eastAsia=""/>
          <w:color w:val="000008"/>
          <w:sz w:val="24"/>
        </w:rPr>
        <w:t>(10), 179.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https://doi.org/10.3390/separations8100179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Bello, O. O., Oni, M. O., Bello, T., Fashola, M. O., &amp; Oluwafemi, Y. D. (2020). Microbial </w:t>
      </w:r>
      <w:r>
        <w:br/>
      </w:r>
      <w:r>
        <w:rPr>
          <w:spacing w:val="-10"/>
          <w:rFonts w:ascii="" w:hAnsi="" w:eastAsia=""/>
          <w:color w:val="000008"/>
          <w:sz w:val="24"/>
        </w:rPr>
        <w:t>quality of utility water at universities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Malaysian Journal of Microbiology</w:t>
      </w:r>
      <w:r>
        <w:rPr>
          <w:spacing w:val="-10"/>
          <w:rFonts w:ascii="" w:hAnsi="" w:eastAsia=""/>
          <w:color w:val="000008"/>
          <w:sz w:val="24"/>
        </w:rPr>
        <w:t>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https://doi.org/10.21161/mjm.190534</w:t>
      </w:r>
    </w:p>
    <w:p>
      <w:pPr>
        <w:autoSpaceDN w:val="0"/>
        <w:autoSpaceDE w:val="0"/>
        <w:widowControl/>
        <w:spacing w:line="276" w:lineRule="exact" w:before="280" w:after="28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Calente, T. J. N., Calente Santos, G. N., &amp; Nogueira, W. V. (2021). Physical-chemical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microbiological quality of water used for public supply in the municipality of Alvorada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00" w:type="dxa"/>
        <w:gridCol w:w="1360" w:type="dxa"/>
        <w:gridCol w:w="1020" w:type="dxa"/>
        <w:gridCol w:w="1320" w:type="dxa"/>
        <w:gridCol w:w="1060" w:type="dxa"/>
        <w:gridCol w:w="740" w:type="dxa"/>
        <w:gridCol w:w="1700" w:type="dxa"/>
        <w:gridCol w:w="1420" w:type="dxa"/>
      </w:tblGrid>
      <w:tr>
        <w:trPr>
          <w:trHeight w:hRule="exact" w:val="276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4" w:after="0"/>
              <w:ind w:left="0" w:right="17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D'Oeste,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Rondônia,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Brazil.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6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Research,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3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Society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Development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192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10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(11).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https://doi.org/10.33448/rsd-v10i11.19357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Chakraborty, S., Andersen, K. H., Visser, A. W., Inomura, K., Follows, M. J., &amp; Riemann, L. </w:t>
      </w:r>
      <w:r>
        <w:br/>
      </w:r>
      <w:r>
        <w:rPr>
          <w:spacing w:val="-10"/>
          <w:rFonts w:ascii="" w:hAnsi="" w:eastAsia=""/>
          <w:color w:val="000008"/>
          <w:sz w:val="24"/>
        </w:rPr>
        <w:t>(2021). Quantifying nitrogen fixation by heterotrophic bacteria in sinking marine particles.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Nature Communications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</w:t>
      </w:r>
      <w:r>
        <w:rPr>
          <w:spacing w:val="-10"/>
          <w:rFonts w:ascii="" w:hAnsi="" w:eastAsia=""/>
          <w:color w:val="000008"/>
          <w:sz w:val="24"/>
        </w:rPr>
        <w:t>(1).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https://doi.org/10.1038/s41467-021-23875-6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Cruz, B., &amp; Neuer, S. (2019). Heterotrophic bacteria enhance the aggregation of the marine </w:t>
      </w:r>
      <w:r>
        <w:br/>
      </w:r>
      <w:r>
        <w:rPr>
          <w:spacing w:val="-10"/>
          <w:rFonts w:ascii="" w:hAnsi="" w:eastAsia=""/>
          <w:color w:val="000008"/>
          <w:sz w:val="24"/>
        </w:rPr>
        <w:t>picocyanobacteria Prochlorococcus and Synechococcus.</w:t>
      </w:r>
      <w:r>
        <w:rPr>
          <w:spacing w:val="-10"/>
          <w:rFonts w:ascii="" w:hAnsi="" w:eastAsia=""/>
          <w:i/>
          <w:color w:val="000008"/>
          <w:sz w:val="24"/>
        </w:rPr>
        <w:t xml:space="preserve"> Frontiers in 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10</w:t>
      </w:r>
      <w:r>
        <w:rPr>
          <w:spacing w:val="-10"/>
          <w:rFonts w:ascii="" w:hAnsi="" w:eastAsia=""/>
          <w:color w:val="000008"/>
          <w:sz w:val="24"/>
        </w:rPr>
        <w:t>, 1864.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https://doi.org/10.3389/fmicb.2019.01864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Dada, S. O., Oguntimehin, O. O., &amp; Olabode, T. O. (2020). Assessment of the bacteriological </w:t>
      </w:r>
      <w:r>
        <w:br/>
      </w:r>
      <w:r>
        <w:rPr>
          <w:spacing w:val="-10"/>
          <w:rFonts w:ascii="" w:hAnsi="" w:eastAsia=""/>
          <w:color w:val="000008"/>
          <w:sz w:val="24"/>
        </w:rPr>
        <w:t>quality of sachet water in Oyo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Environmental Health Science &amp;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Engineering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18</w:t>
      </w:r>
      <w:r>
        <w:rPr>
          <w:spacing w:val="-10"/>
          <w:rFonts w:ascii="" w:hAnsi="" w:eastAsia=""/>
          <w:color w:val="000008"/>
          <w:sz w:val="24"/>
        </w:rPr>
        <w:t>(1), 13-19.</w:t>
      </w:r>
    </w:p>
    <w:p>
      <w:pPr>
        <w:autoSpaceDN w:val="0"/>
        <w:autoSpaceDE w:val="0"/>
        <w:widowControl/>
        <w:spacing w:line="276" w:lineRule="exact" w:before="280" w:after="28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Deutsch, J., Riedel, M., Müller, J. D., &amp; Ihlenfeldt, S. (2019). Effects of variation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measurement chain on temperature measurement calibration with resistant temperature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700" w:type="dxa"/>
        <w:gridCol w:w="1420" w:type="dxa"/>
        <w:gridCol w:w="880" w:type="dxa"/>
        <w:gridCol w:w="1520" w:type="dxa"/>
        <w:gridCol w:w="1920" w:type="dxa"/>
        <w:gridCol w:w="1240" w:type="dxa"/>
        <w:gridCol w:w="1540" w:type="dxa"/>
      </w:tblGrid>
      <w:tr>
        <w:trPr>
          <w:trHeight w:hRule="exact" w:val="276"/>
        </w:trPr>
        <w:tc>
          <w:tcPr>
            <w:tcW w:type="dxa" w:w="1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6" w:after="0"/>
              <w:ind w:left="0" w:right="33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sensors.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Machine</w:t>
            </w:r>
          </w:p>
        </w:tc>
        <w:tc>
          <w:tcPr>
            <w:tcW w:type="dxa" w:w="1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Engineering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(3),</w:t>
            </w:r>
          </w:p>
        </w:tc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34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57–66.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https://doi.org/10.5604/01.3001.0013.4080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Edberg, S. C., &amp; Parker, B. C. (2020). The application of PCR for waterborne pathogens: A </w:t>
      </w:r>
      <w:r>
        <w:br/>
      </w:r>
      <w:r>
        <w:rPr>
          <w:spacing w:val="-10"/>
          <w:rFonts w:ascii="" w:hAnsi="" w:eastAsia=""/>
          <w:color w:val="000008"/>
          <w:sz w:val="24"/>
        </w:rPr>
        <w:t>review.</w:t>
      </w:r>
      <w:r>
        <w:rPr>
          <w:spacing w:val="-10"/>
          <w:rFonts w:ascii="" w:hAnsi="" w:eastAsia=""/>
          <w:i/>
          <w:color w:val="000008"/>
          <w:sz w:val="24"/>
        </w:rPr>
        <w:t xml:space="preserve"> Environmental 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22</w:t>
      </w:r>
      <w:r>
        <w:rPr>
          <w:spacing w:val="-10"/>
          <w:rFonts w:ascii="" w:hAnsi="" w:eastAsia=""/>
          <w:color w:val="000008"/>
          <w:sz w:val="24"/>
        </w:rPr>
        <w:t>(3), 1231-1245.</w:t>
      </w:r>
    </w:p>
    <w:p>
      <w:pPr>
        <w:autoSpaceDN w:val="0"/>
        <w:autoSpaceDE w:val="0"/>
        <w:widowControl/>
        <w:spacing w:line="166" w:lineRule="exact" w:before="32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45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Eze, A. M., &amp; Anurika, N. (2021). Comparative evaluation of the quality of sachet water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Enugu metropolis,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International Journal of Water Resources and Environmental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Engineering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(4), 215–222.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https://doi.org/10.5897/IJWREE2021.0967</w:t>
      </w:r>
    </w:p>
    <w:p>
      <w:pPr>
        <w:autoSpaceDN w:val="0"/>
        <w:autoSpaceDE w:val="0"/>
        <w:widowControl/>
        <w:spacing w:line="218" w:lineRule="exact" w:before="338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Federal Ministry of Health. (2021).</w:t>
      </w:r>
      <w:r>
        <w:rPr>
          <w:spacing w:val="-10"/>
          <w:rFonts w:ascii="" w:hAnsi="" w:eastAsia=""/>
          <w:i/>
          <w:color w:val="000008"/>
          <w:sz w:val="24"/>
        </w:rPr>
        <w:t xml:space="preserve"> National Cholera Report 2020-2021</w:t>
      </w:r>
      <w:r>
        <w:rPr>
          <w:spacing w:val="-10"/>
          <w:rFonts w:ascii="" w:hAnsi="" w:eastAsia=""/>
          <w:color w:val="000008"/>
          <w:sz w:val="24"/>
        </w:rPr>
        <w:t>. FMoH Press.</w:t>
      </w:r>
    </w:p>
    <w:p>
      <w:pPr>
        <w:autoSpaceDN w:val="0"/>
        <w:autoSpaceDE w:val="0"/>
        <w:widowControl/>
        <w:spacing w:line="276" w:lineRule="exact" w:before="280" w:after="0"/>
        <w:ind w:left="1200" w:right="1160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Fernandez, M., Cárdenas Manosalva, I. R., Colmenares-Quintero, R. F., Montenegro Marín,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C. E., Diaz Cuesta, Y. E., Escobar Mahecha, D., &amp; Pérez Vásquez, P. A. (2022).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Multitemporal total coliforms and Escherichia coli analysis in the middle Bogotá River basin, </w:t>
      </w:r>
      <w:r>
        <w:br/>
      </w:r>
      <w:r>
        <w:rPr>
          <w:spacing w:val="-10"/>
          <w:rFonts w:ascii="" w:hAnsi="" w:eastAsia=""/>
          <w:color w:val="000008"/>
          <w:sz w:val="24"/>
        </w:rPr>
        <w:t>2007–2019.</w:t>
      </w:r>
      <w:r>
        <w:rPr>
          <w:spacing w:val="-10"/>
          <w:rFonts w:ascii="" w:hAnsi="" w:eastAsia=""/>
          <w:i/>
          <w:color w:val="000008"/>
          <w:sz w:val="24"/>
        </w:rPr>
        <w:t xml:space="preserve"> Sustainability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14</w:t>
      </w:r>
      <w:r>
        <w:rPr>
          <w:spacing w:val="-10"/>
          <w:rFonts w:ascii="" w:hAnsi="" w:eastAsia=""/>
          <w:color w:val="000008"/>
          <w:sz w:val="24"/>
        </w:rPr>
        <w:t>(3), 1769.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https://doi.org/10.3390/su14031769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Gana, A., Adeniyi, I. A., Braimoh, S. O., Oguntayo, D., Ibitogbe, E. M., &amp; Ejigboye, P. </w:t>
      </w:r>
      <w:r>
        <w:br/>
      </w:r>
      <w:r>
        <w:rPr>
          <w:spacing w:val="-10"/>
          <w:rFonts w:ascii="" w:hAnsi="" w:eastAsia=""/>
          <w:color w:val="000008"/>
          <w:sz w:val="24"/>
        </w:rPr>
        <w:t>(2021). Quality assessment of sachet packed water in Omu-Aran, Kwara State.</w:t>
      </w:r>
      <w:r>
        <w:rPr>
          <w:spacing w:val="-10"/>
          <w:rFonts w:ascii="" w:hAnsi="" w:eastAsia=""/>
          <w:i/>
          <w:color w:val="000008"/>
          <w:sz w:val="24"/>
        </w:rPr>
        <w:t xml:space="preserve"> IOP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880" w:type="dxa"/>
        <w:gridCol w:w="1020" w:type="dxa"/>
        <w:gridCol w:w="1300" w:type="dxa"/>
        <w:gridCol w:w="1100" w:type="dxa"/>
        <w:gridCol w:w="720" w:type="dxa"/>
        <w:gridCol w:w="1600" w:type="dxa"/>
        <w:gridCol w:w="1120" w:type="dxa"/>
        <w:gridCol w:w="1480" w:type="dxa"/>
      </w:tblGrid>
      <w:tr>
        <w:trPr>
          <w:trHeight w:hRule="exact" w:val="274"/>
        </w:trPr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174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Conference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Series: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Materials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Engineering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1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1036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(1),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9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012069.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https://doi.org/10.1088/1757-899X/1036/1/012069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Goldoni, D., Ferrari, A., Piccini, M., Cattini, S., Molinari, R., &amp; Rovati, L. (2023). Blood-pH </w:t>
      </w:r>
      <w:r>
        <w:br/>
      </w:r>
      <w:r>
        <w:rPr>
          <w:spacing w:val="-10"/>
          <w:rFonts w:ascii="" w:hAnsi="" w:eastAsia=""/>
          <w:color w:val="000008"/>
          <w:sz w:val="24"/>
        </w:rPr>
        <w:t>optical measurement: A model to compensate for the effects of temperature.</w:t>
      </w:r>
      <w:r>
        <w:rPr>
          <w:spacing w:val="-10"/>
          <w:rFonts w:ascii="" w:hAnsi="" w:eastAsia=""/>
          <w:i/>
          <w:color w:val="000008"/>
          <w:sz w:val="24"/>
        </w:rPr>
        <w:t xml:space="preserve"> IEEE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40" w:type="dxa"/>
        <w:gridCol w:w="840" w:type="dxa"/>
        <w:gridCol w:w="2140" w:type="dxa"/>
        <w:gridCol w:w="960" w:type="dxa"/>
        <w:gridCol w:w="1980" w:type="dxa"/>
        <w:gridCol w:w="880" w:type="dxa"/>
        <w:gridCol w:w="1280" w:type="dxa"/>
      </w:tblGrid>
      <w:tr>
        <w:trPr>
          <w:trHeight w:hRule="exact" w:val="270"/>
        </w:trPr>
        <w:tc>
          <w:tcPr>
            <w:tcW w:type="dxa" w:w="2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286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Transactions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08" w:lineRule="exact" w:before="8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on</w:t>
            </w:r>
          </w:p>
        </w:tc>
        <w:tc>
          <w:tcPr>
            <w:tcW w:type="dxa" w:w="2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Instrumentation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Measurement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72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30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1–8.</w:t>
            </w:r>
          </w:p>
        </w:tc>
      </w:tr>
    </w:tbl>
    <w:p>
      <w:pPr>
        <w:autoSpaceDN w:val="0"/>
        <w:autoSpaceDE w:val="0"/>
        <w:widowControl/>
        <w:spacing w:line="218" w:lineRule="exact" w:before="34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https://doi.org/10.1109/tim.2023.3250282</w:t>
      </w:r>
    </w:p>
    <w:p>
      <w:pPr>
        <w:autoSpaceDN w:val="0"/>
        <w:autoSpaceDE w:val="0"/>
        <w:widowControl/>
        <w:spacing w:line="276" w:lineRule="exact" w:before="28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Helard, D., Indah, S., &amp; Wilandari, M. (2019). Spatial distribution of coliform bacteria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Batang Arau River, Padang, West Sumatera, Indonesia.</w:t>
      </w:r>
      <w:r>
        <w:rPr>
          <w:spacing w:val="-10"/>
          <w:rFonts w:ascii="" w:hAnsi="" w:eastAsia=""/>
          <w:i/>
          <w:color w:val="000008"/>
          <w:sz w:val="24"/>
        </w:rPr>
        <w:t xml:space="preserve"> IOP Conference Series: Materials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 and Engineering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602</w:t>
      </w:r>
      <w:r>
        <w:rPr>
          <w:spacing w:val="-10"/>
          <w:rFonts w:ascii="" w:hAnsi="" w:eastAsia=""/>
          <w:color w:val="000008"/>
          <w:sz w:val="24"/>
        </w:rPr>
        <w:t>(1), 12062.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https://doi.org/10.1088/1757-899x/602/1/012062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Ibrahim, M. S., Lawal, M., &amp; Sani, U. (2019). Impact of artisanal mining on water quality 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Zamfara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Environmental Monitoring and Assessment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191</w:t>
      </w:r>
      <w:r>
        <w:rPr>
          <w:spacing w:val="-10"/>
          <w:rFonts w:ascii="" w:hAnsi="" w:eastAsia=""/>
          <w:color w:val="000008"/>
          <w:sz w:val="24"/>
        </w:rPr>
        <w:t>(5), 322.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Igbeneghu, O. A., &amp; Lamikanra, A. (2018). The bacteriological quality of different brands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sachet water in Ibadan,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Journal of Medicine and Medical Sciences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47</w:t>
      </w:r>
      <w:r>
        <w:rPr>
          <w:spacing w:val="-10"/>
          <w:rFonts w:ascii="" w:hAnsi="" w:eastAsia=""/>
          <w:color w:val="000008"/>
          <w:sz w:val="24"/>
        </w:rPr>
        <w:t>(1),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69–74.</w:t>
      </w:r>
    </w:p>
    <w:p>
      <w:pPr>
        <w:autoSpaceDN w:val="0"/>
        <w:autoSpaceDE w:val="0"/>
        <w:widowControl/>
        <w:spacing w:line="276" w:lineRule="exact" w:before="328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Intriago Zambrano, J. C., Michavila, J., Arenas, E., Diehl, J. C., &amp; Ertsen, M. (2019).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lifting water: A comprehensive spatiotemporal review on the hydro-powered water pumping </w:t>
      </w:r>
      <w:r>
        <w:br/>
      </w:r>
      <w:r>
        <w:rPr>
          <w:spacing w:val="-10"/>
          <w:rFonts w:ascii="" w:hAnsi="" w:eastAsia=""/>
          <w:color w:val="000008"/>
          <w:sz w:val="24"/>
        </w:rPr>
        <w:t>technologies.</w:t>
      </w:r>
      <w:r>
        <w:rPr>
          <w:spacing w:val="-10"/>
          <w:rFonts w:ascii="" w:hAnsi="" w:eastAsia=""/>
          <w:i/>
          <w:color w:val="000008"/>
          <w:sz w:val="24"/>
        </w:rPr>
        <w:t xml:space="preserve"> Water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11</w:t>
      </w:r>
      <w:r>
        <w:rPr>
          <w:spacing w:val="-10"/>
          <w:rFonts w:ascii="" w:hAnsi="" w:eastAsia=""/>
          <w:color w:val="000008"/>
          <w:sz w:val="24"/>
        </w:rPr>
        <w:t>(8), 1677.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https://doi.org/10.3390/w11081677</w:t>
      </w:r>
    </w:p>
    <w:p>
      <w:pPr>
        <w:autoSpaceDN w:val="0"/>
        <w:autoSpaceDE w:val="0"/>
        <w:widowControl/>
        <w:spacing w:line="276" w:lineRule="exact" w:before="280" w:after="0"/>
        <w:ind w:left="1200" w:right="1168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Jia, X., Varbanov, P. S., &amp; Wan Alwi, S. R. (2019). Water availability footprint addressing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quality.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Sustainable Development of Energy, Water and Environment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Systems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7</w:t>
      </w:r>
      <w:r>
        <w:rPr>
          <w:spacing w:val="-10"/>
          <w:rFonts w:ascii="" w:hAnsi="" w:eastAsia=""/>
          <w:color w:val="000008"/>
          <w:sz w:val="24"/>
        </w:rPr>
        <w:t>(1), 72–86.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https://doi.org/10.13044/j.sdewes.d6.0223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Johnson, E. C., &amp; Adams, W. M. (2020). Water intake, body water regulation, and health.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Nutrients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</w:t>
      </w:r>
      <w:r>
        <w:rPr>
          <w:spacing w:val="-10"/>
          <w:rFonts w:ascii="" w:hAnsi="" w:eastAsia=""/>
          <w:color w:val="000008"/>
          <w:sz w:val="24"/>
        </w:rPr>
        <w:t>(3), 702.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https://doi.org/10.3390/nu12030702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Kapusta, Ł. J., Sutkowski, M., Rogóż, R., Zommara, M., &amp; Teodorczyk, A. (2019).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40" w:type="dxa"/>
        <w:gridCol w:w="460" w:type="dxa"/>
        <w:gridCol w:w="780" w:type="dxa"/>
        <w:gridCol w:w="600" w:type="dxa"/>
        <w:gridCol w:w="1320" w:type="dxa"/>
        <w:gridCol w:w="1020" w:type="dxa"/>
        <w:gridCol w:w="920" w:type="dxa"/>
        <w:gridCol w:w="1200" w:type="dxa"/>
        <w:gridCol w:w="700" w:type="dxa"/>
        <w:gridCol w:w="1080" w:type="dxa"/>
      </w:tblGrid>
      <w:tr>
        <w:trPr>
          <w:trHeight w:hRule="exact" w:val="274"/>
        </w:trPr>
        <w:tc>
          <w:tcPr>
            <w:tcW w:type="dxa" w:w="2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1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Characteristics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and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urea–water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solution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sprays.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Catalysts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(9),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3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750.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https://doi.org/10.3390/catal9090750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Kim, B.-S., Youm, S., &amp; Kim, Y.-K. (2020). Measurement of turbidity using an 850 nm light-</w:t>
      </w:r>
      <w:r>
        <w:br/>
      </w:r>
      <w:r>
        <w:rPr>
          <w:spacing w:val="-10"/>
          <w:rFonts w:ascii="" w:hAnsi="" w:eastAsia=""/>
          <w:color w:val="000008"/>
          <w:sz w:val="24"/>
        </w:rPr>
        <w:t>emitting diode.</w:t>
      </w:r>
      <w:r>
        <w:rPr>
          <w:spacing w:val="-10"/>
          <w:rFonts w:ascii="" w:hAnsi="" w:eastAsia=""/>
          <w:i/>
          <w:color w:val="000008"/>
          <w:sz w:val="24"/>
        </w:rPr>
        <w:t xml:space="preserve"> Sensors and Materials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32</w:t>
      </w:r>
      <w:r>
        <w:rPr>
          <w:spacing w:val="-10"/>
          <w:rFonts w:ascii="" w:hAnsi="" w:eastAsia=""/>
          <w:color w:val="000008"/>
          <w:sz w:val="24"/>
        </w:rPr>
        <w:t>(12), 4169.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https://doi.org/10.18494/sam.2020.2760</w:t>
      </w:r>
    </w:p>
    <w:p>
      <w:pPr>
        <w:autoSpaceDN w:val="0"/>
        <w:autoSpaceDE w:val="0"/>
        <w:widowControl/>
        <w:spacing w:line="166" w:lineRule="exact" w:before="60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46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Kumar, P. (2021). Water quality assessments for urban water environment.</w:t>
      </w:r>
      <w:r>
        <w:rPr>
          <w:spacing w:val="-10"/>
          <w:rFonts w:ascii="" w:hAnsi="" w:eastAsia=""/>
          <w:i/>
          <w:color w:val="000008"/>
          <w:sz w:val="24"/>
        </w:rPr>
        <w:t xml:space="preserve"> Water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 xml:space="preserve">(12), </w:t>
      </w:r>
      <w:r>
        <w:br/>
      </w:r>
      <w:r>
        <w:rPr>
          <w:spacing w:val="-10"/>
          <w:rFonts w:ascii="" w:hAnsi="" w:eastAsia=""/>
          <w:color w:val="000008"/>
          <w:sz w:val="24"/>
        </w:rPr>
        <w:t>1686.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https://doi.org/10.3390/w13121686</w:t>
      </w:r>
    </w:p>
    <w:p>
      <w:pPr>
        <w:autoSpaceDN w:val="0"/>
        <w:autoSpaceDE w:val="0"/>
        <w:widowControl/>
        <w:spacing w:line="276" w:lineRule="exact" w:before="28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Lee, S.-H., Mun, K.-H., Kim, N.-Y.-S., &amp; Kim, J.-B. (2019). Isolation and identification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false positive and false negative strains on coliform dry rehydratable film.</w:t>
      </w:r>
      <w:r>
        <w:rPr>
          <w:spacing w:val="-10"/>
          <w:rFonts w:ascii="" w:hAnsi="" w:eastAsia=""/>
          <w:i/>
          <w:color w:val="000008"/>
          <w:sz w:val="24"/>
        </w:rPr>
        <w:t xml:space="preserve"> Han'gug Sigpum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Jeojang Yu'tong Haghoeji/Han-Guk Sikpum Jeojang Yutong Hakoeji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26</w:t>
      </w:r>
      <w:r>
        <w:rPr>
          <w:spacing w:val="-10"/>
          <w:rFonts w:ascii="" w:hAnsi="" w:eastAsia=""/>
          <w:color w:val="000008"/>
          <w:sz w:val="24"/>
        </w:rPr>
        <w:t>(3), 330–335.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https://doi.org/10.11002/kjfp.2019.26.3.330</w:t>
      </w:r>
    </w:p>
    <w:p>
      <w:pPr>
        <w:autoSpaceDN w:val="0"/>
        <w:autoSpaceDE w:val="0"/>
        <w:widowControl/>
        <w:spacing w:line="218" w:lineRule="exact" w:before="338" w:after="28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Liu, H., Ren, L., Zhuo, H. S., &amp; Fu, S. (2019). Water footprint and water pinch analysis in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460" w:type="dxa"/>
        <w:gridCol w:w="1260" w:type="dxa"/>
        <w:gridCol w:w="1380" w:type="dxa"/>
        <w:gridCol w:w="620" w:type="dxa"/>
        <w:gridCol w:w="860" w:type="dxa"/>
        <w:gridCol w:w="1640" w:type="dxa"/>
        <w:gridCol w:w="980" w:type="dxa"/>
        <w:gridCol w:w="880" w:type="dxa"/>
        <w:gridCol w:w="1140" w:type="dxa"/>
      </w:tblGrid>
      <w:tr>
        <w:trPr>
          <w:trHeight w:hRule="exact" w:val="278"/>
        </w:trPr>
        <w:tc>
          <w:tcPr>
            <w:tcW w:type="dxa" w:w="1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15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ethanol</w:t>
            </w:r>
          </w:p>
        </w:tc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industrial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production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for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1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management.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Water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11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(3),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18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518.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https://doi.org/10.3390/w11030518</w:t>
      </w:r>
    </w:p>
    <w:p>
      <w:pPr>
        <w:autoSpaceDN w:val="0"/>
        <w:autoSpaceDE w:val="0"/>
        <w:widowControl/>
        <w:spacing w:line="276" w:lineRule="exact" w:before="280" w:after="0"/>
        <w:ind w:left="1200" w:right="1160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Majid, A. (2018). The activity of antioxidants enzymes and NPK contents as affected by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quality, kinetin, bio, and organic fertilization in lettuce (Lactuca sativa L.).</w:t>
      </w:r>
      <w:r>
        <w:rPr>
          <w:spacing w:val="-10"/>
          <w:rFonts w:ascii="" w:hAnsi="" w:eastAsia=""/>
          <w:i/>
          <w:color w:val="000008"/>
          <w:sz w:val="24"/>
        </w:rPr>
        <w:t xml:space="preserve"> Iraqi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Journal of Agricultural Science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49</w:t>
      </w:r>
      <w:r>
        <w:rPr>
          <w:spacing w:val="-10"/>
          <w:rFonts w:ascii="" w:hAnsi="" w:eastAsia=""/>
          <w:color w:val="000008"/>
          <w:sz w:val="24"/>
        </w:rPr>
        <w:t>(3).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https://doi.org/10.36103/ijas.v49i3.123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McDonald, N., Achterberg, E. P., Carlson, C. A., Gledhill, M., Liu, S., Matheson-Barker, J. </w:t>
      </w:r>
      <w:r>
        <w:br/>
      </w:r>
      <w:r>
        <w:rPr>
          <w:spacing w:val="-10"/>
          <w:rFonts w:ascii="" w:hAnsi="" w:eastAsia=""/>
          <w:color w:val="000008"/>
          <w:sz w:val="24"/>
        </w:rPr>
        <w:t>R., &amp; Parsons, R. (2019). The role of heterotrophic bacteria and archaea in the transformation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980" w:type="dxa"/>
        <w:gridCol w:w="960" w:type="dxa"/>
        <w:gridCol w:w="580" w:type="dxa"/>
        <w:gridCol w:w="700" w:type="dxa"/>
        <w:gridCol w:w="860" w:type="dxa"/>
        <w:gridCol w:w="1020" w:type="dxa"/>
        <w:gridCol w:w="1300" w:type="dxa"/>
        <w:gridCol w:w="580" w:type="dxa"/>
        <w:gridCol w:w="1100" w:type="dxa"/>
        <w:gridCol w:w="1180" w:type="dxa"/>
        <w:gridCol w:w="960" w:type="dxa"/>
      </w:tblGrid>
      <w:tr>
        <w:trPr>
          <w:trHeight w:hRule="exact" w:val="276"/>
        </w:trPr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1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lignin</w:t>
            </w:r>
          </w:p>
        </w:tc>
        <w:tc>
          <w:tcPr>
            <w:tcW w:type="dxa" w:w="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7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open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ocean.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Frontiers</w:t>
            </w:r>
          </w:p>
        </w:tc>
        <w:tc>
          <w:tcPr>
            <w:tcW w:type="dxa" w:w="5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4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in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Marine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https://doi.org/10.3389/fmars.2019.00743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Mennane, Z., Abrini, J., &amp; El Mtili, N. (2021). Hygienic quality, study of enterobacteria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isolated from table olives and antimicrobial activity of Olea europaea L. from Tetouan, </w:t>
      </w:r>
      <w:r>
        <w:br/>
      </w:r>
      <w:r>
        <w:rPr>
          <w:spacing w:val="-10"/>
          <w:rFonts w:ascii="" w:hAnsi="" w:eastAsia=""/>
          <w:color w:val="000008"/>
          <w:sz w:val="24"/>
        </w:rPr>
        <w:t>Morocco.</w:t>
      </w:r>
      <w:r>
        <w:rPr>
          <w:spacing w:val="-10"/>
          <w:rFonts w:ascii="" w:hAnsi="" w:eastAsia=""/>
          <w:i/>
          <w:color w:val="000008"/>
          <w:sz w:val="24"/>
        </w:rPr>
        <w:t xml:space="preserve"> E3S Web of Conferences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319</w:t>
      </w:r>
      <w:r>
        <w:rPr>
          <w:spacing w:val="-10"/>
          <w:rFonts w:ascii="" w:hAnsi="" w:eastAsia=""/>
          <w:color w:val="000008"/>
          <w:sz w:val="24"/>
        </w:rPr>
        <w:t>, 1088.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https://doi.org/10.1051/e3sconf/202131901088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Morley, M. S., &amp; Savić, D. (2020). Water resource systems analysis for water scarcity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00" w:type="dxa"/>
        <w:gridCol w:w="780" w:type="dxa"/>
        <w:gridCol w:w="1180" w:type="dxa"/>
        <w:gridCol w:w="1020" w:type="dxa"/>
        <w:gridCol w:w="820" w:type="dxa"/>
        <w:gridCol w:w="1000" w:type="dxa"/>
        <w:gridCol w:w="1080" w:type="dxa"/>
        <w:gridCol w:w="960" w:type="dxa"/>
        <w:gridCol w:w="1280" w:type="dxa"/>
      </w:tblGrid>
      <w:tr>
        <w:trPr>
          <w:trHeight w:hRule="exact" w:val="274"/>
        </w:trPr>
        <w:tc>
          <w:tcPr>
            <w:tcW w:type="dxa" w:w="2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4" w:lineRule="exact" w:before="52" w:after="0"/>
              <w:ind w:left="0" w:right="20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management: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Thames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8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14" w:lineRule="exact" w:before="8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case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study.</w:t>
            </w:r>
          </w:p>
        </w:tc>
        <w:tc>
          <w:tcPr>
            <w:tcW w:type="dxa" w:w="1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98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Water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(6),</w:t>
            </w:r>
          </w:p>
        </w:tc>
        <w:tc>
          <w:tcPr>
            <w:tcW w:type="dxa" w:w="12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1761.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https://doi.org/10.3390/w12061761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Mourad, K. A. (2020). A water compact for sustainable water management.</w:t>
      </w:r>
      <w:r>
        <w:rPr>
          <w:spacing w:val="-10"/>
          <w:rFonts w:ascii="" w:hAnsi="" w:eastAsia=""/>
          <w:i/>
          <w:color w:val="000008"/>
          <w:sz w:val="24"/>
        </w:rPr>
        <w:t xml:space="preserve"> Sustainability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12</w:t>
      </w:r>
      <w:r>
        <w:rPr>
          <w:spacing w:val="-10"/>
          <w:rFonts w:ascii="" w:hAnsi="" w:eastAsia=""/>
          <w:color w:val="000008"/>
          <w:sz w:val="24"/>
        </w:rPr>
        <w:t>(18), 7339.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https://doi.org/10.3390/su12187339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Myles, I. A., &amp; Hope, J. M. (2019). PCR-based detection of pathogens in environmental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samples: A comparison of methodologies.</w:t>
      </w:r>
      <w:r>
        <w:rPr>
          <w:spacing w:val="-10"/>
          <w:rFonts w:ascii="" w:hAnsi="" w:eastAsia=""/>
          <w:i/>
          <w:color w:val="000008"/>
          <w:sz w:val="24"/>
        </w:rPr>
        <w:t xml:space="preserve"> Applied and Environmental 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85</w:t>
      </w:r>
      <w:r>
        <w:rPr>
          <w:spacing w:val="-10"/>
          <w:rFonts w:ascii="" w:hAnsi="" w:eastAsia=""/>
          <w:color w:val="000008"/>
          <w:sz w:val="24"/>
        </w:rPr>
        <w:t>(6),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0001-0010.</w:t>
      </w:r>
    </w:p>
    <w:p>
      <w:pPr>
        <w:autoSpaceDN w:val="0"/>
        <w:autoSpaceDE w:val="0"/>
        <w:widowControl/>
        <w:spacing w:line="218" w:lineRule="exact" w:before="386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Nwachukwu, M. I., &amp; Umeh, A. C. (2022). Physicochemical and microbiological quality of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00" w:type="dxa"/>
        <w:gridCol w:w="1020" w:type="dxa"/>
        <w:gridCol w:w="740" w:type="dxa"/>
        <w:gridCol w:w="600" w:type="dxa"/>
        <w:gridCol w:w="380" w:type="dxa"/>
        <w:gridCol w:w="940" w:type="dxa"/>
        <w:gridCol w:w="1000" w:type="dxa"/>
        <w:gridCol w:w="1100" w:type="dxa"/>
        <w:gridCol w:w="980" w:type="dxa"/>
        <w:gridCol w:w="480" w:type="dxa"/>
        <w:gridCol w:w="1380" w:type="dxa"/>
      </w:tblGrid>
      <w:tr>
        <w:trPr>
          <w:trHeight w:hRule="exact" w:val="274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9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packaged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drinking</w:t>
            </w:r>
          </w:p>
        </w:tc>
        <w:tc>
          <w:tcPr>
            <w:tcW w:type="dxa" w:w="7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water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sold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9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Owerri,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Nigeria.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Scientific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African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15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0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e01031.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https://doi.org/10.1016/j.sciaf.2022.e01031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Ogundele, A. A., Omotayo, M. I., &amp; Akintunde, O. E. (2021). Seasonal variations in the </w:t>
      </w:r>
      <w:r>
        <w:br/>
      </w:r>
      <w:r>
        <w:rPr>
          <w:spacing w:val="-10"/>
          <w:rFonts w:ascii="" w:hAnsi="" w:eastAsia=""/>
          <w:color w:val="000008"/>
          <w:sz w:val="24"/>
        </w:rPr>
        <w:t>turbidity of water sources in Southwestern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Hydrology Research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</w:t>
      </w:r>
      <w:r>
        <w:rPr>
          <w:spacing w:val="-10"/>
          <w:rFonts w:ascii="" w:hAnsi="" w:eastAsia=""/>
          <w:color w:val="000008"/>
          <w:sz w:val="24"/>
        </w:rPr>
        <w:t>(2), 201–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212.</w:t>
      </w:r>
    </w:p>
    <w:p>
      <w:pPr>
        <w:autoSpaceDN w:val="0"/>
        <w:autoSpaceDE w:val="0"/>
        <w:widowControl/>
        <w:spacing w:line="276" w:lineRule="exact" w:before="328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Ogungbe, O., Fashola, A. A., &amp; Oduola, A. (2022). Climate change and water resource </w:t>
      </w:r>
      <w:r>
        <w:br/>
      </w:r>
      <w:r>
        <w:rPr>
          <w:spacing w:val="-10"/>
          <w:rFonts w:ascii="" w:hAnsi="" w:eastAsia=""/>
          <w:color w:val="000008"/>
          <w:sz w:val="24"/>
        </w:rPr>
        <w:t>challenges in Nigeria: A review.</w:t>
      </w:r>
      <w:r>
        <w:rPr>
          <w:spacing w:val="-10"/>
          <w:rFonts w:ascii="" w:hAnsi="" w:eastAsia=""/>
          <w:i/>
          <w:color w:val="000008"/>
          <w:sz w:val="24"/>
        </w:rPr>
        <w:t xml:space="preserve"> Environmental Sustainability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7</w:t>
      </w:r>
      <w:r>
        <w:rPr>
          <w:spacing w:val="-10"/>
          <w:rFonts w:ascii="" w:hAnsi="" w:eastAsia=""/>
          <w:color w:val="000008"/>
          <w:sz w:val="24"/>
        </w:rPr>
        <w:t>(1), 34–49.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Ogunjobi, A. O., &amp; Ayodele, M. M. (2021). Challenges in the regulation of sachet water </w:t>
      </w:r>
      <w:r>
        <w:br/>
      </w:r>
      <w:r>
        <w:rPr>
          <w:spacing w:val="-10"/>
          <w:rFonts w:ascii="" w:hAnsi="" w:eastAsia=""/>
          <w:color w:val="000008"/>
          <w:sz w:val="24"/>
        </w:rPr>
        <w:t>production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Water and Health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19</w:t>
      </w:r>
      <w:r>
        <w:rPr>
          <w:spacing w:val="-10"/>
          <w:rFonts w:ascii="" w:hAnsi="" w:eastAsia=""/>
          <w:color w:val="000008"/>
          <w:sz w:val="24"/>
        </w:rPr>
        <w:t>(2), 251-259.</w:t>
      </w:r>
    </w:p>
    <w:p>
      <w:pPr>
        <w:autoSpaceDN w:val="0"/>
        <w:autoSpaceDE w:val="0"/>
        <w:widowControl/>
        <w:spacing w:line="166" w:lineRule="exact" w:before="60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47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Ojekunle, O. Z., Adedapo, M. O., &amp; Akinola, S. O. (2020). Eutrophication and its impact on </w:t>
      </w:r>
      <w:r>
        <w:br/>
      </w:r>
      <w:r>
        <w:rPr>
          <w:spacing w:val="-10"/>
          <w:rFonts w:ascii="" w:hAnsi="" w:eastAsia=""/>
          <w:color w:val="000008"/>
          <w:sz w:val="24"/>
        </w:rPr>
        <w:t>aquatic biodiversity in Ogun River.</w:t>
      </w:r>
      <w:r>
        <w:rPr>
          <w:spacing w:val="-10"/>
          <w:rFonts w:ascii="" w:hAnsi="" w:eastAsia=""/>
          <w:i/>
          <w:color w:val="000008"/>
          <w:sz w:val="24"/>
        </w:rPr>
        <w:t xml:space="preserve"> Nigerian Journal of Environmental Studies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15</w:t>
      </w:r>
      <w:r>
        <w:rPr>
          <w:spacing w:val="-10"/>
          <w:rFonts w:ascii="" w:hAnsi="" w:eastAsia=""/>
          <w:color w:val="000008"/>
          <w:sz w:val="24"/>
        </w:rPr>
        <w:t>(4), 250–</w:t>
      </w:r>
    </w:p>
    <w:p>
      <w:pPr>
        <w:autoSpaceDN w:val="0"/>
        <w:autoSpaceDE w:val="0"/>
        <w:widowControl/>
        <w:spacing w:line="166" w:lineRule="exact" w:before="62" w:after="0"/>
        <w:ind w:left="1200" w:right="0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267.</w:t>
      </w:r>
    </w:p>
    <w:p>
      <w:pPr>
        <w:autoSpaceDN w:val="0"/>
        <w:autoSpaceDE w:val="0"/>
        <w:widowControl/>
        <w:spacing w:line="282" w:lineRule="exact" w:before="310" w:after="0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Okeola, F. O., Abu, T., Mohammed, A. A., Orosun, M. M., Obinaike, M., &amp; Mariam, A.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(2021). Investigation on the storage stability of packaged water commonly produced in Ilorin </w:t>
      </w:r>
      <w:r>
        <w:br/>
      </w:r>
      <w:r>
        <w:rPr>
          <w:spacing w:val="-10"/>
          <w:rFonts w:ascii="" w:hAnsi="" w:eastAsia=""/>
          <w:color w:val="000008"/>
          <w:sz w:val="24"/>
        </w:rPr>
        <w:t>Metropolis, Kwara State,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Research Square</w:t>
      </w:r>
      <w:r>
        <w:rPr>
          <w:spacing w:val="-10"/>
          <w:rFonts w:ascii="" w:hAnsi="" w:eastAsia=""/>
          <w:color w:val="000008"/>
          <w:sz w:val="24"/>
        </w:rPr>
        <w:t>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https://doi.org/10.21203/rs.3.rs-848220/v1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Okonko, I. O., Adejoye, O. D., Ogunnusi, T. A., Fajobi, E. A., &amp; Shittu, O. B. (2020). </w:t>
      </w:r>
      <w:r>
        <w:br/>
      </w:r>
      <w:r>
        <w:rPr>
          <w:spacing w:val="-10"/>
          <w:rFonts w:ascii="" w:hAnsi="" w:eastAsia=""/>
          <w:color w:val="000008"/>
          <w:sz w:val="24"/>
        </w:rPr>
        <w:t>Microbiological and physicochemical analysis of different sachet water brands in Abeokuta,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60" w:type="dxa"/>
        <w:gridCol w:w="1300" w:type="dxa"/>
        <w:gridCol w:w="1320" w:type="dxa"/>
        <w:gridCol w:w="760" w:type="dxa"/>
        <w:gridCol w:w="2020" w:type="dxa"/>
        <w:gridCol w:w="1240" w:type="dxa"/>
        <w:gridCol w:w="1920" w:type="dxa"/>
      </w:tblGrid>
      <w:tr>
        <w:trPr>
          <w:trHeight w:hRule="exact" w:val="276"/>
        </w:trPr>
        <w:tc>
          <w:tcPr>
            <w:tcW w:type="dxa" w:w="16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28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Nigeria.</w:t>
            </w:r>
          </w:p>
        </w:tc>
        <w:tc>
          <w:tcPr>
            <w:tcW w:type="dxa" w:w="13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African</w:t>
            </w:r>
          </w:p>
        </w:tc>
        <w:tc>
          <w:tcPr>
            <w:tcW w:type="dxa" w:w="13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7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2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Biotechnology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2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19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(22),</w:t>
            </w:r>
          </w:p>
        </w:tc>
        <w:tc>
          <w:tcPr>
            <w:tcW w:type="dxa" w:w="1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96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1137–1145.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https://doi.org/10.5897/AJB2020.17221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Olaoye, O. A., &amp; Onilude, A. A. (2020). Microbiological quality of sachet-packaged drinking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in Western Nigeria and its public health significance.</w:t>
      </w:r>
      <w:r>
        <w:rPr>
          <w:spacing w:val="-10"/>
          <w:rFonts w:ascii="" w:hAnsi="" w:eastAsia=""/>
          <w:i/>
          <w:color w:val="000008"/>
          <w:sz w:val="24"/>
        </w:rPr>
        <w:t xml:space="preserve"> Public Health Research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10</w:t>
      </w:r>
      <w:r>
        <w:rPr>
          <w:spacing w:val="-10"/>
          <w:rFonts w:ascii="" w:hAnsi="" w:eastAsia=""/>
          <w:color w:val="000008"/>
          <w:sz w:val="24"/>
        </w:rPr>
        <w:t>(1), 1–</w:t>
      </w:r>
      <w:r>
        <w:br/>
      </w:r>
      <w:r>
        <w:rPr>
          <w:spacing w:val="-10"/>
          <w:rFonts w:ascii="" w:hAnsi="" w:eastAsia=""/>
          <w:color w:val="000008"/>
          <w:sz w:val="24"/>
        </w:rPr>
        <w:t>7.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https://doi.org/10.5923/j.phr.20201001.01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Otobrise, C., Azuh, T. C., Mmakwe, E. I., Ogbakpa, E., &amp; Tolorun, C. O. (2021). </w:t>
      </w:r>
      <w:r>
        <w:br/>
      </w:r>
      <w:r>
        <w:rPr>
          <w:spacing w:val="-10"/>
          <w:rFonts w:ascii="" w:hAnsi="" w:eastAsia=""/>
          <w:color w:val="000008"/>
          <w:sz w:val="24"/>
        </w:rPr>
        <w:t>Physicochemical characteristics of selected sachet and bottled water in Abraka, Delta State.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rFonts w:ascii="" w:hAnsi="" w:eastAsia=""/>
          <w:i/>
          <w:color w:val="000008"/>
          <w:sz w:val="24"/>
        </w:rPr>
        <w:t>Deleted Journal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5</w:t>
      </w:r>
      <w:r>
        <w:rPr>
          <w:spacing w:val="-10"/>
          <w:rFonts w:ascii="" w:hAnsi="" w:eastAsia=""/>
          <w:color w:val="000008"/>
          <w:sz w:val="24"/>
        </w:rPr>
        <w:t>(1), 47–56.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https://doi.org/10.36263/nijest.2021.01.0248</w:t>
      </w:r>
    </w:p>
    <w:p>
      <w:pPr>
        <w:autoSpaceDN w:val="0"/>
        <w:autoSpaceDE w:val="0"/>
        <w:widowControl/>
        <w:spacing w:line="276" w:lineRule="exact" w:before="280" w:after="3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Pei, X., Meng, C., Li, M., Yang, W., &amp; Zhou, P. (2019). Measurement of soil electrical </w:t>
      </w:r>
      <w:r>
        <w:br/>
      </w:r>
      <w:r>
        <w:rPr>
          <w:spacing w:val="-10"/>
          <w:rFonts w:ascii="" w:hAnsi="" w:eastAsia=""/>
          <w:color w:val="000008"/>
          <w:sz w:val="24"/>
        </w:rPr>
        <w:t>conductivity based on direct digital synthesizer (DDS) and digital oscilloscope.</w:t>
      </w:r>
      <w:r>
        <w:rPr>
          <w:spacing w:val="-10"/>
          <w:rFonts w:ascii="" w:hAnsi="" w:eastAsia=""/>
          <w:i/>
          <w:color w:val="000008"/>
          <w:sz w:val="24"/>
        </w:rPr>
        <w:t xml:space="preserve"> International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540" w:type="dxa"/>
        <w:gridCol w:w="620" w:type="dxa"/>
        <w:gridCol w:w="1600" w:type="dxa"/>
        <w:gridCol w:w="780" w:type="dxa"/>
        <w:gridCol w:w="1420" w:type="dxa"/>
        <w:gridCol w:w="1680" w:type="dxa"/>
        <w:gridCol w:w="960" w:type="dxa"/>
        <w:gridCol w:w="1620" w:type="dxa"/>
      </w:tblGrid>
      <w:tr>
        <w:trPr>
          <w:trHeight w:hRule="exact" w:val="276"/>
        </w:trPr>
        <w:tc>
          <w:tcPr>
            <w:tcW w:type="dxa" w:w="15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194" w:firstLine="0"/>
              <w:jc w:val="righ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Journal</w:t>
            </w:r>
          </w:p>
        </w:tc>
        <w:tc>
          <w:tcPr>
            <w:tcW w:type="dxa" w:w="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of</w:t>
            </w:r>
          </w:p>
        </w:tc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Agricultural</w:t>
            </w:r>
          </w:p>
        </w:tc>
        <w:tc>
          <w:tcPr>
            <w:tcW w:type="dxa" w:w="7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4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Biological</w:t>
            </w:r>
          </w:p>
        </w:tc>
        <w:tc>
          <w:tcPr>
            <w:tcW w:type="dxa" w:w="16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3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Engineering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(6),</w:t>
            </w:r>
          </w:p>
        </w:tc>
        <w:tc>
          <w:tcPr>
            <w:tcW w:type="dxa" w:w="16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214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162–168.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https://doi.org/10.25165/j.ijabe.20191205.4840</w:t>
      </w:r>
    </w:p>
    <w:p>
      <w:pPr>
        <w:autoSpaceDN w:val="0"/>
        <w:autoSpaceDE w:val="0"/>
        <w:widowControl/>
        <w:spacing w:line="218" w:lineRule="exact" w:before="338" w:after="28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Posacka, A., Semeniuk, D. M., &amp; Maldonado, M. T. (2019). Effects of copper availability 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980" w:type="dxa"/>
        <w:gridCol w:w="1260" w:type="dxa"/>
        <w:gridCol w:w="400" w:type="dxa"/>
        <w:gridCol w:w="860" w:type="dxa"/>
        <w:gridCol w:w="1480" w:type="dxa"/>
        <w:gridCol w:w="1020" w:type="dxa"/>
        <w:gridCol w:w="1100" w:type="dxa"/>
        <w:gridCol w:w="380" w:type="dxa"/>
        <w:gridCol w:w="900" w:type="dxa"/>
        <w:gridCol w:w="1000" w:type="dxa"/>
        <w:gridCol w:w="840" w:type="dxa"/>
      </w:tblGrid>
      <w:tr>
        <w:trPr>
          <w:trHeight w:hRule="exact" w:val="276"/>
        </w:trPr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86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12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physiology</w:t>
            </w:r>
          </w:p>
        </w:tc>
        <w:tc>
          <w:tcPr>
            <w:tcW w:type="dxa" w:w="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marine</w:t>
            </w:r>
          </w:p>
        </w:tc>
        <w:tc>
          <w:tcPr>
            <w:tcW w:type="dxa" w:w="14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heterotrophic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bacteria.</w:t>
            </w:r>
          </w:p>
        </w:tc>
        <w:tc>
          <w:tcPr>
            <w:tcW w:type="dxa" w:w="11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Frontiers</w:t>
            </w:r>
          </w:p>
        </w:tc>
        <w:tc>
          <w:tcPr>
            <w:tcW w:type="dxa" w:w="3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54" w:lineRule="exact" w:before="4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in</w:t>
            </w:r>
          </w:p>
        </w:tc>
        <w:tc>
          <w:tcPr>
            <w:tcW w:type="dxa" w:w="9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3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Marine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02" w:lineRule="exact" w:before="3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Science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38" w:after="0"/>
              <w:ind w:left="104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5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.</w:t>
            </w:r>
          </w:p>
        </w:tc>
      </w:tr>
    </w:tbl>
    <w:p>
      <w:pPr>
        <w:autoSpaceDN w:val="0"/>
        <w:autoSpaceDE w:val="0"/>
        <w:widowControl/>
        <w:spacing w:line="218" w:lineRule="exact" w:before="30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https://doi.org/10.3389/fmars.2018.00523</w:t>
      </w:r>
    </w:p>
    <w:p>
      <w:pPr>
        <w:autoSpaceDN w:val="0"/>
        <w:autoSpaceDE w:val="0"/>
        <w:widowControl/>
        <w:spacing w:line="276" w:lineRule="exact" w:before="28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Qiuhua, S., Wang, X., Enfeng, C., &amp; Ma, Z. (2019). Comparative study on test methods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total coliforms in domestic drinking water.</w:t>
      </w:r>
      <w:r>
        <w:rPr>
          <w:spacing w:val="-10"/>
          <w:rFonts w:ascii="" w:hAnsi="" w:eastAsia=""/>
          <w:i/>
          <w:color w:val="000008"/>
          <w:sz w:val="24"/>
        </w:rPr>
        <w:t xml:space="preserve"> IOP Conference Series: Earth and Environmental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Science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310</w:t>
      </w:r>
      <w:r>
        <w:rPr>
          <w:spacing w:val="-10"/>
          <w:rFonts w:ascii="" w:hAnsi="" w:eastAsia=""/>
          <w:color w:val="000008"/>
          <w:sz w:val="24"/>
        </w:rPr>
        <w:t>(4), 42002.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https://doi.org/10.1088/1755-1315/310/4/042002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Rusova, D. A., &amp; Martyushev, L. M. (2019). Thermal dendrites on the surface of water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water solution.</w:t>
      </w:r>
      <w:r>
        <w:rPr>
          <w:spacing w:val="-10"/>
          <w:rFonts w:ascii="" w:hAnsi="" w:eastAsia=""/>
          <w:i/>
          <w:color w:val="000008"/>
          <w:sz w:val="24"/>
        </w:rPr>
        <w:t xml:space="preserve"> AIP Conference Proceedings</w:t>
      </w:r>
      <w:r>
        <w:rPr>
          <w:spacing w:val="-10"/>
          <w:rFonts w:ascii="" w:hAnsi="" w:eastAsia=""/>
          <w:color w:val="000008"/>
          <w:sz w:val="24"/>
        </w:rPr>
        <w:t>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https://doi.org/10.1063/1.5134313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Saheed, D. O., Ajibola, I. M., &amp; Adedoyin, L. (2021). Efficacy of audit fee on audit quality of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selected pharmaceutical firms in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Copernican Journal of Finance and Accounting</w:t>
      </w:r>
      <w:r>
        <w:rPr>
          <w:spacing w:val="-10"/>
          <w:rFonts w:ascii="" w:hAnsi="" w:eastAsia=""/>
          <w:color w:val="000008"/>
          <w:sz w:val="24"/>
        </w:rPr>
        <w:t xml:space="preserve">,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10</w:t>
      </w:r>
      <w:r>
        <w:rPr>
          <w:spacing w:val="-10"/>
          <w:rFonts w:ascii="" w:hAnsi="" w:eastAsia=""/>
          <w:color w:val="000008"/>
          <w:sz w:val="24"/>
        </w:rPr>
        <w:t>(1), 53–66.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https://doi.org/10.12775/cjfa.2021.003</w:t>
      </w:r>
    </w:p>
    <w:p>
      <w:pPr>
        <w:autoSpaceDN w:val="0"/>
        <w:autoSpaceDE w:val="0"/>
        <w:widowControl/>
        <w:spacing w:line="276" w:lineRule="exact" w:before="280" w:after="0"/>
        <w:ind w:left="1200" w:right="1008" w:firstLine="0"/>
        <w:jc w:val="left"/>
      </w:pPr>
      <w:r>
        <w:rPr>
          <w:spacing w:val="-10"/>
          <w:rFonts w:ascii="" w:hAnsi="" w:eastAsia=""/>
          <w:color w:val="000008"/>
          <w:sz w:val="24"/>
        </w:rPr>
        <w:t xml:space="preserve">Sanni, E. O., Olawumi, H. O., Durotoye, I. A., Olanrewaju, T. O., Babatunde, A. S., Shittu, O.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A., … Adepoju, A. M. (2022). Functional iron status of chronic kidney disease patients at the </w:t>
      </w:r>
      <w:r>
        <w:br/>
      </w:r>
      <w:r>
        <w:rPr>
          <w:spacing w:val="-10"/>
          <w:rFonts w:ascii="" w:hAnsi="" w:eastAsia=""/>
          <w:color w:val="000008"/>
          <w:sz w:val="24"/>
        </w:rPr>
        <w:t>University of Ilorin Teaching Hospital, Ilorin, Nigeria.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African Health Sciences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22</w:t>
      </w:r>
      <w:r>
        <w:rPr>
          <w:spacing w:val="-10"/>
          <w:rFonts w:ascii="" w:hAnsi="" w:eastAsia=""/>
          <w:color w:val="000008"/>
          <w:sz w:val="24"/>
        </w:rPr>
        <w:t>(3), 718–</w:t>
      </w:r>
      <w:r>
        <w:br/>
      </w:r>
      <w:r>
        <w:rPr>
          <w:spacing w:val="-10"/>
          <w:rFonts w:ascii="" w:hAnsi="" w:eastAsia=""/>
          <w:color w:val="000008"/>
          <w:sz w:val="24"/>
        </w:rPr>
        <w:t>725.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https://doi.org/10.4314/ahs.v22i3.77</w:t>
      </w:r>
    </w:p>
    <w:p>
      <w:pPr>
        <w:autoSpaceDN w:val="0"/>
        <w:autoSpaceDE w:val="0"/>
        <w:widowControl/>
        <w:spacing w:line="276" w:lineRule="exact" w:before="280" w:after="0"/>
        <w:ind w:left="1152" w:right="1152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 xml:space="preserve">Sério, J., Marques, A. P., Huertas, R., Crespo, J. G., &amp; Pereira, V. J. (2023). Occurrence and </w:t>
      </w:r>
      <w:r>
        <w:br/>
      </w:r>
      <w:r>
        <w:rPr>
          <w:spacing w:val="-10"/>
          <w:rFonts w:ascii="" w:hAnsi="" w:eastAsia=""/>
          <w:color w:val="000008"/>
          <w:sz w:val="24"/>
        </w:rPr>
        <w:t>treatment of antibiotic-resistant bacteria present in surface water.</w:t>
      </w:r>
      <w:r>
        <w:rPr>
          <w:spacing w:val="-10"/>
          <w:rFonts w:ascii="" w:hAnsi="" w:eastAsia=""/>
          <w:i/>
          <w:color w:val="000008"/>
          <w:sz w:val="24"/>
        </w:rPr>
        <w:t xml:space="preserve"> Membranes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13</w:t>
      </w:r>
      <w:r>
        <w:rPr>
          <w:spacing w:val="-10"/>
          <w:rFonts w:ascii="" w:hAnsi="" w:eastAsia=""/>
          <w:color w:val="000008"/>
          <w:sz w:val="24"/>
        </w:rPr>
        <w:t>(4), 425.</w:t>
      </w:r>
    </w:p>
    <w:p>
      <w:pPr>
        <w:autoSpaceDN w:val="0"/>
        <w:autoSpaceDE w:val="0"/>
        <w:widowControl/>
        <w:spacing w:line="218" w:lineRule="exact" w:before="5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https://doi.org/10.3390/membranes13040425</w:t>
      </w:r>
    </w:p>
    <w:p>
      <w:pPr>
        <w:autoSpaceDN w:val="0"/>
        <w:autoSpaceDE w:val="0"/>
        <w:widowControl/>
        <w:spacing w:line="166" w:lineRule="exact" w:before="606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48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56" w:after="0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1200" w:right="1162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Setiaji, J., Feliatra, F., Teruna, H. Y., &amp; Lukistyowati, I. (2019). Antimicrobial agents derived </w:t>
      </w:r>
      <w:r>
        <w:br/>
      </w:r>
      <w:r>
        <w:rPr>
          <w:spacing w:val="-10"/>
          <w:rFonts w:ascii="" w:hAnsi="" w:eastAsia=""/>
          <w:color w:val="000008"/>
          <w:sz w:val="24"/>
        </w:rPr>
        <w:t>from heterotrophic bacteria against pathogenic bacteria.</w:t>
      </w:r>
      <w:r>
        <w:rPr>
          <w:spacing w:val="-10"/>
          <w:rFonts w:ascii="" w:hAnsi="" w:eastAsia=""/>
          <w:i/>
          <w:color w:val="000008"/>
          <w:sz w:val="24"/>
        </w:rPr>
        <w:t xml:space="preserve"> IOP Conference Series: Earth and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Environmental Science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348</w:t>
      </w:r>
      <w:r>
        <w:rPr>
          <w:spacing w:val="-10"/>
          <w:rFonts w:ascii="" w:hAnsi="" w:eastAsia=""/>
          <w:color w:val="000008"/>
          <w:sz w:val="24"/>
        </w:rPr>
        <w:t>(1), 12029.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https://doi.org/10.1088/1755-1315/348/1/012029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Shiru, M. S., Shahid, S., &amp; Park, I.-H. (2021). Projection of water availability and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00" w:type="dxa"/>
        <w:gridCol w:w="460" w:type="dxa"/>
        <w:gridCol w:w="980" w:type="dxa"/>
        <w:gridCol w:w="600" w:type="dxa"/>
        <w:gridCol w:w="460" w:type="dxa"/>
        <w:gridCol w:w="960" w:type="dxa"/>
        <w:gridCol w:w="1000" w:type="dxa"/>
        <w:gridCol w:w="1640" w:type="dxa"/>
        <w:gridCol w:w="920" w:type="dxa"/>
        <w:gridCol w:w="1200" w:type="dxa"/>
      </w:tblGrid>
      <w:tr>
        <w:trPr>
          <w:trHeight w:hRule="exact" w:val="276"/>
        </w:trPr>
        <w:tc>
          <w:tcPr>
            <w:tcW w:type="dxa" w:w="2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12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sustainability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9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Nigeria</w:t>
            </w:r>
          </w:p>
        </w:tc>
        <w:tc>
          <w:tcPr>
            <w:tcW w:type="dxa" w:w="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due</w:t>
            </w:r>
          </w:p>
        </w:tc>
        <w:tc>
          <w:tcPr>
            <w:tcW w:type="dxa" w:w="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</w:t>
            </w:r>
          </w:p>
        </w:tc>
        <w:tc>
          <w:tcPr>
            <w:tcW w:type="dxa" w:w="9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climate</w:t>
            </w:r>
          </w:p>
        </w:tc>
        <w:tc>
          <w:tcPr>
            <w:tcW w:type="dxa" w:w="10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change.</w:t>
            </w:r>
          </w:p>
        </w:tc>
        <w:tc>
          <w:tcPr>
            <w:tcW w:type="dxa" w:w="16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Sustainability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9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13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(11),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138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6284.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https://doi.org/10.3390/su13116284</w:t>
      </w:r>
    </w:p>
    <w:p>
      <w:pPr>
        <w:autoSpaceDN w:val="0"/>
        <w:autoSpaceDE w:val="0"/>
        <w:widowControl/>
        <w:spacing w:line="218" w:lineRule="exact" w:before="338" w:after="28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Silva, M., Inza, I., &amp; Figueras, M. J. (2023). Heterotrophic plate count can predict the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1600" w:type="dxa"/>
        <w:gridCol w:w="520" w:type="dxa"/>
        <w:gridCol w:w="1360" w:type="dxa"/>
        <w:gridCol w:w="720" w:type="dxa"/>
        <w:gridCol w:w="520" w:type="dxa"/>
        <w:gridCol w:w="1060" w:type="dxa"/>
        <w:gridCol w:w="1020" w:type="dxa"/>
        <w:gridCol w:w="1400" w:type="dxa"/>
        <w:gridCol w:w="880" w:type="dxa"/>
        <w:gridCol w:w="1140" w:type="dxa"/>
      </w:tblGrid>
      <w:tr>
        <w:trPr>
          <w:trHeight w:hRule="exact" w:val="278"/>
        </w:trPr>
        <w:tc>
          <w:tcPr>
            <w:tcW w:type="dxa" w:w="16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6" w:after="0"/>
              <w:ind w:left="0" w:right="160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presence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of</w:t>
            </w:r>
          </w:p>
        </w:tc>
        <w:tc>
          <w:tcPr>
            <w:tcW w:type="dxa" w:w="13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Legionella</w:t>
            </w:r>
          </w:p>
        </w:tc>
        <w:tc>
          <w:tcPr>
            <w:tcW w:type="dxa" w:w="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2" w:lineRule="exact" w:before="86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spp.</w:t>
            </w:r>
          </w:p>
        </w:tc>
        <w:tc>
          <w:tcPr>
            <w:tcW w:type="dxa" w:w="5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</w:t>
            </w:r>
          </w:p>
        </w:tc>
        <w:tc>
          <w:tcPr>
            <w:tcW w:type="dxa" w:w="10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cooling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46" w:lineRule="exact" w:before="54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towers.</w:t>
            </w:r>
          </w:p>
        </w:tc>
        <w:tc>
          <w:tcPr>
            <w:tcW w:type="dxa" w:w="14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Pathogens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12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(3),</w:t>
            </w:r>
          </w:p>
        </w:tc>
        <w:tc>
          <w:tcPr>
            <w:tcW w:type="dxa" w:w="114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180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466.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https://doi.org/10.3390/pathogens12030466</w:t>
      </w:r>
    </w:p>
    <w:p>
      <w:pPr>
        <w:autoSpaceDN w:val="0"/>
        <w:autoSpaceDE w:val="0"/>
        <w:widowControl/>
        <w:spacing w:line="276" w:lineRule="exact" w:before="280" w:after="28"/>
        <w:ind w:left="1200" w:right="1164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Solaiman, S., Allard, S., Callahan, M. T., Jiang, C., Handy, E. T., East, C., &amp; Micallef, S. A. </w:t>
      </w:r>
      <w:r>
        <w:br/>
      </w:r>
      <w:r>
        <w:rPr>
          <w:spacing w:val="-10"/>
          <w:rFonts w:ascii="" w:hAnsi="" w:eastAsia=""/>
          <w:color w:val="000008"/>
          <w:sz w:val="24"/>
        </w:rPr>
        <w:t xml:space="preserve">(2020). Longitudinal assessment of the dynamics of Escherichia coli, total coliforms, </w:t>
      </w:r>
      <w:r>
        <w:br/>
      </w:r>
      <w:r>
        <w:rPr>
          <w:spacing w:val="-10"/>
          <w:rFonts w:ascii="" w:hAnsi="" w:eastAsia=""/>
          <w:color w:val="000008"/>
          <w:sz w:val="24"/>
        </w:rPr>
        <w:t>Enterococcus spp., and Aeromonas spp. in alternative irrigation water sources: A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080" w:type="dxa"/>
        <w:gridCol w:w="1020" w:type="dxa"/>
        <w:gridCol w:w="1180" w:type="dxa"/>
        <w:gridCol w:w="800" w:type="dxa"/>
        <w:gridCol w:w="1880" w:type="dxa"/>
        <w:gridCol w:w="1800" w:type="dxa"/>
        <w:gridCol w:w="1460" w:type="dxa"/>
      </w:tblGrid>
      <w:tr>
        <w:trPr>
          <w:trHeight w:hRule="exact" w:val="278"/>
        </w:trPr>
        <w:tc>
          <w:tcPr>
            <w:tcW w:type="dxa" w:w="20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4" w:after="0"/>
              <w:ind w:left="0" w:right="214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CONSERVE</w:t>
            </w:r>
          </w:p>
        </w:tc>
        <w:tc>
          <w:tcPr>
            <w:tcW w:type="dxa" w:w="10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study.</w:t>
            </w:r>
          </w:p>
        </w:tc>
        <w:tc>
          <w:tcPr>
            <w:tcW w:type="dxa" w:w="1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Applied</w:t>
            </w:r>
          </w:p>
        </w:tc>
        <w:tc>
          <w:tcPr>
            <w:tcW w:type="dxa" w:w="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and</w:t>
            </w:r>
          </w:p>
        </w:tc>
        <w:tc>
          <w:tcPr>
            <w:tcW w:type="dxa" w:w="18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Environmental</w:t>
            </w:r>
          </w:p>
        </w:tc>
        <w:tc>
          <w:tcPr>
            <w:tcW w:type="dxa" w:w="18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Microbiology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,</w:t>
            </w:r>
          </w:p>
        </w:tc>
        <w:tc>
          <w:tcPr>
            <w:tcW w:type="dxa" w:w="14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30" w:after="0"/>
              <w:ind w:left="232" w:right="0" w:firstLine="0"/>
              <w:jc w:val="left"/>
            </w:pPr>
            <w:r>
              <w:rPr>
                <w:spacing w:val="-10"/>
                <w:rFonts w:ascii="" w:hAnsi="" w:eastAsia=""/>
                <w:i/>
                <w:color w:val="000008"/>
                <w:sz w:val="24"/>
              </w:rPr>
              <w:t>86</w:t>
            </w:r>
            <w:r>
              <w:rPr>
                <w:spacing w:val="-10"/>
                <w:rFonts w:ascii="" w:hAnsi="" w:eastAsia=""/>
                <w:color w:val="000008"/>
                <w:sz w:val="24"/>
              </w:rPr>
              <w:t>(20).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https://doi.org/10.1128/aem.00342-20</w:t>
      </w:r>
    </w:p>
    <w:p>
      <w:pPr>
        <w:autoSpaceDN w:val="0"/>
        <w:autoSpaceDE w:val="0"/>
        <w:widowControl/>
        <w:spacing w:line="276" w:lineRule="exact" w:before="280" w:after="0"/>
        <w:ind w:left="1200" w:right="1166" w:firstLine="0"/>
        <w:jc w:val="both"/>
      </w:pPr>
      <w:r>
        <w:rPr>
          <w:spacing w:val="-10"/>
          <w:rFonts w:ascii="" w:hAnsi="" w:eastAsia=""/>
          <w:color w:val="000008"/>
          <w:sz w:val="24"/>
        </w:rPr>
        <w:t xml:space="preserve">Venter, M., Wright, J. D., &amp; Adams, R. (2019). Exploring the use of next-generation </w:t>
      </w:r>
      <w:r>
        <w:br/>
      </w:r>
      <w:r>
        <w:rPr>
          <w:spacing w:val="-10"/>
          <w:rFonts w:ascii="" w:hAnsi="" w:eastAsia=""/>
          <w:color w:val="000008"/>
          <w:sz w:val="24"/>
        </w:rPr>
        <w:t>sequencing for microbial community analysis of waterborne pathogens.</w:t>
      </w:r>
      <w:r>
        <w:rPr>
          <w:spacing w:val="-10"/>
          <w:rFonts w:ascii="" w:hAnsi="" w:eastAsia=""/>
          <w:i/>
          <w:color w:val="000008"/>
          <w:sz w:val="24"/>
        </w:rPr>
        <w:t xml:space="preserve"> Journal of Applied </w:t>
      </w:r>
      <w:r>
        <w:br/>
      </w:r>
      <w:r>
        <w:rPr>
          <w:spacing w:val="-10"/>
          <w:rFonts w:ascii="" w:hAnsi="" w:eastAsia=""/>
          <w:i/>
          <w:color w:val="000008"/>
          <w:sz w:val="24"/>
        </w:rPr>
        <w:t>Microbiology</w:t>
      </w:r>
      <w:r>
        <w:rPr>
          <w:spacing w:val="-10"/>
          <w:rFonts w:ascii="" w:hAnsi="" w:eastAsia=""/>
          <w:color w:val="000008"/>
          <w:sz w:val="24"/>
        </w:rPr>
        <w:t>,</w:t>
      </w:r>
      <w:r>
        <w:rPr>
          <w:spacing w:val="-10"/>
          <w:rFonts w:ascii="" w:hAnsi="" w:eastAsia=""/>
          <w:i/>
          <w:color w:val="000008"/>
          <w:sz w:val="24"/>
        </w:rPr>
        <w:t xml:space="preserve"> 127</w:t>
      </w:r>
      <w:r>
        <w:rPr>
          <w:spacing w:val="-10"/>
          <w:rFonts w:ascii="" w:hAnsi="" w:eastAsia=""/>
          <w:color w:val="000008"/>
          <w:sz w:val="24"/>
        </w:rPr>
        <w:t>(5), 1303-1314.</w:t>
      </w:r>
    </w:p>
    <w:p>
      <w:pPr>
        <w:autoSpaceDN w:val="0"/>
        <w:autoSpaceDE w:val="0"/>
        <w:widowControl/>
        <w:spacing w:line="218" w:lineRule="exact" w:before="338" w:after="30"/>
        <w:ind w:left="0" w:right="0" w:firstLine="0"/>
        <w:jc w:val="center"/>
      </w:pPr>
      <w:r>
        <w:rPr>
          <w:spacing w:val="-10"/>
          <w:rFonts w:ascii="" w:hAnsi="" w:eastAsia=""/>
          <w:color w:val="000008"/>
          <w:sz w:val="24"/>
        </w:rPr>
        <w:t>World Health Organization. (2017).</w:t>
      </w:r>
      <w:r>
        <w:rPr>
          <w:spacing w:val="-10"/>
          <w:rFonts w:ascii="" w:hAnsi="" w:eastAsia=""/>
          <w:i/>
          <w:color w:val="000008"/>
          <w:sz w:val="24"/>
        </w:rPr>
        <w:t xml:space="preserve"> Guidelines for drinking-water quality</w:t>
      </w:r>
      <w:r>
        <w:rPr>
          <w:spacing w:val="-10"/>
          <w:rFonts w:ascii="" w:hAnsi="" w:eastAsia=""/>
          <w:color w:val="000008"/>
          <w:sz w:val="24"/>
        </w:rPr>
        <w:t xml:space="preserve"> (4th ed.,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00" w:type="dxa"/>
      </w:tblPr>
      <w:tblGrid>
        <w:gridCol w:w="2180" w:type="dxa"/>
        <w:gridCol w:w="860" w:type="dxa"/>
        <w:gridCol w:w="860" w:type="dxa"/>
        <w:gridCol w:w="1720" w:type="dxa"/>
        <w:gridCol w:w="1200" w:type="dxa"/>
        <w:gridCol w:w="1220" w:type="dxa"/>
        <w:gridCol w:w="2180" w:type="dxa"/>
      </w:tblGrid>
      <w:tr>
        <w:trPr>
          <w:trHeight w:hRule="exact" w:val="276"/>
        </w:trPr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288" w:firstLine="0"/>
              <w:jc w:val="righ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incorporating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the</w:t>
            </w:r>
          </w:p>
        </w:tc>
        <w:tc>
          <w:tcPr>
            <w:tcW w:type="dxa" w:w="86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66" w:lineRule="exact" w:before="32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1st</w:t>
            </w:r>
          </w:p>
        </w:tc>
        <w:tc>
          <w:tcPr>
            <w:tcW w:type="dxa" w:w="17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addendum).</w:t>
            </w:r>
          </w:p>
        </w:tc>
        <w:tc>
          <w:tcPr>
            <w:tcW w:type="dxa" w:w="120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World</w:t>
            </w:r>
          </w:p>
        </w:tc>
        <w:tc>
          <w:tcPr>
            <w:tcW w:type="dxa" w:w="122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170" w:lineRule="exact" w:before="28" w:after="0"/>
              <w:ind w:left="0" w:right="0" w:firstLine="0"/>
              <w:jc w:val="center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Health</w:t>
            </w:r>
          </w:p>
        </w:tc>
        <w:tc>
          <w:tcPr>
            <w:tcW w:type="dxa" w:w="2180"/>
            <w:tcBorders/>
            <w:tcMar>
              <w:left w:w="0" w:type="dxa"/>
              <w:right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28" w:after="0"/>
              <w:ind w:left="292" w:right="0" w:firstLine="0"/>
              <w:jc w:val="left"/>
            </w:pPr>
            <w:r>
              <w:rPr>
                <w:spacing w:val="-10"/>
                <w:rFonts w:ascii="" w:hAnsi="" w:eastAsia=""/>
                <w:color w:val="000008"/>
                <w:sz w:val="24"/>
              </w:rPr>
              <w:t>Organization.</w:t>
            </w:r>
          </w:p>
        </w:tc>
      </w:tr>
    </w:tbl>
    <w:p>
      <w:pPr>
        <w:autoSpaceDN w:val="0"/>
        <w:autoSpaceDE w:val="0"/>
        <w:widowControl/>
        <w:spacing w:line="218" w:lineRule="exact" w:before="28" w:after="0"/>
        <w:ind w:left="1200" w:right="0" w:firstLine="0"/>
        <w:jc w:val="left"/>
      </w:pPr>
      <w:r>
        <w:rPr>
          <w:spacing w:val="-10"/>
          <w:u w:val="single" w:color="0463c0"/>
          <w:rFonts w:ascii="" w:hAnsi="" w:eastAsia=""/>
          <w:color w:val="0563C1"/>
          <w:sz w:val="24"/>
        </w:rPr>
        <w:t>https://www.who.int/publications/i/item/9789241549950</w:t>
      </w:r>
    </w:p>
    <w:p>
      <w:pPr>
        <w:autoSpaceDN w:val="0"/>
        <w:autoSpaceDE w:val="0"/>
        <w:widowControl/>
        <w:spacing w:line="276" w:lineRule="exact" w:before="280" w:after="0"/>
        <w:ind w:left="1200" w:right="1152" w:firstLine="0"/>
        <w:jc w:val="left"/>
      </w:pPr>
      <w:r>
        <w:rPr>
          <w:spacing w:val="-10"/>
          <w:rFonts w:ascii="" w:hAnsi="" w:eastAsia=""/>
          <w:color w:val="000008"/>
          <w:sz w:val="24"/>
        </w:rPr>
        <w:t>World Health Organization. (2023).</w:t>
      </w:r>
      <w:r>
        <w:rPr>
          <w:spacing w:val="-10"/>
          <w:rFonts w:ascii="" w:hAnsi="" w:eastAsia=""/>
          <w:i/>
          <w:color w:val="000008"/>
          <w:sz w:val="24"/>
        </w:rPr>
        <w:t xml:space="preserve"> Drinking-water: Key facts</w:t>
      </w:r>
      <w:r>
        <w:rPr>
          <w:spacing w:val="-10"/>
          <w:rFonts w:ascii="" w:hAnsi="" w:eastAsia=""/>
          <w:color w:val="000008"/>
          <w:sz w:val="24"/>
        </w:rPr>
        <w:t>.</w:t>
      </w:r>
      <w:r>
        <w:rPr>
          <w:spacing w:val="-10"/>
          <w:rFonts w:ascii="" w:hAnsi="" w:eastAsia=""/>
          <w:color w:val="0563C1"/>
          <w:sz w:val="24"/>
        </w:rPr>
        <w:t xml:space="preserve"> </w:t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https://www.who.int/news-</w:t>
      </w:r>
      <w:r>
        <w:br/>
      </w:r>
      <w:r>
        <w:rPr>
          <w:spacing w:val="-10"/>
          <w:u w:val="single" w:color="0463c0"/>
          <w:rFonts w:ascii="" w:hAnsi="" w:eastAsia=""/>
          <w:color w:val="0563C1"/>
          <w:sz w:val="24"/>
        </w:rPr>
        <w:t>room/fact-sheets/detail/drinking-water</w:t>
      </w:r>
    </w:p>
    <w:p>
      <w:pPr>
        <w:autoSpaceDN w:val="0"/>
        <w:autoSpaceDE w:val="0"/>
        <w:widowControl/>
        <w:spacing w:line="166" w:lineRule="exact" w:before="5734" w:after="0"/>
        <w:ind w:left="0" w:right="0" w:firstLine="0"/>
        <w:jc w:val="center"/>
      </w:pPr>
      <w:r>
        <w:rPr>
          <w:spacing w:val="-10"/>
          <w:rFonts w:ascii="" w:hAnsi="" w:eastAsia=""/>
          <w:b/>
          <w:color w:val="000008"/>
          <w:sz w:val="24"/>
        </w:rPr>
        <w:t>APPENDIX</w:t>
      </w:r>
    </w:p>
    <w:p>
      <w:pPr>
        <w:autoSpaceDN w:val="0"/>
        <w:autoSpaceDE w:val="0"/>
        <w:widowControl/>
        <w:spacing w:line="166" w:lineRule="exact" w:before="522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49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1079500</wp:posOffset>
            </wp:positionV>
            <wp:extent cx="2165350" cy="21971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197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4267200</wp:posOffset>
            </wp:positionV>
            <wp:extent cx="2159000" cy="24765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76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0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7829550</wp:posOffset>
            </wp:positionV>
            <wp:extent cx="2635250" cy="285115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851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3797300</wp:posOffset>
            </wp:positionH>
            <wp:positionV relativeFrom="page">
              <wp:posOffset>7715250</wp:posOffset>
            </wp:positionV>
            <wp:extent cx="2800350" cy="296545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65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96" w:after="0"/>
        <w:ind w:left="0" w:right="0"/>
      </w:pPr>
    </w:p>
    <w:p>
      <w:pPr>
        <w:autoSpaceDN w:val="0"/>
        <w:autoSpaceDE w:val="0"/>
        <w:widowControl/>
        <w:spacing w:line="214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color w:val="000008"/>
          <w:sz w:val="24"/>
        </w:rPr>
        <w:t>Plate 1:</w:t>
      </w:r>
      <w:r>
        <w:rPr>
          <w:spacing w:val="-10"/>
          <w:rFonts w:ascii="" w:hAnsi="" w:eastAsia=""/>
          <w:b/>
          <w:i/>
          <w:color w:val="000008"/>
          <w:sz w:val="24"/>
        </w:rPr>
        <w:t xml:space="preserve"> Aspergillus sp (Microscopic view)</w:t>
      </w:r>
    </w:p>
    <w:p>
      <w:pPr>
        <w:autoSpaceDN w:val="0"/>
        <w:autoSpaceDE w:val="0"/>
        <w:widowControl/>
        <w:spacing w:line="214" w:lineRule="exact" w:before="5528" w:after="0"/>
        <w:ind w:left="1220" w:right="0" w:firstLine="0"/>
        <w:jc w:val="left"/>
      </w:pPr>
      <w:r>
        <w:rPr>
          <w:spacing w:val="-10"/>
          <w:rFonts w:ascii="" w:hAnsi="" w:eastAsia=""/>
          <w:b/>
          <w:i/>
          <w:color w:val="000000"/>
          <w:sz w:val="24"/>
        </w:rPr>
        <w:t>Plate 2: Picture Showing Indole Test on Isolates</w:t>
      </w:r>
    </w:p>
    <w:p>
      <w:pPr>
        <w:autoSpaceDN w:val="0"/>
        <w:autoSpaceDE w:val="0"/>
        <w:widowControl/>
        <w:spacing w:line="166" w:lineRule="exact" w:before="416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50</w:t>
      </w:r>
    </w:p>
    <w:p>
      <w:pPr>
        <w:sectPr>
          <w:pgSz w:w="11900" w:h="16820"/>
          <w:pgMar w:top="240" w:right="240" w:bottom="104" w:left="2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0" w:after="0"/>
        <w:ind w:left="0" w:right="0"/>
      </w:pPr>
    </w:p>
    <w:p>
      <w:pPr>
        <w:autoSpaceDN w:val="0"/>
        <w:autoSpaceDE w:val="0"/>
        <w:widowControl/>
        <w:spacing w:line="220" w:lineRule="exact" w:before="108" w:after="0"/>
        <w:ind w:left="0" w:right="0"/>
      </w:pPr>
    </w:p>
    <w:p>
      <w:pPr>
        <w:autoSpaceDN w:val="0"/>
        <w:autoSpaceDE w:val="0"/>
        <w:widowControl/>
        <w:spacing w:line="214" w:lineRule="exact" w:before="0" w:after="0"/>
        <w:ind w:left="1220" w:right="0" w:firstLine="0"/>
        <w:jc w:val="left"/>
      </w:pPr>
      <w:r>
        <w:rPr>
          <w:spacing w:val="-10"/>
          <w:rFonts w:ascii="" w:hAnsi="" w:eastAsia=""/>
          <w:b/>
          <w:i/>
          <w:color w:val="000000"/>
          <w:sz w:val="24"/>
        </w:rPr>
        <w:t>Plate: 3-4 Pictures showing Citrate activity on Isolates</w:t>
      </w:r>
    </w:p>
    <w:p>
      <w:pPr>
        <w:autoSpaceDN w:val="0"/>
        <w:autoSpaceDE w:val="0"/>
        <w:widowControl/>
        <w:spacing w:line="166" w:lineRule="exact" w:before="13070" w:after="0"/>
        <w:ind w:left="0" w:right="0" w:firstLine="0"/>
        <w:jc w:val="center"/>
      </w:pPr>
      <w:r>
        <w:rPr>
          <w:spacing w:val="-10"/>
          <w:rFonts w:ascii="" w:hAnsi="" w:eastAsia=""/>
          <w:color w:val="000000"/>
          <w:sz w:val="24"/>
        </w:rPr>
        <w:t>51</w:t>
      </w:r>
    </w:p>
    <w:sectPr w:rsidR="00FC693F" w:rsidRPr="0006063C" w:rsidSect="00034616">
      <w:pgSz w:w="11900" w:h="16820"/>
      <w:pgMar w:top="240" w:right="240" w:bottom="104" w:left="2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