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rsidR="001A7082" w:rsidRDefault="001A7082" w:rsidP="001A7082">
      <w:pP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rsidR="001A7082" w:rsidRDefault="008A1197" w:rsidP="001A7082">
      <w:pPr>
        <w:jc w:val="center"/>
        <w:rPr>
          <w:rFonts w:ascii="Times New Roman" w:hAnsi="Times New Roman" w:cs="Times New Roman"/>
          <w:b/>
          <w:sz w:val="28"/>
          <w:szCs w:val="28"/>
        </w:rPr>
      </w:pPr>
      <w:r>
        <w:rPr>
          <w:rFonts w:ascii="Times New Roman" w:hAnsi="Times New Roman" w:cs="Times New Roman"/>
          <w:b/>
          <w:sz w:val="28"/>
          <w:szCs w:val="28"/>
        </w:rPr>
        <w:t>SULEIMAN ROFIAT OYINLOLA</w:t>
      </w:r>
    </w:p>
    <w:p w:rsidR="001A7082" w:rsidRDefault="000E28AF" w:rsidP="001A7082">
      <w:pPr>
        <w:jc w:val="center"/>
        <w:rPr>
          <w:rFonts w:ascii="Times New Roman" w:hAnsi="Times New Roman" w:cs="Times New Roman"/>
          <w:b/>
          <w:sz w:val="28"/>
          <w:szCs w:val="28"/>
        </w:rPr>
      </w:pPr>
      <w:r>
        <w:rPr>
          <w:rFonts w:ascii="Times New Roman" w:hAnsi="Times New Roman" w:cs="Times New Roman"/>
          <w:b/>
          <w:sz w:val="28"/>
          <w:szCs w:val="28"/>
        </w:rPr>
        <w:t>ND/23/SLT/P</w:t>
      </w:r>
      <w:r w:rsidR="001A7082">
        <w:rPr>
          <w:rFonts w:ascii="Times New Roman" w:hAnsi="Times New Roman" w:cs="Times New Roman"/>
          <w:b/>
          <w:sz w:val="28"/>
          <w:szCs w:val="28"/>
        </w:rPr>
        <w:t>T/0</w:t>
      </w:r>
      <w:r>
        <w:rPr>
          <w:rFonts w:ascii="Times New Roman" w:hAnsi="Times New Roman" w:cs="Times New Roman"/>
          <w:b/>
          <w:sz w:val="28"/>
          <w:szCs w:val="28"/>
        </w:rPr>
        <w:t>2</w:t>
      </w:r>
      <w:r w:rsidR="008A1197">
        <w:rPr>
          <w:rFonts w:ascii="Times New Roman" w:hAnsi="Times New Roman" w:cs="Times New Roman"/>
          <w:b/>
          <w:sz w:val="28"/>
          <w:szCs w:val="28"/>
        </w:rPr>
        <w:t>34</w:t>
      </w:r>
    </w:p>
    <w:p w:rsidR="001A7082" w:rsidRDefault="001A7082" w:rsidP="001A7082">
      <w:pPr>
        <w:jc w:val="center"/>
        <w:rPr>
          <w:rFonts w:ascii="Times New Roman" w:eastAsia="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rsidR="001A7082" w:rsidRDefault="001A7082" w:rsidP="001A7082">
      <w:pPr>
        <w:jc w:val="center"/>
        <w:rPr>
          <w:rFonts w:ascii="Times New Roman" w:hAnsi="Times New Roman" w:cs="Times New Roman"/>
          <w:b/>
          <w:sz w:val="28"/>
          <w:szCs w:val="28"/>
        </w:rPr>
      </w:pPr>
    </w:p>
    <w:p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SCIENCE LABORATORY TECHNOLOGY.</w:t>
      </w:r>
    </w:p>
    <w:p w:rsidR="001A7082" w:rsidRDefault="001A7082" w:rsidP="001A7082">
      <w:pPr>
        <w:jc w:val="right"/>
        <w:rPr>
          <w:rFonts w:ascii="Times New Roman" w:hAnsi="Times New Roman" w:cs="Times New Roman"/>
          <w:b/>
          <w:sz w:val="28"/>
          <w:szCs w:val="28"/>
        </w:rPr>
      </w:pPr>
    </w:p>
    <w:p w:rsidR="001A7082" w:rsidRDefault="001A7082" w:rsidP="001A7082">
      <w:pPr>
        <w:jc w:val="right"/>
        <w:rPr>
          <w:rFonts w:ascii="Times New Roman" w:hAnsi="Times New Roman" w:cs="Times New Roman"/>
          <w:b/>
          <w:sz w:val="28"/>
          <w:szCs w:val="28"/>
        </w:rPr>
      </w:pPr>
    </w:p>
    <w:p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rsidR="001A7082" w:rsidRPr="00A96AC6" w:rsidRDefault="001A7082" w:rsidP="00A96AC6">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project work was carried out by </w:t>
      </w:r>
      <w:r w:rsidR="008A1197">
        <w:rPr>
          <w:rFonts w:ascii="Times New Roman" w:hAnsi="Times New Roman" w:cs="Times New Roman"/>
          <w:b/>
          <w:sz w:val="28"/>
          <w:szCs w:val="28"/>
        </w:rPr>
        <w:t>SULEIMAN ROFIAT OYINLOLA</w:t>
      </w:r>
      <w:r w:rsidR="000E28AF">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w:t>
      </w:r>
      <w:r w:rsidR="000E28AF">
        <w:rPr>
          <w:rFonts w:ascii="Times New Roman" w:hAnsi="Times New Roman" w:cs="Times New Roman"/>
          <w:b/>
          <w:sz w:val="28"/>
          <w:szCs w:val="28"/>
        </w:rPr>
        <w:t>ND/23/SLT/PT/02</w:t>
      </w:r>
      <w:r w:rsidR="008A1197">
        <w:rPr>
          <w:rFonts w:ascii="Times New Roman" w:hAnsi="Times New Roman" w:cs="Times New Roman"/>
          <w:b/>
          <w:sz w:val="28"/>
          <w:szCs w:val="28"/>
        </w:rPr>
        <w:t>34</w:t>
      </w:r>
      <w:r w:rsidR="00A96AC6">
        <w:rPr>
          <w:rFonts w:ascii="Times New Roman" w:hAnsi="Times New Roman" w:cs="Times New Roman"/>
          <w:b/>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National Diploma</w:t>
      </w:r>
      <w:r w:rsidR="00A96AC6">
        <w:rPr>
          <w:rFonts w:ascii="Times New Roman" w:hAnsi="Times New Roman" w:cs="Times New Roman"/>
          <w:sz w:val="28"/>
          <w:szCs w:val="28"/>
        </w:rPr>
        <w:t xml:space="preserve">, </w:t>
      </w:r>
      <w:r>
        <w:rPr>
          <w:rFonts w:ascii="Times New Roman" w:hAnsi="Times New Roman" w:cs="Times New Roman"/>
          <w:sz w:val="28"/>
          <w:szCs w:val="28"/>
        </w:rPr>
        <w:t>Kwara State Polytechnic Ilorin.</w:t>
      </w:r>
    </w:p>
    <w:p w:rsidR="001A7082" w:rsidRDefault="001A7082" w:rsidP="001A7082">
      <w:pPr>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rsidR="001A7082" w:rsidRDefault="000E28AF"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OPEYEMI, A. A.</w:t>
      </w:r>
      <w:r w:rsidR="00BD50D2">
        <w:rPr>
          <w:rFonts w:ascii="Times New Roman" w:hAnsi="Times New Roman" w:cs="Times New Roman"/>
          <w:b/>
          <w:bCs/>
          <w:sz w:val="28"/>
          <w:szCs w:val="28"/>
        </w:rPr>
        <w:tab/>
      </w:r>
      <w:r w:rsidR="00BD50D2">
        <w:rPr>
          <w:rFonts w:ascii="Times New Roman" w:hAnsi="Times New Roman" w:cs="Times New Roman"/>
          <w:b/>
          <w:bCs/>
          <w:sz w:val="28"/>
          <w:szCs w:val="28"/>
        </w:rPr>
        <w:tab/>
      </w:r>
      <w:r w:rsidR="001A7082">
        <w:rPr>
          <w:rFonts w:ascii="Times New Roman" w:hAnsi="Times New Roman" w:cs="Times New Roman"/>
          <w:b/>
          <w:bCs/>
          <w:sz w:val="28"/>
          <w:szCs w:val="28"/>
        </w:rPr>
        <w:tab/>
      </w:r>
      <w:r w:rsidR="001A7082">
        <w:rPr>
          <w:rFonts w:ascii="Times New Roman" w:hAnsi="Times New Roman" w:cs="Times New Roman"/>
          <w:b/>
          <w:bCs/>
          <w:sz w:val="28"/>
          <w:szCs w:val="28"/>
        </w:rPr>
        <w:tab/>
      </w:r>
      <w:r w:rsidR="001A7082">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(Head of </w:t>
      </w:r>
      <w:r w:rsidR="000E28AF">
        <w:rPr>
          <w:rFonts w:ascii="Times New Roman" w:hAnsi="Times New Roman" w:cs="Times New Roman"/>
          <w:sz w:val="28"/>
          <w:szCs w:val="28"/>
        </w:rPr>
        <w:t xml:space="preserve">Environmental Biology </w:t>
      </w:r>
      <w:r>
        <w:rPr>
          <w:rFonts w:ascii="Times New Roman" w:hAnsi="Times New Roman" w:cs="Times New Roman"/>
          <w:sz w:val="28"/>
          <w:szCs w:val="28"/>
        </w:rPr>
        <w:t>Unit)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rsidR="001A7082" w:rsidRDefault="001A7082" w:rsidP="001A7082">
      <w:pPr>
        <w:spacing w:after="0" w:line="360" w:lineRule="auto"/>
        <w:rPr>
          <w:rFonts w:ascii="Times New Roman" w:hAnsi="Times New Roman" w:cs="Times New Roman"/>
          <w:sz w:val="28"/>
          <w:szCs w:val="28"/>
        </w:rPr>
      </w:pP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1A7082" w:rsidRDefault="001A7082" w:rsidP="001A7082">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rsidR="00A96AC6" w:rsidRDefault="00A96AC6">
      <w:pPr>
        <w:rPr>
          <w:rFonts w:ascii="Times New Roman" w:hAnsi="Times New Roman" w:cs="Times New Roman"/>
          <w:b/>
          <w:bCs/>
          <w:sz w:val="28"/>
          <w:szCs w:val="28"/>
        </w:rPr>
      </w:pPr>
      <w:r>
        <w:rPr>
          <w:rFonts w:ascii="Times New Roman" w:hAnsi="Times New Roman" w:cs="Times New Roman"/>
          <w:b/>
          <w:bCs/>
          <w:sz w:val="28"/>
          <w:szCs w:val="28"/>
        </w:rPr>
        <w:br w:type="page"/>
      </w:r>
    </w:p>
    <w:p w:rsidR="001A7082" w:rsidRDefault="001A7082" w:rsidP="001A7082">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rsidR="001A7082" w:rsidRDefault="001A7082" w:rsidP="001A7082">
      <w:pPr>
        <w:ind w:left="2880" w:firstLine="720"/>
        <w:jc w:val="both"/>
        <w:rPr>
          <w:rFonts w:ascii="Times New Roman" w:eastAsia="Times New Roman" w:hAnsi="Times New Roman" w:cs="Times New Roman"/>
          <w:sz w:val="28"/>
          <w:szCs w:val="28"/>
        </w:rPr>
      </w:pPr>
    </w:p>
    <w:p w:rsidR="001A7082" w:rsidRDefault="001A7082" w:rsidP="001A7082">
      <w:pPr>
        <w:spacing w:line="600" w:lineRule="auto"/>
        <w:rPr>
          <w:rFonts w:ascii="Times New Roman" w:hAnsi="Times New Roman" w:cs="Times New Roman"/>
          <w:sz w:val="28"/>
          <w:szCs w:val="28"/>
        </w:rPr>
      </w:pPr>
      <w:r>
        <w:rPr>
          <w:rFonts w:ascii="Times New Roman" w:hAnsi="Times New Roman" w:cs="Times New Roman"/>
          <w:sz w:val="28"/>
          <w:szCs w:val="28"/>
        </w:rPr>
        <w:t>I dedicate this project to Almighty Allah, who has seen me through it all. Also, to my lovely parent and to my loved ones for their love and support, am very grateful for everything.</w:t>
      </w:r>
    </w:p>
    <w:p w:rsidR="001A7082" w:rsidRDefault="001A7082" w:rsidP="001A708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1A7082" w:rsidRDefault="001A7082" w:rsidP="001A708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All thanks to my supervisor MR IBRAHIM A.W for his guidance and his advise all this time. I say thanks you sir for the support, TO my H.O.U M</w:t>
      </w:r>
      <w:r w:rsidR="00BD50D2">
        <w:rPr>
          <w:rFonts w:ascii="Times New Roman" w:hAnsi="Times New Roman" w:cs="Times New Roman"/>
          <w:sz w:val="28"/>
          <w:szCs w:val="28"/>
        </w:rPr>
        <w:t>r</w:t>
      </w:r>
      <w:r>
        <w:rPr>
          <w:rFonts w:ascii="Times New Roman" w:hAnsi="Times New Roman" w:cs="Times New Roman"/>
          <w:sz w:val="28"/>
          <w:szCs w:val="28"/>
        </w:rPr>
        <w:t xml:space="preserve">. </w:t>
      </w:r>
      <w:r w:rsidR="00BD50D2">
        <w:rPr>
          <w:rFonts w:ascii="Times New Roman" w:hAnsi="Times New Roman" w:cs="Times New Roman"/>
          <w:sz w:val="28"/>
          <w:szCs w:val="28"/>
        </w:rPr>
        <w:t xml:space="preserve">Opeyemi, A. A. </w:t>
      </w:r>
      <w:r>
        <w:rPr>
          <w:rFonts w:ascii="Times New Roman" w:hAnsi="Times New Roman" w:cs="Times New Roman"/>
          <w:sz w:val="28"/>
          <w:szCs w:val="28"/>
        </w:rPr>
        <w:t>Also to my Head of Department H.O.D in person of DR.ABDULKAREEM USMAN for his encouragement.</w:t>
      </w:r>
    </w:p>
    <w:p w:rsidR="001A7082" w:rsidRDefault="001A7082" w:rsidP="001A7082">
      <w:pPr>
        <w:spacing w:line="600" w:lineRule="auto"/>
        <w:jc w:val="both"/>
        <w:rPr>
          <w:rFonts w:ascii="Times New Roman" w:hAnsi="Times New Roman" w:cs="Times New Roman"/>
          <w:sz w:val="28"/>
          <w:szCs w:val="28"/>
        </w:rPr>
      </w:pPr>
      <w:r>
        <w:rPr>
          <w:rFonts w:ascii="Times New Roman" w:hAnsi="Times New Roman" w:cs="Times New Roman"/>
          <w:sz w:val="28"/>
          <w:szCs w:val="28"/>
        </w:rPr>
        <w:t>My sincere appreciation and deep sense of gratitude is given to no one but my parent, Special thanks to individuals who has contributed to my success, my Allah bless you all.</w:t>
      </w:r>
    </w:p>
    <w:p w:rsidR="001A7082" w:rsidRDefault="001A7082" w:rsidP="001A7082">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rsidR="001A7082" w:rsidRPr="001710D4" w:rsidRDefault="001A7082" w:rsidP="001A7082">
      <w:pPr>
        <w:jc w:val="center"/>
        <w:rPr>
          <w:rFonts w:ascii="Times New Roman" w:hAnsi="Times New Roman" w:cs="Times New Roman"/>
          <w:b/>
          <w:bCs/>
          <w:i/>
          <w:iCs/>
          <w:sz w:val="28"/>
          <w:szCs w:val="28"/>
        </w:rPr>
      </w:pPr>
      <w:r>
        <w:rPr>
          <w:rFonts w:ascii="Times New Roman" w:eastAsia="Times New Roman" w:hAnsi="Times New Roman" w:cs="Times New Roman"/>
          <w:sz w:val="28"/>
          <w:szCs w:val="28"/>
        </w:rPr>
        <w:br w:type="page"/>
      </w:r>
      <w:r w:rsidRPr="001710D4">
        <w:rPr>
          <w:rFonts w:ascii="Times New Roman" w:hAnsi="Times New Roman" w:cs="Times New Roman"/>
          <w:b/>
          <w:bCs/>
          <w:i/>
          <w:iCs/>
          <w:sz w:val="28"/>
          <w:szCs w:val="28"/>
        </w:rPr>
        <w:lastRenderedPageBreak/>
        <w:t>ABSTRACT</w:t>
      </w:r>
    </w:p>
    <w:p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 VII</w:t>
          </w:r>
        </w:p>
        <w:p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rsidR="001A7082" w:rsidRPr="001A7082" w:rsidRDefault="00CF4A07">
          <w:pPr>
            <w:pStyle w:val="TOC1"/>
            <w:tabs>
              <w:tab w:val="right" w:leader="dot" w:pos="9350"/>
            </w:tabs>
            <w:rPr>
              <w:rFonts w:ascii="Times New Roman" w:eastAsiaTheme="minorEastAsia" w:hAnsi="Times New Roman" w:cs="Times New Roman"/>
              <w:noProof/>
              <w:sz w:val="28"/>
              <w:szCs w:val="28"/>
            </w:rPr>
          </w:pPr>
          <w:r w:rsidRPr="00CF4A07">
            <w:rPr>
              <w:rFonts w:ascii="Times New Roman" w:hAnsi="Times New Roman" w:cs="Times New Roman"/>
              <w:sz w:val="28"/>
              <w:szCs w:val="28"/>
            </w:rPr>
            <w:fldChar w:fldCharType="begin"/>
          </w:r>
          <w:r w:rsidR="001A7082" w:rsidRPr="001A7082">
            <w:rPr>
              <w:rFonts w:ascii="Times New Roman" w:hAnsi="Times New Roman" w:cs="Times New Roman"/>
              <w:sz w:val="28"/>
              <w:szCs w:val="28"/>
            </w:rPr>
            <w:instrText xml:space="preserve"> TOC \o "1-3" \h \z \u </w:instrText>
          </w:r>
          <w:r w:rsidRPr="00CF4A07">
            <w:rPr>
              <w:rFonts w:ascii="Times New Roman" w:hAnsi="Times New Roman" w:cs="Times New Roman"/>
              <w:sz w:val="28"/>
              <w:szCs w:val="28"/>
            </w:rPr>
            <w:fldChar w:fldCharType="separate"/>
          </w:r>
          <w:hyperlink w:anchor="_Toc203070725" w:history="1">
            <w:r w:rsidR="001A7082" w:rsidRPr="001A7082">
              <w:rPr>
                <w:rStyle w:val="Hyperlink"/>
                <w:rFonts w:ascii="Times New Roman" w:hAnsi="Times New Roman" w:cs="Times New Roman"/>
                <w:b/>
                <w:noProof/>
                <w:color w:val="auto"/>
                <w:sz w:val="28"/>
                <w:szCs w:val="28"/>
              </w:rPr>
              <w:t>CHAPTER ONE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Pr="001A7082">
              <w:rPr>
                <w:rFonts w:ascii="Times New Roman" w:hAnsi="Times New Roman" w:cs="Times New Roman"/>
                <w:noProof/>
                <w:webHidden/>
                <w:sz w:val="28"/>
                <w:szCs w:val="28"/>
              </w:rPr>
              <w:fldChar w:fldCharType="end"/>
            </w:r>
          </w:hyperlink>
        </w:p>
        <w:p w:rsidR="001A7082" w:rsidRPr="001A7082" w:rsidRDefault="00CF4A07">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Pr="001A7082">
              <w:rPr>
                <w:rFonts w:ascii="Times New Roman" w:hAnsi="Times New Roman" w:cs="Times New Roman"/>
                <w:noProof/>
                <w:webHidden/>
                <w:sz w:val="28"/>
                <w:szCs w:val="28"/>
              </w:rPr>
              <w:fldChar w:fldCharType="end"/>
            </w:r>
          </w:hyperlink>
        </w:p>
        <w:p w:rsidR="001A7082" w:rsidRPr="001A7082" w:rsidRDefault="00CF4A07">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Pr="001A7082">
              <w:rPr>
                <w:rFonts w:ascii="Times New Roman" w:hAnsi="Times New Roman" w:cs="Times New Roman"/>
                <w:noProof/>
                <w:webHidden/>
                <w:sz w:val="28"/>
                <w:szCs w:val="28"/>
              </w:rPr>
              <w:fldChar w:fldCharType="end"/>
            </w:r>
          </w:hyperlink>
        </w:p>
        <w:p w:rsidR="001A7082" w:rsidRDefault="00CF4A07">
          <w:r w:rsidRPr="001A7082">
            <w:rPr>
              <w:rFonts w:ascii="Times New Roman" w:hAnsi="Times New Roman" w:cs="Times New Roman"/>
              <w:b/>
              <w:bCs/>
              <w:noProof/>
              <w:sz w:val="28"/>
              <w:szCs w:val="28"/>
            </w:rPr>
            <w:fldChar w:fldCharType="end"/>
          </w:r>
        </w:p>
      </w:sdtContent>
    </w:sdt>
    <w:p w:rsidR="001A7082" w:rsidRPr="00CF646B" w:rsidRDefault="001A7082" w:rsidP="001A7082">
      <w:pPr>
        <w:spacing w:after="0" w:line="480" w:lineRule="auto"/>
        <w:jc w:val="both"/>
        <w:rPr>
          <w:bCs/>
          <w:sz w:val="24"/>
          <w:szCs w:val="24"/>
        </w:rPr>
      </w:pPr>
    </w:p>
    <w:p w:rsidR="001A7082" w:rsidRDefault="001A7082">
      <w:pPr>
        <w:rPr>
          <w:rFonts w:ascii="Times New Roman" w:hAnsi="Times New Roman" w:cs="Times New Roman"/>
          <w:b/>
        </w:rPr>
      </w:pPr>
    </w:p>
    <w:p w:rsidR="001A7082" w:rsidRDefault="001A7082">
      <w:pPr>
        <w:rPr>
          <w:rFonts w:ascii="Times New Roman" w:hAnsi="Times New Roman" w:cs="Times New Roman"/>
          <w:b/>
        </w:rPr>
      </w:pPr>
      <w:r>
        <w:rPr>
          <w:rFonts w:ascii="Times New Roman" w:hAnsi="Times New Roman" w:cs="Times New Roman"/>
          <w:b/>
        </w:rPr>
        <w:br w:type="page"/>
      </w:r>
    </w:p>
    <w:p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sidR="00A96AC6">
        <w:rPr>
          <w:rFonts w:ascii="Times New Roman" w:hAnsi="Times New Roman" w:cs="Times New Roman"/>
          <w:sz w:val="28"/>
          <w:szCs w:val="28"/>
        </w:rPr>
        <w:t>……</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rsidR="001A7082" w:rsidRDefault="001A7082" w:rsidP="001A7082">
      <w:pPr>
        <w:rPr>
          <w:rFonts w:ascii="Times New Roman" w:hAnsi="Times New Roman" w:cs="Times New Roman"/>
          <w:b/>
          <w:sz w:val="28"/>
          <w:szCs w:val="28"/>
        </w:rPr>
      </w:pPr>
    </w:p>
    <w:p w:rsidR="001A7082" w:rsidRPr="001A7082" w:rsidRDefault="001A7082" w:rsidP="001A7082">
      <w:pPr>
        <w:rPr>
          <w:rFonts w:ascii="Times New Roman" w:hAnsi="Times New Roman" w:cs="Times New Roman"/>
          <w:b/>
          <w:sz w:val="28"/>
          <w:szCs w:val="28"/>
        </w:rPr>
        <w:sectPr w:rsidR="001A7082" w:rsidRPr="001A7082" w:rsidSect="001A7082">
          <w:footerReference w:type="default" r:id="rId8"/>
          <w:pgSz w:w="11520" w:h="14400" w:code="1"/>
          <w:pgMar w:top="1440" w:right="1440" w:bottom="1440" w:left="1440" w:header="706" w:footer="706" w:gutter="0"/>
          <w:pgNumType w:fmt="lowerRoman" w:start="1"/>
          <w:cols w:space="708"/>
          <w:docGrid w:linePitch="360"/>
        </w:sectPr>
      </w:pPr>
    </w:p>
    <w:p w:rsidR="0015430F" w:rsidRPr="001A7082" w:rsidRDefault="0015430F" w:rsidP="001A7082">
      <w:pPr>
        <w:pStyle w:val="Heading1"/>
        <w:jc w:val="center"/>
        <w:rPr>
          <w:rFonts w:ascii="Times New Roman" w:hAnsi="Times New Roman" w:cs="Times New Roman"/>
          <w:b/>
          <w:color w:val="auto"/>
          <w:sz w:val="28"/>
          <w:szCs w:val="28"/>
        </w:rPr>
      </w:pPr>
      <w:bookmarkStart w:id="1" w:name="_Toc203070725"/>
      <w:r w:rsidRPr="001A7082">
        <w:rPr>
          <w:rFonts w:ascii="Times New Roman" w:hAnsi="Times New Roman" w:cs="Times New Roman"/>
          <w:b/>
          <w:color w:val="auto"/>
          <w:sz w:val="28"/>
          <w:szCs w:val="28"/>
        </w:rPr>
        <w:lastRenderedPageBreak/>
        <w:t>CHAPTER ONE</w:t>
      </w:r>
      <w:bookmarkEnd w:id="1"/>
    </w:p>
    <w:p w:rsidR="00F6114B" w:rsidRPr="001A7082" w:rsidRDefault="001F2710" w:rsidP="001A7082">
      <w:pPr>
        <w:pStyle w:val="Heading1"/>
        <w:rPr>
          <w:rFonts w:ascii="Times New Roman" w:hAnsi="Times New Roman" w:cs="Times New Roman"/>
          <w:b/>
          <w:color w:val="auto"/>
          <w:sz w:val="28"/>
          <w:szCs w:val="28"/>
        </w:rPr>
      </w:pPr>
      <w:bookmarkStart w:id="2"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2"/>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rsidR="00F6114B" w:rsidRPr="001A7082" w:rsidRDefault="00017C99" w:rsidP="001A7082">
      <w:pPr>
        <w:pStyle w:val="Heading1"/>
        <w:rPr>
          <w:rFonts w:ascii="Times New Roman" w:eastAsia="Times New Roman" w:hAnsi="Times New Roman" w:cs="Times New Roman"/>
          <w:b/>
          <w:color w:val="auto"/>
          <w:sz w:val="28"/>
          <w:szCs w:val="28"/>
        </w:rPr>
      </w:pPr>
      <w:bookmarkStart w:id="3" w:name="_Toc202398654"/>
      <w:bookmarkStart w:id="4" w:name="_Toc203070727"/>
      <w:r w:rsidRPr="001A7082">
        <w:rPr>
          <w:rFonts w:ascii="Times New Roman" w:eastAsia="Times New Roman" w:hAnsi="Times New Roman" w:cs="Times New Roman"/>
          <w:b/>
          <w:color w:val="auto"/>
          <w:sz w:val="28"/>
          <w:szCs w:val="28"/>
        </w:rPr>
        <w:t>1.2 LITERATURE REVIEW</w:t>
      </w:r>
      <w:bookmarkEnd w:id="3"/>
      <w:bookmarkEnd w:id="4"/>
    </w:p>
    <w:p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rsidR="00017C99" w:rsidRPr="001A7082" w:rsidRDefault="00017C99" w:rsidP="001A7082">
      <w:pPr>
        <w:pStyle w:val="Heading1"/>
        <w:rPr>
          <w:rFonts w:ascii="Times New Roman" w:hAnsi="Times New Roman" w:cs="Times New Roman"/>
          <w:b/>
          <w:color w:val="auto"/>
          <w:sz w:val="28"/>
          <w:szCs w:val="28"/>
        </w:rPr>
      </w:pPr>
      <w:bookmarkStart w:id="5" w:name="_Toc202398655"/>
      <w:bookmarkStart w:id="6" w:name="_Toc203070728"/>
      <w:r w:rsidRPr="001A7082">
        <w:rPr>
          <w:rFonts w:ascii="Times New Roman" w:hAnsi="Times New Roman" w:cs="Times New Roman"/>
          <w:b/>
          <w:color w:val="auto"/>
          <w:sz w:val="28"/>
          <w:szCs w:val="28"/>
        </w:rPr>
        <w:t>1.3 STATEMENT OF PROBLEM</w:t>
      </w:r>
      <w:bookmarkEnd w:id="5"/>
      <w:bookmarkEnd w:id="6"/>
    </w:p>
    <w:p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7" w:name="_Toc202398656"/>
      <w:bookmarkStart w:id="8" w:name="_Toc203070729"/>
      <w:r w:rsidRPr="001A7082">
        <w:rPr>
          <w:rFonts w:ascii="Times New Roman" w:hAnsi="Times New Roman" w:cs="Times New Roman"/>
          <w:b/>
          <w:color w:val="auto"/>
          <w:sz w:val="28"/>
          <w:szCs w:val="28"/>
        </w:rPr>
        <w:t>1.4 AIM</w:t>
      </w:r>
      <w:bookmarkEnd w:id="7"/>
      <w:bookmarkEnd w:id="8"/>
    </w:p>
    <w:p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rsidR="00017C99" w:rsidRPr="001A7082" w:rsidRDefault="00017C99" w:rsidP="001A7082">
      <w:pPr>
        <w:pStyle w:val="Heading1"/>
        <w:rPr>
          <w:rFonts w:ascii="Times New Roman" w:hAnsi="Times New Roman" w:cs="Times New Roman"/>
          <w:b/>
          <w:color w:val="auto"/>
          <w:sz w:val="28"/>
          <w:szCs w:val="28"/>
        </w:rPr>
      </w:pPr>
      <w:bookmarkStart w:id="9" w:name="_Toc202398657"/>
      <w:bookmarkStart w:id="10" w:name="_Toc203070730"/>
      <w:r w:rsidRPr="001A7082">
        <w:rPr>
          <w:rFonts w:ascii="Times New Roman" w:hAnsi="Times New Roman" w:cs="Times New Roman"/>
          <w:b/>
          <w:color w:val="auto"/>
          <w:sz w:val="28"/>
          <w:szCs w:val="28"/>
        </w:rPr>
        <w:t>1.5 OBJECTIVES</w:t>
      </w:r>
      <w:bookmarkEnd w:id="9"/>
      <w:bookmarkEnd w:id="10"/>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rsidR="001F2710" w:rsidRPr="001A7082" w:rsidRDefault="001F2710" w:rsidP="0043413C">
      <w:pPr>
        <w:pStyle w:val="NormalWeb"/>
        <w:spacing w:line="480" w:lineRule="auto"/>
        <w:ind w:left="360"/>
        <w:jc w:val="center"/>
        <w:rPr>
          <w:rStyle w:val="Strong"/>
          <w:sz w:val="28"/>
          <w:szCs w:val="28"/>
        </w:rPr>
      </w:pPr>
    </w:p>
    <w:p w:rsidR="001A7082" w:rsidRPr="001A7082" w:rsidRDefault="001A7082">
      <w:pPr>
        <w:rPr>
          <w:rStyle w:val="Strong"/>
          <w:rFonts w:ascii="Times New Roman" w:eastAsiaTheme="majorEastAsia" w:hAnsi="Times New Roman" w:cs="Times New Roman"/>
          <w:sz w:val="28"/>
          <w:szCs w:val="28"/>
        </w:rPr>
      </w:pPr>
      <w:bookmarkStart w:id="11" w:name="_Toc202398658"/>
      <w:r w:rsidRPr="001A7082">
        <w:rPr>
          <w:rStyle w:val="Strong"/>
          <w:rFonts w:ascii="Times New Roman" w:hAnsi="Times New Roman" w:cs="Times New Roman"/>
          <w:sz w:val="28"/>
          <w:szCs w:val="28"/>
        </w:rPr>
        <w:br w:type="page"/>
      </w:r>
    </w:p>
    <w:p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2" w:name="_Toc203070731"/>
      <w:r w:rsidRPr="001A7082">
        <w:rPr>
          <w:rStyle w:val="Strong"/>
          <w:rFonts w:ascii="Times New Roman" w:hAnsi="Times New Roman" w:cs="Times New Roman"/>
          <w:bCs w:val="0"/>
          <w:color w:val="auto"/>
          <w:sz w:val="28"/>
          <w:szCs w:val="28"/>
        </w:rPr>
        <w:lastRenderedPageBreak/>
        <w:t>CHAPTER TWO</w:t>
      </w:r>
      <w:bookmarkEnd w:id="11"/>
      <w:bookmarkEnd w:id="12"/>
    </w:p>
    <w:p w:rsidR="009D571B" w:rsidRPr="001A7082" w:rsidRDefault="009D571B" w:rsidP="001A7082">
      <w:pPr>
        <w:pStyle w:val="Heading1"/>
        <w:rPr>
          <w:rFonts w:ascii="Times New Roman" w:hAnsi="Times New Roman" w:cs="Times New Roman"/>
          <w:color w:val="auto"/>
          <w:sz w:val="28"/>
          <w:szCs w:val="28"/>
        </w:rPr>
      </w:pPr>
      <w:bookmarkStart w:id="13" w:name="_Toc202398659"/>
      <w:bookmarkStart w:id="14" w:name="_Toc203070732"/>
      <w:r w:rsidRPr="001A7082">
        <w:rPr>
          <w:rStyle w:val="Strong"/>
          <w:rFonts w:ascii="Times New Roman" w:hAnsi="Times New Roman" w:cs="Times New Roman"/>
          <w:bCs w:val="0"/>
          <w:color w:val="auto"/>
          <w:sz w:val="28"/>
          <w:szCs w:val="28"/>
        </w:rPr>
        <w:t>2.0 MATERIALS AND METHODS</w:t>
      </w:r>
      <w:bookmarkEnd w:id="13"/>
      <w:bookmarkEnd w:id="14"/>
    </w:p>
    <w:p w:rsidR="009D571B" w:rsidRPr="001A7082" w:rsidRDefault="009D571B" w:rsidP="001A7082">
      <w:pPr>
        <w:pStyle w:val="Heading1"/>
        <w:rPr>
          <w:rFonts w:ascii="Times New Roman" w:hAnsi="Times New Roman" w:cs="Times New Roman"/>
          <w:color w:val="auto"/>
          <w:sz w:val="28"/>
          <w:szCs w:val="28"/>
        </w:rPr>
      </w:pPr>
      <w:bookmarkStart w:id="15" w:name="_Toc202398660"/>
      <w:bookmarkStart w:id="16" w:name="_Toc203070733"/>
      <w:r w:rsidRPr="001A7082">
        <w:rPr>
          <w:rStyle w:val="Strong"/>
          <w:rFonts w:ascii="Times New Roman" w:hAnsi="Times New Roman" w:cs="Times New Roman"/>
          <w:bCs w:val="0"/>
          <w:color w:val="auto"/>
          <w:sz w:val="28"/>
          <w:szCs w:val="28"/>
        </w:rPr>
        <w:t>2.1 Materials</w:t>
      </w:r>
      <w:bookmarkEnd w:id="15"/>
      <w:bookmarkEnd w:id="16"/>
    </w:p>
    <w:p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rsidR="009D571B" w:rsidRPr="001A7082" w:rsidRDefault="009D571B" w:rsidP="001A7082">
      <w:pPr>
        <w:pStyle w:val="Heading1"/>
        <w:rPr>
          <w:rStyle w:val="Strong"/>
          <w:rFonts w:ascii="Times New Roman" w:hAnsi="Times New Roman" w:cs="Times New Roman"/>
          <w:bCs w:val="0"/>
          <w:color w:val="auto"/>
          <w:sz w:val="28"/>
          <w:szCs w:val="28"/>
        </w:rPr>
      </w:pPr>
      <w:bookmarkStart w:id="17" w:name="_Toc202398661"/>
      <w:bookmarkStart w:id="18" w:name="_Toc203070734"/>
      <w:r w:rsidRPr="001A7082">
        <w:rPr>
          <w:rStyle w:val="Strong"/>
          <w:rFonts w:ascii="Times New Roman" w:hAnsi="Times New Roman" w:cs="Times New Roman"/>
          <w:bCs w:val="0"/>
          <w:color w:val="auto"/>
          <w:sz w:val="28"/>
          <w:szCs w:val="28"/>
        </w:rPr>
        <w:t>2.2 Sample Collection</w:t>
      </w:r>
      <w:bookmarkEnd w:id="17"/>
      <w:bookmarkEnd w:id="18"/>
    </w:p>
    <w:p w:rsidR="0043413C" w:rsidRPr="001A7082" w:rsidRDefault="0043413C" w:rsidP="0043413C">
      <w:pPr>
        <w:pStyle w:val="Heading3"/>
        <w:numPr>
          <w:ilvl w:val="0"/>
          <w:numId w:val="6"/>
        </w:numPr>
        <w:spacing w:line="480" w:lineRule="auto"/>
        <w:jc w:val="both"/>
        <w:rPr>
          <w:b w:val="0"/>
          <w:sz w:val="28"/>
          <w:szCs w:val="28"/>
        </w:rPr>
      </w:pPr>
      <w:bookmarkStart w:id="19" w:name="_Toc202398662"/>
      <w:bookmarkStart w:id="20" w:name="_Toc203070735"/>
      <w:r w:rsidRPr="001A7082">
        <w:rPr>
          <w:b w:val="0"/>
          <w:sz w:val="28"/>
          <w:szCs w:val="28"/>
        </w:rPr>
        <w:t>Ilorin South: Tanke &amp; Agbado</w:t>
      </w:r>
      <w:bookmarkEnd w:id="19"/>
      <w:bookmarkEnd w:id="20"/>
    </w:p>
    <w:p w:rsidR="0043413C" w:rsidRPr="001A7082" w:rsidRDefault="0043413C" w:rsidP="0043413C">
      <w:pPr>
        <w:pStyle w:val="Heading3"/>
        <w:numPr>
          <w:ilvl w:val="0"/>
          <w:numId w:val="6"/>
        </w:numPr>
        <w:spacing w:line="480" w:lineRule="auto"/>
        <w:jc w:val="both"/>
        <w:rPr>
          <w:b w:val="0"/>
          <w:sz w:val="28"/>
          <w:szCs w:val="28"/>
        </w:rPr>
      </w:pPr>
      <w:bookmarkStart w:id="21" w:name="_Toc202398663"/>
      <w:bookmarkStart w:id="22" w:name="_Toc203070736"/>
      <w:r w:rsidRPr="001A7082">
        <w:rPr>
          <w:b w:val="0"/>
          <w:sz w:val="28"/>
          <w:szCs w:val="28"/>
        </w:rPr>
        <w:lastRenderedPageBreak/>
        <w:t>Ilorin East: Amilengbe &amp; Sao garage</w:t>
      </w:r>
      <w:bookmarkEnd w:id="21"/>
      <w:bookmarkEnd w:id="22"/>
    </w:p>
    <w:p w:rsidR="0043413C" w:rsidRPr="001A7082" w:rsidRDefault="0043413C" w:rsidP="0043413C">
      <w:pPr>
        <w:pStyle w:val="Heading3"/>
        <w:numPr>
          <w:ilvl w:val="0"/>
          <w:numId w:val="6"/>
        </w:numPr>
        <w:spacing w:line="480" w:lineRule="auto"/>
        <w:jc w:val="both"/>
        <w:rPr>
          <w:b w:val="0"/>
          <w:sz w:val="28"/>
          <w:szCs w:val="28"/>
        </w:rPr>
      </w:pPr>
      <w:bookmarkStart w:id="23" w:name="_Toc202398664"/>
      <w:bookmarkStart w:id="24" w:name="_Toc203070737"/>
      <w:r w:rsidRPr="001A7082">
        <w:rPr>
          <w:b w:val="0"/>
          <w:sz w:val="28"/>
          <w:szCs w:val="28"/>
        </w:rPr>
        <w:t>Ilorin West: Ologe &amp; Sawmill</w:t>
      </w:r>
      <w:bookmarkEnd w:id="23"/>
      <w:bookmarkEnd w:id="24"/>
    </w:p>
    <w:p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rsidR="009D571B" w:rsidRPr="001A7082" w:rsidRDefault="009D571B" w:rsidP="001A7082">
      <w:pPr>
        <w:pStyle w:val="Heading1"/>
        <w:rPr>
          <w:rFonts w:ascii="Times New Roman" w:hAnsi="Times New Roman" w:cs="Times New Roman"/>
          <w:color w:val="auto"/>
          <w:sz w:val="28"/>
          <w:szCs w:val="28"/>
        </w:rPr>
      </w:pPr>
      <w:bookmarkStart w:id="25" w:name="_Toc202398665"/>
      <w:bookmarkStart w:id="26" w:name="_Toc203070738"/>
      <w:r w:rsidRPr="001A7082">
        <w:rPr>
          <w:rStyle w:val="Strong"/>
          <w:rFonts w:ascii="Times New Roman" w:hAnsi="Times New Roman" w:cs="Times New Roman"/>
          <w:bCs w:val="0"/>
          <w:color w:val="auto"/>
          <w:sz w:val="28"/>
          <w:szCs w:val="28"/>
        </w:rPr>
        <w:t>2.3 Sampling Site</w:t>
      </w:r>
      <w:bookmarkEnd w:id="25"/>
      <w:bookmarkEnd w:id="26"/>
    </w:p>
    <w:p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rsidR="009D571B" w:rsidRPr="001A7082" w:rsidRDefault="009D571B" w:rsidP="001A7082">
      <w:pPr>
        <w:pStyle w:val="Heading1"/>
        <w:rPr>
          <w:rFonts w:ascii="Times New Roman" w:hAnsi="Times New Roman" w:cs="Times New Roman"/>
          <w:color w:val="auto"/>
          <w:sz w:val="28"/>
          <w:szCs w:val="28"/>
        </w:rPr>
      </w:pPr>
      <w:bookmarkStart w:id="27" w:name="_Toc202398666"/>
      <w:bookmarkStart w:id="28" w:name="_Toc203070739"/>
      <w:r w:rsidRPr="001A7082">
        <w:rPr>
          <w:rStyle w:val="Strong"/>
          <w:rFonts w:ascii="Times New Roman" w:hAnsi="Times New Roman" w:cs="Times New Roman"/>
          <w:bCs w:val="0"/>
          <w:color w:val="auto"/>
          <w:sz w:val="28"/>
          <w:szCs w:val="28"/>
        </w:rPr>
        <w:t>2.4.0 Media Preparation</w:t>
      </w:r>
      <w:bookmarkEnd w:id="27"/>
      <w:bookmarkEnd w:id="28"/>
    </w:p>
    <w:p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rsidR="009D571B" w:rsidRPr="001A7082" w:rsidRDefault="009D571B" w:rsidP="001A7082">
      <w:pPr>
        <w:pStyle w:val="Heading2"/>
        <w:rPr>
          <w:rFonts w:ascii="Times New Roman" w:hAnsi="Times New Roman" w:cs="Times New Roman"/>
          <w:color w:val="auto"/>
          <w:sz w:val="28"/>
          <w:szCs w:val="28"/>
        </w:rPr>
      </w:pPr>
      <w:bookmarkStart w:id="29" w:name="_Toc202398667"/>
      <w:bookmarkStart w:id="30" w:name="_Toc203070740"/>
      <w:r w:rsidRPr="001A7082">
        <w:rPr>
          <w:rStyle w:val="Strong"/>
          <w:rFonts w:ascii="Times New Roman" w:hAnsi="Times New Roman" w:cs="Times New Roman"/>
          <w:bCs w:val="0"/>
          <w:color w:val="auto"/>
          <w:sz w:val="28"/>
          <w:szCs w:val="28"/>
        </w:rPr>
        <w:t>2.4.1 Sample Preparation</w:t>
      </w:r>
      <w:bookmarkEnd w:id="29"/>
      <w:bookmarkEnd w:id="30"/>
    </w:p>
    <w:p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1" w:name="_Toc202398668"/>
      <w:bookmarkStart w:id="32" w:name="_Toc203070741"/>
      <w:r w:rsidRPr="001A7082">
        <w:rPr>
          <w:rStyle w:val="Strong"/>
          <w:rFonts w:ascii="Times New Roman" w:hAnsi="Times New Roman" w:cs="Times New Roman"/>
          <w:bCs w:val="0"/>
          <w:color w:val="auto"/>
          <w:sz w:val="28"/>
          <w:szCs w:val="28"/>
        </w:rPr>
        <w:t>2.5 Data Collection and Analysis</w:t>
      </w:r>
      <w:bookmarkEnd w:id="31"/>
      <w:bookmarkEnd w:id="32"/>
    </w:p>
    <w:p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rsidR="001F2710" w:rsidRPr="001A7082" w:rsidRDefault="001F2710" w:rsidP="00F379B7">
      <w:pPr>
        <w:pStyle w:val="NormalWeb"/>
        <w:spacing w:line="480" w:lineRule="auto"/>
        <w:jc w:val="both"/>
        <w:rPr>
          <w:sz w:val="28"/>
          <w:szCs w:val="28"/>
        </w:rPr>
      </w:pPr>
    </w:p>
    <w:p w:rsidR="009D571B" w:rsidRPr="001A7082" w:rsidRDefault="009D571B" w:rsidP="001A7082">
      <w:pPr>
        <w:pStyle w:val="Heading1"/>
        <w:rPr>
          <w:rFonts w:ascii="Times New Roman" w:hAnsi="Times New Roman" w:cs="Times New Roman"/>
          <w:color w:val="auto"/>
          <w:sz w:val="28"/>
          <w:szCs w:val="28"/>
        </w:rPr>
      </w:pPr>
      <w:bookmarkStart w:id="33" w:name="_Toc202398669"/>
      <w:bookmarkStart w:id="34" w:name="_Toc203070742"/>
      <w:r w:rsidRPr="001A7082">
        <w:rPr>
          <w:rStyle w:val="Strong"/>
          <w:rFonts w:ascii="Times New Roman" w:hAnsi="Times New Roman" w:cs="Times New Roman"/>
          <w:bCs w:val="0"/>
          <w:color w:val="auto"/>
          <w:sz w:val="28"/>
          <w:szCs w:val="28"/>
        </w:rPr>
        <w:t>2.6 Identification of Mosquito Species</w:t>
      </w:r>
      <w:bookmarkEnd w:id="33"/>
      <w:bookmarkEnd w:id="34"/>
    </w:p>
    <w:p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p>
    <w:p w:rsidR="009D571B" w:rsidRPr="001A7082" w:rsidRDefault="009D571B" w:rsidP="001A7082">
      <w:pPr>
        <w:pStyle w:val="Heading1"/>
        <w:rPr>
          <w:rFonts w:ascii="Times New Roman" w:hAnsi="Times New Roman" w:cs="Times New Roman"/>
          <w:b/>
          <w:color w:val="auto"/>
          <w:sz w:val="28"/>
          <w:szCs w:val="28"/>
        </w:rPr>
      </w:pPr>
      <w:bookmarkStart w:id="35" w:name="_Toc202398670"/>
      <w:bookmarkStart w:id="36" w:name="_Toc203070743"/>
      <w:r w:rsidRPr="001A7082">
        <w:rPr>
          <w:rFonts w:ascii="Times New Roman" w:hAnsi="Times New Roman" w:cs="Times New Roman"/>
          <w:b/>
          <w:color w:val="auto"/>
          <w:sz w:val="28"/>
          <w:szCs w:val="28"/>
        </w:rPr>
        <w:t>2.7 Key to Identify Morphological Structure of Mosquito Species (Adult and Larva)</w:t>
      </w:r>
      <w:bookmarkEnd w:id="35"/>
      <w:bookmarkEnd w:id="36"/>
    </w:p>
    <w:p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rsidR="009D571B" w:rsidRPr="001A7082" w:rsidRDefault="009D571B" w:rsidP="001A7082">
      <w:pPr>
        <w:pStyle w:val="Heading1"/>
        <w:rPr>
          <w:rFonts w:ascii="Times New Roman" w:hAnsi="Times New Roman" w:cs="Times New Roman"/>
          <w:color w:val="auto"/>
          <w:sz w:val="28"/>
          <w:szCs w:val="28"/>
        </w:rPr>
      </w:pPr>
      <w:bookmarkStart w:id="37" w:name="_Toc202398671"/>
      <w:bookmarkStart w:id="38" w:name="_Toc203070744"/>
      <w:bookmarkStart w:id="39" w:name="_Hlk203005984"/>
      <w:r w:rsidRPr="001A7082">
        <w:rPr>
          <w:rStyle w:val="Strong"/>
          <w:rFonts w:ascii="Times New Roman" w:hAnsi="Times New Roman" w:cs="Times New Roman"/>
          <w:bCs w:val="0"/>
          <w:color w:val="auto"/>
          <w:sz w:val="28"/>
          <w:szCs w:val="28"/>
        </w:rPr>
        <w:t>2.8 Ethical Considerations and Quality Control</w:t>
      </w:r>
      <w:bookmarkEnd w:id="37"/>
      <w:bookmarkEnd w:id="38"/>
    </w:p>
    <w:bookmarkEnd w:id="39"/>
    <w:p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rsidR="009D571B" w:rsidRPr="001A7082" w:rsidRDefault="009D571B" w:rsidP="001A7082">
      <w:pPr>
        <w:pStyle w:val="Heading1"/>
        <w:jc w:val="center"/>
        <w:rPr>
          <w:rFonts w:ascii="Times New Roman" w:hAnsi="Times New Roman" w:cs="Times New Roman"/>
          <w:b/>
          <w:color w:val="auto"/>
          <w:sz w:val="28"/>
          <w:szCs w:val="28"/>
        </w:rPr>
      </w:pPr>
      <w:bookmarkStart w:id="40" w:name="_Toc202398672"/>
      <w:bookmarkStart w:id="41" w:name="_Toc203070745"/>
      <w:r w:rsidRPr="001A7082">
        <w:rPr>
          <w:rFonts w:ascii="Times New Roman" w:hAnsi="Times New Roman" w:cs="Times New Roman"/>
          <w:b/>
          <w:color w:val="auto"/>
          <w:sz w:val="28"/>
          <w:szCs w:val="28"/>
        </w:rPr>
        <w:lastRenderedPageBreak/>
        <w:t>CHAPTER THREE</w:t>
      </w:r>
      <w:bookmarkEnd w:id="40"/>
      <w:bookmarkEnd w:id="41"/>
    </w:p>
    <w:p w:rsidR="009D571B" w:rsidRPr="001A7082" w:rsidRDefault="009D571B" w:rsidP="001A7082">
      <w:pPr>
        <w:pStyle w:val="Heading1"/>
        <w:rPr>
          <w:rFonts w:ascii="Times New Roman" w:hAnsi="Times New Roman" w:cs="Times New Roman"/>
          <w:b/>
          <w:color w:val="auto"/>
          <w:sz w:val="28"/>
          <w:szCs w:val="28"/>
        </w:rPr>
      </w:pPr>
      <w:bookmarkStart w:id="42" w:name="_Toc202398673"/>
      <w:bookmarkStart w:id="43" w:name="_Toc203070746"/>
      <w:r w:rsidRPr="001A7082">
        <w:rPr>
          <w:rFonts w:ascii="Times New Roman" w:hAnsi="Times New Roman" w:cs="Times New Roman"/>
          <w:b/>
          <w:color w:val="auto"/>
          <w:sz w:val="28"/>
          <w:szCs w:val="28"/>
        </w:rPr>
        <w:t>3.0 RESULTS</w:t>
      </w:r>
      <w:bookmarkEnd w:id="42"/>
      <w:bookmarkEnd w:id="43"/>
    </w:p>
    <w:p w:rsidR="009D571B" w:rsidRPr="001A7082" w:rsidRDefault="009D571B" w:rsidP="001A7082">
      <w:pPr>
        <w:pStyle w:val="Heading1"/>
        <w:rPr>
          <w:rFonts w:ascii="Times New Roman" w:hAnsi="Times New Roman" w:cs="Times New Roman"/>
          <w:b/>
          <w:color w:val="auto"/>
          <w:sz w:val="28"/>
          <w:szCs w:val="28"/>
        </w:rPr>
      </w:pPr>
      <w:bookmarkStart w:id="44" w:name="_Toc202398674"/>
      <w:bookmarkStart w:id="45" w:name="_Toc203070747"/>
      <w:r w:rsidRPr="001A7082">
        <w:rPr>
          <w:rFonts w:ascii="Times New Roman" w:hAnsi="Times New Roman" w:cs="Times New Roman"/>
          <w:b/>
          <w:color w:val="auto"/>
          <w:sz w:val="28"/>
          <w:szCs w:val="28"/>
        </w:rPr>
        <w:t>3.1 Abundance and Distribution of Mosquito Species Across Sampling Sites</w:t>
      </w:r>
      <w:bookmarkEnd w:id="44"/>
      <w:bookmarkEnd w:id="45"/>
    </w:p>
    <w:p w:rsidR="0043413C" w:rsidRPr="001A7082" w:rsidRDefault="009D571B" w:rsidP="001A7082">
      <w:pPr>
        <w:pStyle w:val="Heading1"/>
        <w:rPr>
          <w:rFonts w:ascii="Times New Roman" w:hAnsi="Times New Roman" w:cs="Times New Roman"/>
          <w:b/>
          <w:color w:val="auto"/>
          <w:sz w:val="28"/>
          <w:szCs w:val="28"/>
        </w:rPr>
      </w:pPr>
      <w:bookmarkStart w:id="46" w:name="_Toc203070748"/>
      <w:r w:rsidRPr="001A7082">
        <w:rPr>
          <w:rFonts w:ascii="Times New Roman" w:hAnsi="Times New Roman" w:cs="Times New Roman"/>
          <w:b/>
          <w:color w:val="auto"/>
          <w:sz w:val="28"/>
          <w:szCs w:val="28"/>
        </w:rPr>
        <w:t>Table 1: Mosquito species distribution across sampling sites in Ilorin.</w:t>
      </w:r>
      <w:bookmarkEnd w:id="46"/>
    </w:p>
    <w:tbl>
      <w:tblPr>
        <w:tblStyle w:val="TableGrid"/>
        <w:tblW w:w="0" w:type="auto"/>
        <w:tblLook w:val="04A0"/>
      </w:tblPr>
      <w:tblGrid>
        <w:gridCol w:w="1684"/>
        <w:gridCol w:w="1818"/>
        <w:gridCol w:w="1288"/>
        <w:gridCol w:w="1273"/>
        <w:gridCol w:w="2793"/>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47" w:name="_Toc202398675"/>
      <w:bookmarkStart w:id="48" w:name="_Toc203070749"/>
      <w:r w:rsidRPr="001A7082">
        <w:rPr>
          <w:rFonts w:ascii="Times New Roman" w:hAnsi="Times New Roman" w:cs="Times New Roman"/>
          <w:b/>
          <w:color w:val="auto"/>
          <w:sz w:val="28"/>
          <w:szCs w:val="28"/>
        </w:rPr>
        <w:t>3.2 Stage-wise Collection of Mosquitoes</w:t>
      </w:r>
      <w:bookmarkEnd w:id="47"/>
      <w:bookmarkEnd w:id="48"/>
    </w:p>
    <w:p w:rsidR="009D571B" w:rsidRPr="001A7082" w:rsidRDefault="009D571B" w:rsidP="001A7082">
      <w:pPr>
        <w:pStyle w:val="Heading1"/>
        <w:rPr>
          <w:rFonts w:ascii="Times New Roman" w:hAnsi="Times New Roman" w:cs="Times New Roman"/>
          <w:b/>
          <w:color w:val="auto"/>
          <w:sz w:val="28"/>
          <w:szCs w:val="28"/>
        </w:rPr>
      </w:pPr>
      <w:bookmarkStart w:id="49" w:name="_Toc203070750"/>
      <w:r w:rsidRPr="001A7082">
        <w:rPr>
          <w:rFonts w:ascii="Times New Roman" w:hAnsi="Times New Roman" w:cs="Times New Roman"/>
          <w:b/>
          <w:color w:val="auto"/>
          <w:sz w:val="28"/>
          <w:szCs w:val="28"/>
        </w:rPr>
        <w:t>Table 2: Total number of mosquito specimens collected at different developmental stages.</w:t>
      </w:r>
      <w:bookmarkEnd w:id="49"/>
    </w:p>
    <w:tbl>
      <w:tblPr>
        <w:tblStyle w:val="TableGrid"/>
        <w:tblW w:w="0" w:type="auto"/>
        <w:tblLook w:val="04A0"/>
      </w:tblPr>
      <w:tblGrid>
        <w:gridCol w:w="1422"/>
        <w:gridCol w:w="2845"/>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0" w:name="_Toc202398676"/>
      <w:bookmarkStart w:id="51" w:name="_Toc203070751"/>
      <w:bookmarkStart w:id="52" w:name="_Hlk203006169"/>
      <w:r w:rsidRPr="001A7082">
        <w:rPr>
          <w:rFonts w:ascii="Times New Roman" w:hAnsi="Times New Roman" w:cs="Times New Roman"/>
          <w:b/>
          <w:color w:val="auto"/>
          <w:sz w:val="28"/>
          <w:szCs w:val="28"/>
        </w:rPr>
        <w:t>3.3 Shannon-Wiener Diversity Index (H′) for Different Sampling Sites</w:t>
      </w:r>
      <w:bookmarkEnd w:id="50"/>
      <w:bookmarkEnd w:id="51"/>
    </w:p>
    <w:p w:rsidR="009D571B" w:rsidRPr="001A7082" w:rsidRDefault="009D571B" w:rsidP="001A7082">
      <w:pPr>
        <w:pStyle w:val="Heading1"/>
        <w:rPr>
          <w:rFonts w:ascii="Times New Roman" w:hAnsi="Times New Roman" w:cs="Times New Roman"/>
          <w:b/>
          <w:color w:val="auto"/>
          <w:sz w:val="28"/>
          <w:szCs w:val="28"/>
        </w:rPr>
      </w:pPr>
      <w:bookmarkStart w:id="53" w:name="_Toc203070752"/>
      <w:bookmarkEnd w:id="52"/>
      <w:r w:rsidRPr="001A7082">
        <w:rPr>
          <w:rFonts w:ascii="Times New Roman" w:hAnsi="Times New Roman" w:cs="Times New Roman"/>
          <w:b/>
          <w:color w:val="auto"/>
          <w:sz w:val="28"/>
          <w:szCs w:val="28"/>
        </w:rPr>
        <w:t>Table 3: Species richness and diversity index of mosquito species in different ecological zones.</w:t>
      </w:r>
      <w:bookmarkEnd w:id="53"/>
    </w:p>
    <w:tbl>
      <w:tblPr>
        <w:tblStyle w:val="TableGrid"/>
        <w:tblW w:w="0" w:type="auto"/>
        <w:tblLook w:val="04A0"/>
      </w:tblPr>
      <w:tblGrid>
        <w:gridCol w:w="1874"/>
        <w:gridCol w:w="2628"/>
        <w:gridCol w:w="3562"/>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rsidTr="009D571B">
        <w:tc>
          <w:tcPr>
            <w:tcW w:w="0" w:type="auto"/>
            <w:hideMark/>
          </w:tcPr>
          <w:p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rsidR="009D571B" w:rsidRPr="001A7082" w:rsidRDefault="009D571B" w:rsidP="00F379B7">
      <w:pPr>
        <w:spacing w:line="480" w:lineRule="auto"/>
        <w:jc w:val="both"/>
        <w:rPr>
          <w:rFonts w:ascii="Times New Roman" w:hAnsi="Times New Roman" w:cs="Times New Roman"/>
          <w:sz w:val="28"/>
          <w:szCs w:val="28"/>
        </w:rPr>
      </w:pPr>
    </w:p>
    <w:p w:rsidR="009D571B" w:rsidRPr="001A7082" w:rsidRDefault="009D571B" w:rsidP="001A7082">
      <w:pPr>
        <w:pStyle w:val="Heading1"/>
        <w:rPr>
          <w:rFonts w:ascii="Times New Roman" w:hAnsi="Times New Roman" w:cs="Times New Roman"/>
          <w:b/>
          <w:color w:val="auto"/>
          <w:sz w:val="28"/>
          <w:szCs w:val="28"/>
        </w:rPr>
      </w:pPr>
      <w:bookmarkStart w:id="54" w:name="_Toc202398677"/>
      <w:bookmarkStart w:id="55" w:name="_Toc203070753"/>
      <w:r w:rsidRPr="001A7082">
        <w:rPr>
          <w:rFonts w:ascii="Times New Roman" w:hAnsi="Times New Roman" w:cs="Times New Roman"/>
          <w:b/>
          <w:color w:val="auto"/>
          <w:sz w:val="28"/>
          <w:szCs w:val="28"/>
        </w:rPr>
        <w:t>3.4 Frequency of Mosquito Species</w:t>
      </w:r>
      <w:bookmarkEnd w:id="54"/>
      <w:bookmarkEnd w:id="55"/>
    </w:p>
    <w:p w:rsidR="009D571B" w:rsidRPr="001A7082" w:rsidRDefault="009D571B" w:rsidP="001A7082">
      <w:pPr>
        <w:pStyle w:val="Heading1"/>
        <w:rPr>
          <w:rFonts w:ascii="Times New Roman" w:hAnsi="Times New Roman" w:cs="Times New Roman"/>
          <w:b/>
          <w:color w:val="auto"/>
          <w:sz w:val="28"/>
          <w:szCs w:val="28"/>
        </w:rPr>
      </w:pPr>
      <w:bookmarkStart w:id="56" w:name="_Toc203070754"/>
      <w:r w:rsidRPr="001A7082">
        <w:rPr>
          <w:rFonts w:ascii="Times New Roman" w:hAnsi="Times New Roman" w:cs="Times New Roman"/>
          <w:b/>
          <w:color w:val="auto"/>
          <w:sz w:val="28"/>
          <w:szCs w:val="28"/>
        </w:rPr>
        <w:t>Table 4: Relative frequency of mosquito species collected during the study.</w:t>
      </w:r>
      <w:bookmarkEnd w:id="56"/>
    </w:p>
    <w:tbl>
      <w:tblPr>
        <w:tblStyle w:val="TableGrid"/>
        <w:tblW w:w="0" w:type="auto"/>
        <w:tblLook w:val="04A0"/>
      </w:tblPr>
      <w:tblGrid>
        <w:gridCol w:w="2293"/>
        <w:gridCol w:w="2028"/>
      </w:tblGrid>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rsidTr="009D571B">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rsidR="00F379B7" w:rsidRPr="001A7082" w:rsidRDefault="00F379B7" w:rsidP="00F379B7">
      <w:pPr>
        <w:spacing w:line="480" w:lineRule="auto"/>
        <w:jc w:val="both"/>
        <w:rPr>
          <w:rFonts w:ascii="Times New Roman" w:hAnsi="Times New Roman" w:cs="Times New Roman"/>
          <w:b/>
          <w:sz w:val="28"/>
          <w:szCs w:val="28"/>
        </w:rPr>
      </w:pPr>
    </w:p>
    <w:p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7" w:name="_Toc202398678"/>
      <w:bookmarkStart w:id="58" w:name="_Toc203070755"/>
      <w:r w:rsidR="009D571B" w:rsidRPr="001A7082">
        <w:rPr>
          <w:rFonts w:ascii="Times New Roman" w:hAnsi="Times New Roman" w:cs="Times New Roman"/>
          <w:b/>
          <w:color w:val="auto"/>
          <w:sz w:val="28"/>
          <w:szCs w:val="28"/>
        </w:rPr>
        <w:lastRenderedPageBreak/>
        <w:t>CHAPTER FOUR</w:t>
      </w:r>
      <w:bookmarkEnd w:id="57"/>
      <w:bookmarkEnd w:id="58"/>
    </w:p>
    <w:p w:rsidR="00017C99" w:rsidRPr="001A7082" w:rsidRDefault="009D571B" w:rsidP="001A7082">
      <w:pPr>
        <w:pStyle w:val="Heading1"/>
        <w:rPr>
          <w:rFonts w:ascii="Times New Roman" w:hAnsi="Times New Roman" w:cs="Times New Roman"/>
          <w:b/>
          <w:color w:val="auto"/>
          <w:sz w:val="28"/>
          <w:szCs w:val="28"/>
        </w:rPr>
      </w:pPr>
      <w:bookmarkStart w:id="59" w:name="_Toc202398679"/>
      <w:bookmarkStart w:id="60" w:name="_Toc203070756"/>
      <w:r w:rsidRPr="001A7082">
        <w:rPr>
          <w:rFonts w:ascii="Times New Roman" w:hAnsi="Times New Roman" w:cs="Times New Roman"/>
          <w:b/>
          <w:color w:val="auto"/>
          <w:sz w:val="28"/>
          <w:szCs w:val="28"/>
        </w:rPr>
        <w:t>4.0 DISCUSSION AND CONCLUSION</w:t>
      </w:r>
      <w:bookmarkEnd w:id="59"/>
      <w:bookmarkEnd w:id="60"/>
    </w:p>
    <w:p w:rsidR="009D571B" w:rsidRPr="001A7082" w:rsidRDefault="009D571B" w:rsidP="001A7082">
      <w:pPr>
        <w:pStyle w:val="Heading1"/>
        <w:rPr>
          <w:rFonts w:ascii="Times New Roman" w:hAnsi="Times New Roman" w:cs="Times New Roman"/>
          <w:b/>
          <w:color w:val="auto"/>
          <w:sz w:val="28"/>
          <w:szCs w:val="28"/>
        </w:rPr>
      </w:pPr>
      <w:bookmarkStart w:id="61" w:name="_Toc202398680"/>
      <w:bookmarkStart w:id="62" w:name="_Toc203070757"/>
      <w:r w:rsidRPr="001A7082">
        <w:rPr>
          <w:rFonts w:ascii="Times New Roman" w:hAnsi="Times New Roman" w:cs="Times New Roman"/>
          <w:b/>
          <w:color w:val="auto"/>
          <w:sz w:val="28"/>
          <w:szCs w:val="28"/>
        </w:rPr>
        <w:t>4.1 DISCUSSION</w:t>
      </w:r>
      <w:bookmarkEnd w:id="61"/>
      <w:bookmarkEnd w:id="62"/>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rsidR="009D571B" w:rsidRPr="001A7082" w:rsidRDefault="009D571B" w:rsidP="001A7082">
      <w:pPr>
        <w:pStyle w:val="Heading1"/>
        <w:rPr>
          <w:rFonts w:ascii="Times New Roman" w:hAnsi="Times New Roman" w:cs="Times New Roman"/>
          <w:b/>
          <w:color w:val="auto"/>
          <w:sz w:val="28"/>
          <w:szCs w:val="28"/>
        </w:rPr>
      </w:pPr>
      <w:bookmarkStart w:id="63" w:name="_Toc202398681"/>
      <w:bookmarkStart w:id="64" w:name="_Toc203070758"/>
      <w:r w:rsidRPr="001A7082">
        <w:rPr>
          <w:rFonts w:ascii="Times New Roman" w:hAnsi="Times New Roman" w:cs="Times New Roman"/>
          <w:b/>
          <w:color w:val="auto"/>
          <w:sz w:val="28"/>
          <w:szCs w:val="28"/>
        </w:rPr>
        <w:t>4.1 Conclusion</w:t>
      </w:r>
      <w:bookmarkEnd w:id="63"/>
      <w:bookmarkEnd w:id="64"/>
    </w:p>
    <w:p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F6114B" w:rsidRPr="001A7082" w:rsidRDefault="00F6114B" w:rsidP="00F379B7">
      <w:pPr>
        <w:spacing w:after="0" w:line="480" w:lineRule="auto"/>
        <w:jc w:val="both"/>
        <w:rPr>
          <w:rFonts w:ascii="Times New Roman" w:eastAsia="Times New Roman" w:hAnsi="Times New Roman" w:cs="Times New Roman"/>
          <w:sz w:val="28"/>
          <w:szCs w:val="28"/>
        </w:rPr>
      </w:pPr>
    </w:p>
    <w:p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rsidR="00017C99" w:rsidRPr="001A7082" w:rsidRDefault="00017C99" w:rsidP="001A7082">
      <w:pPr>
        <w:pStyle w:val="Heading1"/>
        <w:jc w:val="center"/>
        <w:rPr>
          <w:rFonts w:ascii="Times New Roman" w:hAnsi="Times New Roman" w:cs="Times New Roman"/>
          <w:b/>
          <w:color w:val="auto"/>
          <w:sz w:val="28"/>
          <w:szCs w:val="28"/>
        </w:rPr>
      </w:pPr>
      <w:bookmarkStart w:id="65" w:name="_Toc202398682"/>
      <w:bookmarkStart w:id="66" w:name="_Toc203070759"/>
      <w:r w:rsidRPr="001A7082">
        <w:rPr>
          <w:rFonts w:ascii="Times New Roman" w:hAnsi="Times New Roman" w:cs="Times New Roman"/>
          <w:b/>
          <w:color w:val="auto"/>
          <w:sz w:val="28"/>
          <w:szCs w:val="28"/>
        </w:rPr>
        <w:lastRenderedPageBreak/>
        <w:t>REFERENCES</w:t>
      </w:r>
      <w:bookmarkEnd w:id="65"/>
      <w:bookmarkEnd w:id="66"/>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7" w:name="_Toc202398683"/>
      <w:bookmarkStart w:id="68"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9" w:history="1">
        <w:r w:rsidRPr="001A7082">
          <w:rPr>
            <w:rStyle w:val="Hyperlink"/>
            <w:rFonts w:ascii="Times New Roman" w:eastAsia="Times New Roman" w:hAnsi="Times New Roman" w:cs="Times New Roman"/>
            <w:color w:val="auto"/>
            <w:sz w:val="28"/>
            <w:szCs w:val="28"/>
          </w:rPr>
          <w:t>https://doi.org/10.1111/jvec.12425</w:t>
        </w:r>
        <w:bookmarkEnd w:id="67"/>
        <w:bookmarkEnd w:id="68"/>
      </w:hyperlink>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9" w:name="_Toc202398684"/>
      <w:bookmarkStart w:id="70"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0" w:history="1">
        <w:r w:rsidRPr="001A7082">
          <w:rPr>
            <w:rStyle w:val="Hyperlink"/>
            <w:rFonts w:ascii="Times New Roman" w:eastAsia="Times New Roman" w:hAnsi="Times New Roman" w:cs="Times New Roman"/>
            <w:color w:val="auto"/>
            <w:sz w:val="28"/>
            <w:szCs w:val="28"/>
          </w:rPr>
          <w:t>https://doi.org/10.5897/AJEST2022.3078</w:t>
        </w:r>
        <w:bookmarkEnd w:id="69"/>
        <w:bookmarkEnd w:id="7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1" w:name="_Toc202398685"/>
      <w:bookmarkStart w:id="72"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1" w:history="1">
        <w:r w:rsidRPr="001A7082">
          <w:rPr>
            <w:rStyle w:val="Hyperlink"/>
            <w:rFonts w:ascii="Times New Roman" w:eastAsia="Times New Roman" w:hAnsi="Times New Roman" w:cs="Times New Roman"/>
            <w:color w:val="auto"/>
            <w:sz w:val="28"/>
            <w:szCs w:val="28"/>
          </w:rPr>
          <w:t>https://doi.org/10.21315/tb2023.40.2.3</w:t>
        </w:r>
        <w:bookmarkEnd w:id="71"/>
        <w:bookmarkEnd w:id="72"/>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3" w:name="_Toc202398686"/>
      <w:bookmarkStart w:id="74"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3"/>
      <w:bookmarkEnd w:id="74"/>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2" w:history="1">
        <w:r w:rsidRPr="001A7082">
          <w:rPr>
            <w:rStyle w:val="Hyperlink"/>
            <w:color w:val="auto"/>
            <w:sz w:val="28"/>
            <w:szCs w:val="28"/>
          </w:rPr>
          <w:t>https://doi.org/10.4103/0972-9062</w:t>
        </w:r>
      </w:hyperlink>
      <w:r w:rsidRPr="001A7082">
        <w:rPr>
          <w:sz w:val="28"/>
          <w:szCs w:val="28"/>
        </w:rPr>
        <w:t>.</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5" w:name="_Toc202398687"/>
      <w:bookmarkStart w:id="76"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5"/>
      <w:bookmarkEnd w:id="7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7" w:name="_Toc202398688"/>
      <w:bookmarkStart w:id="78"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7"/>
      <w:bookmarkEnd w:id="78"/>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9" w:name="_Toc202398689"/>
      <w:bookmarkStart w:id="80"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79"/>
      <w:bookmarkEnd w:id="80"/>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1" w:name="_Toc202398690"/>
      <w:bookmarkStart w:id="82"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1"/>
      <w:bookmarkEnd w:id="82"/>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3" w:name="_Toc202398691"/>
      <w:bookmarkStart w:id="84"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3"/>
      <w:bookmarkEnd w:id="84"/>
    </w:p>
    <w:p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5" w:name="_Toc202398692"/>
      <w:bookmarkStart w:id="86"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5"/>
      <w:bookmarkEnd w:id="86"/>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7" w:name="_Toc202398693"/>
      <w:bookmarkStart w:id="88"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3" w:history="1">
        <w:r w:rsidRPr="001A7082">
          <w:rPr>
            <w:rStyle w:val="Hyperlink"/>
            <w:rFonts w:ascii="Times New Roman" w:eastAsia="Times New Roman" w:hAnsi="Times New Roman" w:cs="Times New Roman"/>
            <w:color w:val="auto"/>
            <w:sz w:val="28"/>
            <w:szCs w:val="28"/>
          </w:rPr>
          <w:t>https://doi.org/10.1016/j.parepi.2021.e00210</w:t>
        </w:r>
        <w:bookmarkEnd w:id="87"/>
        <w:bookmarkEnd w:id="88"/>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9" w:name="_Toc202398694"/>
      <w:bookmarkStart w:id="90"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4"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89"/>
        <w:bookmarkEnd w:id="90"/>
      </w:hyperlink>
    </w:p>
    <w:p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5" w:tgtFrame="_new" w:history="1">
        <w:r w:rsidRPr="001A7082">
          <w:rPr>
            <w:rStyle w:val="Hyperlink"/>
            <w:color w:val="auto"/>
            <w:sz w:val="28"/>
            <w:szCs w:val="28"/>
          </w:rPr>
          <w:t>https://apps.who.int/iris/handle/10665/352146</w:t>
        </w:r>
      </w:hyperlink>
    </w:p>
    <w:p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1" w:name="_Toc202398695"/>
      <w:bookmarkStart w:id="92"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1"/>
      <w:bookmarkEnd w:id="92"/>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4C16" w:rsidRDefault="00314C16" w:rsidP="00A87CC6">
      <w:pPr>
        <w:spacing w:after="0" w:line="240" w:lineRule="auto"/>
      </w:pPr>
      <w:r>
        <w:separator/>
      </w:r>
    </w:p>
  </w:endnote>
  <w:endnote w:type="continuationSeparator" w:id="1">
    <w:p w:rsidR="00314C16" w:rsidRDefault="00314C16" w:rsidP="00A87C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136059"/>
      <w:docPartObj>
        <w:docPartGallery w:val="Page Numbers (Bottom of Page)"/>
        <w:docPartUnique/>
      </w:docPartObj>
    </w:sdtPr>
    <w:sdtEndPr>
      <w:rPr>
        <w:noProof/>
      </w:rPr>
    </w:sdtEndPr>
    <w:sdtContent>
      <w:p w:rsidR="001A7082" w:rsidRDefault="00CF4A07">
        <w:pPr>
          <w:pStyle w:val="Footer"/>
          <w:jc w:val="center"/>
        </w:pPr>
        <w:r>
          <w:fldChar w:fldCharType="begin"/>
        </w:r>
        <w:r w:rsidR="001A7082">
          <w:instrText xml:space="preserve"> PAGE   \* MERGEFORMAT </w:instrText>
        </w:r>
        <w:r>
          <w:fldChar w:fldCharType="separate"/>
        </w:r>
        <w:r w:rsidR="008A1197">
          <w:rPr>
            <w:noProof/>
          </w:rPr>
          <w:t>ii</w:t>
        </w:r>
        <w:r>
          <w:rPr>
            <w:noProof/>
          </w:rPr>
          <w:fldChar w:fldCharType="end"/>
        </w:r>
      </w:p>
    </w:sdtContent>
  </w:sdt>
  <w:p w:rsidR="00EE6BE0" w:rsidRDefault="00EE6B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4C16" w:rsidRDefault="00314C16" w:rsidP="00A87CC6">
      <w:pPr>
        <w:spacing w:after="0" w:line="240" w:lineRule="auto"/>
      </w:pPr>
      <w:r>
        <w:separator/>
      </w:r>
    </w:p>
  </w:footnote>
  <w:footnote w:type="continuationSeparator" w:id="1">
    <w:p w:rsidR="00314C16" w:rsidRDefault="00314C16" w:rsidP="00A87C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66D7"/>
    <w:rsid w:val="00017C99"/>
    <w:rsid w:val="00027FAE"/>
    <w:rsid w:val="000C6CBC"/>
    <w:rsid w:val="000E28AF"/>
    <w:rsid w:val="00107089"/>
    <w:rsid w:val="0015430F"/>
    <w:rsid w:val="00191234"/>
    <w:rsid w:val="001A30F0"/>
    <w:rsid w:val="001A7082"/>
    <w:rsid w:val="001F2710"/>
    <w:rsid w:val="00280381"/>
    <w:rsid w:val="002B0BB5"/>
    <w:rsid w:val="00314C16"/>
    <w:rsid w:val="003C6C9E"/>
    <w:rsid w:val="0043413C"/>
    <w:rsid w:val="00470EE1"/>
    <w:rsid w:val="00495C42"/>
    <w:rsid w:val="00574E53"/>
    <w:rsid w:val="0064162D"/>
    <w:rsid w:val="00645FF4"/>
    <w:rsid w:val="006719CF"/>
    <w:rsid w:val="0078606D"/>
    <w:rsid w:val="007A5C16"/>
    <w:rsid w:val="008415ED"/>
    <w:rsid w:val="008A1197"/>
    <w:rsid w:val="008E05E5"/>
    <w:rsid w:val="0092576D"/>
    <w:rsid w:val="0098466D"/>
    <w:rsid w:val="009D571B"/>
    <w:rsid w:val="00A87CC6"/>
    <w:rsid w:val="00A96AC6"/>
    <w:rsid w:val="00B47CDE"/>
    <w:rsid w:val="00B52347"/>
    <w:rsid w:val="00BD50D2"/>
    <w:rsid w:val="00C22B42"/>
    <w:rsid w:val="00C77AD7"/>
    <w:rsid w:val="00CD5319"/>
    <w:rsid w:val="00CF4A07"/>
    <w:rsid w:val="00D269EE"/>
    <w:rsid w:val="00D415F8"/>
    <w:rsid w:val="00DA0F41"/>
    <w:rsid w:val="00DB353E"/>
    <w:rsid w:val="00DD08F5"/>
    <w:rsid w:val="00DE66D7"/>
    <w:rsid w:val="00E139E2"/>
    <w:rsid w:val="00E71726"/>
    <w:rsid w:val="00EE6BE0"/>
    <w:rsid w:val="00F379B7"/>
    <w:rsid w:val="00F57D6E"/>
    <w:rsid w:val="00F6114B"/>
    <w:rsid w:val="00FB3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B42"/>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r="http://schemas.openxmlformats.org/officeDocument/2006/relationships" xmlns:w="http://schemas.openxmlformats.org/wordprocessingml/2006/main">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arepi.2021.e00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3/0972-90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315/tb2023.40.2.3" TargetMode="External"/><Relationship Id="rId5" Type="http://schemas.openxmlformats.org/officeDocument/2006/relationships/webSettings" Target="webSettings.xml"/><Relationship Id="rId15" Type="http://schemas.openxmlformats.org/officeDocument/2006/relationships/hyperlink" Target="https://apps.who.int/iris/handle/10665/352146" TargetMode="External"/><Relationship Id="rId10" Type="http://schemas.openxmlformats.org/officeDocument/2006/relationships/hyperlink" Target="https://doi.org/10.5897/AJEST2022.3078" TargetMode="External"/><Relationship Id="rId4" Type="http://schemas.openxmlformats.org/officeDocument/2006/relationships/settings" Target="settings.xml"/><Relationship Id="rId9" Type="http://schemas.openxmlformats.org/officeDocument/2006/relationships/hyperlink" Target="https://doi.org/10.1111/jvec.12425" TargetMode="External"/><Relationship Id="rId14" Type="http://schemas.openxmlformats.org/officeDocument/2006/relationships/hyperlink" Target="https://www.who.int/teams/global-malaria-programme/reports/world-malaria-report-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4D3B5-46CF-4318-A562-7DEB55C3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44</Pages>
  <Words>6210</Words>
  <Characters>35400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LIZZY COMPUTER</cp:lastModifiedBy>
  <cp:revision>8</cp:revision>
  <cp:lastPrinted>2025-06-17T13:16:00Z</cp:lastPrinted>
  <dcterms:created xsi:type="dcterms:W3CDTF">2025-07-10T19:17:00Z</dcterms:created>
  <dcterms:modified xsi:type="dcterms:W3CDTF">2025-07-15T12:06:00Z</dcterms:modified>
</cp:coreProperties>
</file>