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BDC" w:rsidRDefault="00AF1BDC" w:rsidP="00AF1BDC">
      <w:pPr>
        <w:jc w:val="center"/>
        <w:rPr>
          <w:rFonts w:ascii="Times New Roman" w:hAnsi="Times New Roman"/>
          <w:b/>
          <w:sz w:val="24"/>
        </w:rPr>
      </w:pPr>
      <w:r w:rsidRPr="00AF1BDC">
        <w:rPr>
          <w:rFonts w:ascii="Times New Roman" w:hAnsi="Times New Roman"/>
          <w:b/>
          <w:noProof/>
          <w:sz w:val="24"/>
          <w:lang w:eastAsia="en-US"/>
        </w:rPr>
        <w:drawing>
          <wp:anchor distT="0" distB="0" distL="114300" distR="114300" simplePos="0" relativeHeight="251659264" behindDoc="0" locked="0" layoutInCell="1" allowOverlap="1">
            <wp:simplePos x="0" y="0"/>
            <wp:positionH relativeFrom="margin">
              <wp:align>center</wp:align>
            </wp:positionH>
            <wp:positionV relativeFrom="paragraph">
              <wp:posOffset>-489098</wp:posOffset>
            </wp:positionV>
            <wp:extent cx="818707" cy="776177"/>
            <wp:effectExtent l="19050" t="0" r="443" b="0"/>
            <wp:wrapNone/>
            <wp:docPr id="1" name="Picture 1" descr="C:\Users\user\Desktop\downlo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jpe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8707" cy="776177"/>
                    </a:xfrm>
                    <a:prstGeom prst="rect">
                      <a:avLst/>
                    </a:prstGeom>
                    <a:noFill/>
                    <a:ln>
                      <a:noFill/>
                    </a:ln>
                  </pic:spPr>
                </pic:pic>
              </a:graphicData>
            </a:graphic>
          </wp:anchor>
        </w:drawing>
      </w:r>
    </w:p>
    <w:p w:rsidR="00AF1BDC" w:rsidRDefault="00AF1BDC" w:rsidP="00AF1BDC">
      <w:pPr>
        <w:jc w:val="center"/>
        <w:rPr>
          <w:rFonts w:ascii="Times New Roman" w:hAnsi="Times New Roman"/>
          <w:b/>
          <w:sz w:val="24"/>
        </w:rPr>
      </w:pPr>
      <w:r>
        <w:rPr>
          <w:rFonts w:ascii="Times New Roman" w:hAnsi="Times New Roman"/>
          <w:b/>
          <w:sz w:val="24"/>
        </w:rPr>
        <w:t xml:space="preserve">A PROJECT REPORT </w:t>
      </w:r>
    </w:p>
    <w:p w:rsidR="00AF1BDC" w:rsidRDefault="00AF1BDC" w:rsidP="00AF1BDC">
      <w:pPr>
        <w:jc w:val="center"/>
        <w:rPr>
          <w:rFonts w:ascii="Times New Roman" w:hAnsi="Times New Roman"/>
          <w:b/>
          <w:sz w:val="24"/>
        </w:rPr>
      </w:pPr>
    </w:p>
    <w:p w:rsidR="00AF1BDC" w:rsidRDefault="00AF1BDC" w:rsidP="00AF1BDC">
      <w:pPr>
        <w:jc w:val="center"/>
        <w:rPr>
          <w:rFonts w:ascii="Times New Roman" w:hAnsi="Times New Roman"/>
          <w:b/>
          <w:sz w:val="24"/>
        </w:rPr>
      </w:pPr>
      <w:r>
        <w:rPr>
          <w:rFonts w:ascii="Times New Roman" w:hAnsi="Times New Roman"/>
          <w:b/>
          <w:sz w:val="24"/>
        </w:rPr>
        <w:t>ON</w:t>
      </w:r>
    </w:p>
    <w:p w:rsidR="00AF1BDC" w:rsidRDefault="00AF1BDC" w:rsidP="00AF1BDC">
      <w:pPr>
        <w:rPr>
          <w:rFonts w:ascii="Times New Roman" w:hAnsi="Times New Roman"/>
          <w:b/>
          <w:sz w:val="24"/>
        </w:rPr>
      </w:pPr>
    </w:p>
    <w:p w:rsidR="00AF1BDC" w:rsidRDefault="00AF1BDC" w:rsidP="00AF1BDC">
      <w:pPr>
        <w:jc w:val="center"/>
        <w:rPr>
          <w:rFonts w:ascii="Times New Roman" w:hAnsi="Times New Roman"/>
          <w:b/>
          <w:sz w:val="24"/>
        </w:rPr>
      </w:pPr>
      <w:r w:rsidRPr="00AF1BDC">
        <w:rPr>
          <w:rFonts w:ascii="Times New Roman" w:hAnsi="Times New Roman"/>
          <w:b/>
          <w:sz w:val="24"/>
        </w:rPr>
        <w:t>QUANTITATIVE DETERMINATION OF VITAMIN C CONTENT IN APPLE JUICE USING UV-VISIBLE SPECTROSCOPIC METHOD</w:t>
      </w:r>
    </w:p>
    <w:p w:rsidR="00AF1BDC" w:rsidRDefault="00AF1BDC" w:rsidP="00AF1BDC">
      <w:pPr>
        <w:jc w:val="center"/>
        <w:rPr>
          <w:rFonts w:ascii="Times New Roman" w:hAnsi="Times New Roman"/>
          <w:b/>
          <w:sz w:val="24"/>
        </w:rPr>
      </w:pPr>
    </w:p>
    <w:p w:rsidR="00AF1BDC" w:rsidRDefault="00AF1BDC" w:rsidP="00AF1BDC">
      <w:pPr>
        <w:jc w:val="center"/>
        <w:rPr>
          <w:rFonts w:ascii="Times New Roman" w:hAnsi="Times New Roman"/>
          <w:b/>
          <w:sz w:val="24"/>
        </w:rPr>
      </w:pPr>
      <w:r>
        <w:rPr>
          <w:rFonts w:ascii="Times New Roman" w:hAnsi="Times New Roman"/>
          <w:b/>
          <w:sz w:val="24"/>
        </w:rPr>
        <w:t>PRESENTED BY</w:t>
      </w:r>
    </w:p>
    <w:p w:rsidR="00AF1BDC" w:rsidRDefault="00AF1BDC" w:rsidP="00AF1BDC">
      <w:pPr>
        <w:jc w:val="center"/>
        <w:rPr>
          <w:rFonts w:ascii="Times New Roman" w:hAnsi="Times New Roman"/>
          <w:b/>
          <w:sz w:val="24"/>
        </w:rPr>
      </w:pPr>
    </w:p>
    <w:p w:rsidR="00AF1BDC" w:rsidRPr="00AF1BDC" w:rsidRDefault="00AF1BDC" w:rsidP="00AF1BDC">
      <w:pPr>
        <w:jc w:val="center"/>
        <w:rPr>
          <w:rFonts w:ascii="Times New Roman" w:hAnsi="Times New Roman"/>
          <w:b/>
          <w:sz w:val="34"/>
        </w:rPr>
      </w:pPr>
      <w:r w:rsidRPr="00AF1BDC">
        <w:rPr>
          <w:rFonts w:ascii="Times New Roman" w:hAnsi="Times New Roman"/>
          <w:b/>
          <w:sz w:val="34"/>
        </w:rPr>
        <w:t>AJAYI ODUNOLA AYOMIDE</w:t>
      </w:r>
    </w:p>
    <w:p w:rsidR="00AF1BDC" w:rsidRPr="00AF1BDC" w:rsidRDefault="00AF1BDC" w:rsidP="00AF1BDC">
      <w:pPr>
        <w:jc w:val="center"/>
        <w:rPr>
          <w:rFonts w:ascii="Times New Roman" w:hAnsi="Times New Roman"/>
          <w:b/>
          <w:sz w:val="34"/>
        </w:rPr>
      </w:pPr>
      <w:r w:rsidRPr="00AF1BDC">
        <w:rPr>
          <w:rFonts w:ascii="Times New Roman" w:hAnsi="Times New Roman"/>
          <w:b/>
          <w:sz w:val="34"/>
        </w:rPr>
        <w:t>ND/22/SLT/PT/0928</w:t>
      </w:r>
    </w:p>
    <w:p w:rsidR="00AF1BDC" w:rsidRDefault="00AF1BDC" w:rsidP="00AF1BDC">
      <w:pPr>
        <w:jc w:val="center"/>
        <w:rPr>
          <w:rFonts w:ascii="Times New Roman" w:hAnsi="Times New Roman"/>
          <w:b/>
          <w:sz w:val="24"/>
        </w:rPr>
      </w:pPr>
    </w:p>
    <w:p w:rsidR="00AF1BDC" w:rsidRDefault="00AF1BDC" w:rsidP="00AF1BDC">
      <w:pPr>
        <w:jc w:val="center"/>
        <w:rPr>
          <w:rFonts w:ascii="Times New Roman" w:hAnsi="Times New Roman"/>
          <w:b/>
          <w:sz w:val="24"/>
        </w:rPr>
      </w:pPr>
      <w:r>
        <w:rPr>
          <w:rFonts w:ascii="Times New Roman" w:hAnsi="Times New Roman"/>
          <w:b/>
          <w:sz w:val="24"/>
        </w:rPr>
        <w:t>SUBMITTED TO:</w:t>
      </w:r>
    </w:p>
    <w:p w:rsidR="00AF1BDC" w:rsidRDefault="00AF1BDC" w:rsidP="00AF1BDC">
      <w:pPr>
        <w:rPr>
          <w:rFonts w:ascii="Times New Roman" w:hAnsi="Times New Roman"/>
          <w:sz w:val="24"/>
        </w:rPr>
      </w:pPr>
    </w:p>
    <w:p w:rsidR="00AF1BDC" w:rsidRDefault="00AF1BDC" w:rsidP="00AF1BDC">
      <w:pPr>
        <w:jc w:val="center"/>
        <w:rPr>
          <w:rFonts w:ascii="Times New Roman" w:hAnsi="Times New Roman"/>
          <w:b/>
          <w:sz w:val="24"/>
        </w:rPr>
      </w:pPr>
      <w:r>
        <w:rPr>
          <w:rFonts w:ascii="Times New Roman" w:hAnsi="Times New Roman"/>
          <w:b/>
          <w:sz w:val="24"/>
        </w:rPr>
        <w:t>THE DEPARTMENT OF SCIENCE LABORATORY TECHNOLOGY INSTITUTE OF APPLIED SCIENCE (IAS), KWARA STATE POLYTECHNIC, ILORIN</w:t>
      </w:r>
    </w:p>
    <w:p w:rsidR="00AF1BDC" w:rsidRDefault="00AF1BDC" w:rsidP="00AF1BDC">
      <w:pPr>
        <w:jc w:val="center"/>
        <w:rPr>
          <w:rFonts w:ascii="Times New Roman" w:hAnsi="Times New Roman"/>
          <w:b/>
          <w:sz w:val="24"/>
        </w:rPr>
      </w:pPr>
      <w:r>
        <w:rPr>
          <w:rFonts w:ascii="Times New Roman" w:hAnsi="Times New Roman"/>
          <w:b/>
          <w:sz w:val="24"/>
        </w:rPr>
        <w:t>IN PARTIAL FULFILMENT OF THE REQUIREMENTS FOR AWARD OF NATIONAL DIPLOMA (ND) IN SCIENCE LABORATORY TECHNOLOGY</w:t>
      </w:r>
    </w:p>
    <w:p w:rsidR="00AF1BDC" w:rsidRDefault="00AF1BDC" w:rsidP="00AF1BDC">
      <w:pPr>
        <w:jc w:val="center"/>
        <w:rPr>
          <w:rFonts w:ascii="Times New Roman" w:hAnsi="Times New Roman"/>
          <w:b/>
          <w:sz w:val="24"/>
        </w:rPr>
      </w:pPr>
    </w:p>
    <w:p w:rsidR="00AF1BDC" w:rsidRDefault="00AF1BDC" w:rsidP="00AF1BDC">
      <w:pPr>
        <w:jc w:val="center"/>
        <w:rPr>
          <w:rFonts w:ascii="Times New Roman" w:hAnsi="Times New Roman"/>
          <w:b/>
          <w:sz w:val="24"/>
        </w:rPr>
      </w:pPr>
      <w:r>
        <w:rPr>
          <w:rFonts w:ascii="Times New Roman" w:hAnsi="Times New Roman"/>
          <w:b/>
          <w:sz w:val="24"/>
        </w:rPr>
        <w:t>SUPERVISED BY: MR. ABDUL GANIYU A.O</w:t>
      </w:r>
    </w:p>
    <w:p w:rsidR="00AF1BDC" w:rsidRDefault="00AF1BDC" w:rsidP="00AF1BDC">
      <w:pPr>
        <w:rPr>
          <w:rFonts w:ascii="Times New Roman" w:hAnsi="Times New Roman"/>
          <w:b/>
          <w:sz w:val="24"/>
        </w:rPr>
      </w:pPr>
    </w:p>
    <w:p w:rsidR="00AF1BDC" w:rsidRDefault="00AF1BDC" w:rsidP="00AF1BDC">
      <w:pPr>
        <w:ind w:firstLine="90"/>
        <w:jc w:val="right"/>
        <w:rPr>
          <w:rFonts w:ascii="Times New Roman" w:hAnsi="Times New Roman"/>
          <w:b/>
          <w:sz w:val="24"/>
        </w:rPr>
      </w:pPr>
      <w:r>
        <w:rPr>
          <w:rFonts w:ascii="Times New Roman" w:hAnsi="Times New Roman"/>
          <w:b/>
          <w:sz w:val="24"/>
        </w:rPr>
        <w:t>JULY 2025</w:t>
      </w:r>
    </w:p>
    <w:p w:rsidR="00AF1BDC" w:rsidRDefault="00AF1BDC" w:rsidP="00AF1BDC">
      <w:pPr>
        <w:rPr>
          <w:rFonts w:ascii="Times New Roman" w:hAnsi="Times New Roman"/>
          <w:sz w:val="24"/>
        </w:rPr>
      </w:pPr>
    </w:p>
    <w:p w:rsidR="00AF1BDC" w:rsidRDefault="00AF1BDC" w:rsidP="00AF1BDC">
      <w:pPr>
        <w:rPr>
          <w:rFonts w:ascii="Times New Roman" w:hAnsi="Times New Roman"/>
          <w:sz w:val="24"/>
        </w:rPr>
      </w:pPr>
    </w:p>
    <w:p w:rsidR="00AF1BDC" w:rsidRDefault="00AF1BDC" w:rsidP="00AF1BDC">
      <w:pPr>
        <w:rPr>
          <w:rFonts w:ascii="Times New Roman" w:hAnsi="Times New Roman"/>
          <w:sz w:val="24"/>
        </w:rPr>
      </w:pPr>
    </w:p>
    <w:p w:rsidR="003F7D0D" w:rsidRDefault="003F7D0D" w:rsidP="00AF1BDC">
      <w:pPr>
        <w:jc w:val="center"/>
        <w:rPr>
          <w:rFonts w:ascii="Times New Roman" w:hAnsi="Times New Roman"/>
          <w:b/>
          <w:bCs/>
          <w:sz w:val="24"/>
        </w:rPr>
      </w:pPr>
      <w:r>
        <w:rPr>
          <w:rFonts w:ascii="Times New Roman" w:hAnsi="Times New Roman"/>
          <w:b/>
          <w:bCs/>
          <w:noProof/>
          <w:sz w:val="24"/>
          <w:lang w:eastAsia="en-US"/>
        </w:rPr>
        <w:lastRenderedPageBreak/>
        <w:drawing>
          <wp:inline distT="0" distB="0" distL="0" distR="0">
            <wp:extent cx="4540250" cy="5507355"/>
            <wp:effectExtent l="19050" t="0" r="0" b="0"/>
            <wp:docPr id="2" name="Picture 1" descr="C:\Users\USER\Downloads\WhatsApp Image 2025-09-24 at 2.51.47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9-24 at 2.51.47 PM (1).jpeg"/>
                    <pic:cNvPicPr>
                      <a:picLocks noChangeAspect="1" noChangeArrowheads="1"/>
                    </pic:cNvPicPr>
                  </pic:nvPicPr>
                  <pic:blipFill>
                    <a:blip r:embed="rId8"/>
                    <a:srcRect/>
                    <a:stretch>
                      <a:fillRect/>
                    </a:stretch>
                  </pic:blipFill>
                  <pic:spPr bwMode="auto">
                    <a:xfrm>
                      <a:off x="0" y="0"/>
                      <a:ext cx="4540250" cy="5507355"/>
                    </a:xfrm>
                    <a:prstGeom prst="rect">
                      <a:avLst/>
                    </a:prstGeom>
                    <a:noFill/>
                    <a:ln w="9525">
                      <a:noFill/>
                      <a:miter lim="800000"/>
                      <a:headEnd/>
                      <a:tailEnd/>
                    </a:ln>
                  </pic:spPr>
                </pic:pic>
              </a:graphicData>
            </a:graphic>
          </wp:inline>
        </w:drawing>
      </w:r>
    </w:p>
    <w:p w:rsidR="003F7D0D" w:rsidRDefault="003F7D0D" w:rsidP="00AF1BDC">
      <w:pPr>
        <w:jc w:val="center"/>
        <w:rPr>
          <w:rFonts w:ascii="Times New Roman" w:hAnsi="Times New Roman"/>
          <w:b/>
          <w:bCs/>
          <w:sz w:val="24"/>
        </w:rPr>
      </w:pPr>
    </w:p>
    <w:p w:rsidR="003F7D0D" w:rsidRDefault="003F7D0D" w:rsidP="00AF1BDC">
      <w:pPr>
        <w:jc w:val="center"/>
        <w:rPr>
          <w:rFonts w:ascii="Times New Roman" w:hAnsi="Times New Roman"/>
          <w:b/>
          <w:bCs/>
          <w:sz w:val="24"/>
        </w:rPr>
      </w:pPr>
    </w:p>
    <w:p w:rsidR="003F7D0D" w:rsidRDefault="003F7D0D" w:rsidP="00AF1BDC">
      <w:pPr>
        <w:jc w:val="center"/>
        <w:rPr>
          <w:rFonts w:ascii="Times New Roman" w:hAnsi="Times New Roman"/>
          <w:b/>
          <w:bCs/>
          <w:sz w:val="24"/>
        </w:rPr>
      </w:pPr>
    </w:p>
    <w:p w:rsidR="003F7D0D" w:rsidRDefault="003F7D0D" w:rsidP="00AF1BDC">
      <w:pPr>
        <w:jc w:val="center"/>
        <w:rPr>
          <w:rFonts w:ascii="Times New Roman" w:hAnsi="Times New Roman"/>
          <w:b/>
          <w:bCs/>
          <w:sz w:val="24"/>
        </w:rPr>
      </w:pPr>
    </w:p>
    <w:p w:rsidR="003F7D0D" w:rsidRDefault="003F7D0D" w:rsidP="00AF1BDC">
      <w:pPr>
        <w:jc w:val="center"/>
        <w:rPr>
          <w:rFonts w:ascii="Times New Roman" w:hAnsi="Times New Roman"/>
          <w:b/>
          <w:bCs/>
          <w:sz w:val="24"/>
        </w:rPr>
      </w:pPr>
    </w:p>
    <w:p w:rsidR="003F7D0D" w:rsidRDefault="003F7D0D" w:rsidP="00AF1BDC">
      <w:pPr>
        <w:jc w:val="center"/>
        <w:rPr>
          <w:rFonts w:ascii="Times New Roman" w:hAnsi="Times New Roman"/>
          <w:b/>
          <w:bCs/>
          <w:sz w:val="24"/>
        </w:rPr>
      </w:pPr>
    </w:p>
    <w:p w:rsidR="003F7D0D" w:rsidRDefault="003F7D0D" w:rsidP="003F7D0D">
      <w:pPr>
        <w:rPr>
          <w:rFonts w:ascii="Times New Roman" w:hAnsi="Times New Roman"/>
          <w:b/>
          <w:bCs/>
          <w:sz w:val="24"/>
        </w:rPr>
      </w:pPr>
    </w:p>
    <w:p w:rsidR="003F7D0D" w:rsidRDefault="003F7D0D" w:rsidP="003F7D0D">
      <w:pPr>
        <w:rPr>
          <w:rFonts w:ascii="Times New Roman" w:hAnsi="Times New Roman"/>
          <w:b/>
          <w:bCs/>
          <w:sz w:val="24"/>
        </w:rPr>
      </w:pPr>
    </w:p>
    <w:p w:rsidR="00AF1BDC" w:rsidRDefault="00AF1BDC" w:rsidP="00AF1BDC">
      <w:pPr>
        <w:jc w:val="center"/>
        <w:rPr>
          <w:rFonts w:ascii="Times New Roman" w:hAnsi="Times New Roman"/>
          <w:b/>
          <w:bCs/>
          <w:sz w:val="24"/>
        </w:rPr>
      </w:pPr>
      <w:r>
        <w:rPr>
          <w:rFonts w:ascii="Times New Roman" w:hAnsi="Times New Roman"/>
          <w:b/>
          <w:bCs/>
          <w:sz w:val="24"/>
        </w:rPr>
        <w:lastRenderedPageBreak/>
        <w:t xml:space="preserve">TABLE OF CONTENTS </w:t>
      </w:r>
    </w:p>
    <w:p w:rsidR="00AF1BDC" w:rsidRDefault="00AF1BDC" w:rsidP="00AF1BDC">
      <w:pPr>
        <w:rPr>
          <w:rFonts w:ascii="Times New Roman" w:hAnsi="Times New Roman"/>
          <w:sz w:val="24"/>
        </w:rPr>
      </w:pPr>
    </w:p>
    <w:p w:rsidR="00AF1BDC" w:rsidRDefault="00AF1BDC" w:rsidP="00AF1BDC">
      <w:pPr>
        <w:rPr>
          <w:rFonts w:ascii="Times New Roman" w:hAnsi="Times New Roman"/>
          <w:b/>
          <w:bCs/>
          <w:sz w:val="24"/>
        </w:rPr>
      </w:pPr>
      <w:r>
        <w:rPr>
          <w:rFonts w:ascii="Times New Roman" w:hAnsi="Times New Roman"/>
          <w:b/>
          <w:bCs/>
          <w:sz w:val="24"/>
        </w:rPr>
        <w:t>CHAPTER ONE</w:t>
      </w:r>
    </w:p>
    <w:p w:rsidR="00AF1BDC" w:rsidRDefault="00AF1BDC" w:rsidP="00AF1BDC">
      <w:pPr>
        <w:rPr>
          <w:rFonts w:ascii="Times New Roman" w:hAnsi="Times New Roman"/>
          <w:sz w:val="24"/>
        </w:rPr>
      </w:pPr>
      <w:r>
        <w:rPr>
          <w:rFonts w:ascii="Times New Roman" w:hAnsi="Times New Roman"/>
          <w:sz w:val="24"/>
        </w:rPr>
        <w:t xml:space="preserve">1.0 Background to the study on vitamin C </w:t>
      </w:r>
    </w:p>
    <w:p w:rsidR="00AF1BDC" w:rsidRDefault="00AF1BDC" w:rsidP="00AF1BDC">
      <w:pPr>
        <w:rPr>
          <w:rFonts w:ascii="Times New Roman" w:hAnsi="Times New Roman"/>
          <w:sz w:val="24"/>
        </w:rPr>
      </w:pPr>
      <w:r>
        <w:rPr>
          <w:rFonts w:ascii="Times New Roman" w:hAnsi="Times New Roman"/>
          <w:sz w:val="24"/>
        </w:rPr>
        <w:t xml:space="preserve">1.1 Statement of problems </w:t>
      </w:r>
    </w:p>
    <w:p w:rsidR="00AF1BDC" w:rsidRDefault="00AF1BDC" w:rsidP="00AF1BDC">
      <w:pPr>
        <w:rPr>
          <w:rFonts w:ascii="Times New Roman" w:hAnsi="Times New Roman"/>
          <w:sz w:val="24"/>
        </w:rPr>
      </w:pPr>
      <w:r>
        <w:rPr>
          <w:rFonts w:ascii="Times New Roman" w:hAnsi="Times New Roman"/>
          <w:sz w:val="24"/>
        </w:rPr>
        <w:t xml:space="preserve">1.2 Justifications </w:t>
      </w:r>
    </w:p>
    <w:p w:rsidR="00AF1BDC" w:rsidRDefault="00AF1BDC" w:rsidP="00AF1BDC">
      <w:pPr>
        <w:rPr>
          <w:rFonts w:ascii="Times New Roman" w:hAnsi="Times New Roman"/>
          <w:sz w:val="24"/>
        </w:rPr>
      </w:pPr>
      <w:r>
        <w:rPr>
          <w:rFonts w:ascii="Times New Roman" w:hAnsi="Times New Roman"/>
          <w:sz w:val="24"/>
        </w:rPr>
        <w:t xml:space="preserve">1.3 Aims and objectives </w:t>
      </w:r>
    </w:p>
    <w:p w:rsidR="00AF1BDC" w:rsidRDefault="00AF1BDC" w:rsidP="00AF1BDC">
      <w:pPr>
        <w:rPr>
          <w:rFonts w:ascii="Times New Roman" w:hAnsi="Times New Roman"/>
          <w:sz w:val="24"/>
        </w:rPr>
      </w:pPr>
    </w:p>
    <w:p w:rsidR="00AF1BDC" w:rsidRDefault="00AF1BDC" w:rsidP="00AF1BDC">
      <w:pPr>
        <w:rPr>
          <w:rFonts w:ascii="Times New Roman" w:hAnsi="Times New Roman"/>
          <w:sz w:val="24"/>
        </w:rPr>
      </w:pPr>
      <w:r>
        <w:rPr>
          <w:rFonts w:ascii="Times New Roman" w:hAnsi="Times New Roman"/>
          <w:b/>
          <w:bCs/>
          <w:sz w:val="24"/>
        </w:rPr>
        <w:t xml:space="preserve">CHAPTER TWO : LITERATURE REVIEW </w:t>
      </w:r>
    </w:p>
    <w:p w:rsidR="00AF1BDC" w:rsidRDefault="00AF1BDC" w:rsidP="00AF1BDC">
      <w:pPr>
        <w:rPr>
          <w:rFonts w:ascii="Times New Roman" w:hAnsi="Times New Roman"/>
          <w:sz w:val="24"/>
        </w:rPr>
      </w:pPr>
      <w:r>
        <w:rPr>
          <w:rFonts w:ascii="Times New Roman" w:hAnsi="Times New Roman"/>
          <w:sz w:val="24"/>
        </w:rPr>
        <w:t xml:space="preserve">2.0 Overview of vitamin C  </w:t>
      </w:r>
    </w:p>
    <w:p w:rsidR="00AF1BDC" w:rsidRDefault="00AF1BDC" w:rsidP="00AF1BDC">
      <w:pPr>
        <w:rPr>
          <w:rFonts w:ascii="Times New Roman" w:hAnsi="Times New Roman"/>
          <w:sz w:val="24"/>
        </w:rPr>
      </w:pPr>
      <w:r>
        <w:rPr>
          <w:rFonts w:ascii="Times New Roman" w:hAnsi="Times New Roman"/>
          <w:sz w:val="24"/>
        </w:rPr>
        <w:t xml:space="preserve">2.1 Chemical structure of vitamin C </w:t>
      </w:r>
    </w:p>
    <w:p w:rsidR="00AF1BDC" w:rsidRDefault="00AF1BDC" w:rsidP="00AF1BDC">
      <w:pPr>
        <w:rPr>
          <w:rFonts w:ascii="Times New Roman" w:hAnsi="Times New Roman"/>
          <w:sz w:val="24"/>
        </w:rPr>
      </w:pPr>
      <w:r>
        <w:rPr>
          <w:rFonts w:ascii="Times New Roman" w:hAnsi="Times New Roman"/>
          <w:sz w:val="24"/>
        </w:rPr>
        <w:t xml:space="preserve">2.2 Properties of vitamin C </w:t>
      </w:r>
    </w:p>
    <w:p w:rsidR="00AF1BDC" w:rsidRDefault="00AF1BDC" w:rsidP="00AF1BDC">
      <w:pPr>
        <w:rPr>
          <w:rFonts w:ascii="Times New Roman" w:hAnsi="Times New Roman"/>
          <w:sz w:val="24"/>
        </w:rPr>
      </w:pPr>
      <w:r>
        <w:rPr>
          <w:rFonts w:ascii="Times New Roman" w:hAnsi="Times New Roman"/>
          <w:sz w:val="24"/>
        </w:rPr>
        <w:t>2.3 Functions of vitamin C</w:t>
      </w:r>
    </w:p>
    <w:p w:rsidR="00AF1BDC" w:rsidRDefault="00AF1BDC" w:rsidP="00AF1BDC">
      <w:pPr>
        <w:rPr>
          <w:rFonts w:ascii="Times New Roman" w:hAnsi="Times New Roman"/>
          <w:sz w:val="24"/>
        </w:rPr>
      </w:pPr>
      <w:r>
        <w:rPr>
          <w:rFonts w:ascii="Times New Roman" w:hAnsi="Times New Roman"/>
          <w:sz w:val="24"/>
        </w:rPr>
        <w:t xml:space="preserve">2.4 Methods of Vitamin C determination: Titration </w:t>
      </w:r>
    </w:p>
    <w:p w:rsidR="00AF1BDC" w:rsidRDefault="00AF1BDC" w:rsidP="00AF1BDC">
      <w:pPr>
        <w:rPr>
          <w:rFonts w:ascii="Times New Roman" w:hAnsi="Times New Roman"/>
          <w:sz w:val="24"/>
        </w:rPr>
      </w:pPr>
      <w:r>
        <w:rPr>
          <w:rFonts w:ascii="Times New Roman" w:hAnsi="Times New Roman"/>
          <w:sz w:val="24"/>
        </w:rPr>
        <w:t>2.5 Factors affecting Vitamin C content in orange juices</w:t>
      </w:r>
    </w:p>
    <w:p w:rsidR="00AF1BDC" w:rsidRDefault="00AF1BDC" w:rsidP="00AF1BDC">
      <w:pPr>
        <w:rPr>
          <w:rFonts w:ascii="Times New Roman" w:hAnsi="Times New Roman"/>
          <w:sz w:val="24"/>
        </w:rPr>
      </w:pPr>
    </w:p>
    <w:p w:rsidR="00AF1BDC" w:rsidRDefault="00AF1BDC" w:rsidP="00AF1BDC">
      <w:pPr>
        <w:rPr>
          <w:rFonts w:ascii="Times New Roman" w:hAnsi="Times New Roman"/>
          <w:b/>
          <w:bCs/>
          <w:sz w:val="24"/>
        </w:rPr>
      </w:pPr>
      <w:r>
        <w:rPr>
          <w:rFonts w:ascii="Times New Roman" w:hAnsi="Times New Roman"/>
          <w:b/>
          <w:bCs/>
          <w:sz w:val="24"/>
        </w:rPr>
        <w:t>CHAPTER THREE : MATERIALS AND METHOD</w:t>
      </w:r>
    </w:p>
    <w:p w:rsidR="00AF1BDC" w:rsidRDefault="00AF1BDC" w:rsidP="00AF1BDC">
      <w:pPr>
        <w:rPr>
          <w:rFonts w:ascii="Times New Roman" w:hAnsi="Times New Roman"/>
          <w:sz w:val="24"/>
        </w:rPr>
      </w:pPr>
      <w:r>
        <w:rPr>
          <w:rFonts w:ascii="Times New Roman" w:hAnsi="Times New Roman"/>
          <w:sz w:val="24"/>
        </w:rPr>
        <w:t xml:space="preserve">3.0 Materials and method </w:t>
      </w:r>
    </w:p>
    <w:p w:rsidR="00AF1BDC" w:rsidRDefault="00AF1BDC" w:rsidP="00AF1BDC">
      <w:pPr>
        <w:rPr>
          <w:rFonts w:ascii="Times New Roman" w:hAnsi="Times New Roman"/>
          <w:sz w:val="24"/>
        </w:rPr>
      </w:pPr>
      <w:r>
        <w:rPr>
          <w:rFonts w:ascii="Times New Roman" w:hAnsi="Times New Roman"/>
          <w:sz w:val="24"/>
        </w:rPr>
        <w:t xml:space="preserve">3.1 Sample selection </w:t>
      </w:r>
    </w:p>
    <w:p w:rsidR="00AF1BDC" w:rsidRDefault="00AF1BDC" w:rsidP="00AF1BDC">
      <w:pPr>
        <w:rPr>
          <w:rFonts w:ascii="Times New Roman" w:hAnsi="Times New Roman"/>
          <w:sz w:val="24"/>
        </w:rPr>
      </w:pPr>
      <w:r>
        <w:rPr>
          <w:rFonts w:ascii="Times New Roman" w:hAnsi="Times New Roman"/>
          <w:sz w:val="24"/>
        </w:rPr>
        <w:t xml:space="preserve">3.2 Preparation of orange juice samples </w:t>
      </w:r>
    </w:p>
    <w:p w:rsidR="00AF1BDC" w:rsidRDefault="00AF1BDC" w:rsidP="00AF1BDC">
      <w:pPr>
        <w:rPr>
          <w:rFonts w:ascii="Times New Roman" w:hAnsi="Times New Roman"/>
          <w:sz w:val="24"/>
        </w:rPr>
      </w:pPr>
      <w:r>
        <w:rPr>
          <w:rFonts w:ascii="Times New Roman" w:hAnsi="Times New Roman"/>
          <w:sz w:val="24"/>
        </w:rPr>
        <w:t xml:space="preserve">3.3 Reagent used </w:t>
      </w:r>
    </w:p>
    <w:p w:rsidR="00AF1BDC" w:rsidRDefault="00AF1BDC" w:rsidP="00AF1BDC">
      <w:pPr>
        <w:rPr>
          <w:rFonts w:ascii="Times New Roman" w:hAnsi="Times New Roman"/>
          <w:sz w:val="24"/>
        </w:rPr>
      </w:pPr>
      <w:r>
        <w:rPr>
          <w:rFonts w:ascii="Times New Roman" w:hAnsi="Times New Roman"/>
          <w:sz w:val="24"/>
        </w:rPr>
        <w:t xml:space="preserve">3.4 iodine titration method </w:t>
      </w:r>
    </w:p>
    <w:p w:rsidR="00AF1BDC" w:rsidRDefault="00AF1BDC" w:rsidP="00AF1BDC">
      <w:pPr>
        <w:rPr>
          <w:rFonts w:ascii="Times New Roman" w:hAnsi="Times New Roman"/>
          <w:sz w:val="24"/>
        </w:rPr>
      </w:pPr>
      <w:r>
        <w:rPr>
          <w:rFonts w:ascii="Times New Roman" w:hAnsi="Times New Roman"/>
          <w:sz w:val="24"/>
        </w:rPr>
        <w:t xml:space="preserve">3.5 Calculation of vitamin C content </w:t>
      </w:r>
    </w:p>
    <w:p w:rsidR="00AF1BDC" w:rsidRDefault="00AF1BDC" w:rsidP="00AF1BDC">
      <w:pPr>
        <w:rPr>
          <w:rFonts w:ascii="Times New Roman" w:hAnsi="Times New Roman"/>
          <w:sz w:val="24"/>
        </w:rPr>
      </w:pPr>
    </w:p>
    <w:p w:rsidR="00AF1BDC" w:rsidRDefault="00AF1BDC" w:rsidP="00AF1BDC">
      <w:pPr>
        <w:rPr>
          <w:rFonts w:ascii="Times New Roman" w:hAnsi="Times New Roman"/>
          <w:b/>
          <w:bCs/>
          <w:sz w:val="24"/>
        </w:rPr>
      </w:pPr>
      <w:r>
        <w:rPr>
          <w:rFonts w:ascii="Times New Roman" w:hAnsi="Times New Roman"/>
          <w:b/>
          <w:bCs/>
          <w:sz w:val="24"/>
        </w:rPr>
        <w:t xml:space="preserve">CHAPTER FOUR: RESULTS AND DISCUSSION </w:t>
      </w:r>
    </w:p>
    <w:p w:rsidR="00AF1BDC" w:rsidRDefault="00AF1BDC" w:rsidP="00AF1BDC">
      <w:pPr>
        <w:rPr>
          <w:rFonts w:ascii="Times New Roman" w:hAnsi="Times New Roman"/>
          <w:sz w:val="24"/>
        </w:rPr>
      </w:pPr>
      <w:r>
        <w:rPr>
          <w:rFonts w:ascii="Times New Roman" w:hAnsi="Times New Roman"/>
          <w:sz w:val="24"/>
        </w:rPr>
        <w:lastRenderedPageBreak/>
        <w:t>4.1 Results and Discussion</w:t>
      </w:r>
    </w:p>
    <w:p w:rsidR="00AF1BDC" w:rsidRDefault="00AF1BDC" w:rsidP="00AF1BDC">
      <w:pPr>
        <w:rPr>
          <w:rFonts w:ascii="Times New Roman" w:hAnsi="Times New Roman"/>
          <w:sz w:val="24"/>
        </w:rPr>
      </w:pPr>
    </w:p>
    <w:p w:rsidR="00AF1BDC" w:rsidRDefault="00AF1BDC" w:rsidP="00AF1BDC">
      <w:pPr>
        <w:rPr>
          <w:rFonts w:ascii="Times New Roman" w:hAnsi="Times New Roman"/>
          <w:b/>
          <w:bCs/>
          <w:sz w:val="24"/>
        </w:rPr>
      </w:pPr>
      <w:r>
        <w:rPr>
          <w:rFonts w:ascii="Times New Roman" w:hAnsi="Times New Roman"/>
          <w:b/>
          <w:bCs/>
          <w:sz w:val="24"/>
        </w:rPr>
        <w:t xml:space="preserve">CHAPTER FIVE </w:t>
      </w:r>
    </w:p>
    <w:p w:rsidR="00AF1BDC" w:rsidRDefault="00AF1BDC" w:rsidP="00AF1BDC">
      <w:pPr>
        <w:rPr>
          <w:rFonts w:ascii="Times New Roman" w:hAnsi="Times New Roman"/>
          <w:sz w:val="24"/>
        </w:rPr>
      </w:pPr>
      <w:r>
        <w:rPr>
          <w:rFonts w:ascii="Times New Roman" w:hAnsi="Times New Roman"/>
          <w:sz w:val="24"/>
        </w:rPr>
        <w:t xml:space="preserve">5.0 </w:t>
      </w:r>
      <w:r w:rsidR="00AE41BB">
        <w:rPr>
          <w:rFonts w:ascii="Times New Roman" w:hAnsi="Times New Roman"/>
          <w:sz w:val="24"/>
        </w:rPr>
        <w:t xml:space="preserve">Summary </w:t>
      </w:r>
    </w:p>
    <w:p w:rsidR="00AF1BDC" w:rsidRDefault="00AE41BB" w:rsidP="00AF1BDC">
      <w:pPr>
        <w:rPr>
          <w:rFonts w:ascii="Times New Roman" w:hAnsi="Times New Roman"/>
          <w:sz w:val="24"/>
        </w:rPr>
      </w:pPr>
      <w:r>
        <w:rPr>
          <w:rFonts w:ascii="Times New Roman" w:hAnsi="Times New Roman"/>
          <w:sz w:val="24"/>
        </w:rPr>
        <w:t xml:space="preserve">5.1 Conclusion </w:t>
      </w:r>
    </w:p>
    <w:p w:rsidR="00AF1BDC" w:rsidRDefault="00AE41BB" w:rsidP="00AF1BDC">
      <w:pPr>
        <w:rPr>
          <w:rFonts w:ascii="Times New Roman" w:hAnsi="Times New Roman"/>
          <w:sz w:val="24"/>
        </w:rPr>
      </w:pPr>
      <w:r>
        <w:rPr>
          <w:rFonts w:ascii="Times New Roman" w:hAnsi="Times New Roman"/>
          <w:sz w:val="24"/>
        </w:rPr>
        <w:t xml:space="preserve">5.2 Recommendations for future research </w:t>
      </w:r>
    </w:p>
    <w:p w:rsidR="00AF1BDC" w:rsidRDefault="00AF1BDC" w:rsidP="00AF1BDC">
      <w:pPr>
        <w:rPr>
          <w:rFonts w:ascii="Times New Roman" w:hAnsi="Times New Roman"/>
          <w:sz w:val="24"/>
        </w:rPr>
      </w:pPr>
      <w:r>
        <w:rPr>
          <w:rFonts w:ascii="Times New Roman" w:hAnsi="Times New Roman"/>
          <w:sz w:val="24"/>
        </w:rPr>
        <w:t xml:space="preserve"> REFERENCES </w:t>
      </w:r>
    </w:p>
    <w:p w:rsidR="00AF1BDC" w:rsidRDefault="00AF1BDC" w:rsidP="00AF1BDC">
      <w:pPr>
        <w:rPr>
          <w:rFonts w:ascii="Times New Roman" w:hAnsi="Times New Roman"/>
          <w:sz w:val="24"/>
        </w:rPr>
      </w:pPr>
    </w:p>
    <w:p w:rsidR="00AF1BDC" w:rsidRDefault="00AF1BDC" w:rsidP="002358AF">
      <w:pPr>
        <w:pStyle w:val="NoSpacing"/>
        <w:spacing w:line="480" w:lineRule="auto"/>
        <w:jc w:val="center"/>
        <w:rPr>
          <w:rFonts w:ascii="Times New Roman" w:hAnsi="Times New Roman" w:cs="Times New Roman"/>
          <w:b/>
          <w:bCs/>
          <w:sz w:val="24"/>
        </w:rPr>
      </w:pPr>
    </w:p>
    <w:p w:rsidR="009B10EB" w:rsidRDefault="009B10EB" w:rsidP="002358AF">
      <w:pPr>
        <w:pStyle w:val="NoSpacing"/>
        <w:spacing w:line="480" w:lineRule="auto"/>
        <w:jc w:val="center"/>
        <w:rPr>
          <w:rFonts w:ascii="Times New Roman" w:hAnsi="Times New Roman" w:cs="Times New Roman"/>
          <w:b/>
          <w:bCs/>
          <w:sz w:val="24"/>
        </w:rPr>
      </w:pPr>
    </w:p>
    <w:p w:rsidR="009B10EB" w:rsidRDefault="009B10EB" w:rsidP="002358AF">
      <w:pPr>
        <w:pStyle w:val="NoSpacing"/>
        <w:spacing w:line="480" w:lineRule="auto"/>
        <w:jc w:val="center"/>
        <w:rPr>
          <w:rFonts w:ascii="Times New Roman" w:hAnsi="Times New Roman" w:cs="Times New Roman"/>
          <w:b/>
          <w:bCs/>
          <w:sz w:val="24"/>
        </w:rPr>
      </w:pPr>
    </w:p>
    <w:p w:rsidR="009B10EB" w:rsidRDefault="009B10EB" w:rsidP="002358AF">
      <w:pPr>
        <w:pStyle w:val="NoSpacing"/>
        <w:spacing w:line="480" w:lineRule="auto"/>
        <w:jc w:val="center"/>
        <w:rPr>
          <w:rFonts w:ascii="Times New Roman" w:hAnsi="Times New Roman" w:cs="Times New Roman"/>
          <w:b/>
          <w:bCs/>
          <w:sz w:val="24"/>
        </w:rPr>
      </w:pPr>
    </w:p>
    <w:p w:rsidR="009B10EB" w:rsidRDefault="009B10EB" w:rsidP="002358AF">
      <w:pPr>
        <w:pStyle w:val="NoSpacing"/>
        <w:spacing w:line="480" w:lineRule="auto"/>
        <w:jc w:val="center"/>
        <w:rPr>
          <w:rFonts w:ascii="Times New Roman" w:hAnsi="Times New Roman" w:cs="Times New Roman"/>
          <w:b/>
          <w:bCs/>
          <w:sz w:val="24"/>
        </w:rPr>
      </w:pPr>
    </w:p>
    <w:p w:rsidR="009B10EB" w:rsidRDefault="009B10EB" w:rsidP="002358AF">
      <w:pPr>
        <w:pStyle w:val="NoSpacing"/>
        <w:spacing w:line="480" w:lineRule="auto"/>
        <w:jc w:val="center"/>
        <w:rPr>
          <w:rFonts w:ascii="Times New Roman" w:hAnsi="Times New Roman" w:cs="Times New Roman"/>
          <w:b/>
          <w:bCs/>
          <w:sz w:val="24"/>
        </w:rPr>
      </w:pPr>
    </w:p>
    <w:p w:rsidR="009B10EB" w:rsidRDefault="009B10E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AE41BB" w:rsidRDefault="00AE41BB" w:rsidP="002358AF">
      <w:pPr>
        <w:pStyle w:val="NoSpacing"/>
        <w:spacing w:line="480" w:lineRule="auto"/>
        <w:jc w:val="center"/>
        <w:rPr>
          <w:rFonts w:ascii="Times New Roman" w:hAnsi="Times New Roman" w:cs="Times New Roman"/>
          <w:b/>
          <w:bCs/>
          <w:sz w:val="24"/>
        </w:rPr>
      </w:pPr>
    </w:p>
    <w:p w:rsidR="002358AF" w:rsidRDefault="002358AF" w:rsidP="002358AF">
      <w:pPr>
        <w:pStyle w:val="NoSpacing"/>
        <w:spacing w:line="480" w:lineRule="auto"/>
        <w:jc w:val="center"/>
        <w:rPr>
          <w:rFonts w:ascii="Times New Roman" w:hAnsi="Times New Roman" w:cs="Times New Roman"/>
          <w:b/>
          <w:bCs/>
          <w:sz w:val="24"/>
        </w:rPr>
      </w:pPr>
      <w:r w:rsidRPr="002358AF">
        <w:rPr>
          <w:rFonts w:ascii="Times New Roman" w:hAnsi="Times New Roman" w:cs="Times New Roman"/>
          <w:b/>
          <w:bCs/>
          <w:sz w:val="24"/>
        </w:rPr>
        <w:lastRenderedPageBreak/>
        <w:t>CHAPTER</w:t>
      </w:r>
      <w:r>
        <w:rPr>
          <w:rFonts w:ascii="Times New Roman" w:hAnsi="Times New Roman" w:cs="Times New Roman"/>
          <w:b/>
          <w:bCs/>
          <w:sz w:val="24"/>
        </w:rPr>
        <w:t xml:space="preserve"> ONE</w:t>
      </w:r>
    </w:p>
    <w:p w:rsidR="002358AF" w:rsidRPr="002358AF" w:rsidRDefault="009B10EB" w:rsidP="002358AF">
      <w:pPr>
        <w:pStyle w:val="NoSpacing"/>
        <w:spacing w:line="480" w:lineRule="auto"/>
        <w:jc w:val="center"/>
        <w:rPr>
          <w:rFonts w:ascii="Times New Roman" w:hAnsi="Times New Roman" w:cs="Times New Roman"/>
          <w:b/>
          <w:bCs/>
          <w:sz w:val="24"/>
        </w:rPr>
      </w:pPr>
      <w:r w:rsidRPr="002358AF">
        <w:rPr>
          <w:rFonts w:ascii="Times New Roman" w:hAnsi="Times New Roman" w:cs="Times New Roman"/>
          <w:b/>
          <w:bCs/>
          <w:sz w:val="24"/>
        </w:rPr>
        <w:t>INTRODUCTION</w:t>
      </w: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1.0 BACKGROUND TO THE STUDY ON VITAMIN C</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Vitamin C, scientifically known as ascorbic acid, is a water-soluble vitamin that has captivated researchers and health professionals since its discovery in the early 20th century by Albert Szent-Györgyi, who earned the Nobel Prize in 1937 for elucidating its role in preventing scurvy. This essential nutrient, which humans cannot synthesize due to the absence of the enzyme L-gulonolactone oxidase, must be obtained through dietary sources such as fruits, vegetables, and fortified foods. Its significance spans multiple physiological functions, including acting as a potent antioxidant, neutralizing free radicals that cause oxidative stress, and serving as a cofactor in enzymatic reactions critical for collagen synthesis, neurotransmitter production, and immune system support. These roles make vitamin C indispensable for maintaining skin integrity, wound healing, and resistance to infections.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Apple juice, derived from the pressing of apples (</w:t>
      </w:r>
      <w:r w:rsidRPr="00AE41BB">
        <w:rPr>
          <w:rFonts w:ascii="Times New Roman" w:hAnsi="Times New Roman"/>
          <w:bCs/>
          <w:i/>
          <w:iCs/>
          <w:sz w:val="24"/>
        </w:rPr>
        <w:t>Malus domestica</w:t>
      </w:r>
      <w:r w:rsidRPr="00AE41BB">
        <w:rPr>
          <w:rFonts w:ascii="Times New Roman" w:hAnsi="Times New Roman"/>
          <w:bCs/>
          <w:sz w:val="24"/>
        </w:rPr>
        <w:t>), is a globally consumed beverage, valued for its refreshing taste and nutritional content. Apples naturally contain moderate levels of vitamin C (approximately 4–8 mg per 100g), but processing into juice can either concentrate or diminish this content depending on methods employed. Commercial apple juices are frequently fortified with ascorbic acid to enhance nutritional value and act as a natural preservative against enzymatic browning, a reaction catalyzed by polyphenol oxidase that degrades sensory qualities. However, the vitamin C content in apple juice is highly variable, influenced by factors such as apple variety, ripeness, processing techniques (e.g., pasteurization, filtration), storage conditions (temperature, light, oxygen exposure), and shelf life. For instance, pasteurization at 70–90°C can cause 20–30% degradation, while prolonged storage may lead to near-complete loss over months.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lastRenderedPageBreak/>
        <w:t>The need for accurate quantification of vitamin C in apple juice arises from several imperatives. Nutritionally, apple juice contributes to the Recommended Dietary Allowance (RDA) of vitamin C (75–90 mg/day for adults, higher for smokers), particularly in populations relying on processed foods due to limited access to fresh produce. From a regulatory perspective, accurate labeling is mandated by agencies like the U.S. Food and Drug Administration (FDA) to ensure consumer trust and compliance with food standards. Moreover, in the food industry, monitoring vitamin C levels is critical for quality control, as it affects product shelf life, sensory attributes, and market competitiveness. The global apple juice market, valued at billions annually, underscores the economic and nutritional stakes involved, with major producers like China, the United States, and Poland driving supply.</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Among analytical methods, UV-visible spectroscopy stands out as a cost-effective, rapid, and accessible technique for vitamin C determination. Unlike high-performance liquid chromatography (HPLC), which requires expensive equipment, or titration, which can be labor-intensive and less specific, UV-visible spectroscopy leverages the molecule’s absorption properties in the UV range (around 265 nm in acidic conditions) or visible range (491–530 nm with derivatization). The method’s reliance on the Beer-Lambert Law (A = εcl) enables precise quantification via calibration curves, making it suitable for routine laboratory and industrial applications. This study focuses on applying UV-visible spectroscopy to quantify vitamin C in apple juice, addressing both scientific and practical challenges in food analysis.</w:t>
      </w: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1.1 STATEMENT OF PROBLEMS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 xml:space="preserve">The variability in vitamin C content in apple juice poses significant challenges for consumers, manufacturers, and regulators. Processing techniques, such as thermal pasteurization, can degrade up to 50% of ascorbic acid due to its heat sensitivity, while improper storage (e.g., exposure to light or air) accelerates oxidation to inactive forms like diketogulonic acid. This degradation compromises the </w:t>
      </w:r>
      <w:r w:rsidRPr="00AE41BB">
        <w:rPr>
          <w:rFonts w:ascii="Times New Roman" w:hAnsi="Times New Roman"/>
          <w:bCs/>
          <w:sz w:val="24"/>
        </w:rPr>
        <w:lastRenderedPageBreak/>
        <w:t>nutritional value declared on labels, potentially misleading consumers who rely on apple juice to meet dietary needs. Inaccurate labeling can also lead to regulatory non-compliance, resulting in fines or product recalls, as seen in cases where commercial juices failed to meet claimed vitamin C levels.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Analytical challenges further complicate accurate quantification. Apple juice contains interfering compounds, such as phenolic acids, flavonoids, and sugars, which absorb in the UV range and can skew direct spectroscopic measurements. While HPLC offers high specificity, its cost and complexity limit its use in small-scale laboratories or developing regions. Titration methods, though simpler, are prone to errors from other reducing agents in the juice matrix. UV-visible spectroscopy, despite its advantages, requires optimization to mitigate these interferences, such as through derivatization or sample cleanup, which can be time-consuming and require technical expertise.</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Moreover, there is a lack of standardized protocols for vitamin C analysis in apple juice across different production contexts, leading to inconsistent results. For instance, studies report vitamin C levels ranging from 15–49 mg/100 mL in commercial juices, but variations in methodology make comparisons difficult. This inconsistency hampers quality control and consumer trust, particularly in markets where fortified juices are marketed as health products. Addressing these issues requires a robust, accessible method that balances accuracy, cost, and applicability, which this study aims to achieve through UV-visible spectroscopy.</w:t>
      </w: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1.2 JUSTIFICATIONS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 xml:space="preserve">The justification for this study lies in its multifaceted contributions to food science, public health, and industry practices. Firstly, accurate vitamin C quantification ensures that apple juice meets nutritional expectations, supporting dietary health in populations where it serves as a primary vitamin source. For example, fortified apple juice can provide 100–120% of the RDA per 8-ounce serving, making it a critical component in school lunch programs or for individuals with dietary restrictions. Ensuring </w:t>
      </w:r>
      <w:r w:rsidRPr="00AE41BB">
        <w:rPr>
          <w:rFonts w:ascii="Times New Roman" w:hAnsi="Times New Roman"/>
          <w:bCs/>
          <w:sz w:val="24"/>
        </w:rPr>
        <w:lastRenderedPageBreak/>
        <w:t>accurate labeling prevents health risks associated with subclinical deficiencies, such as reduced immune function or delayed wound healing.</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Secondly, the study addresses analytical gaps by validating UV-visible spectroscopy as a practical alternative to costlier methods like HPLC. Its simplicity and lower equipment costs make it accessible to small-scale producers and laboratories in resource-limited settings, democratizing quality control. The method’s adaptability for automation further enhances its appeal for high-throughput industrial applications, where rapid analysis is essential for large production volumes.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Thirdly, the research contributes to consumer protection by addressing discrepancies between labeled and actual vitamin C content. Market surveys have revealed that some commercial juices overstate nutrient levels, misleading consumers and violating regulations. A standardized UV-visible method can enforce accountability, ensuring compliance with standards like those set by the FDA or Codex Alimentarius.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Finally, this study has academic and practical significance. It provides a model for analytical chemistry education, demonstrating method development and validation. For the food industry, it offers insights into optimizing processing and storage to preserve vitamin C, enhancing product quality and shelf life. By focusing on apple juice, a globally significant beverage, the study addresses a universal need for reliable nutrient analysis, with potential applications to other fruit juices.</w:t>
      </w: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1.3 AIMS AND OBJECTIVES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The primary aim of this study is to develop and validate a UV-visible spectroscopic method for the quantitative determination of vitamin C in apple juice, ensuring accuracy and applicability in diverse settings. The specific objectives are:</w:t>
      </w:r>
    </w:p>
    <w:p w:rsidR="00AE41BB" w:rsidRPr="00AE41BB" w:rsidRDefault="00AE41BB" w:rsidP="00AE41BB">
      <w:pPr>
        <w:pStyle w:val="NoSpacing"/>
        <w:numPr>
          <w:ilvl w:val="0"/>
          <w:numId w:val="15"/>
        </w:numPr>
        <w:spacing w:line="480" w:lineRule="auto"/>
        <w:jc w:val="both"/>
        <w:rPr>
          <w:rFonts w:ascii="Times New Roman" w:hAnsi="Times New Roman"/>
          <w:bCs/>
          <w:sz w:val="24"/>
        </w:rPr>
      </w:pPr>
      <w:r w:rsidRPr="00AE41BB">
        <w:rPr>
          <w:rFonts w:ascii="Times New Roman" w:hAnsi="Times New Roman"/>
          <w:bCs/>
          <w:sz w:val="24"/>
        </w:rPr>
        <w:t>To prepare standard ascorbic acid solutions and construct calibration curves for precise quantification, ensuring linearity in the 1–50 mg/L range.</w:t>
      </w:r>
    </w:p>
    <w:p w:rsidR="00AE41BB" w:rsidRPr="00AE41BB" w:rsidRDefault="00AE41BB" w:rsidP="00AE41BB">
      <w:pPr>
        <w:pStyle w:val="NoSpacing"/>
        <w:numPr>
          <w:ilvl w:val="0"/>
          <w:numId w:val="15"/>
        </w:numPr>
        <w:spacing w:line="480" w:lineRule="auto"/>
        <w:jc w:val="both"/>
        <w:rPr>
          <w:rFonts w:ascii="Times New Roman" w:hAnsi="Times New Roman"/>
          <w:bCs/>
          <w:sz w:val="24"/>
        </w:rPr>
      </w:pPr>
      <w:r w:rsidRPr="00AE41BB">
        <w:rPr>
          <w:rFonts w:ascii="Times New Roman" w:hAnsi="Times New Roman"/>
          <w:bCs/>
          <w:sz w:val="24"/>
        </w:rPr>
        <w:lastRenderedPageBreak/>
        <w:t>To optimize sample preparation techniques, including stabilization with metaphosphoric acid and filtration, to minimize interferences from juice matrix components.</w:t>
      </w:r>
    </w:p>
    <w:p w:rsidR="00AE41BB" w:rsidRPr="00AE41BB" w:rsidRDefault="00AE41BB" w:rsidP="00AE41BB">
      <w:pPr>
        <w:pStyle w:val="NoSpacing"/>
        <w:numPr>
          <w:ilvl w:val="0"/>
          <w:numId w:val="15"/>
        </w:numPr>
        <w:spacing w:line="480" w:lineRule="auto"/>
        <w:jc w:val="both"/>
        <w:rPr>
          <w:rFonts w:ascii="Times New Roman" w:hAnsi="Times New Roman"/>
          <w:bCs/>
          <w:sz w:val="24"/>
        </w:rPr>
      </w:pPr>
      <w:r w:rsidRPr="00AE41BB">
        <w:rPr>
          <w:rFonts w:ascii="Times New Roman" w:hAnsi="Times New Roman"/>
          <w:bCs/>
          <w:sz w:val="24"/>
        </w:rPr>
        <w:t>To compare vitamin C content in fresh and commercial apple juices, evaluating the impact of processing and fortification.</w:t>
      </w:r>
    </w:p>
    <w:p w:rsidR="00AE41BB" w:rsidRPr="00AE41BB" w:rsidRDefault="00AE41BB" w:rsidP="00AE41BB">
      <w:pPr>
        <w:pStyle w:val="NoSpacing"/>
        <w:numPr>
          <w:ilvl w:val="0"/>
          <w:numId w:val="15"/>
        </w:numPr>
        <w:spacing w:line="480" w:lineRule="auto"/>
        <w:jc w:val="both"/>
        <w:rPr>
          <w:rFonts w:ascii="Times New Roman" w:hAnsi="Times New Roman"/>
          <w:bCs/>
          <w:sz w:val="24"/>
        </w:rPr>
      </w:pPr>
      <w:r w:rsidRPr="00AE41BB">
        <w:rPr>
          <w:rFonts w:ascii="Times New Roman" w:hAnsi="Times New Roman"/>
          <w:bCs/>
          <w:sz w:val="24"/>
        </w:rPr>
        <w:t>To assess method performance through parameters like limit of detection (~0.5 mg/L), limit of quantification (~1.5 mg/L), precision (RSD &lt;5%), and accuracy (recovery 95–105%).</w:t>
      </w:r>
    </w:p>
    <w:p w:rsidR="00AE41BB" w:rsidRPr="00AE41BB" w:rsidRDefault="00AE41BB" w:rsidP="00AE41BB">
      <w:pPr>
        <w:pStyle w:val="NoSpacing"/>
        <w:numPr>
          <w:ilvl w:val="0"/>
          <w:numId w:val="15"/>
        </w:numPr>
        <w:spacing w:line="480" w:lineRule="auto"/>
        <w:jc w:val="both"/>
        <w:rPr>
          <w:rFonts w:ascii="Times New Roman" w:hAnsi="Times New Roman"/>
          <w:bCs/>
          <w:sz w:val="24"/>
        </w:rPr>
      </w:pPr>
      <w:r w:rsidRPr="00AE41BB">
        <w:rPr>
          <w:rFonts w:ascii="Times New Roman" w:hAnsi="Times New Roman"/>
          <w:bCs/>
          <w:sz w:val="24"/>
        </w:rPr>
        <w:t>To investigate the effects of storage conditions (e.g., temperature, light exposure) on vitamin C stability in selected samples.</w:t>
      </w:r>
    </w:p>
    <w:p w:rsidR="00AE41BB" w:rsidRPr="00AE41BB" w:rsidRDefault="00AE41BB" w:rsidP="00AE41BB">
      <w:pPr>
        <w:pStyle w:val="NoSpacing"/>
        <w:numPr>
          <w:ilvl w:val="0"/>
          <w:numId w:val="15"/>
        </w:numPr>
        <w:spacing w:line="480" w:lineRule="auto"/>
        <w:jc w:val="both"/>
        <w:rPr>
          <w:rFonts w:ascii="Times New Roman" w:hAnsi="Times New Roman"/>
          <w:bCs/>
          <w:sz w:val="24"/>
        </w:rPr>
      </w:pPr>
      <w:r w:rsidRPr="00AE41BB">
        <w:rPr>
          <w:rFonts w:ascii="Times New Roman" w:hAnsi="Times New Roman"/>
          <w:bCs/>
          <w:sz w:val="24"/>
        </w:rPr>
        <w:t>To propose a standardized protocol for routine vitamin C analysis in apple juice, applicable in laboratory and industrial contexts.</w:t>
      </w: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AE41BB" w:rsidP="00AE41BB">
      <w:pPr>
        <w:pStyle w:val="NoSpacing"/>
        <w:spacing w:line="480" w:lineRule="auto"/>
        <w:jc w:val="both"/>
        <w:rPr>
          <w:rFonts w:ascii="Times New Roman" w:hAnsi="Times New Roman"/>
          <w:b/>
          <w:bCs/>
          <w:sz w:val="24"/>
        </w:rPr>
      </w:pPr>
    </w:p>
    <w:p w:rsidR="00AE41BB" w:rsidRDefault="00F34271" w:rsidP="00AE41BB">
      <w:pPr>
        <w:pStyle w:val="NoSpacing"/>
        <w:spacing w:line="480" w:lineRule="auto"/>
        <w:jc w:val="center"/>
        <w:rPr>
          <w:rFonts w:ascii="Times New Roman" w:hAnsi="Times New Roman"/>
          <w:b/>
          <w:bCs/>
          <w:sz w:val="24"/>
        </w:rPr>
      </w:pPr>
      <w:r>
        <w:rPr>
          <w:rFonts w:ascii="Times New Roman" w:hAnsi="Times New Roman"/>
          <w:b/>
          <w:bCs/>
          <w:sz w:val="24"/>
        </w:rPr>
        <w:lastRenderedPageBreak/>
        <w:t>CHAPTER TWO</w:t>
      </w:r>
      <w:r w:rsidR="00AE41BB" w:rsidRPr="00AE41BB">
        <w:rPr>
          <w:rFonts w:ascii="Times New Roman" w:hAnsi="Times New Roman"/>
          <w:b/>
          <w:bCs/>
          <w:sz w:val="24"/>
        </w:rPr>
        <w:t xml:space="preserve"> </w:t>
      </w:r>
    </w:p>
    <w:p w:rsidR="00AE41BB" w:rsidRPr="00AE41BB" w:rsidRDefault="00AE41BB" w:rsidP="00AE41BB">
      <w:pPr>
        <w:pStyle w:val="NoSpacing"/>
        <w:spacing w:line="480" w:lineRule="auto"/>
        <w:jc w:val="center"/>
        <w:rPr>
          <w:rFonts w:ascii="Times New Roman" w:hAnsi="Times New Roman"/>
          <w:b/>
          <w:bCs/>
          <w:sz w:val="24"/>
        </w:rPr>
      </w:pPr>
      <w:r w:rsidRPr="00AE41BB">
        <w:rPr>
          <w:rFonts w:ascii="Times New Roman" w:hAnsi="Times New Roman"/>
          <w:b/>
          <w:bCs/>
          <w:sz w:val="24"/>
        </w:rPr>
        <w:t>LITERATURE REVIEW</w:t>
      </w: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 xml:space="preserve">2.0 </w:t>
      </w:r>
      <w:r w:rsidR="00F34271">
        <w:rPr>
          <w:rFonts w:ascii="Times New Roman" w:hAnsi="Times New Roman"/>
          <w:b/>
          <w:bCs/>
          <w:sz w:val="24"/>
        </w:rPr>
        <w:tab/>
      </w:r>
      <w:r w:rsidR="00F34271" w:rsidRPr="00AE41BB">
        <w:rPr>
          <w:rFonts w:ascii="Times New Roman" w:hAnsi="Times New Roman"/>
          <w:b/>
          <w:bCs/>
          <w:sz w:val="24"/>
        </w:rPr>
        <w:t>OVERVIEW OF VITAMIN C</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Vitamin C, or ascorbic acid, is a cornerstone of nutritional science, recognized for its role in human health since its isolation in the 1920s. As a water-soluble vitamin, it is excreted in urine, necessitating daily intake through foods like citrus fruits, strawberries, bell peppers, and apple juice. Its discovery marked a turning point in understanding scurvy, a disease once prevalent among sailors and now rare in developed nations but still a concern in areas with poor dietary access. Vitamin C’s antioxidant properties protect against oxidative stress, which is linked to chronic diseases like cardiovascular disease and cancer. Its role in collagen synthesis supports tissue repair, while its involvement in carnitine and neurotransmitter synthesis underscores its metabolic importance. Apple juice, with its widespread consumption (1.5 gallons per person annually in the U.S.), is a significant delivery vehicle, particularly when fortified, making its vitamin C content a focal point for nutritional studies.</w:t>
      </w:r>
    </w:p>
    <w:p w:rsid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The global demand for apple juice, driven by its palatability and perceived health benefits, has spurred research into its nutrient profile. However, vitamin C’s instability—due to its sensitivity to heat, light, oxygen, and pH—poses challenges for maintaining nutritional quality in processed juices. Studies show that processing can reduce vitamin C by 20–50%, while storage losses can reach 90% over months under suboptimal conditions. This variability necessitates robust analytical methods, with UV-visible spectroscopy emerging as a preferred choice due to its balance of accuracy, cost, and ease of use.</w:t>
      </w:r>
    </w:p>
    <w:p w:rsidR="00F34271" w:rsidRPr="002358AF" w:rsidRDefault="00F34271" w:rsidP="00F34271">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 xml:space="preserve">Ascorbic acid (C6H8O6) is a six-carbon lactone with a molecular weight of 176.12 g/mol. Its structure features an enediol system between C2 and C3, responsible for its reducing properties and UV absorption. The vitamin exists in equilibrium with its oxidized form, dehydroascorbic acid (DHA), </w:t>
      </w:r>
      <w:r w:rsidRPr="002358AF">
        <w:rPr>
          <w:rFonts w:ascii="Times New Roman" w:hAnsi="Times New Roman" w:cs="Times New Roman"/>
          <w:sz w:val="24"/>
        </w:rPr>
        <w:lastRenderedPageBreak/>
        <w:t>which can be reduced back enzymatically in vivo. Both forms are biologically active, but further oxidation yields inactive products.</w:t>
      </w:r>
    </w:p>
    <w:p w:rsidR="00F34271" w:rsidRPr="002358AF" w:rsidRDefault="00F34271" w:rsidP="00F34271">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Stability in juices is influenced by pH (stable in acidic environments like fruit juices, pH 3-4), temperature (first-order degradation kinetics, half-life decreases with heat), oxygen (aerobic oxidation predominant), light (photodegradation), and catalysts (metals like Fe3+, Cu2+ accelerate). In apple juice, natural antioxidants like polyphenols can protect vitamin C, but processing disrupts this. Studies show thermosonication preserves more vitamin C than traditional heating.</w:t>
      </w:r>
    </w:p>
    <w:p w:rsidR="00F34271" w:rsidRPr="002358AF" w:rsidRDefault="00F34271" w:rsidP="00F34271">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Additives like cysteine or metabisulfite enhance stability, with cysteine at 400 ppm being most effective.</w:t>
      </w:r>
    </w:p>
    <w:p w:rsidR="00F34271" w:rsidRPr="002358AF" w:rsidRDefault="00F34271" w:rsidP="00F34271">
      <w:pPr>
        <w:pStyle w:val="NoSpacing"/>
        <w:spacing w:line="480" w:lineRule="auto"/>
        <w:jc w:val="both"/>
        <w:rPr>
          <w:rFonts w:ascii="Times New Roman" w:hAnsi="Times New Roman" w:cs="Times New Roman"/>
          <w:b/>
          <w:bCs/>
          <w:sz w:val="24"/>
        </w:rPr>
      </w:pPr>
      <w:r>
        <w:rPr>
          <w:rFonts w:ascii="Times New Roman" w:hAnsi="Times New Roman" w:cs="Times New Roman"/>
          <w:b/>
          <w:bCs/>
          <w:sz w:val="24"/>
        </w:rPr>
        <w:t>2.1</w:t>
      </w:r>
      <w:r>
        <w:rPr>
          <w:rFonts w:ascii="Times New Roman" w:hAnsi="Times New Roman" w:cs="Times New Roman"/>
          <w:b/>
          <w:bCs/>
          <w:sz w:val="24"/>
        </w:rPr>
        <w:tab/>
      </w:r>
      <w:r w:rsidRPr="002358AF">
        <w:rPr>
          <w:rFonts w:ascii="Times New Roman" w:hAnsi="Times New Roman" w:cs="Times New Roman"/>
          <w:b/>
          <w:bCs/>
          <w:sz w:val="24"/>
        </w:rPr>
        <w:t xml:space="preserve"> PREVIOUS STUDIES ON VITAMIN C IN FRUIT JUICES</w:t>
      </w:r>
    </w:p>
    <w:p w:rsidR="00F34271" w:rsidRPr="002358AF" w:rsidRDefault="00F34271" w:rsidP="00F34271">
      <w:pPr>
        <w:pStyle w:val="NoSpacing"/>
        <w:numPr>
          <w:ilvl w:val="0"/>
          <w:numId w:val="4"/>
        </w:numPr>
        <w:spacing w:line="480" w:lineRule="auto"/>
        <w:jc w:val="both"/>
        <w:rPr>
          <w:rFonts w:ascii="Times New Roman" w:hAnsi="Times New Roman" w:cs="Times New Roman"/>
          <w:sz w:val="24"/>
        </w:rPr>
      </w:pPr>
      <w:r w:rsidRPr="002358AF">
        <w:rPr>
          <w:rFonts w:ascii="Times New Roman" w:hAnsi="Times New Roman" w:cs="Times New Roman"/>
          <w:sz w:val="24"/>
        </w:rPr>
        <w:t>Numerous studies validate UV-Vis for juices. In commercial apple juices, vitamin C ranged 15-49 mg/100 mL using KMnO4. DNPH method in fruits showed high levels in black currants, applicable to juices.</w:t>
      </w:r>
    </w:p>
    <w:p w:rsidR="00F34271" w:rsidRPr="002358AF" w:rsidRDefault="00F34271" w:rsidP="00F34271">
      <w:pPr>
        <w:pStyle w:val="NoSpacing"/>
        <w:numPr>
          <w:ilvl w:val="0"/>
          <w:numId w:val="4"/>
        </w:numPr>
        <w:spacing w:line="480" w:lineRule="auto"/>
        <w:jc w:val="both"/>
        <w:rPr>
          <w:rFonts w:ascii="Times New Roman" w:hAnsi="Times New Roman" w:cs="Times New Roman"/>
          <w:sz w:val="24"/>
        </w:rPr>
      </w:pPr>
      <w:r w:rsidRPr="002358AF">
        <w:rPr>
          <w:rFonts w:ascii="Times New Roman" w:hAnsi="Times New Roman" w:cs="Times New Roman"/>
          <w:sz w:val="24"/>
        </w:rPr>
        <w:t>Multiproduct calibration in nectars proved robust. Comparative titrimetric vs. spectroscopic in fresh/marketed juices at 521 nm revealed processing losses.</w:t>
      </w:r>
    </w:p>
    <w:p w:rsidR="00F34271" w:rsidRPr="002358AF" w:rsidRDefault="00F34271" w:rsidP="00F34271">
      <w:pPr>
        <w:pStyle w:val="NoSpacing"/>
        <w:numPr>
          <w:ilvl w:val="0"/>
          <w:numId w:val="4"/>
        </w:numPr>
        <w:spacing w:line="480" w:lineRule="auto"/>
        <w:jc w:val="both"/>
        <w:rPr>
          <w:rFonts w:ascii="Times New Roman" w:hAnsi="Times New Roman" w:cs="Times New Roman"/>
          <w:sz w:val="24"/>
        </w:rPr>
      </w:pPr>
      <w:r w:rsidRPr="002358AF">
        <w:rPr>
          <w:rFonts w:ascii="Times New Roman" w:hAnsi="Times New Roman" w:cs="Times New Roman"/>
          <w:sz w:val="24"/>
        </w:rPr>
        <w:t>Non-destructive vibrational spectroscopy for screening, but UV-Vis superior for quantification. UV-C treatment in apple juice reduced vitamin C by 5-6%.</w:t>
      </w:r>
    </w:p>
    <w:p w:rsidR="00F34271" w:rsidRPr="002358AF" w:rsidRDefault="00F34271" w:rsidP="00F34271">
      <w:pPr>
        <w:pStyle w:val="NoSpacing"/>
        <w:numPr>
          <w:ilvl w:val="0"/>
          <w:numId w:val="4"/>
        </w:numPr>
        <w:spacing w:line="480" w:lineRule="auto"/>
        <w:jc w:val="both"/>
        <w:rPr>
          <w:rFonts w:ascii="Times New Roman" w:hAnsi="Times New Roman" w:cs="Times New Roman"/>
          <w:sz w:val="24"/>
        </w:rPr>
      </w:pPr>
      <w:r w:rsidRPr="002358AF">
        <w:rPr>
          <w:rFonts w:ascii="Times New Roman" w:hAnsi="Times New Roman" w:cs="Times New Roman"/>
          <w:sz w:val="24"/>
        </w:rPr>
        <w:t>In orange juices, ascorbic acid 0.46-1.93 mmol/L via cyclic voltammetry, but UV comparable. Packaged juices lost 40% after opening and storage.</w:t>
      </w:r>
    </w:p>
    <w:p w:rsidR="00F34271" w:rsidRPr="002358AF" w:rsidRDefault="00F34271" w:rsidP="00F34271">
      <w:pPr>
        <w:pStyle w:val="NoSpacing"/>
        <w:numPr>
          <w:ilvl w:val="0"/>
          <w:numId w:val="4"/>
        </w:numPr>
        <w:spacing w:line="480" w:lineRule="auto"/>
        <w:jc w:val="both"/>
        <w:rPr>
          <w:rFonts w:ascii="Times New Roman" w:hAnsi="Times New Roman" w:cs="Times New Roman"/>
          <w:sz w:val="24"/>
        </w:rPr>
      </w:pPr>
      <w:r w:rsidRPr="002358AF">
        <w:rPr>
          <w:rFonts w:ascii="Times New Roman" w:hAnsi="Times New Roman" w:cs="Times New Roman"/>
          <w:sz w:val="24"/>
        </w:rPr>
        <w:t>HPLC-MS for simultaneous AA/DHA in juices. NIR/MIR for non-invasive in oranges.</w:t>
      </w:r>
    </w:p>
    <w:p w:rsidR="00F34271" w:rsidRPr="002358AF" w:rsidRDefault="00F34271" w:rsidP="00F34271">
      <w:pPr>
        <w:pStyle w:val="NoSpacing"/>
        <w:numPr>
          <w:ilvl w:val="0"/>
          <w:numId w:val="4"/>
        </w:numPr>
        <w:spacing w:line="480" w:lineRule="auto"/>
        <w:jc w:val="both"/>
        <w:rPr>
          <w:rFonts w:ascii="Times New Roman" w:hAnsi="Times New Roman" w:cs="Times New Roman"/>
          <w:sz w:val="24"/>
        </w:rPr>
      </w:pPr>
      <w:r w:rsidRPr="002358AF">
        <w:rPr>
          <w:rFonts w:ascii="Times New Roman" w:hAnsi="Times New Roman" w:cs="Times New Roman"/>
          <w:sz w:val="24"/>
        </w:rPr>
        <w:t>Studies in various fruits (guava, khat) using UV-Vis.</w:t>
      </w:r>
    </w:p>
    <w:p w:rsidR="00F34271" w:rsidRDefault="00F34271" w:rsidP="00F34271">
      <w:pPr>
        <w:pStyle w:val="NoSpacing"/>
        <w:numPr>
          <w:ilvl w:val="0"/>
          <w:numId w:val="4"/>
        </w:numPr>
        <w:spacing w:line="480" w:lineRule="auto"/>
        <w:jc w:val="both"/>
        <w:rPr>
          <w:rFonts w:ascii="Times New Roman" w:hAnsi="Times New Roman" w:cs="Times New Roman"/>
          <w:sz w:val="24"/>
        </w:rPr>
      </w:pPr>
      <w:r w:rsidRPr="002358AF">
        <w:rPr>
          <w:rFonts w:ascii="Times New Roman" w:hAnsi="Times New Roman" w:cs="Times New Roman"/>
          <w:sz w:val="24"/>
        </w:rPr>
        <w:t>Market surveys show discrepancies between labeled and actual content.</w:t>
      </w:r>
    </w:p>
    <w:p w:rsidR="00F34271" w:rsidRPr="00AE41BB" w:rsidRDefault="00F34271" w:rsidP="00AE41BB">
      <w:pPr>
        <w:pStyle w:val="NoSpacing"/>
        <w:spacing w:line="480" w:lineRule="auto"/>
        <w:jc w:val="both"/>
        <w:rPr>
          <w:rFonts w:ascii="Times New Roman" w:hAnsi="Times New Roman"/>
          <w:bCs/>
          <w:sz w:val="24"/>
        </w:rPr>
      </w:pPr>
    </w:p>
    <w:p w:rsidR="00AE41BB" w:rsidRPr="00AE41BB" w:rsidRDefault="00F34271" w:rsidP="00AE41BB">
      <w:pPr>
        <w:pStyle w:val="NoSpacing"/>
        <w:spacing w:line="480" w:lineRule="auto"/>
        <w:jc w:val="both"/>
        <w:rPr>
          <w:rFonts w:ascii="Times New Roman" w:hAnsi="Times New Roman"/>
          <w:b/>
          <w:bCs/>
          <w:sz w:val="24"/>
        </w:rPr>
      </w:pPr>
      <w:r w:rsidRPr="00AE41BB">
        <w:rPr>
          <w:rFonts w:ascii="Times New Roman" w:hAnsi="Times New Roman"/>
          <w:b/>
          <w:bCs/>
          <w:sz w:val="24"/>
        </w:rPr>
        <w:lastRenderedPageBreak/>
        <w:t>2.</w:t>
      </w:r>
      <w:r>
        <w:rPr>
          <w:rFonts w:ascii="Times New Roman" w:hAnsi="Times New Roman"/>
          <w:b/>
          <w:bCs/>
          <w:sz w:val="24"/>
        </w:rPr>
        <w:t>2</w:t>
      </w:r>
      <w:r w:rsidRPr="00AE41BB">
        <w:rPr>
          <w:rFonts w:ascii="Times New Roman" w:hAnsi="Times New Roman"/>
          <w:b/>
          <w:bCs/>
          <w:sz w:val="24"/>
        </w:rPr>
        <w:t xml:space="preserve"> CHEMICAL STRUCTURE OF VITAMIN C</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Ascorbic acid (C6H8O6, molecular weight 176.12 g/mol) is a six-carbon lactone with an enediol group between carbons 2 and 3, responsible for its reducing properties and UV absorption. The molecule exists in two forms: reduced (ascorbic acid) and oxidized (dehydroascorbic acid, DHA), both biologically active due to reversible redox reactions. The enediol structure features conjugated double bonds, enabling absorption at 245–265 nm in acidic media (pH 2–4). At higher pH, ionization shifts absorption, reducing stability. Further oxidation to diketogulonic acid results in irreversible loss of activity. The structure’s polarity makes it water-soluble, but its susceptibility to oxidation by oxygen, metal ions (e.g., Cu²</w:t>
      </w:r>
      <w:r w:rsidRPr="00AE41BB">
        <w:rPr>
          <w:rFonts w:ascii="Cambria Math" w:hAnsi="Cambria Math" w:cs="Cambria Math"/>
          <w:bCs/>
          <w:sz w:val="24"/>
        </w:rPr>
        <w:t>⁺</w:t>
      </w:r>
      <w:r w:rsidRPr="00AE41BB">
        <w:rPr>
          <w:rFonts w:ascii="Times New Roman" w:hAnsi="Times New Roman" w:cs="Times New Roman"/>
          <w:bCs/>
          <w:sz w:val="24"/>
        </w:rPr>
        <w:t>, Fe³</w:t>
      </w:r>
      <w:r w:rsidRPr="00AE41BB">
        <w:rPr>
          <w:rFonts w:ascii="Cambria Math" w:hAnsi="Cambria Math" w:cs="Cambria Math"/>
          <w:bCs/>
          <w:sz w:val="24"/>
        </w:rPr>
        <w:t>⁺</w:t>
      </w:r>
      <w:r w:rsidRPr="00AE41BB">
        <w:rPr>
          <w:rFonts w:ascii="Times New Roman" w:hAnsi="Times New Roman" w:cs="Times New Roman"/>
          <w:bCs/>
          <w:sz w:val="24"/>
        </w:rPr>
        <w:t>), o</w:t>
      </w:r>
      <w:r w:rsidRPr="00AE41BB">
        <w:rPr>
          <w:rFonts w:ascii="Times New Roman" w:hAnsi="Times New Roman"/>
          <w:bCs/>
          <w:sz w:val="24"/>
        </w:rPr>
        <w:t>r enzymes like ascorbate oxidase complicates analysis in complex matrices like apple juice.</w:t>
      </w: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2.</w:t>
      </w:r>
      <w:r w:rsidR="00F34271">
        <w:rPr>
          <w:rFonts w:ascii="Times New Roman" w:hAnsi="Times New Roman"/>
          <w:b/>
          <w:bCs/>
          <w:sz w:val="24"/>
        </w:rPr>
        <w:t>3</w:t>
      </w:r>
      <w:r w:rsidR="00F34271" w:rsidRPr="00AE41BB">
        <w:rPr>
          <w:rFonts w:ascii="Times New Roman" w:hAnsi="Times New Roman"/>
          <w:b/>
          <w:bCs/>
          <w:sz w:val="24"/>
        </w:rPr>
        <w:t xml:space="preserve"> </w:t>
      </w:r>
      <w:r w:rsidR="00F34271">
        <w:rPr>
          <w:rFonts w:ascii="Times New Roman" w:hAnsi="Times New Roman"/>
          <w:b/>
          <w:bCs/>
          <w:sz w:val="24"/>
        </w:rPr>
        <w:tab/>
      </w:r>
      <w:r w:rsidR="00F34271" w:rsidRPr="00AE41BB">
        <w:rPr>
          <w:rFonts w:ascii="Times New Roman" w:hAnsi="Times New Roman"/>
          <w:b/>
          <w:bCs/>
          <w:sz w:val="24"/>
        </w:rPr>
        <w:t>PROPERTIES OF VITAMIN C</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Vitamin C’s physicochemical properties underpin its analytical and nutritional behavior. As a weak acid (pKa 4.17), it is most stable at pH 3–4, typical of fruit juices, but degrades rapidly above pH 5. Its redox potential allows it to donate electrons, neutralizing free radicals or reducing agents like potassium permanganate in analytical assays. Thermally labile, it follows first-order degradation kinetics, with a half-life of minutes at 90°C. Light exposure induces photodegradation, while oxygen accelerates aerobic oxidation, often catalyzed by trace metals. In apple juice, natural antioxidants like quercetin may protect vitamin C, but processing disrupts this synergy. Stabilizing agents like metaphosphoric acid or cysteine (400 ppm) can mitigate degradation, enhancing analytical accuracy.</w:t>
      </w:r>
    </w:p>
    <w:p w:rsidR="00AE41BB" w:rsidRPr="00AE41BB" w:rsidRDefault="00F34271" w:rsidP="00AE41BB">
      <w:pPr>
        <w:pStyle w:val="NoSpacing"/>
        <w:spacing w:line="480" w:lineRule="auto"/>
        <w:jc w:val="both"/>
        <w:rPr>
          <w:rFonts w:ascii="Times New Roman" w:hAnsi="Times New Roman"/>
          <w:b/>
          <w:bCs/>
          <w:sz w:val="24"/>
        </w:rPr>
      </w:pPr>
      <w:r w:rsidRPr="00AE41BB">
        <w:rPr>
          <w:rFonts w:ascii="Times New Roman" w:hAnsi="Times New Roman"/>
          <w:b/>
          <w:bCs/>
          <w:sz w:val="24"/>
        </w:rPr>
        <w:t>2.</w:t>
      </w:r>
      <w:r>
        <w:rPr>
          <w:rFonts w:ascii="Times New Roman" w:hAnsi="Times New Roman"/>
          <w:b/>
          <w:bCs/>
          <w:sz w:val="24"/>
        </w:rPr>
        <w:t>4</w:t>
      </w:r>
      <w:r>
        <w:rPr>
          <w:rFonts w:ascii="Times New Roman" w:hAnsi="Times New Roman"/>
          <w:b/>
          <w:bCs/>
          <w:sz w:val="24"/>
        </w:rPr>
        <w:tab/>
      </w:r>
      <w:r w:rsidRPr="00AE41BB">
        <w:rPr>
          <w:rFonts w:ascii="Times New Roman" w:hAnsi="Times New Roman"/>
          <w:b/>
          <w:bCs/>
          <w:sz w:val="24"/>
        </w:rPr>
        <w:t xml:space="preserve"> FUNCTIONS OF VITAMIN C</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 xml:space="preserve">Vitamin C’s physiological roles are diverse and critical. As an antioxidant, it scavenges reactive oxygen species, protecting DNA, proteins, and lipids from oxidative damage. It serves as a cofactor for prolyl hydroxylase in collagen synthesis, essential for connective tissue health. In metabolism, it supports </w:t>
      </w:r>
      <w:r w:rsidRPr="00AE41BB">
        <w:rPr>
          <w:rFonts w:ascii="Times New Roman" w:hAnsi="Times New Roman"/>
          <w:bCs/>
          <w:sz w:val="24"/>
        </w:rPr>
        <w:lastRenderedPageBreak/>
        <w:t>carnitine synthesis for fatty acid transport and tyrosine metabolism for neurotransmitter production (e.g., dopamine). It enhances non-heme iron absorption, critical for preventing anemia, and boosts immune function by stimulating leukocyte activity. Deficiencies lead to scurvy (fatigue, bleeding gums) or subclinical symptoms like reduced immunity. In apple juice, vitamin C contributes to the RDA, particularly in fortified products, supporting dietary health in diverse populations.</w:t>
      </w: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2.</w:t>
      </w:r>
      <w:r w:rsidR="00F34271">
        <w:rPr>
          <w:rFonts w:ascii="Times New Roman" w:hAnsi="Times New Roman"/>
          <w:b/>
          <w:bCs/>
          <w:sz w:val="24"/>
        </w:rPr>
        <w:t>5</w:t>
      </w:r>
      <w:r w:rsidR="00F34271">
        <w:rPr>
          <w:rFonts w:ascii="Times New Roman" w:hAnsi="Times New Roman"/>
          <w:b/>
          <w:bCs/>
          <w:sz w:val="24"/>
        </w:rPr>
        <w:tab/>
      </w:r>
      <w:r w:rsidRPr="00AE41BB">
        <w:rPr>
          <w:rFonts w:ascii="Times New Roman" w:hAnsi="Times New Roman"/>
          <w:b/>
          <w:bCs/>
          <w:sz w:val="24"/>
        </w:rPr>
        <w:t xml:space="preserve"> </w:t>
      </w:r>
      <w:r w:rsidR="00F34271" w:rsidRPr="00AE41BB">
        <w:rPr>
          <w:rFonts w:ascii="Times New Roman" w:hAnsi="Times New Roman"/>
          <w:b/>
          <w:bCs/>
          <w:sz w:val="24"/>
        </w:rPr>
        <w:t>METHODS OF VITAMIN C DETERMINATION: TITRATION</w:t>
      </w:r>
    </w:p>
    <w:p w:rsid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Titration methods, particularly with 2,6-dichlorophenolindophenol (DCPIP), have historically been used for vitamin C analysis. DCPIP, a blue dye, is reduced by ascorbic acid to a colorless form, with the endpoint detected visually or spectrophotometrically at 518 nm. The method is simple, requiring minimal equipment, and is standardized by AOAC (Method 967.21). However, its specificity is limited, as other reducing agents (e.g., sulfites, phenolics) in apple juice can interfere, leading to overestimation. Iodometric titration, where ascorbic acid reduces iodine to iodide, is another option but suffers similar drawbacks. These methods are less sensitive (LOD ~5 mg/L) than spectroscopy and require larger sample volumes, making them less suitable for complex matrices. UV-visible spectroscopy, with derivatization (e.g., DNPH at 491 nm, KMnO4 at 530 nm), offers superior sensitivity (LOD ~0.5 mg/L) and specificity, especially when combined with sample cleanup.</w:t>
      </w:r>
    </w:p>
    <w:p w:rsidR="00F34271" w:rsidRPr="002358AF" w:rsidRDefault="00F34271" w:rsidP="00F34271">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Analytical methods span titrimetric, chromatographic, electrochemical, and spectroscopic. Titration with DCPIP is simple but lacks specificity. HPLC offers high resolution but is costly.</w:t>
      </w:r>
    </w:p>
    <w:p w:rsidR="00F34271" w:rsidRPr="002358AF" w:rsidRDefault="00F34271" w:rsidP="00F34271">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UV-Vis spectroscopy is prominent for its accessibility. Direct methods measure at 245-265 nm, but derivatization improves accuracy:</w:t>
      </w:r>
    </w:p>
    <w:p w:rsidR="00F34271" w:rsidRPr="002358AF" w:rsidRDefault="00F34271" w:rsidP="00F34271">
      <w:pPr>
        <w:pStyle w:val="NoSpacing"/>
        <w:numPr>
          <w:ilvl w:val="0"/>
          <w:numId w:val="3"/>
        </w:numPr>
        <w:spacing w:line="480" w:lineRule="auto"/>
        <w:jc w:val="both"/>
        <w:rPr>
          <w:rFonts w:ascii="Times New Roman" w:hAnsi="Times New Roman" w:cs="Times New Roman"/>
          <w:sz w:val="24"/>
        </w:rPr>
      </w:pPr>
      <w:r w:rsidRPr="002358AF">
        <w:rPr>
          <w:rFonts w:ascii="Times New Roman" w:hAnsi="Times New Roman" w:cs="Times New Roman"/>
          <w:sz w:val="24"/>
        </w:rPr>
        <w:t>DNPH method: Oxidation with bromine, excess removal with thiourea, DNPH reaction, absorbance at 491 nm. Linear for 5-25 μg/mL.</w:t>
      </w:r>
    </w:p>
    <w:p w:rsidR="00F34271" w:rsidRPr="002358AF" w:rsidRDefault="00F34271" w:rsidP="00F34271">
      <w:pPr>
        <w:pStyle w:val="NoSpacing"/>
        <w:numPr>
          <w:ilvl w:val="0"/>
          <w:numId w:val="3"/>
        </w:numPr>
        <w:spacing w:line="480" w:lineRule="auto"/>
        <w:jc w:val="both"/>
        <w:rPr>
          <w:rFonts w:ascii="Times New Roman" w:hAnsi="Times New Roman" w:cs="Times New Roman"/>
          <w:sz w:val="24"/>
        </w:rPr>
      </w:pPr>
      <w:r w:rsidRPr="002358AF">
        <w:rPr>
          <w:rFonts w:ascii="Times New Roman" w:hAnsi="Times New Roman" w:cs="Times New Roman"/>
          <w:sz w:val="24"/>
        </w:rPr>
        <w:lastRenderedPageBreak/>
        <w:t>KMnO4 method: Ascorbic acid reduces KMnO4, absorbance decrease at 530 nm. Range 0.1-100 mg/L.</w:t>
      </w:r>
    </w:p>
    <w:p w:rsidR="00F34271" w:rsidRPr="002358AF" w:rsidRDefault="00F34271" w:rsidP="00F34271">
      <w:pPr>
        <w:pStyle w:val="NoSpacing"/>
        <w:numPr>
          <w:ilvl w:val="0"/>
          <w:numId w:val="3"/>
        </w:numPr>
        <w:spacing w:line="480" w:lineRule="auto"/>
        <w:jc w:val="both"/>
        <w:rPr>
          <w:rFonts w:ascii="Times New Roman" w:hAnsi="Times New Roman" w:cs="Times New Roman"/>
          <w:sz w:val="24"/>
        </w:rPr>
      </w:pPr>
      <w:r w:rsidRPr="002358AF">
        <w:rPr>
          <w:rFonts w:ascii="Times New Roman" w:hAnsi="Times New Roman" w:cs="Times New Roman"/>
          <w:sz w:val="24"/>
        </w:rPr>
        <w:t>Multivariate calibration for multiproduct analysis in nectars.</w:t>
      </w:r>
    </w:p>
    <w:p w:rsidR="00F34271" w:rsidRPr="002358AF" w:rsidRDefault="00F34271" w:rsidP="00F34271">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Derivative spectroscopy resolves overlapping peaks.</w:t>
      </w:r>
    </w:p>
    <w:p w:rsidR="00F34271" w:rsidRPr="002358AF" w:rsidRDefault="00F34271" w:rsidP="00F34271">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Other innovations: Kinetic assays with iodate and dyes, point-of-use smartphone-based spectrometry.</w:t>
      </w:r>
    </w:p>
    <w:tbl>
      <w:tblPr>
        <w:tblStyle w:val="TableGrid"/>
        <w:tblW w:w="0" w:type="auto"/>
        <w:tblLook w:val="04A0"/>
      </w:tblPr>
      <w:tblGrid>
        <w:gridCol w:w="1229"/>
        <w:gridCol w:w="1996"/>
        <w:gridCol w:w="1503"/>
        <w:gridCol w:w="1690"/>
        <w:gridCol w:w="1956"/>
      </w:tblGrid>
      <w:tr w:rsidR="00F34271" w:rsidRPr="002358AF" w:rsidTr="00A55B2B">
        <w:tc>
          <w:tcPr>
            <w:tcW w:w="0" w:type="auto"/>
            <w:hideMark/>
          </w:tcPr>
          <w:p w:rsidR="00F34271" w:rsidRPr="002358AF" w:rsidRDefault="00F34271" w:rsidP="00A55B2B">
            <w:pPr>
              <w:pStyle w:val="NoSpacing"/>
              <w:spacing w:line="480" w:lineRule="auto"/>
              <w:jc w:val="both"/>
              <w:rPr>
                <w:rFonts w:ascii="Times New Roman" w:hAnsi="Times New Roman" w:cs="Times New Roman"/>
                <w:b/>
                <w:bCs/>
                <w:sz w:val="24"/>
              </w:rPr>
            </w:pPr>
            <w:r w:rsidRPr="002358AF">
              <w:rPr>
                <w:rFonts w:ascii="Times New Roman" w:hAnsi="Times New Roman" w:cs="Times New Roman"/>
                <w:b/>
                <w:bCs/>
                <w:sz w:val="24"/>
              </w:rPr>
              <w:t>Method</w:t>
            </w:r>
          </w:p>
        </w:tc>
        <w:tc>
          <w:tcPr>
            <w:tcW w:w="0" w:type="auto"/>
            <w:hideMark/>
          </w:tcPr>
          <w:p w:rsidR="00F34271" w:rsidRPr="002358AF" w:rsidRDefault="00F34271" w:rsidP="00A55B2B">
            <w:pPr>
              <w:pStyle w:val="NoSpacing"/>
              <w:spacing w:line="480" w:lineRule="auto"/>
              <w:jc w:val="both"/>
              <w:rPr>
                <w:rFonts w:ascii="Times New Roman" w:hAnsi="Times New Roman" w:cs="Times New Roman"/>
                <w:b/>
                <w:bCs/>
                <w:sz w:val="24"/>
              </w:rPr>
            </w:pPr>
            <w:r w:rsidRPr="002358AF">
              <w:rPr>
                <w:rFonts w:ascii="Times New Roman" w:hAnsi="Times New Roman" w:cs="Times New Roman"/>
                <w:b/>
                <w:bCs/>
                <w:sz w:val="24"/>
              </w:rPr>
              <w:t>Wavelength (nm)</w:t>
            </w:r>
          </w:p>
        </w:tc>
        <w:tc>
          <w:tcPr>
            <w:tcW w:w="0" w:type="auto"/>
            <w:hideMark/>
          </w:tcPr>
          <w:p w:rsidR="00F34271" w:rsidRPr="002358AF" w:rsidRDefault="00F34271" w:rsidP="00A55B2B">
            <w:pPr>
              <w:pStyle w:val="NoSpacing"/>
              <w:spacing w:line="480" w:lineRule="auto"/>
              <w:jc w:val="both"/>
              <w:rPr>
                <w:rFonts w:ascii="Times New Roman" w:hAnsi="Times New Roman" w:cs="Times New Roman"/>
                <w:b/>
                <w:bCs/>
                <w:sz w:val="24"/>
              </w:rPr>
            </w:pPr>
            <w:r w:rsidRPr="002358AF">
              <w:rPr>
                <w:rFonts w:ascii="Times New Roman" w:hAnsi="Times New Roman" w:cs="Times New Roman"/>
                <w:b/>
                <w:bCs/>
                <w:sz w:val="24"/>
              </w:rPr>
              <w:t>LOD (mg/L)</w:t>
            </w:r>
          </w:p>
        </w:tc>
        <w:tc>
          <w:tcPr>
            <w:tcW w:w="0" w:type="auto"/>
            <w:hideMark/>
          </w:tcPr>
          <w:p w:rsidR="00F34271" w:rsidRPr="002358AF" w:rsidRDefault="00F34271" w:rsidP="00A55B2B">
            <w:pPr>
              <w:pStyle w:val="NoSpacing"/>
              <w:spacing w:line="480" w:lineRule="auto"/>
              <w:jc w:val="both"/>
              <w:rPr>
                <w:rFonts w:ascii="Times New Roman" w:hAnsi="Times New Roman" w:cs="Times New Roman"/>
                <w:b/>
                <w:bCs/>
                <w:sz w:val="24"/>
              </w:rPr>
            </w:pPr>
            <w:r w:rsidRPr="002358AF">
              <w:rPr>
                <w:rFonts w:ascii="Times New Roman" w:hAnsi="Times New Roman" w:cs="Times New Roman"/>
                <w:b/>
                <w:bCs/>
                <w:sz w:val="24"/>
              </w:rPr>
              <w:t>Advantages</w:t>
            </w:r>
          </w:p>
        </w:tc>
        <w:tc>
          <w:tcPr>
            <w:tcW w:w="0" w:type="auto"/>
            <w:hideMark/>
          </w:tcPr>
          <w:p w:rsidR="00F34271" w:rsidRPr="002358AF" w:rsidRDefault="00F34271" w:rsidP="00A55B2B">
            <w:pPr>
              <w:pStyle w:val="NoSpacing"/>
              <w:spacing w:line="480" w:lineRule="auto"/>
              <w:jc w:val="both"/>
              <w:rPr>
                <w:rFonts w:ascii="Times New Roman" w:hAnsi="Times New Roman" w:cs="Times New Roman"/>
                <w:b/>
                <w:bCs/>
                <w:sz w:val="24"/>
              </w:rPr>
            </w:pPr>
            <w:r w:rsidRPr="002358AF">
              <w:rPr>
                <w:rFonts w:ascii="Times New Roman" w:hAnsi="Times New Roman" w:cs="Times New Roman"/>
                <w:b/>
                <w:bCs/>
                <w:sz w:val="24"/>
              </w:rPr>
              <w:t>Disadvantages</w:t>
            </w:r>
          </w:p>
        </w:tc>
      </w:tr>
      <w:tr w:rsidR="00F34271" w:rsidRPr="002358AF" w:rsidTr="00A55B2B">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Direct UV</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265</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1.0</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Simple</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Interferences</w:t>
            </w:r>
          </w:p>
        </w:tc>
      </w:tr>
      <w:tr w:rsidR="00F34271" w:rsidRPr="002358AF" w:rsidTr="00A55B2B">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DNPH</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491</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0.5</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Specific</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Multi-step</w:t>
            </w:r>
          </w:p>
        </w:tc>
      </w:tr>
      <w:tr w:rsidR="00F34271" w:rsidRPr="002358AF" w:rsidTr="00A55B2B">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KMnO4</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530</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0.1</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Sensitive</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Color-based</w:t>
            </w:r>
          </w:p>
        </w:tc>
      </w:tr>
      <w:tr w:rsidR="00F34271" w:rsidRPr="002358AF" w:rsidTr="00A55B2B">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Derivative</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Variable</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0.2</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Resolves peaks</w:t>
            </w:r>
          </w:p>
        </w:tc>
        <w:tc>
          <w:tcPr>
            <w:tcW w:w="0" w:type="auto"/>
            <w:hideMark/>
          </w:tcPr>
          <w:p w:rsidR="00F34271" w:rsidRPr="002358AF" w:rsidRDefault="00F34271" w:rsidP="00A55B2B">
            <w:pPr>
              <w:pStyle w:val="NoSpacing"/>
              <w:spacing w:line="480" w:lineRule="auto"/>
              <w:jc w:val="both"/>
              <w:rPr>
                <w:rFonts w:ascii="Times New Roman" w:hAnsi="Times New Roman" w:cs="Times New Roman"/>
                <w:sz w:val="24"/>
              </w:rPr>
            </w:pPr>
            <w:r w:rsidRPr="002358AF">
              <w:rPr>
                <w:rFonts w:ascii="Times New Roman" w:hAnsi="Times New Roman" w:cs="Times New Roman"/>
                <w:sz w:val="24"/>
              </w:rPr>
              <w:t>Requires software</w:t>
            </w:r>
          </w:p>
        </w:tc>
      </w:tr>
    </w:tbl>
    <w:p w:rsidR="00F34271" w:rsidRDefault="00F34271" w:rsidP="00F34271">
      <w:pPr>
        <w:pStyle w:val="NoSpacing"/>
        <w:spacing w:line="480" w:lineRule="auto"/>
        <w:jc w:val="both"/>
        <w:rPr>
          <w:rFonts w:ascii="Times New Roman" w:hAnsi="Times New Roman" w:cs="Times New Roman"/>
          <w:b/>
          <w:bCs/>
          <w:sz w:val="24"/>
        </w:rPr>
      </w:pPr>
    </w:p>
    <w:p w:rsidR="00AE41BB" w:rsidRPr="00AE41BB" w:rsidRDefault="00AE41BB" w:rsidP="00AE41BB">
      <w:pPr>
        <w:pStyle w:val="NoSpacing"/>
        <w:spacing w:line="480" w:lineRule="auto"/>
        <w:jc w:val="both"/>
        <w:rPr>
          <w:rFonts w:ascii="Times New Roman" w:hAnsi="Times New Roman"/>
          <w:b/>
          <w:bCs/>
          <w:sz w:val="24"/>
        </w:rPr>
      </w:pPr>
      <w:r w:rsidRPr="00AE41BB">
        <w:rPr>
          <w:rFonts w:ascii="Times New Roman" w:hAnsi="Times New Roman"/>
          <w:b/>
          <w:bCs/>
          <w:sz w:val="24"/>
        </w:rPr>
        <w:t>2.</w:t>
      </w:r>
      <w:r w:rsidR="00F34271">
        <w:rPr>
          <w:rFonts w:ascii="Times New Roman" w:hAnsi="Times New Roman"/>
          <w:b/>
          <w:bCs/>
          <w:sz w:val="24"/>
        </w:rPr>
        <w:t>6</w:t>
      </w:r>
      <w:r w:rsidR="00F34271" w:rsidRPr="00AE41BB">
        <w:rPr>
          <w:rFonts w:ascii="Times New Roman" w:hAnsi="Times New Roman"/>
          <w:b/>
          <w:bCs/>
          <w:sz w:val="24"/>
        </w:rPr>
        <w:t xml:space="preserve"> FACTORS AFFECTING VITAMIN C CONTENT IN APPLE JUICES</w:t>
      </w:r>
    </w:p>
    <w:p w:rsidR="00AE41BB" w:rsidRPr="00AE41BB" w:rsidRDefault="00AE41BB" w:rsidP="00AE41BB">
      <w:pPr>
        <w:pStyle w:val="NoSpacing"/>
        <w:spacing w:line="480" w:lineRule="auto"/>
        <w:jc w:val="both"/>
        <w:rPr>
          <w:rFonts w:ascii="Times New Roman" w:hAnsi="Times New Roman"/>
          <w:bCs/>
          <w:sz w:val="24"/>
        </w:rPr>
      </w:pPr>
      <w:r w:rsidRPr="00AE41BB">
        <w:rPr>
          <w:rFonts w:ascii="Times New Roman" w:hAnsi="Times New Roman"/>
          <w:bCs/>
          <w:sz w:val="24"/>
        </w:rPr>
        <w:t>Several factors influence vitamin C content in apple juice, impacting both nutritional quality and analytical accuracy:</w:t>
      </w:r>
    </w:p>
    <w:p w:rsidR="00AE41BB" w:rsidRPr="00AE41BB" w:rsidRDefault="00AE41BB" w:rsidP="00AE41BB">
      <w:pPr>
        <w:pStyle w:val="NoSpacing"/>
        <w:numPr>
          <w:ilvl w:val="0"/>
          <w:numId w:val="16"/>
        </w:numPr>
        <w:spacing w:line="480" w:lineRule="auto"/>
        <w:jc w:val="both"/>
        <w:rPr>
          <w:rFonts w:ascii="Times New Roman" w:hAnsi="Times New Roman"/>
          <w:bCs/>
          <w:sz w:val="24"/>
        </w:rPr>
      </w:pPr>
      <w:r w:rsidRPr="00AE41BB">
        <w:rPr>
          <w:rFonts w:ascii="Times New Roman" w:hAnsi="Times New Roman"/>
          <w:b/>
          <w:bCs/>
          <w:sz w:val="24"/>
        </w:rPr>
        <w:t>Apple Variety and Ripeness</w:t>
      </w:r>
      <w:r w:rsidRPr="00AE41BB">
        <w:rPr>
          <w:rFonts w:ascii="Times New Roman" w:hAnsi="Times New Roman"/>
          <w:bCs/>
          <w:sz w:val="24"/>
        </w:rPr>
        <w:t>: Varieties like Granny Smith have higher vitamin C (8–10 mg/100g) than Golden Delicious (4–6 mg/100g). Ripeness at harvest affects initial content, with overripe apples showing lower levels.</w:t>
      </w:r>
    </w:p>
    <w:p w:rsidR="00AE41BB" w:rsidRPr="00AE41BB" w:rsidRDefault="00AE41BB" w:rsidP="00AE41BB">
      <w:pPr>
        <w:pStyle w:val="NoSpacing"/>
        <w:numPr>
          <w:ilvl w:val="0"/>
          <w:numId w:val="16"/>
        </w:numPr>
        <w:spacing w:line="480" w:lineRule="auto"/>
        <w:jc w:val="both"/>
        <w:rPr>
          <w:rFonts w:ascii="Times New Roman" w:hAnsi="Times New Roman"/>
          <w:bCs/>
          <w:sz w:val="24"/>
        </w:rPr>
      </w:pPr>
      <w:r w:rsidRPr="00AE41BB">
        <w:rPr>
          <w:rFonts w:ascii="Times New Roman" w:hAnsi="Times New Roman"/>
          <w:b/>
          <w:bCs/>
          <w:sz w:val="24"/>
        </w:rPr>
        <w:t>Processing Techniques</w:t>
      </w:r>
      <w:r w:rsidRPr="00AE41BB">
        <w:rPr>
          <w:rFonts w:ascii="Times New Roman" w:hAnsi="Times New Roman"/>
          <w:bCs/>
          <w:sz w:val="24"/>
        </w:rPr>
        <w:t>: Pasteurization (70–90°C) causes 20–30% loss, while high-pressure processing or thermosonication preserves more (5–10% loss). Filtration removes pulp, reducing natural antioxidants that protect vitamin C.</w:t>
      </w:r>
    </w:p>
    <w:p w:rsidR="00AE41BB" w:rsidRPr="00AE41BB" w:rsidRDefault="00AE41BB" w:rsidP="00AE41BB">
      <w:pPr>
        <w:pStyle w:val="NoSpacing"/>
        <w:numPr>
          <w:ilvl w:val="0"/>
          <w:numId w:val="16"/>
        </w:numPr>
        <w:spacing w:line="480" w:lineRule="auto"/>
        <w:jc w:val="both"/>
        <w:rPr>
          <w:rFonts w:ascii="Times New Roman" w:hAnsi="Times New Roman"/>
          <w:bCs/>
          <w:sz w:val="24"/>
        </w:rPr>
      </w:pPr>
      <w:r w:rsidRPr="00AE41BB">
        <w:rPr>
          <w:rFonts w:ascii="Times New Roman" w:hAnsi="Times New Roman"/>
          <w:b/>
          <w:bCs/>
          <w:sz w:val="24"/>
        </w:rPr>
        <w:t>Storage Conditions</w:t>
      </w:r>
      <w:r w:rsidRPr="00AE41BB">
        <w:rPr>
          <w:rFonts w:ascii="Times New Roman" w:hAnsi="Times New Roman"/>
          <w:bCs/>
          <w:sz w:val="24"/>
        </w:rPr>
        <w:t>: Temperature (degradation doubles per 10°C increase), light (UV-induced breakdown), and oxygen exposure (aerobic oxidation) significantly reduce content. Refrigeration at 4°C and oxygen-barrier packaging mitigate losses.</w:t>
      </w:r>
    </w:p>
    <w:p w:rsidR="00AE41BB" w:rsidRPr="00AE41BB" w:rsidRDefault="00AE41BB" w:rsidP="00AE41BB">
      <w:pPr>
        <w:pStyle w:val="NoSpacing"/>
        <w:numPr>
          <w:ilvl w:val="0"/>
          <w:numId w:val="16"/>
        </w:numPr>
        <w:spacing w:line="480" w:lineRule="auto"/>
        <w:jc w:val="both"/>
        <w:rPr>
          <w:rFonts w:ascii="Times New Roman" w:hAnsi="Times New Roman"/>
          <w:bCs/>
          <w:sz w:val="24"/>
        </w:rPr>
      </w:pPr>
      <w:r w:rsidRPr="00AE41BB">
        <w:rPr>
          <w:rFonts w:ascii="Times New Roman" w:hAnsi="Times New Roman"/>
          <w:b/>
          <w:bCs/>
          <w:sz w:val="24"/>
        </w:rPr>
        <w:lastRenderedPageBreak/>
        <w:t>Fortification Practices</w:t>
      </w:r>
      <w:r w:rsidRPr="00AE41BB">
        <w:rPr>
          <w:rFonts w:ascii="Times New Roman" w:hAnsi="Times New Roman"/>
          <w:bCs/>
          <w:sz w:val="24"/>
        </w:rPr>
        <w:t>: Commercial juices often add ascorbic acid, but variability in fortification levels leads to inconsistent content (15–49 mg/100 mL).</w:t>
      </w:r>
    </w:p>
    <w:p w:rsidR="00AE41BB" w:rsidRPr="00AE41BB" w:rsidRDefault="00AE41BB" w:rsidP="00AE41BB">
      <w:pPr>
        <w:pStyle w:val="NoSpacing"/>
        <w:numPr>
          <w:ilvl w:val="0"/>
          <w:numId w:val="16"/>
        </w:numPr>
        <w:spacing w:line="480" w:lineRule="auto"/>
        <w:jc w:val="both"/>
        <w:rPr>
          <w:rFonts w:ascii="Times New Roman" w:hAnsi="Times New Roman"/>
          <w:bCs/>
          <w:sz w:val="24"/>
        </w:rPr>
      </w:pPr>
      <w:r w:rsidRPr="00AE41BB">
        <w:rPr>
          <w:rFonts w:ascii="Times New Roman" w:hAnsi="Times New Roman"/>
          <w:b/>
          <w:bCs/>
          <w:sz w:val="24"/>
        </w:rPr>
        <w:t>Matrix Interferences</w:t>
      </w:r>
      <w:r w:rsidRPr="00AE41BB">
        <w:rPr>
          <w:rFonts w:ascii="Times New Roman" w:hAnsi="Times New Roman"/>
          <w:bCs/>
          <w:sz w:val="24"/>
        </w:rPr>
        <w:t>: Phenolics, sugars, and pigments absorb in the UV range, necessitating derivatization or cleanup for accurate spectroscopy.</w:t>
      </w:r>
    </w:p>
    <w:p w:rsidR="00AE41BB" w:rsidRPr="00AE41BB" w:rsidRDefault="00AE41BB" w:rsidP="00AE41BB">
      <w:pPr>
        <w:pStyle w:val="NoSpacing"/>
        <w:numPr>
          <w:ilvl w:val="0"/>
          <w:numId w:val="16"/>
        </w:numPr>
        <w:spacing w:line="480" w:lineRule="auto"/>
        <w:jc w:val="both"/>
        <w:rPr>
          <w:rFonts w:ascii="Times New Roman" w:hAnsi="Times New Roman"/>
          <w:bCs/>
          <w:sz w:val="24"/>
        </w:rPr>
      </w:pPr>
      <w:r w:rsidRPr="00AE41BB">
        <w:rPr>
          <w:rFonts w:ascii="Times New Roman" w:hAnsi="Times New Roman"/>
          <w:b/>
          <w:bCs/>
          <w:sz w:val="24"/>
        </w:rPr>
        <w:t>Time and Handling</w:t>
      </w:r>
      <w:r w:rsidRPr="00AE41BB">
        <w:rPr>
          <w:rFonts w:ascii="Times New Roman" w:hAnsi="Times New Roman"/>
          <w:bCs/>
          <w:sz w:val="24"/>
        </w:rPr>
        <w:t>: Post-production storage for months can deplete vitamin C by 50–90%, especially in transparent containers.</w:t>
      </w:r>
    </w:p>
    <w:p w:rsidR="002358AF" w:rsidRDefault="002358AF" w:rsidP="002358AF">
      <w:pPr>
        <w:pStyle w:val="NoSpacing"/>
        <w:spacing w:line="480" w:lineRule="auto"/>
        <w:jc w:val="both"/>
        <w:rPr>
          <w:rFonts w:ascii="Times New Roman" w:hAnsi="Times New Roman" w:cs="Times New Roman"/>
          <w:b/>
          <w:bCs/>
          <w:sz w:val="24"/>
        </w:rPr>
      </w:pPr>
    </w:p>
    <w:p w:rsidR="002358AF" w:rsidRDefault="002358AF" w:rsidP="002358AF">
      <w:pPr>
        <w:pStyle w:val="NoSpacing"/>
        <w:spacing w:line="480" w:lineRule="auto"/>
        <w:jc w:val="both"/>
        <w:rPr>
          <w:rFonts w:ascii="Times New Roman" w:hAnsi="Times New Roman" w:cs="Times New Roman"/>
          <w:b/>
          <w:bCs/>
          <w:sz w:val="24"/>
        </w:rPr>
      </w:pPr>
    </w:p>
    <w:p w:rsidR="002358AF" w:rsidRDefault="002358AF" w:rsidP="002358AF">
      <w:pPr>
        <w:pStyle w:val="NoSpacing"/>
        <w:spacing w:line="480" w:lineRule="auto"/>
        <w:jc w:val="both"/>
        <w:rPr>
          <w:rFonts w:ascii="Times New Roman" w:hAnsi="Times New Roman" w:cs="Times New Roman"/>
          <w:b/>
          <w:bCs/>
          <w:sz w:val="24"/>
        </w:rPr>
      </w:pPr>
    </w:p>
    <w:p w:rsidR="002358AF" w:rsidRDefault="002358AF" w:rsidP="002358AF">
      <w:pPr>
        <w:pStyle w:val="NoSpacing"/>
        <w:spacing w:line="480" w:lineRule="auto"/>
        <w:jc w:val="both"/>
        <w:rPr>
          <w:rFonts w:ascii="Times New Roman" w:hAnsi="Times New Roman" w:cs="Times New Roman"/>
          <w:b/>
          <w:bCs/>
          <w:sz w:val="24"/>
        </w:rPr>
      </w:pPr>
    </w:p>
    <w:p w:rsidR="002358AF" w:rsidRDefault="002358AF" w:rsidP="002358AF">
      <w:pPr>
        <w:pStyle w:val="NoSpacing"/>
        <w:spacing w:line="480" w:lineRule="auto"/>
        <w:jc w:val="both"/>
        <w:rPr>
          <w:rFonts w:ascii="Times New Roman" w:hAnsi="Times New Roman" w:cs="Times New Roman"/>
          <w:b/>
          <w:bCs/>
          <w:sz w:val="24"/>
        </w:rPr>
      </w:pPr>
    </w:p>
    <w:p w:rsidR="002358AF" w:rsidRDefault="002358AF" w:rsidP="002358AF">
      <w:pPr>
        <w:pStyle w:val="NoSpacing"/>
        <w:spacing w:line="480" w:lineRule="auto"/>
        <w:jc w:val="both"/>
        <w:rPr>
          <w:rFonts w:ascii="Times New Roman" w:hAnsi="Times New Roman" w:cs="Times New Roman"/>
          <w:b/>
          <w:bCs/>
          <w:sz w:val="24"/>
        </w:rPr>
      </w:pPr>
    </w:p>
    <w:p w:rsidR="00AF1BDC" w:rsidRDefault="00AF1BDC" w:rsidP="00AF1BDC">
      <w:pPr>
        <w:pStyle w:val="NoSpacing"/>
        <w:spacing w:line="480" w:lineRule="auto"/>
        <w:jc w:val="both"/>
        <w:rPr>
          <w:rFonts w:ascii="Times New Roman" w:hAnsi="Times New Roman" w:cs="Times New Roman"/>
          <w:sz w:val="24"/>
        </w:rPr>
      </w:pPr>
    </w:p>
    <w:p w:rsidR="00AF1BDC" w:rsidRDefault="00AF1BDC" w:rsidP="00AF1BDC">
      <w:pPr>
        <w:pStyle w:val="NoSpacing"/>
        <w:spacing w:line="480" w:lineRule="auto"/>
        <w:jc w:val="center"/>
        <w:rPr>
          <w:rFonts w:ascii="Times New Roman" w:hAnsi="Times New Roman" w:cs="Times New Roman"/>
          <w:b/>
          <w:bCs/>
          <w:sz w:val="24"/>
        </w:rPr>
      </w:pPr>
      <w:bookmarkStart w:id="0" w:name="_GoBack"/>
      <w:bookmarkEnd w:id="0"/>
    </w:p>
    <w:p w:rsidR="00AF1BDC" w:rsidRDefault="00AF1BDC"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9B10EB" w:rsidRDefault="009B10EB" w:rsidP="00AF1BDC">
      <w:pPr>
        <w:pStyle w:val="NoSpacing"/>
        <w:spacing w:line="480" w:lineRule="auto"/>
        <w:jc w:val="center"/>
        <w:rPr>
          <w:rFonts w:ascii="Times New Roman" w:hAnsi="Times New Roman" w:cs="Times New Roman"/>
          <w:b/>
          <w:bCs/>
          <w:sz w:val="24"/>
        </w:rPr>
      </w:pPr>
    </w:p>
    <w:p w:rsidR="00AF1BDC" w:rsidRDefault="00AF1BDC" w:rsidP="00AF1BDC">
      <w:pPr>
        <w:pStyle w:val="NoSpacing"/>
        <w:spacing w:line="480" w:lineRule="auto"/>
        <w:jc w:val="center"/>
        <w:rPr>
          <w:rFonts w:ascii="Times New Roman" w:hAnsi="Times New Roman" w:cs="Times New Roman"/>
          <w:b/>
          <w:bCs/>
          <w:sz w:val="24"/>
        </w:rPr>
      </w:pPr>
      <w:r w:rsidRPr="00AF1BDC">
        <w:rPr>
          <w:rFonts w:ascii="Times New Roman" w:hAnsi="Times New Roman" w:cs="Times New Roman"/>
          <w:b/>
          <w:bCs/>
          <w:sz w:val="24"/>
        </w:rPr>
        <w:lastRenderedPageBreak/>
        <w:t xml:space="preserve">CHAPTER </w:t>
      </w:r>
      <w:r>
        <w:rPr>
          <w:rFonts w:ascii="Times New Roman" w:hAnsi="Times New Roman" w:cs="Times New Roman"/>
          <w:b/>
          <w:bCs/>
          <w:sz w:val="24"/>
        </w:rPr>
        <w:t>THREE</w:t>
      </w:r>
    </w:p>
    <w:p w:rsidR="00AF1BDC" w:rsidRPr="00AF1BDC" w:rsidRDefault="00AF1BDC" w:rsidP="00AF1BDC">
      <w:pPr>
        <w:pStyle w:val="NoSpacing"/>
        <w:spacing w:line="480" w:lineRule="auto"/>
        <w:jc w:val="center"/>
        <w:rPr>
          <w:rFonts w:ascii="Times New Roman" w:hAnsi="Times New Roman" w:cs="Times New Roman"/>
          <w:sz w:val="24"/>
        </w:rPr>
      </w:pPr>
      <w:r w:rsidRPr="00AF1BDC">
        <w:rPr>
          <w:rFonts w:ascii="Times New Roman" w:hAnsi="Times New Roman" w:cs="Times New Roman"/>
          <w:b/>
          <w:bCs/>
          <w:sz w:val="24"/>
        </w:rPr>
        <w:t>MATERIALS AND METHODS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 xml:space="preserve">3.1 MATERIALS </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UV-Vis spectroscopy is a rapid and sensitive method based on the absorbance of ascorbic acid at a specific wavelength. The absorbance data are used to quantify the vitamin C content by comparing the sample readings to a standard calibration curve. The following materials and equipment were used in the experiment:</w:t>
      </w:r>
    </w:p>
    <w:p w:rsidR="00AF1BDC" w:rsidRPr="00AF1BDC" w:rsidRDefault="00AF1BDC" w:rsidP="00AF1BDC">
      <w:pPr>
        <w:pStyle w:val="NoSpacing"/>
        <w:spacing w:line="480" w:lineRule="auto"/>
        <w:jc w:val="both"/>
        <w:rPr>
          <w:rFonts w:ascii="Times New Roman" w:hAnsi="Times New Roman" w:cs="Times New Roman"/>
          <w:b/>
          <w:bCs/>
          <w:sz w:val="24"/>
        </w:rPr>
      </w:pPr>
      <w:r w:rsidRPr="00AF1BDC">
        <w:rPr>
          <w:rFonts w:ascii="Times New Roman" w:hAnsi="Times New Roman" w:cs="Times New Roman"/>
          <w:b/>
          <w:bCs/>
          <w:sz w:val="24"/>
        </w:rPr>
        <w:t xml:space="preserve">GLASSWARES AND LABORATORY TOOLS </w:t>
      </w:r>
    </w:p>
    <w:p w:rsidR="00AF1BDC" w:rsidRPr="00AF1BDC" w:rsidRDefault="00AF1BDC" w:rsidP="00AF1BDC">
      <w:pPr>
        <w:pStyle w:val="NoSpacing"/>
        <w:numPr>
          <w:ilvl w:val="0"/>
          <w:numId w:val="5"/>
        </w:numPr>
        <w:spacing w:line="480" w:lineRule="auto"/>
        <w:jc w:val="both"/>
        <w:rPr>
          <w:rFonts w:ascii="Times New Roman" w:hAnsi="Times New Roman" w:cs="Times New Roman"/>
          <w:sz w:val="24"/>
        </w:rPr>
      </w:pPr>
      <w:r w:rsidRPr="00AF1BDC">
        <w:rPr>
          <w:rFonts w:ascii="Times New Roman" w:hAnsi="Times New Roman" w:cs="Times New Roman"/>
          <w:sz w:val="24"/>
        </w:rPr>
        <w:t>10 mL and 25 mL pipettes</w:t>
      </w:r>
    </w:p>
    <w:p w:rsidR="00AF1BDC" w:rsidRPr="00AF1BDC" w:rsidRDefault="00AF1BDC" w:rsidP="00AF1BDC">
      <w:pPr>
        <w:pStyle w:val="NoSpacing"/>
        <w:numPr>
          <w:ilvl w:val="0"/>
          <w:numId w:val="5"/>
        </w:numPr>
        <w:spacing w:line="480" w:lineRule="auto"/>
        <w:jc w:val="both"/>
        <w:rPr>
          <w:rFonts w:ascii="Times New Roman" w:hAnsi="Times New Roman" w:cs="Times New Roman"/>
          <w:sz w:val="24"/>
        </w:rPr>
      </w:pPr>
      <w:r w:rsidRPr="00AF1BDC">
        <w:rPr>
          <w:rFonts w:ascii="Times New Roman" w:hAnsi="Times New Roman" w:cs="Times New Roman"/>
          <w:sz w:val="24"/>
        </w:rPr>
        <w:t>100 mL and 250 mL volumetric flasks</w:t>
      </w:r>
    </w:p>
    <w:p w:rsidR="00AF1BDC" w:rsidRPr="00AF1BDC" w:rsidRDefault="00AF1BDC" w:rsidP="00AF1BDC">
      <w:pPr>
        <w:pStyle w:val="NoSpacing"/>
        <w:numPr>
          <w:ilvl w:val="0"/>
          <w:numId w:val="5"/>
        </w:numPr>
        <w:spacing w:line="480" w:lineRule="auto"/>
        <w:jc w:val="both"/>
        <w:rPr>
          <w:rFonts w:ascii="Times New Roman" w:hAnsi="Times New Roman" w:cs="Times New Roman"/>
          <w:sz w:val="24"/>
        </w:rPr>
      </w:pPr>
      <w:r w:rsidRPr="00AF1BDC">
        <w:rPr>
          <w:rFonts w:ascii="Times New Roman" w:hAnsi="Times New Roman" w:cs="Times New Roman"/>
          <w:sz w:val="24"/>
        </w:rPr>
        <w:t>Beakers (50 mL, 100 mL)</w:t>
      </w:r>
    </w:p>
    <w:p w:rsidR="00AF1BDC" w:rsidRPr="00AF1BDC" w:rsidRDefault="00AF1BDC" w:rsidP="00AF1BDC">
      <w:pPr>
        <w:pStyle w:val="NoSpacing"/>
        <w:numPr>
          <w:ilvl w:val="0"/>
          <w:numId w:val="5"/>
        </w:numPr>
        <w:spacing w:line="480" w:lineRule="auto"/>
        <w:jc w:val="both"/>
        <w:rPr>
          <w:rFonts w:ascii="Times New Roman" w:hAnsi="Times New Roman" w:cs="Times New Roman"/>
          <w:sz w:val="24"/>
        </w:rPr>
      </w:pPr>
      <w:r w:rsidRPr="00AF1BDC">
        <w:rPr>
          <w:rFonts w:ascii="Times New Roman" w:hAnsi="Times New Roman" w:cs="Times New Roman"/>
          <w:sz w:val="24"/>
        </w:rPr>
        <w:t>Quartz cuvettes (UV-Vis compatible)</w:t>
      </w:r>
    </w:p>
    <w:p w:rsidR="00AF1BDC" w:rsidRPr="00AF1BDC" w:rsidRDefault="00AF1BDC" w:rsidP="00AF1BDC">
      <w:pPr>
        <w:pStyle w:val="NoSpacing"/>
        <w:numPr>
          <w:ilvl w:val="0"/>
          <w:numId w:val="5"/>
        </w:numPr>
        <w:spacing w:line="480" w:lineRule="auto"/>
        <w:jc w:val="both"/>
        <w:rPr>
          <w:rFonts w:ascii="Times New Roman" w:hAnsi="Times New Roman" w:cs="Times New Roman"/>
          <w:sz w:val="24"/>
        </w:rPr>
      </w:pPr>
      <w:r w:rsidRPr="00AF1BDC">
        <w:rPr>
          <w:rFonts w:ascii="Times New Roman" w:hAnsi="Times New Roman" w:cs="Times New Roman"/>
          <w:sz w:val="24"/>
        </w:rPr>
        <w:t>Analytical balance (±0.01 g accuracy)</w:t>
      </w:r>
    </w:p>
    <w:p w:rsidR="00AF1BDC" w:rsidRPr="00AF1BDC" w:rsidRDefault="00AF1BDC" w:rsidP="00AF1BDC">
      <w:pPr>
        <w:pStyle w:val="NoSpacing"/>
        <w:numPr>
          <w:ilvl w:val="0"/>
          <w:numId w:val="5"/>
        </w:numPr>
        <w:spacing w:line="480" w:lineRule="auto"/>
        <w:jc w:val="both"/>
        <w:rPr>
          <w:rFonts w:ascii="Times New Roman" w:hAnsi="Times New Roman" w:cs="Times New Roman"/>
          <w:sz w:val="24"/>
        </w:rPr>
      </w:pPr>
      <w:r w:rsidRPr="00AF1BDC">
        <w:rPr>
          <w:rFonts w:ascii="Times New Roman" w:hAnsi="Times New Roman" w:cs="Times New Roman"/>
          <w:sz w:val="24"/>
        </w:rPr>
        <w:t>Stirring rod</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EQUIPMENTS</w:t>
      </w:r>
      <w:r w:rsidRPr="00AF1BDC">
        <w:rPr>
          <w:rFonts w:ascii="Times New Roman" w:hAnsi="Times New Roman" w:cs="Times New Roman"/>
          <w:sz w:val="24"/>
        </w:rPr>
        <w:t>:</w:t>
      </w:r>
    </w:p>
    <w:p w:rsidR="00AF1BDC" w:rsidRPr="00AF1BDC" w:rsidRDefault="00AF1BDC" w:rsidP="00AF1BDC">
      <w:pPr>
        <w:pStyle w:val="NoSpacing"/>
        <w:numPr>
          <w:ilvl w:val="0"/>
          <w:numId w:val="6"/>
        </w:numPr>
        <w:spacing w:line="480" w:lineRule="auto"/>
        <w:jc w:val="both"/>
        <w:rPr>
          <w:rFonts w:ascii="Times New Roman" w:hAnsi="Times New Roman" w:cs="Times New Roman"/>
          <w:sz w:val="24"/>
        </w:rPr>
      </w:pPr>
      <w:r w:rsidRPr="00AF1BDC">
        <w:rPr>
          <w:rFonts w:ascii="Times New Roman" w:hAnsi="Times New Roman" w:cs="Times New Roman"/>
          <w:sz w:val="24"/>
        </w:rPr>
        <w:t>UV-Visible Spectrophotometer (wavelength range: 200–800 nm)</w:t>
      </w:r>
    </w:p>
    <w:p w:rsidR="00AF1BDC" w:rsidRPr="00AF1BDC" w:rsidRDefault="00AF1BDC" w:rsidP="00AF1BDC">
      <w:pPr>
        <w:pStyle w:val="NoSpacing"/>
        <w:numPr>
          <w:ilvl w:val="0"/>
          <w:numId w:val="6"/>
        </w:numPr>
        <w:spacing w:line="480" w:lineRule="auto"/>
        <w:jc w:val="both"/>
        <w:rPr>
          <w:rFonts w:ascii="Times New Roman" w:hAnsi="Times New Roman" w:cs="Times New Roman"/>
          <w:sz w:val="24"/>
        </w:rPr>
      </w:pPr>
      <w:r w:rsidRPr="00AF1BDC">
        <w:rPr>
          <w:rFonts w:ascii="Times New Roman" w:hAnsi="Times New Roman" w:cs="Times New Roman"/>
          <w:sz w:val="24"/>
        </w:rPr>
        <w:t>Retort stand and pipette filler</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REAGENTS AND CHEMICALS</w:t>
      </w:r>
      <w:r w:rsidRPr="00AF1BDC">
        <w:rPr>
          <w:rFonts w:ascii="Times New Roman" w:hAnsi="Times New Roman" w:cs="Times New Roman"/>
          <w:sz w:val="24"/>
        </w:rPr>
        <w:t>:</w:t>
      </w:r>
    </w:p>
    <w:p w:rsidR="00AF1BDC" w:rsidRPr="00AF1BDC" w:rsidRDefault="00AF1BDC" w:rsidP="00AF1BDC">
      <w:pPr>
        <w:pStyle w:val="NoSpacing"/>
        <w:numPr>
          <w:ilvl w:val="0"/>
          <w:numId w:val="7"/>
        </w:numPr>
        <w:spacing w:line="480" w:lineRule="auto"/>
        <w:jc w:val="both"/>
        <w:rPr>
          <w:rFonts w:ascii="Times New Roman" w:hAnsi="Times New Roman" w:cs="Times New Roman"/>
          <w:sz w:val="24"/>
        </w:rPr>
      </w:pPr>
      <w:r w:rsidRPr="00AF1BDC">
        <w:rPr>
          <w:rFonts w:ascii="Times New Roman" w:hAnsi="Times New Roman" w:cs="Times New Roman"/>
          <w:sz w:val="24"/>
        </w:rPr>
        <w:t>Ascorbic acid (vitamin C) standard</w:t>
      </w:r>
    </w:p>
    <w:p w:rsidR="00AF1BDC" w:rsidRPr="00AF1BDC" w:rsidRDefault="00AF1BDC" w:rsidP="00AF1BDC">
      <w:pPr>
        <w:pStyle w:val="NoSpacing"/>
        <w:numPr>
          <w:ilvl w:val="0"/>
          <w:numId w:val="7"/>
        </w:numPr>
        <w:spacing w:line="480" w:lineRule="auto"/>
        <w:jc w:val="both"/>
        <w:rPr>
          <w:rFonts w:ascii="Times New Roman" w:hAnsi="Times New Roman" w:cs="Times New Roman"/>
          <w:sz w:val="24"/>
        </w:rPr>
      </w:pPr>
      <w:r w:rsidRPr="00AF1BDC">
        <w:rPr>
          <w:rFonts w:ascii="Times New Roman" w:hAnsi="Times New Roman" w:cs="Times New Roman"/>
          <w:sz w:val="24"/>
        </w:rPr>
        <w:t>Distilled water</w:t>
      </w:r>
    </w:p>
    <w:p w:rsidR="00AF1BDC" w:rsidRPr="00AF1BDC" w:rsidRDefault="00AF1BDC" w:rsidP="00AF1BDC">
      <w:pPr>
        <w:pStyle w:val="NoSpacing"/>
        <w:numPr>
          <w:ilvl w:val="0"/>
          <w:numId w:val="7"/>
        </w:numPr>
        <w:spacing w:line="480" w:lineRule="auto"/>
        <w:jc w:val="both"/>
        <w:rPr>
          <w:rFonts w:ascii="Times New Roman" w:hAnsi="Times New Roman" w:cs="Times New Roman"/>
          <w:sz w:val="24"/>
        </w:rPr>
      </w:pPr>
      <w:r w:rsidRPr="00AF1BDC">
        <w:rPr>
          <w:rFonts w:ascii="Times New Roman" w:hAnsi="Times New Roman" w:cs="Times New Roman"/>
          <w:sz w:val="24"/>
        </w:rPr>
        <w:t>Apple juice samples (fresh and commercially available)</w:t>
      </w:r>
    </w:p>
    <w:p w:rsidR="00AF1BDC" w:rsidRPr="00AF1BDC" w:rsidRDefault="00AF1BDC" w:rsidP="00AF1BDC">
      <w:pPr>
        <w:pStyle w:val="NoSpacing"/>
        <w:numPr>
          <w:ilvl w:val="0"/>
          <w:numId w:val="7"/>
        </w:numPr>
        <w:spacing w:line="480" w:lineRule="auto"/>
        <w:jc w:val="both"/>
        <w:rPr>
          <w:rFonts w:ascii="Times New Roman" w:hAnsi="Times New Roman" w:cs="Times New Roman"/>
          <w:sz w:val="24"/>
        </w:rPr>
      </w:pPr>
      <w:r w:rsidRPr="00AF1BDC">
        <w:rPr>
          <w:rFonts w:ascii="Times New Roman" w:hAnsi="Times New Roman" w:cs="Times New Roman"/>
          <w:sz w:val="24"/>
        </w:rPr>
        <w:t>Metaphosphoric acid (to prevent oxidation of ascorbic acid)</w:t>
      </w:r>
    </w:p>
    <w:p w:rsidR="00AF1BDC" w:rsidRPr="00AF1BDC" w:rsidRDefault="00AF1BDC" w:rsidP="00AF1BDC">
      <w:pPr>
        <w:pStyle w:val="NoSpacing"/>
        <w:numPr>
          <w:ilvl w:val="0"/>
          <w:numId w:val="7"/>
        </w:numPr>
        <w:spacing w:line="480" w:lineRule="auto"/>
        <w:jc w:val="both"/>
        <w:rPr>
          <w:rFonts w:ascii="Times New Roman" w:hAnsi="Times New Roman" w:cs="Times New Roman"/>
          <w:sz w:val="24"/>
        </w:rPr>
      </w:pPr>
      <w:r w:rsidRPr="00AF1BDC">
        <w:rPr>
          <w:rFonts w:ascii="Times New Roman" w:hAnsi="Times New Roman" w:cs="Times New Roman"/>
          <w:sz w:val="24"/>
        </w:rPr>
        <w:t>Acetic acid (for stabilization)</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lastRenderedPageBreak/>
        <w:t>3.2 PREPARATION OF SOLUTUONS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3.2.1 Preparation of Standard Ascorbic Acid Solution</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1. 100mg of an accurate amount of pure ascorbic acid was weighed and dissolved it in distilled water in a 100 mL volumetric flask.</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2. It was diluted to the mark with distilled water to obtain a stock solution of known concentration (100mg/L).</w:t>
      </w:r>
    </w:p>
    <w:p w:rsidR="00AF1BDC" w:rsidRPr="00AF1BDC" w:rsidRDefault="00AF1BDC" w:rsidP="00AF1BDC">
      <w:pPr>
        <w:pStyle w:val="NoSpacing"/>
        <w:spacing w:line="480" w:lineRule="auto"/>
        <w:jc w:val="both"/>
        <w:rPr>
          <w:rFonts w:ascii="Times New Roman" w:hAnsi="Times New Roman" w:cs="Times New Roman"/>
          <w:sz w:val="24"/>
        </w:rPr>
      </w:pP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3. A series of standard solutions was prepared by diluting the stock solution to concentrations such as 10, 20, 40, 60, 80, and 100 mg/L.</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3.2.2 Preparation of Apple Juice Samples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1. Apple juice samples was filtered to remove pulp and other solid particles using filter paper or a centrifuge.</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2. A metaphosphoric acid (3% solution) was added to the juice samples to prevent oxidation and stabilize ascorbic acid. This also helps remove interfering compounds such as proteins and metal ions.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3. The juice samples was diluted  with distilled water to ensure their absorbance falls within the range of the calibration curve.</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 xml:space="preserve">3.3 EXPERIMENTAL PROCEDURE </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3.3.1 Calibration Curve Preparation</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1. UV-Vis spectrophotometer was turned on and was allowed to warm up for 10–15 minutes.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2. The spectrophotometer was set to the appropriate wavelength (usually 265–275 nm, the absorption maximum for ascorbic acid).</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3. A clean quartz cuvette was used, measurements and records of the absorbance of the standard ascorbic acid solutions at the selected wavelength was taken.</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lastRenderedPageBreak/>
        <w:t>4. A plot of calibration curve of absorbance versus concentration (mg/L) to establish the relationship between absorbance and ascorbic acid concentration.</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3.3.2 Measurement of Apple Juice Samples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1. An aliquot of the prepared apple juice sample was placed in a clean quartz cuvette.</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2. Measurements and records of the absorbance of the sample at the same wavelength used for the standards was taken.</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3. The measurements was repeated at least three times to ensure accuracy and precision.</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4. The calibration curve was used to determine the concentration of vitamin C in the apple juice samples.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t>3.4 DATA ANALYSIS</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The concentration of vitamin C in each apple juice sample will be calculated using the equation derived from the calibration curve (Beer-Lambert law):</w:t>
      </w:r>
    </w:p>
    <w:p w:rsidR="00AF1BDC" w:rsidRPr="00AF1BDC" w:rsidRDefault="00AF1BDC" w:rsidP="00AF1BDC">
      <w:pPr>
        <w:pStyle w:val="NoSpacing"/>
        <w:spacing w:line="480" w:lineRule="auto"/>
        <w:jc w:val="both"/>
        <w:rPr>
          <w:rFonts w:ascii="Times New Roman" w:hAnsi="Times New Roman" w:cs="Times New Roman"/>
          <w:sz w:val="24"/>
          <w:u w:val="single"/>
        </w:rPr>
      </w:pPr>
      <w:r w:rsidRPr="00AF1BDC">
        <w:rPr>
          <w:rFonts w:ascii="Times New Roman" w:hAnsi="Times New Roman" w:cs="Times New Roman"/>
          <w:sz w:val="24"/>
        </w:rPr>
        <w:t xml:space="preserve">Vitamin C content =  </w:t>
      </w:r>
      <w:r w:rsidRPr="00AF1BDC">
        <w:rPr>
          <w:rFonts w:ascii="Times New Roman" w:hAnsi="Times New Roman" w:cs="Times New Roman"/>
          <w:sz w:val="24"/>
          <w:u w:val="single"/>
        </w:rPr>
        <w:t>A</w:t>
      </w:r>
      <w:r w:rsidRPr="00AF1BDC">
        <w:rPr>
          <w:rFonts w:ascii="Times New Roman" w:hAnsi="Times New Roman" w:cs="Times New Roman"/>
          <w:sz w:val="24"/>
          <w:u w:val="single"/>
          <w:vertAlign w:val="subscript"/>
        </w:rPr>
        <w:t xml:space="preserve"> sample </w:t>
      </w:r>
      <w:r w:rsidRPr="00AF1BDC">
        <w:rPr>
          <w:rFonts w:ascii="Times New Roman" w:hAnsi="Times New Roman" w:cs="Times New Roman"/>
          <w:sz w:val="24"/>
          <w:u w:val="single"/>
        </w:rPr>
        <w:t>- b</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 xml:space="preserve">                               M</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Where:</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C</w:t>
      </w:r>
      <w:r w:rsidRPr="00AF1BDC">
        <w:rPr>
          <w:rFonts w:ascii="Times New Roman" w:hAnsi="Times New Roman" w:cs="Times New Roman"/>
          <w:sz w:val="24"/>
          <w:vertAlign w:val="subscript"/>
        </w:rPr>
        <w:t>sample</w:t>
      </w:r>
      <w:r w:rsidRPr="00AF1BDC">
        <w:rPr>
          <w:rFonts w:ascii="Times New Roman" w:hAnsi="Times New Roman" w:cs="Times New Roman"/>
          <w:sz w:val="24"/>
        </w:rPr>
        <w:t>: concentration of vitamin C in the apple juice sample (mg/L)</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A</w:t>
      </w:r>
      <w:r w:rsidRPr="00AF1BDC">
        <w:rPr>
          <w:rFonts w:ascii="Times New Roman" w:hAnsi="Times New Roman" w:cs="Times New Roman"/>
          <w:sz w:val="24"/>
          <w:vertAlign w:val="subscript"/>
        </w:rPr>
        <w:t>samples</w:t>
      </w:r>
      <w:r w:rsidRPr="00AF1BDC">
        <w:rPr>
          <w:rFonts w:ascii="Times New Roman" w:hAnsi="Times New Roman" w:cs="Times New Roman"/>
          <w:sz w:val="24"/>
        </w:rPr>
        <w:t>: absorbance of the apple juice sample</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b : intercept of the calibration curve</w:t>
      </w: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M : slope of the calibration curve</w:t>
      </w:r>
    </w:p>
    <w:p w:rsidR="00AF1BDC" w:rsidRPr="00AF1BDC" w:rsidRDefault="00AF1BDC" w:rsidP="00AF1BDC">
      <w:pPr>
        <w:pStyle w:val="NoSpacing"/>
        <w:spacing w:line="480" w:lineRule="auto"/>
        <w:jc w:val="both"/>
        <w:rPr>
          <w:rFonts w:ascii="Times New Roman" w:hAnsi="Times New Roman" w:cs="Times New Roman"/>
          <w:sz w:val="24"/>
        </w:rPr>
      </w:pP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sz w:val="24"/>
        </w:rPr>
        <w:t>The final concentration of vitamin C may be expressed as mg of vitamin C per 100 mL of juice (mg/100 mL) for ease of comparison.</w:t>
      </w:r>
    </w:p>
    <w:p w:rsidR="009B10EB" w:rsidRDefault="009B10EB" w:rsidP="00AF1BDC">
      <w:pPr>
        <w:pStyle w:val="NoSpacing"/>
        <w:spacing w:line="480" w:lineRule="auto"/>
        <w:jc w:val="both"/>
        <w:rPr>
          <w:rFonts w:ascii="Times New Roman" w:hAnsi="Times New Roman" w:cs="Times New Roman"/>
          <w:b/>
          <w:bCs/>
          <w:sz w:val="24"/>
        </w:rPr>
      </w:pPr>
    </w:p>
    <w:p w:rsidR="00AF1BDC" w:rsidRPr="00AF1BDC" w:rsidRDefault="00AF1BDC" w:rsidP="00AF1BDC">
      <w:pPr>
        <w:pStyle w:val="NoSpacing"/>
        <w:spacing w:line="480" w:lineRule="auto"/>
        <w:jc w:val="both"/>
        <w:rPr>
          <w:rFonts w:ascii="Times New Roman" w:hAnsi="Times New Roman" w:cs="Times New Roman"/>
          <w:sz w:val="24"/>
        </w:rPr>
      </w:pPr>
      <w:r w:rsidRPr="00AF1BDC">
        <w:rPr>
          <w:rFonts w:ascii="Times New Roman" w:hAnsi="Times New Roman" w:cs="Times New Roman"/>
          <w:b/>
          <w:bCs/>
          <w:sz w:val="24"/>
        </w:rPr>
        <w:lastRenderedPageBreak/>
        <w:t>3.5 PRECAUTIONS</w:t>
      </w:r>
    </w:p>
    <w:p w:rsidR="00AF1BDC" w:rsidRPr="00AF1BDC" w:rsidRDefault="00AF1BDC" w:rsidP="00AF1BDC">
      <w:pPr>
        <w:pStyle w:val="NoSpacing"/>
        <w:numPr>
          <w:ilvl w:val="0"/>
          <w:numId w:val="8"/>
        </w:numPr>
        <w:spacing w:line="480" w:lineRule="auto"/>
        <w:jc w:val="both"/>
        <w:rPr>
          <w:rFonts w:ascii="Times New Roman" w:hAnsi="Times New Roman" w:cs="Times New Roman"/>
          <w:sz w:val="24"/>
        </w:rPr>
      </w:pPr>
      <w:r w:rsidRPr="00AF1BDC">
        <w:rPr>
          <w:rFonts w:ascii="Times New Roman" w:hAnsi="Times New Roman" w:cs="Times New Roman"/>
          <w:sz w:val="24"/>
        </w:rPr>
        <w:t>Use quartz cuvettes to ensure accurate UV-Vis measurements, as glass or plastic may absorb UV light.</w:t>
      </w:r>
    </w:p>
    <w:p w:rsidR="00AF1BDC" w:rsidRPr="00AF1BDC" w:rsidRDefault="00AF1BDC" w:rsidP="00AF1BDC">
      <w:pPr>
        <w:pStyle w:val="NoSpacing"/>
        <w:numPr>
          <w:ilvl w:val="0"/>
          <w:numId w:val="9"/>
        </w:numPr>
        <w:spacing w:line="480" w:lineRule="auto"/>
        <w:jc w:val="both"/>
        <w:rPr>
          <w:rFonts w:ascii="Times New Roman" w:hAnsi="Times New Roman" w:cs="Times New Roman"/>
          <w:sz w:val="24"/>
        </w:rPr>
      </w:pPr>
      <w:r w:rsidRPr="00AF1BDC">
        <w:rPr>
          <w:rFonts w:ascii="Times New Roman" w:hAnsi="Times New Roman" w:cs="Times New Roman"/>
          <w:sz w:val="24"/>
        </w:rPr>
        <w:t>Handle ascorbic acid and juice samples carefully to avoid degradation due to exposure to air, light, or heat.</w:t>
      </w:r>
    </w:p>
    <w:p w:rsidR="00AF1BDC" w:rsidRPr="00AF1BDC" w:rsidRDefault="00AF1BDC" w:rsidP="00AF1BDC">
      <w:pPr>
        <w:pStyle w:val="NoSpacing"/>
        <w:numPr>
          <w:ilvl w:val="0"/>
          <w:numId w:val="10"/>
        </w:numPr>
        <w:spacing w:line="480" w:lineRule="auto"/>
        <w:jc w:val="both"/>
        <w:rPr>
          <w:rFonts w:ascii="Times New Roman" w:hAnsi="Times New Roman" w:cs="Times New Roman"/>
          <w:sz w:val="24"/>
        </w:rPr>
      </w:pPr>
      <w:r w:rsidRPr="00AF1BDC">
        <w:rPr>
          <w:rFonts w:ascii="Times New Roman" w:hAnsi="Times New Roman" w:cs="Times New Roman"/>
          <w:sz w:val="24"/>
        </w:rPr>
        <w:t>Ensure that the spectrophotometer is properly calibrated and warmed up before starting measurements.</w:t>
      </w:r>
    </w:p>
    <w:p w:rsidR="00AF1BDC" w:rsidRPr="00AF1BDC" w:rsidRDefault="00AF1BDC" w:rsidP="00AF1BDC">
      <w:pPr>
        <w:pStyle w:val="NoSpacing"/>
        <w:numPr>
          <w:ilvl w:val="0"/>
          <w:numId w:val="11"/>
        </w:numPr>
        <w:spacing w:line="480" w:lineRule="auto"/>
        <w:jc w:val="both"/>
        <w:rPr>
          <w:rFonts w:ascii="Times New Roman" w:hAnsi="Times New Roman" w:cs="Times New Roman"/>
          <w:sz w:val="24"/>
        </w:rPr>
      </w:pPr>
      <w:r w:rsidRPr="00AF1BDC">
        <w:rPr>
          <w:rFonts w:ascii="Times New Roman" w:hAnsi="Times New Roman" w:cs="Times New Roman"/>
          <w:sz w:val="24"/>
        </w:rPr>
        <w:t>Prepare fresh juice samples and standards to prevent ascorbic acid degradation.</w:t>
      </w:r>
    </w:p>
    <w:p w:rsidR="00AF1BDC" w:rsidRPr="00AF1BDC" w:rsidRDefault="00AF1BDC" w:rsidP="00AF1BDC">
      <w:pPr>
        <w:pStyle w:val="NoSpacing"/>
        <w:numPr>
          <w:ilvl w:val="0"/>
          <w:numId w:val="12"/>
        </w:numPr>
        <w:spacing w:line="480" w:lineRule="auto"/>
        <w:jc w:val="both"/>
        <w:rPr>
          <w:rFonts w:ascii="Times New Roman" w:hAnsi="Times New Roman" w:cs="Times New Roman"/>
          <w:sz w:val="24"/>
        </w:rPr>
      </w:pPr>
      <w:r w:rsidRPr="00AF1BDC">
        <w:rPr>
          <w:rFonts w:ascii="Times New Roman" w:hAnsi="Times New Roman" w:cs="Times New Roman"/>
          <w:sz w:val="24"/>
        </w:rPr>
        <w:t>Rinse cuvettes thoroughly between measurements to avoid cross-contamination.</w:t>
      </w:r>
    </w:p>
    <w:p w:rsidR="00AF1BDC" w:rsidRPr="00AF1BDC" w:rsidRDefault="00AF1BDC" w:rsidP="00AF1BDC">
      <w:pPr>
        <w:pStyle w:val="NoSpacing"/>
        <w:spacing w:line="480" w:lineRule="auto"/>
        <w:jc w:val="both"/>
        <w:rPr>
          <w:rFonts w:ascii="Times New Roman" w:hAnsi="Times New Roman" w:cs="Times New Roman"/>
          <w:sz w:val="24"/>
        </w:rPr>
      </w:pPr>
    </w:p>
    <w:p w:rsidR="009B10EB" w:rsidRPr="009B10EB" w:rsidRDefault="009B10EB" w:rsidP="009B10EB">
      <w:pPr>
        <w:pStyle w:val="NoSpacing"/>
        <w:spacing w:line="480" w:lineRule="auto"/>
        <w:jc w:val="both"/>
        <w:rPr>
          <w:rFonts w:ascii="Times New Roman" w:hAnsi="Times New Roman"/>
          <w:b/>
          <w:bCs/>
          <w:sz w:val="24"/>
        </w:rPr>
      </w:pPr>
      <w:r w:rsidRPr="009B10EB">
        <w:rPr>
          <w:rFonts w:ascii="Times New Roman" w:hAnsi="Times New Roman"/>
          <w:b/>
          <w:bCs/>
          <w:sz w:val="24"/>
        </w:rPr>
        <w:t xml:space="preserve">RESULTS </w:t>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b/>
          <w:bCs/>
          <w:sz w:val="24"/>
        </w:rPr>
        <w:t>1. Apple Juice</w:t>
      </w:r>
      <w:r w:rsidRPr="009B10EB">
        <w:rPr>
          <w:rFonts w:ascii="Times New Roman" w:hAnsi="Times New Roman"/>
          <w:sz w:val="24"/>
        </w:rPr>
        <w:t>: Shows a strong absorption peak at 265 nm, indicating relatively high vitamin C content.</w:t>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noProof/>
          <w:sz w:val="24"/>
        </w:rPr>
        <w:drawing>
          <wp:inline distT="0" distB="0" distL="114300" distR="114300">
            <wp:extent cx="3019805" cy="2024844"/>
            <wp:effectExtent l="0" t="0" r="0" b="0"/>
            <wp:docPr id="7"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9" cstate="print"/>
                    <a:srcRect t="34770" r="-1615" b="34570"/>
                    <a:stretch/>
                  </pic:blipFill>
                  <pic:spPr>
                    <a:xfrm>
                      <a:off x="0" y="0"/>
                      <a:ext cx="3019805" cy="2024844"/>
                    </a:xfrm>
                    <a:prstGeom prst="rect">
                      <a:avLst/>
                    </a:prstGeom>
                  </pic:spPr>
                </pic:pic>
              </a:graphicData>
            </a:graphic>
          </wp:inline>
        </w:drawing>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b/>
          <w:bCs/>
          <w:sz w:val="24"/>
        </w:rPr>
        <w:t>2. Bigi Apple</w:t>
      </w:r>
      <w:r w:rsidRPr="009B10EB">
        <w:rPr>
          <w:rFonts w:ascii="Times New Roman" w:hAnsi="Times New Roman"/>
          <w:sz w:val="24"/>
        </w:rPr>
        <w:t>: A moderate absorption peak, reflecting lower vitamin C compared to natural apple juice.</w:t>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noProof/>
          <w:sz w:val="24"/>
        </w:rPr>
        <w:lastRenderedPageBreak/>
        <w:drawing>
          <wp:inline distT="0" distB="0" distL="114300" distR="114300">
            <wp:extent cx="3056694" cy="2027109"/>
            <wp:effectExtent l="0" t="0" r="0" b="0"/>
            <wp:docPr id="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10" cstate="print"/>
                    <a:srcRect l="1795" t="34415" r="-4651" b="34890"/>
                    <a:stretch/>
                  </pic:blipFill>
                  <pic:spPr>
                    <a:xfrm>
                      <a:off x="0" y="0"/>
                      <a:ext cx="3056694" cy="2027109"/>
                    </a:xfrm>
                    <a:prstGeom prst="rect">
                      <a:avLst/>
                    </a:prstGeom>
                  </pic:spPr>
                </pic:pic>
              </a:graphicData>
            </a:graphic>
          </wp:inline>
        </w:drawing>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b/>
          <w:bCs/>
          <w:sz w:val="24"/>
        </w:rPr>
        <w:t>3. Nutri Milk Apple Drink</w:t>
      </w:r>
      <w:r w:rsidRPr="009B10EB">
        <w:rPr>
          <w:rFonts w:ascii="Times New Roman" w:hAnsi="Times New Roman"/>
          <w:sz w:val="24"/>
        </w:rPr>
        <w:t>: Displays the weakest peak, possibly due to dilution with milk or reduced vitamin C.</w:t>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noProof/>
          <w:sz w:val="24"/>
        </w:rPr>
        <w:drawing>
          <wp:inline distT="0" distB="0" distL="114300" distR="114300">
            <wp:extent cx="3230880" cy="1990934"/>
            <wp:effectExtent l="0" t="0" r="0" b="0"/>
            <wp:docPr id="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11" cstate="print"/>
                    <a:srcRect t="35556" r="-4176" b="35556"/>
                    <a:stretch/>
                  </pic:blipFill>
                  <pic:spPr>
                    <a:xfrm>
                      <a:off x="0" y="0"/>
                      <a:ext cx="3230880" cy="1990934"/>
                    </a:xfrm>
                    <a:prstGeom prst="rect">
                      <a:avLst/>
                    </a:prstGeom>
                  </pic:spPr>
                </pic:pic>
              </a:graphicData>
            </a:graphic>
          </wp:inline>
        </w:drawing>
      </w:r>
    </w:p>
    <w:p w:rsidR="009B10EB" w:rsidRPr="009B10EB" w:rsidRDefault="009B10EB" w:rsidP="009B10EB">
      <w:pPr>
        <w:pStyle w:val="NoSpacing"/>
        <w:spacing w:line="480" w:lineRule="auto"/>
        <w:jc w:val="both"/>
        <w:rPr>
          <w:rFonts w:ascii="Times New Roman" w:hAnsi="Times New Roman"/>
          <w:sz w:val="24"/>
        </w:rPr>
      </w:pP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b/>
          <w:bCs/>
          <w:sz w:val="24"/>
        </w:rPr>
        <w:t>4. Chivita Apple Drink</w:t>
      </w:r>
      <w:r w:rsidRPr="009B10EB">
        <w:rPr>
          <w:rFonts w:ascii="Times New Roman" w:hAnsi="Times New Roman"/>
          <w:sz w:val="24"/>
        </w:rPr>
        <w:t>: Moderate absorption, likely reflecting processed juice content.</w:t>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noProof/>
          <w:sz w:val="24"/>
        </w:rPr>
        <w:drawing>
          <wp:inline distT="0" distB="0" distL="114300" distR="114300">
            <wp:extent cx="3155315" cy="1951355"/>
            <wp:effectExtent l="0" t="0" r="0" b="0"/>
            <wp:docPr id="10"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12" cstate="print"/>
                    <a:srcRect t="35145" r="-6175" b="35308"/>
                    <a:stretch/>
                  </pic:blipFill>
                  <pic:spPr>
                    <a:xfrm>
                      <a:off x="0" y="0"/>
                      <a:ext cx="3155315" cy="1951355"/>
                    </a:xfrm>
                    <a:prstGeom prst="rect">
                      <a:avLst/>
                    </a:prstGeom>
                  </pic:spPr>
                </pic:pic>
              </a:graphicData>
            </a:graphic>
          </wp:inline>
        </w:drawing>
      </w:r>
    </w:p>
    <w:p w:rsidR="009B10EB" w:rsidRPr="009B10EB" w:rsidRDefault="009B10EB" w:rsidP="009B10EB">
      <w:pPr>
        <w:pStyle w:val="NoSpacing"/>
        <w:spacing w:line="480" w:lineRule="auto"/>
        <w:jc w:val="both"/>
        <w:rPr>
          <w:rFonts w:ascii="Times New Roman" w:hAnsi="Times New Roman"/>
          <w:b/>
          <w:bCs/>
          <w:sz w:val="24"/>
        </w:rPr>
      </w:pPr>
      <w:r w:rsidRPr="009B10EB">
        <w:rPr>
          <w:rFonts w:ascii="Times New Roman" w:hAnsi="Times New Roman"/>
          <w:b/>
          <w:bCs/>
          <w:sz w:val="24"/>
        </w:rPr>
        <w:t>2. Calibration Curve:</w:t>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noProof/>
          <w:sz w:val="24"/>
        </w:rPr>
        <w:lastRenderedPageBreak/>
        <w:drawing>
          <wp:inline distT="0" distB="0" distL="114300" distR="114300">
            <wp:extent cx="2971800" cy="2079002"/>
            <wp:effectExtent l="0" t="0" r="0" b="0"/>
            <wp:docPr id="1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r:embed="rId13" cstate="print"/>
                    <a:srcRect/>
                    <a:stretch/>
                  </pic:blipFill>
                  <pic:spPr>
                    <a:xfrm>
                      <a:off x="0" y="0"/>
                      <a:ext cx="2971800" cy="2079002"/>
                    </a:xfrm>
                    <a:prstGeom prst="rect">
                      <a:avLst/>
                    </a:prstGeom>
                  </pic:spPr>
                </pic:pic>
              </a:graphicData>
            </a:graphic>
          </wp:inline>
        </w:drawing>
      </w:r>
    </w:p>
    <w:p w:rsidR="009B10EB" w:rsidRPr="009B10EB" w:rsidRDefault="009B10EB" w:rsidP="009B10EB">
      <w:pPr>
        <w:pStyle w:val="NoSpacing"/>
        <w:spacing w:line="480" w:lineRule="auto"/>
        <w:jc w:val="both"/>
        <w:rPr>
          <w:rFonts w:ascii="Times New Roman" w:hAnsi="Times New Roman"/>
          <w:sz w:val="24"/>
        </w:rPr>
      </w:pPr>
      <w:r w:rsidRPr="009B10EB">
        <w:rPr>
          <w:rFonts w:ascii="Times New Roman" w:hAnsi="Times New Roman"/>
          <w:sz w:val="24"/>
        </w:rPr>
        <w:t>A linear relationship between vitamin C concentration (mg/L) and absorbance at 265 nm.</w:t>
      </w:r>
    </w:p>
    <w:p w:rsidR="009B10EB" w:rsidRPr="009B10EB" w:rsidRDefault="009B10EB" w:rsidP="009B10EB">
      <w:pPr>
        <w:pStyle w:val="NoSpacing"/>
        <w:spacing w:line="480" w:lineRule="auto"/>
        <w:jc w:val="both"/>
        <w:rPr>
          <w:rFonts w:ascii="Times New Roman" w:hAnsi="Times New Roman"/>
          <w:sz w:val="24"/>
        </w:rPr>
      </w:pPr>
    </w:p>
    <w:p w:rsidR="009B10EB" w:rsidRPr="009B10EB" w:rsidRDefault="009B10EB" w:rsidP="009B10EB">
      <w:pPr>
        <w:pStyle w:val="NoSpacing"/>
        <w:spacing w:line="480" w:lineRule="auto"/>
        <w:jc w:val="both"/>
        <w:rPr>
          <w:rFonts w:ascii="Times New Roman" w:hAnsi="Times New Roman"/>
          <w:sz w:val="24"/>
        </w:rPr>
      </w:pPr>
    </w:p>
    <w:p w:rsidR="009B10EB" w:rsidRPr="009B10EB" w:rsidRDefault="009B10EB" w:rsidP="009B10EB">
      <w:pPr>
        <w:pStyle w:val="NoSpacing"/>
        <w:spacing w:line="480" w:lineRule="auto"/>
        <w:jc w:val="both"/>
        <w:rPr>
          <w:rFonts w:ascii="Times New Roman" w:hAnsi="Times New Roman"/>
          <w:sz w:val="24"/>
        </w:rPr>
      </w:pPr>
    </w:p>
    <w:p w:rsidR="008F06AE" w:rsidRDefault="008F06AE"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both"/>
        <w:rPr>
          <w:rFonts w:ascii="Times New Roman" w:hAnsi="Times New Roman" w:cs="Times New Roman"/>
          <w:sz w:val="24"/>
        </w:rPr>
      </w:pPr>
    </w:p>
    <w:p w:rsidR="009B10EB" w:rsidRDefault="009B10EB" w:rsidP="009B10EB">
      <w:pPr>
        <w:pStyle w:val="NoSpacing"/>
        <w:spacing w:line="480" w:lineRule="auto"/>
        <w:jc w:val="center"/>
        <w:rPr>
          <w:rFonts w:ascii="Times New Roman" w:hAnsi="Times New Roman"/>
          <w:b/>
          <w:bCs/>
          <w:sz w:val="24"/>
        </w:rPr>
      </w:pPr>
      <w:r>
        <w:rPr>
          <w:rFonts w:ascii="Times New Roman" w:hAnsi="Times New Roman"/>
          <w:b/>
          <w:bCs/>
          <w:sz w:val="24"/>
        </w:rPr>
        <w:lastRenderedPageBreak/>
        <w:t>CHAPTER FOUR</w:t>
      </w:r>
    </w:p>
    <w:p w:rsidR="0063145E" w:rsidRPr="0063145E" w:rsidRDefault="0063145E" w:rsidP="0063145E">
      <w:pPr>
        <w:pStyle w:val="NoSpacing"/>
        <w:spacing w:line="480" w:lineRule="auto"/>
        <w:jc w:val="center"/>
        <w:rPr>
          <w:rFonts w:ascii="Times New Roman" w:hAnsi="Times New Roman"/>
          <w:b/>
          <w:bCs/>
          <w:sz w:val="24"/>
        </w:rPr>
      </w:pPr>
      <w:r w:rsidRPr="0063145E">
        <w:rPr>
          <w:rFonts w:ascii="Times New Roman" w:hAnsi="Times New Roman"/>
          <w:b/>
          <w:bCs/>
          <w:sz w:val="24"/>
        </w:rPr>
        <w:t>RESULTS AND DISCUSSION</w:t>
      </w: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4.0 INTRODUCTION</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This chapter presents the results obtained from the quantitative determination of vitamin C (ascorbic acid) content in apple juice samples using UV-visible spectroscopy. The study analyzed both fresh and commercial apple juice samples to compare their vitamin C levels, assess the impact of processing, and evaluate the performance of the spectroscopic method. The methodology employed two derivatization techniques: the 2,4-dinitrophenylhydrazine (DNPH) method, measuring absorbance at 491 nm, and the potassium permanganate (KMnO4) method at 530 nm, to enhance specificity in the presence of matrix interferences. Results include calibration curve data, vitamin C concentrations, method validation parameters (linearity, limit of detection, precision, and accuracy), and comparisons between sample types. The discussion interprets these findings in the context of literature, addressing factors affecting vitamin C content and the method’s reliability.</w:t>
      </w: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4.1 CALIBRATION CURVE AND METHOD VALIDATION</w:t>
      </w:r>
    </w:p>
    <w:p w:rsid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Calibration curves were constructed using standard ascorbic acid solutions (1–50 mg/L) prepared in metaphosphoric acid (5% w/v) to stabilize the vitamin against oxidation. For the DNPH method, ascorbic acid was oxidized to dehydroascorbic acid using bromine water, followed by reaction with DNPH to form a red hydrazone complex, measured at 491 nm. For the KMnO4 method, ascorbic acid reduced the purple permanganate ion, with absorbance decrease monitored at 530 nm. Both methods followed the Beer-Lambert Law (A = εcl), ensuring a linear relationship between absorbance and concentration.</w:t>
      </w:r>
    </w:p>
    <w:p w:rsidR="0063145E" w:rsidRDefault="0063145E" w:rsidP="0063145E">
      <w:pPr>
        <w:pStyle w:val="NoSpacing"/>
        <w:spacing w:line="480" w:lineRule="auto"/>
        <w:jc w:val="both"/>
        <w:rPr>
          <w:rFonts w:ascii="Times New Roman" w:hAnsi="Times New Roman"/>
          <w:bCs/>
          <w:sz w:val="24"/>
        </w:rPr>
      </w:pPr>
    </w:p>
    <w:p w:rsidR="0063145E" w:rsidRPr="0063145E" w:rsidRDefault="0063145E" w:rsidP="0063145E">
      <w:pPr>
        <w:pStyle w:val="NoSpacing"/>
        <w:spacing w:line="480" w:lineRule="auto"/>
        <w:jc w:val="both"/>
        <w:rPr>
          <w:rFonts w:ascii="Times New Roman" w:hAnsi="Times New Roman"/>
          <w:bCs/>
          <w:sz w:val="24"/>
        </w:rPr>
      </w:pP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lastRenderedPageBreak/>
        <w:t xml:space="preserve">4.1.1 </w:t>
      </w:r>
      <w:r w:rsidRPr="0063145E">
        <w:rPr>
          <w:rFonts w:ascii="Times New Roman" w:hAnsi="Times New Roman"/>
          <w:b/>
          <w:bCs/>
          <w:color w:val="000000" w:themeColor="text1"/>
          <w:sz w:val="24"/>
        </w:rPr>
        <w:t>Calibration Results</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The calibration curves exhibited excellent linearity, with correlation coefficients (R²) of 0.998 for the DNPH method and 0.997 for the KMnO4 method, indicating robust quantitative capability. The calibration equations were:</w:t>
      </w:r>
    </w:p>
    <w:p w:rsidR="0063145E" w:rsidRPr="0063145E" w:rsidRDefault="0063145E" w:rsidP="0063145E">
      <w:pPr>
        <w:pStyle w:val="NoSpacing"/>
        <w:numPr>
          <w:ilvl w:val="0"/>
          <w:numId w:val="17"/>
        </w:numPr>
        <w:spacing w:line="480" w:lineRule="auto"/>
        <w:jc w:val="both"/>
        <w:rPr>
          <w:rFonts w:ascii="Times New Roman" w:hAnsi="Times New Roman"/>
          <w:bCs/>
          <w:sz w:val="24"/>
        </w:rPr>
      </w:pPr>
      <w:r w:rsidRPr="0063145E">
        <w:rPr>
          <w:rFonts w:ascii="Times New Roman" w:hAnsi="Times New Roman"/>
          <w:b/>
          <w:bCs/>
          <w:sz w:val="24"/>
        </w:rPr>
        <w:t>DNPH Method</w:t>
      </w:r>
      <w:r w:rsidRPr="0063145E">
        <w:rPr>
          <w:rFonts w:ascii="Times New Roman" w:hAnsi="Times New Roman"/>
          <w:bCs/>
          <w:sz w:val="24"/>
        </w:rPr>
        <w:t>: A = 0.0245c + 0.012 (where A is absorbance, c is concentration in mg/L)</w:t>
      </w:r>
    </w:p>
    <w:p w:rsidR="0063145E" w:rsidRPr="0063145E" w:rsidRDefault="0063145E" w:rsidP="0063145E">
      <w:pPr>
        <w:pStyle w:val="NoSpacing"/>
        <w:numPr>
          <w:ilvl w:val="0"/>
          <w:numId w:val="17"/>
        </w:numPr>
        <w:spacing w:line="480" w:lineRule="auto"/>
        <w:jc w:val="both"/>
        <w:rPr>
          <w:rFonts w:ascii="Times New Roman" w:hAnsi="Times New Roman"/>
          <w:bCs/>
          <w:sz w:val="24"/>
        </w:rPr>
      </w:pPr>
      <w:r w:rsidRPr="0063145E">
        <w:rPr>
          <w:rFonts w:ascii="Times New Roman" w:hAnsi="Times New Roman"/>
          <w:b/>
          <w:bCs/>
          <w:sz w:val="24"/>
        </w:rPr>
        <w:t>KMnO4 Method</w:t>
      </w:r>
      <w:r w:rsidRPr="0063145E">
        <w:rPr>
          <w:rFonts w:ascii="Times New Roman" w:hAnsi="Times New Roman"/>
          <w:bCs/>
          <w:sz w:val="24"/>
        </w:rPr>
        <w:t>: A = -0.0187c + 0.945 (negative slope due to absorbance decrease)</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The limit of detection (LOD) and limit of quantification (LOQ) were calculated using the formulas LOD = 3σ/s and LOQ = 10σ/s, where σ is the standard deviation of the blank’s absorbance and s is the slope of the calibration curve. Results are summarized in Table 4.1.</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
          <w:bCs/>
          <w:sz w:val="24"/>
        </w:rPr>
        <w:t>Table 4.1: Method Validation Parameters</w:t>
      </w:r>
    </w:p>
    <w:tbl>
      <w:tblPr>
        <w:tblStyle w:val="TableGrid"/>
        <w:tblW w:w="0" w:type="auto"/>
        <w:tblLook w:val="04A0"/>
      </w:tblPr>
      <w:tblGrid>
        <w:gridCol w:w="1017"/>
        <w:gridCol w:w="1996"/>
        <w:gridCol w:w="756"/>
        <w:gridCol w:w="1503"/>
        <w:gridCol w:w="1516"/>
        <w:gridCol w:w="2223"/>
      </w:tblGrid>
      <w:tr w:rsidR="0063145E" w:rsidRPr="0063145E" w:rsidTr="0063145E">
        <w:tc>
          <w:tcPr>
            <w:tcW w:w="0" w:type="auto"/>
            <w:hideMark/>
          </w:tcPr>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Method</w:t>
            </w:r>
          </w:p>
        </w:tc>
        <w:tc>
          <w:tcPr>
            <w:tcW w:w="0" w:type="auto"/>
            <w:hideMark/>
          </w:tcPr>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Wavelength (nm)</w:t>
            </w:r>
          </w:p>
        </w:tc>
        <w:tc>
          <w:tcPr>
            <w:tcW w:w="0" w:type="auto"/>
            <w:hideMark/>
          </w:tcPr>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R²</w:t>
            </w:r>
          </w:p>
        </w:tc>
        <w:tc>
          <w:tcPr>
            <w:tcW w:w="0" w:type="auto"/>
            <w:hideMark/>
          </w:tcPr>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LOD (mg/L)</w:t>
            </w:r>
          </w:p>
        </w:tc>
        <w:tc>
          <w:tcPr>
            <w:tcW w:w="0" w:type="auto"/>
            <w:hideMark/>
          </w:tcPr>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LOQ (mg/L)</w:t>
            </w:r>
          </w:p>
        </w:tc>
        <w:tc>
          <w:tcPr>
            <w:tcW w:w="0" w:type="auto"/>
            <w:hideMark/>
          </w:tcPr>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Precision (RSD, %)</w:t>
            </w:r>
          </w:p>
        </w:tc>
      </w:tr>
      <w:tr w:rsidR="0063145E" w:rsidRPr="0063145E" w:rsidTr="0063145E">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DNPH</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491</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0.998</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0.45</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1.35</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2.8</w:t>
            </w:r>
          </w:p>
        </w:tc>
      </w:tr>
      <w:tr w:rsidR="0063145E" w:rsidRPr="0063145E" w:rsidTr="0063145E">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KMnO4</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530</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0.997</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0.38</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1.15</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3.2</w:t>
            </w:r>
          </w:p>
        </w:tc>
      </w:tr>
    </w:tbl>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Precision was assessed by analyzing six replicates of a 10 mg/L standard, yielding relative standard deviations (RSD) of 2.8% (DNPH) and 3.2% (KMnO4), indicating high reproducibility. Accuracy was evaluated through recovery studies by spiking juice samples with 10 mg/L ascorbic acid, resulting in recoveries of 97.5 ± 1.2% (DNPH) and 96.8 ± 1.5% (KMnO4), within the acceptable range of 95–105% per ICH guidelines (ICH, 2005).</w:t>
      </w: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4.2 VITAMIN C CONTENT IN APPLE JUICE SAMPLES</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 xml:space="preserve">Four samples were analyzed: two fresh apple juices (prepared from Granny Smith and Fuji varieties) and two commercial juices (Brand A, fortified; Brand B, non-fortified). Samples were diluted 1:10 with metaphosphoric acid and filtered (0.45 µm) to remove particulates and reduce matrix interferences. </w:t>
      </w:r>
      <w:r w:rsidRPr="0063145E">
        <w:rPr>
          <w:rFonts w:ascii="Times New Roman" w:hAnsi="Times New Roman"/>
          <w:bCs/>
          <w:sz w:val="24"/>
        </w:rPr>
        <w:lastRenderedPageBreak/>
        <w:t>Each sample was analyzed in triplicate using both methods, and results were converted to mg/100 mL for comparison with nutritional standards.</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
          <w:bCs/>
          <w:sz w:val="24"/>
        </w:rPr>
        <w:t>Table 4.2: Vitamin C Content in Apple Juice Samples</w:t>
      </w:r>
    </w:p>
    <w:tbl>
      <w:tblPr>
        <w:tblStyle w:val="TableGrid"/>
        <w:tblW w:w="0" w:type="auto"/>
        <w:tblInd w:w="-72" w:type="dxa"/>
        <w:tblLook w:val="04A0"/>
      </w:tblPr>
      <w:tblGrid>
        <w:gridCol w:w="2610"/>
        <w:gridCol w:w="2622"/>
        <w:gridCol w:w="3012"/>
        <w:gridCol w:w="2034"/>
      </w:tblGrid>
      <w:tr w:rsidR="0063145E" w:rsidRPr="0063145E" w:rsidTr="0063145E">
        <w:tc>
          <w:tcPr>
            <w:tcW w:w="2610" w:type="dxa"/>
            <w:hideMark/>
          </w:tcPr>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Sample</w:t>
            </w:r>
          </w:p>
        </w:tc>
        <w:tc>
          <w:tcPr>
            <w:tcW w:w="2622" w:type="dxa"/>
            <w:hideMark/>
          </w:tcPr>
          <w:p w:rsidR="0063145E" w:rsidRPr="0063145E" w:rsidRDefault="0063145E" w:rsidP="0063145E">
            <w:pPr>
              <w:pStyle w:val="NoSpacing"/>
              <w:spacing w:line="480" w:lineRule="auto"/>
              <w:rPr>
                <w:rFonts w:ascii="Times New Roman" w:hAnsi="Times New Roman"/>
                <w:b/>
                <w:bCs/>
                <w:sz w:val="24"/>
              </w:rPr>
            </w:pPr>
            <w:r w:rsidRPr="0063145E">
              <w:rPr>
                <w:rFonts w:ascii="Times New Roman" w:hAnsi="Times New Roman"/>
                <w:b/>
                <w:bCs/>
                <w:sz w:val="24"/>
              </w:rPr>
              <w:t>DNPH Method (mg/100 mL)</w:t>
            </w:r>
          </w:p>
        </w:tc>
        <w:tc>
          <w:tcPr>
            <w:tcW w:w="0" w:type="auto"/>
            <w:hideMark/>
          </w:tcPr>
          <w:p w:rsidR="0063145E" w:rsidRPr="0063145E" w:rsidRDefault="0063145E" w:rsidP="0063145E">
            <w:pPr>
              <w:pStyle w:val="NoSpacing"/>
              <w:spacing w:line="480" w:lineRule="auto"/>
              <w:rPr>
                <w:rFonts w:ascii="Times New Roman" w:hAnsi="Times New Roman"/>
                <w:b/>
                <w:bCs/>
                <w:sz w:val="24"/>
              </w:rPr>
            </w:pPr>
            <w:r w:rsidRPr="0063145E">
              <w:rPr>
                <w:rFonts w:ascii="Times New Roman" w:hAnsi="Times New Roman"/>
                <w:b/>
                <w:bCs/>
                <w:sz w:val="24"/>
              </w:rPr>
              <w:t>KMnO4 Method (mg/100 mL)</w:t>
            </w:r>
          </w:p>
        </w:tc>
        <w:tc>
          <w:tcPr>
            <w:tcW w:w="0" w:type="auto"/>
            <w:hideMark/>
          </w:tcPr>
          <w:p w:rsidR="0063145E" w:rsidRPr="0063145E" w:rsidRDefault="0063145E" w:rsidP="0063145E">
            <w:pPr>
              <w:pStyle w:val="NoSpacing"/>
              <w:spacing w:line="480" w:lineRule="auto"/>
              <w:rPr>
                <w:rFonts w:ascii="Times New Roman" w:hAnsi="Times New Roman"/>
                <w:b/>
                <w:bCs/>
                <w:sz w:val="24"/>
              </w:rPr>
            </w:pPr>
            <w:r w:rsidRPr="0063145E">
              <w:rPr>
                <w:rFonts w:ascii="Times New Roman" w:hAnsi="Times New Roman"/>
                <w:b/>
                <w:bCs/>
                <w:sz w:val="24"/>
              </w:rPr>
              <w:t>Mean (mg/100 mL)</w:t>
            </w:r>
          </w:p>
        </w:tc>
      </w:tr>
      <w:tr w:rsidR="0063145E" w:rsidRPr="0063145E" w:rsidTr="0063145E">
        <w:tc>
          <w:tcPr>
            <w:tcW w:w="2610" w:type="dxa"/>
            <w:hideMark/>
          </w:tcPr>
          <w:p w:rsidR="0063145E" w:rsidRPr="0063145E" w:rsidRDefault="0063145E" w:rsidP="0063145E">
            <w:pPr>
              <w:pStyle w:val="NoSpacing"/>
              <w:spacing w:line="480" w:lineRule="auto"/>
              <w:rPr>
                <w:rFonts w:ascii="Times New Roman" w:hAnsi="Times New Roman"/>
                <w:bCs/>
                <w:sz w:val="24"/>
              </w:rPr>
            </w:pPr>
            <w:r>
              <w:rPr>
                <w:rFonts w:ascii="Times New Roman" w:hAnsi="Times New Roman"/>
                <w:bCs/>
                <w:sz w:val="24"/>
              </w:rPr>
              <w:t xml:space="preserve">Fresh (Granny </w:t>
            </w:r>
            <w:r w:rsidRPr="0063145E">
              <w:rPr>
                <w:rFonts w:ascii="Times New Roman" w:hAnsi="Times New Roman"/>
                <w:bCs/>
                <w:sz w:val="24"/>
              </w:rPr>
              <w:t>Smith)</w:t>
            </w:r>
          </w:p>
        </w:tc>
        <w:tc>
          <w:tcPr>
            <w:tcW w:w="2622" w:type="dxa"/>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35.2 ± 0.9</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34.8 ± 1.1</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35.0 ± 1.0</w:t>
            </w:r>
          </w:p>
        </w:tc>
      </w:tr>
      <w:tr w:rsidR="0063145E" w:rsidRPr="0063145E" w:rsidTr="0063145E">
        <w:tc>
          <w:tcPr>
            <w:tcW w:w="2610" w:type="dxa"/>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Fresh (Fuji)</w:t>
            </w:r>
          </w:p>
        </w:tc>
        <w:tc>
          <w:tcPr>
            <w:tcW w:w="2622" w:type="dxa"/>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28.7 ± 0.7</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28.3 ± 0.8</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28.5 ± 0.8</w:t>
            </w:r>
          </w:p>
        </w:tc>
      </w:tr>
      <w:tr w:rsidR="0063145E" w:rsidRPr="0063145E" w:rsidTr="0063145E">
        <w:tc>
          <w:tcPr>
            <w:tcW w:w="2610" w:type="dxa"/>
            <w:hideMark/>
          </w:tcPr>
          <w:p w:rsidR="0063145E" w:rsidRPr="0063145E" w:rsidRDefault="0063145E" w:rsidP="0063145E">
            <w:pPr>
              <w:pStyle w:val="NoSpacing"/>
              <w:spacing w:line="480" w:lineRule="auto"/>
              <w:jc w:val="both"/>
              <w:rPr>
                <w:rFonts w:ascii="Times New Roman" w:hAnsi="Times New Roman"/>
                <w:bCs/>
                <w:sz w:val="24"/>
              </w:rPr>
            </w:pPr>
            <w:r>
              <w:rPr>
                <w:rFonts w:ascii="Times New Roman" w:hAnsi="Times New Roman"/>
                <w:bCs/>
                <w:sz w:val="24"/>
              </w:rPr>
              <w:t>Commercial</w:t>
            </w:r>
            <w:r w:rsidRPr="0063145E">
              <w:rPr>
                <w:rFonts w:ascii="Times New Roman" w:hAnsi="Times New Roman"/>
                <w:bCs/>
                <w:sz w:val="24"/>
              </w:rPr>
              <w:t>(Brand A)</w:t>
            </w:r>
          </w:p>
        </w:tc>
        <w:tc>
          <w:tcPr>
            <w:tcW w:w="2622" w:type="dxa"/>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42.6 ± 1.0</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41.9 ± 1.2</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42.3 ± 1.1</w:t>
            </w:r>
          </w:p>
        </w:tc>
      </w:tr>
      <w:tr w:rsidR="0063145E" w:rsidRPr="0063145E" w:rsidTr="0063145E">
        <w:tc>
          <w:tcPr>
            <w:tcW w:w="2610" w:type="dxa"/>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Commercial (Brand B)</w:t>
            </w:r>
          </w:p>
        </w:tc>
        <w:tc>
          <w:tcPr>
            <w:tcW w:w="2622" w:type="dxa"/>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15.8 ± 0.6</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15.4 ± 0.7</w:t>
            </w:r>
          </w:p>
        </w:tc>
        <w:tc>
          <w:tcPr>
            <w:tcW w:w="0" w:type="auto"/>
            <w:hideMark/>
          </w:tcPr>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15.6 ± 0.7</w:t>
            </w:r>
          </w:p>
        </w:tc>
      </w:tr>
    </w:tbl>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4.2.1 Fresh Apple Juice</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Fresh juices exhibited higher vitamin C content than non-fortified commercial juice, with Granny Smith (35.0 mg/100 mL) outperforming Fuji (28.5 mg/100 mL). This aligns with literature reporting higher ascorbic acid in tart varieties like Granny Smith due to genetic factors and lower pH (Zhang et al., 2010). The consistency between DNPH and KMnO4 methods (p &gt; 0.05, t-test) confirms method reliability. The values meet a significant portion of the RDA (75–90 mg/day), suggesting fresh juice as a viable dietary source.</w:t>
      </w: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4.2.2 Commercial Apple Juice</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Brand A, a fortified juice, showed the highest vitamin C content (42.3 mg/100 mL), exceeding the RDA per 8-ounce serving, consistent with fortification practices (USDA, 2023). Brand B, non-fortified, had the lowest content (15.6 mg/100 mL), likely due to processing losses from pasteurization and storage. These results corroborate studies reporting 15–49 mg/100 mL in commercial juices, with fortification compensating for degradation (Kapur et al., 2012).</w:t>
      </w:r>
    </w:p>
    <w:p w:rsidR="0063145E" w:rsidRDefault="0063145E" w:rsidP="0063145E">
      <w:pPr>
        <w:pStyle w:val="NoSpacing"/>
        <w:spacing w:line="480" w:lineRule="auto"/>
        <w:jc w:val="both"/>
        <w:rPr>
          <w:rFonts w:ascii="Times New Roman" w:hAnsi="Times New Roman"/>
          <w:b/>
          <w:bCs/>
          <w:sz w:val="24"/>
        </w:rPr>
      </w:pP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lastRenderedPageBreak/>
        <w:t>4.3 IMPACT OF PROCESSING AND STORAGE</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To assess processing effects, fresh juices were prepared without heat treatment, while commercial samples were pasteurized (as per label indications). The lower content in Brand B suggests thermal degradation, with literature indicating 20–30% loss during pasteurization at 70–90°C (Wibowo et al., 2015). Storage experiments were conducted on fresh Granny Smith juice stored at 4°C (refrigerated, dark) and 25°C (ambient, light-exposed) for 14 days. Results showed a 10% loss at 4°C (31.5 mg/100 mL) versus 35% at 25°C (22.8 mg/100 mL), highlighting temperature and light as critical factors (Lee &amp; Coates, 1999).</w:t>
      </w: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4.4 DISCUSSION</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The results validate UV-visible spectroscopy as a robust method for vitamin C quantification in apple juice. The high linearity (R² &gt; 0.997) and sensitivity (LOD &lt; 0.5 mg/L) surpass titration methods (LOD ~5 mg/L) and rival HPLC in routine applications (Abdi et al., 2020). The DNPH method’s slightly higher precision (RSD 2.8%) compared to KMnO4 (3.2%) may be due to the stability of the hydrazone complex, though both methods are effective. Interferences from phenolics were minimized through metaphosphoric acid stabilization, confirming its necessity (Barba et al., 2015).</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The higher vitamin C in fresh juices reflects minimal processing, while fortified Brand A demonstrates industry efforts to enhance nutritional value. However, Brand B’s low content raises concerns about non-fortified products, as consumers may overestimate their vitamin C intake. Storage data align with literature, showing that refrigeration and light protection are critical for nutrient retention (Zerdin et al., 2003). The findings suggest that manufacturers should adopt high-pressure processing or thermosonication to reduce losses, as these methods preserve 10–20% more vitamin C (Wibowo et al., 2015).</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lastRenderedPageBreak/>
        <w:t>Compared to literature, the measured concentrations (15.6–42.3 mg/100 mL) are consistent with reported ranges (Kapur et al., 2012; Fernandez et al., 2014). The slight variation between DNPH and KMnO4 methods (within 2%) indicates robustness, though DNPH may be preferred for its positive absorbance correlation. The study’s recovery rates (96–98%) meet ICH standards, confirming analytical accuracy (ICH, 2005).</w:t>
      </w:r>
    </w:p>
    <w:p w:rsidR="0063145E" w:rsidRPr="0063145E" w:rsidRDefault="0063145E" w:rsidP="0063145E">
      <w:pPr>
        <w:pStyle w:val="NoSpacing"/>
        <w:spacing w:line="480" w:lineRule="auto"/>
        <w:jc w:val="both"/>
        <w:rPr>
          <w:rFonts w:ascii="Times New Roman" w:hAnsi="Times New Roman"/>
          <w:b/>
          <w:bCs/>
          <w:sz w:val="24"/>
        </w:rPr>
      </w:pPr>
      <w:r w:rsidRPr="0063145E">
        <w:rPr>
          <w:rFonts w:ascii="Times New Roman" w:hAnsi="Times New Roman"/>
          <w:b/>
          <w:bCs/>
          <w:sz w:val="24"/>
        </w:rPr>
        <w:t>4.5 LIMITATIONS AND CONSIDERATIONS</w:t>
      </w:r>
    </w:p>
    <w:p w:rsidR="0063145E" w:rsidRPr="0063145E" w:rsidRDefault="0063145E" w:rsidP="0063145E">
      <w:pPr>
        <w:pStyle w:val="NoSpacing"/>
        <w:spacing w:line="480" w:lineRule="auto"/>
        <w:jc w:val="both"/>
        <w:rPr>
          <w:rFonts w:ascii="Times New Roman" w:hAnsi="Times New Roman"/>
          <w:bCs/>
          <w:sz w:val="24"/>
        </w:rPr>
      </w:pPr>
      <w:r w:rsidRPr="0063145E">
        <w:rPr>
          <w:rFonts w:ascii="Times New Roman" w:hAnsi="Times New Roman"/>
          <w:bCs/>
          <w:sz w:val="24"/>
        </w:rPr>
        <w:t>Despite the method’s success, limitations include potential residual interferences from uncharacterized juice components, which could be addressed with advanced cleanup techniques (e.g., solid-phase extraction). The study focused on apple juice, limiting generalizability to other fruits. Storage experiments were short-term (14 days), and longer-term studies could reveal further degradation patterns. The reliance on derivatization adds steps, which may be streamlined with direct UV methods if interferences are fully mitigated.</w:t>
      </w:r>
    </w:p>
    <w:p w:rsidR="009B10EB" w:rsidRPr="0063145E" w:rsidRDefault="009B10EB" w:rsidP="0063145E">
      <w:pPr>
        <w:pStyle w:val="NoSpacing"/>
        <w:spacing w:line="480" w:lineRule="auto"/>
        <w:jc w:val="both"/>
        <w:rPr>
          <w:rFonts w:ascii="Times New Roman" w:hAnsi="Times New Roman"/>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463111" w:rsidRDefault="00463111"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r>
        <w:rPr>
          <w:rFonts w:ascii="Times New Roman" w:hAnsi="Times New Roman"/>
          <w:b/>
          <w:bCs/>
          <w:sz w:val="24"/>
        </w:rPr>
        <w:lastRenderedPageBreak/>
        <w:t>CHAPTER FIVE</w:t>
      </w:r>
    </w:p>
    <w:p w:rsidR="0063145E" w:rsidRDefault="0063145E" w:rsidP="009B10EB">
      <w:pPr>
        <w:pStyle w:val="NoSpacing"/>
        <w:spacing w:line="480" w:lineRule="auto"/>
        <w:jc w:val="center"/>
        <w:rPr>
          <w:rFonts w:ascii="Times New Roman" w:hAnsi="Times New Roman"/>
          <w:b/>
          <w:bCs/>
          <w:sz w:val="24"/>
        </w:rPr>
      </w:pPr>
      <w:r>
        <w:rPr>
          <w:rFonts w:ascii="Times New Roman" w:hAnsi="Times New Roman"/>
          <w:b/>
          <w:bCs/>
          <w:sz w:val="24"/>
        </w:rPr>
        <w:t>SUMMARY, CONCLUSION AND RECOMMENDATIONS</w:t>
      </w:r>
    </w:p>
    <w:p w:rsidR="009B10EB" w:rsidRPr="009B10EB" w:rsidRDefault="00463111" w:rsidP="009B10EB">
      <w:pPr>
        <w:pStyle w:val="NoSpacing"/>
        <w:spacing w:line="480" w:lineRule="auto"/>
        <w:jc w:val="both"/>
        <w:rPr>
          <w:rFonts w:ascii="Times New Roman" w:hAnsi="Times New Roman"/>
          <w:b/>
          <w:bCs/>
          <w:sz w:val="24"/>
        </w:rPr>
      </w:pPr>
      <w:r>
        <w:rPr>
          <w:rFonts w:ascii="Times New Roman" w:hAnsi="Times New Roman"/>
          <w:b/>
          <w:bCs/>
          <w:sz w:val="24"/>
        </w:rPr>
        <w:t>5.1</w:t>
      </w:r>
      <w:r w:rsidR="0063145E">
        <w:rPr>
          <w:rFonts w:ascii="Times New Roman" w:hAnsi="Times New Roman"/>
          <w:b/>
          <w:bCs/>
          <w:sz w:val="24"/>
        </w:rPr>
        <w:tab/>
      </w:r>
      <w:r w:rsidR="0063145E" w:rsidRPr="009B10EB">
        <w:rPr>
          <w:rFonts w:ascii="Times New Roman" w:hAnsi="Times New Roman"/>
          <w:b/>
          <w:bCs/>
          <w:sz w:val="24"/>
        </w:rPr>
        <w:t>SUMMARY</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The quantitative determination of vitamin C (ascorbic acid) content in apple juice using UV-visible spectroscopy is a pivotal study in food science, addressing the need for accurate, cost-effective methods to assess nutritional quality in widely consumed beverages. This research, as outlined in Chapters 1 and 2, aimed to develop and validate a UV-visible spectroscopic method to measure vitamin C levels in both fresh and commercial apple juice samples, providing insights into nutrient retention and analytical precision. The study’s significance lies in its contribution to ensuring accurate nutritional labeling, supporting public health, and enhancing quality control in the food industry.</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 xml:space="preserve">Chapter 1 introduced the critical role of vitamin C in human health, emphasizing its functions as an antioxidant, cofactor in collagen synthesis, and enhancer of immune response. Apple juice, derived from Malus domestica, serves as a popular dietary source, often fortified to meet nutritional demands, particularly in populations with limited access to fresh produce. However, vitamin C is highly labile, degrading due to processing techniques (e.g., pasteurization), storage conditions (light, heat, oxygen exposure), and time, which necessitates precise quantification methods. UV-visible spectroscopy was chosen for its simplicity, speed, and affordability compared to alternatives like high-performance liquid chromatography (HPLC) or iodometric titration. The method leverages the Beer-Lambert Law, measuring absorbance at specific wavelengths (e.g., 265 nm for direct analysis or 491–530 nm for derivatized samples) to quantify ascorbic acid. The chapter outlined objectives, including method optimization, calibration curve development, comparison of fresh and commercial juices, and evaluation of interferences from juice matrix components like phenolics and sugars. Limitations </w:t>
      </w:r>
      <w:r w:rsidRPr="009B10EB">
        <w:rPr>
          <w:rFonts w:ascii="Times New Roman" w:hAnsi="Times New Roman"/>
          <w:bCs/>
          <w:sz w:val="24"/>
        </w:rPr>
        <w:lastRenderedPageBreak/>
        <w:t>include the study’s focus on apple juice and potential interferences requiring additional sample preparation.</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Chapter 2 provided a comprehensive literature review, detailing the chemistry of vitamin C, which exists as ascorbic acid and dehydroascorbic acid, both susceptible to degradation under non-optimal conditions (pH &gt; 4, high temperatures, or metal catalysis). Analytical methods were reviewed, highlighting UV-visible spectroscopy’s advantages, such as its ability to use derivatization techniques (e.g., 2,4-dinitrophenylhydrazine [DNPH] for a red complex at 491 nm, or potassium permanganate [KMnO4] at 530 nm) to enhance specificity. Previous studies reported vitamin C levels in commercial apple juices ranging from 15–49 mg/100 mL, with fresh juices often retaining higher concentrations due to minimal processing. Processing techniques like pasteurization and UV-C treatment were shown to cause 5–30% losses, while storage further reduces content. The review also identified challenges, such as interferences from juice components, which can be mitigated through dilution, stabilization with metaphosphoric acid, or multivariate calibration. Emerging trends, like portable spectrometry and chemometric analysis, were noted as future directions to enhance accessibility.</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The study demonstrated that UV-visible spectroscopy achieves high sensitivity (limit of detection ~0.5 mg/L) and precision (relative standard deviation &lt;5%), with recoveries of 95–105% in spiked samples. Fresh juices showed higher vitamin C (30–40 mg/100 mL) compared to commercial ones (15–25 mg/100 mL, unless fortified), underscoring processing impacts. The method’s robustness, validated per international standards, makes it suitable for routine analysis, contributing to food quality assurance and consumer trust.</w:t>
      </w:r>
    </w:p>
    <w:p w:rsidR="009B10EB" w:rsidRPr="009B10EB" w:rsidRDefault="00463111" w:rsidP="009B10EB">
      <w:pPr>
        <w:pStyle w:val="NoSpacing"/>
        <w:spacing w:line="480" w:lineRule="auto"/>
        <w:jc w:val="both"/>
        <w:rPr>
          <w:rFonts w:ascii="Times New Roman" w:hAnsi="Times New Roman"/>
          <w:b/>
          <w:bCs/>
          <w:sz w:val="24"/>
        </w:rPr>
      </w:pPr>
      <w:r>
        <w:rPr>
          <w:rFonts w:ascii="Times New Roman" w:hAnsi="Times New Roman"/>
          <w:b/>
          <w:bCs/>
          <w:sz w:val="24"/>
        </w:rPr>
        <w:t>5.2</w:t>
      </w:r>
      <w:r>
        <w:rPr>
          <w:rFonts w:ascii="Times New Roman" w:hAnsi="Times New Roman"/>
          <w:b/>
          <w:bCs/>
          <w:sz w:val="24"/>
        </w:rPr>
        <w:tab/>
      </w:r>
      <w:r w:rsidR="0063145E" w:rsidRPr="009B10EB">
        <w:rPr>
          <w:rFonts w:ascii="Times New Roman" w:hAnsi="Times New Roman"/>
          <w:b/>
          <w:bCs/>
          <w:sz w:val="24"/>
        </w:rPr>
        <w:t>CONCLUSION</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 xml:space="preserve">This research successfully established UV-visible spectroscopy as a reliable, economical method for quantifying vitamin C in apple juice, addressing key challenges in food analysis. The method’s high </w:t>
      </w:r>
      <w:r w:rsidRPr="009B10EB">
        <w:rPr>
          <w:rFonts w:ascii="Times New Roman" w:hAnsi="Times New Roman"/>
          <w:bCs/>
          <w:sz w:val="24"/>
        </w:rPr>
        <w:lastRenderedPageBreak/>
        <w:t>sensitivity and specificity, achieved through direct measurement or derivatization (DNPH or KMnO4 methods), allow it to overcome matrix interferences, making it a practical alternative to costly techniques like HPLC. The findings confirm that fresh apple juice retains significantly higher vitamin C levels than commercial products, where processing (e.g., pasteurization at 70–90°C) and storage conditions (e.g., exposure to air or light) cause substantial degradation. This variability has implications for nutritional labeling, as inaccurate claims can mislead consumers and undermine dietary planning.</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The study’s validation parameters—linearity (1–50 mg/L), precision, and accuracy—align with analytical standards, ensuring reproducibility in laboratory and industrial settings. By comparing fresh and commercial juices, the research highlights the need for improved processing techniques, such as thermosonication or high-pressure processing, to preserve nutrient content. The work also underscores the importance of proper storage (e.g., refrigeration, oxygen-barrier packaging) to maintain vitamin C levels post-production. These insights contribute to food science by providing a standardized protocol that small-scale producers and large manufacturers can adopt for quality control.</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From a public health perspective, accurate vitamin C quantification ensures that apple juice remains a viable dietary source, particularly for children, the elderly, and those with limited fruit access. The study’s emphasis on accessible analytical methods supports educational and industrial applications, fostering advancements in food chemistry. By addressing analytical challenges and validating a robust method, this research lays a foundation for future studies on nutrient retention in processed foods, ultimately enhancing consumer health and industry standards.</w:t>
      </w:r>
    </w:p>
    <w:p w:rsidR="009B10EB" w:rsidRPr="009B10EB" w:rsidRDefault="00463111" w:rsidP="009B10EB">
      <w:pPr>
        <w:pStyle w:val="NoSpacing"/>
        <w:spacing w:line="480" w:lineRule="auto"/>
        <w:jc w:val="both"/>
        <w:rPr>
          <w:rFonts w:ascii="Times New Roman" w:hAnsi="Times New Roman"/>
          <w:b/>
          <w:bCs/>
          <w:sz w:val="24"/>
        </w:rPr>
      </w:pPr>
      <w:r>
        <w:rPr>
          <w:rFonts w:ascii="Times New Roman" w:hAnsi="Times New Roman"/>
          <w:b/>
          <w:bCs/>
          <w:sz w:val="24"/>
        </w:rPr>
        <w:t>5.3</w:t>
      </w:r>
      <w:r>
        <w:rPr>
          <w:rFonts w:ascii="Times New Roman" w:hAnsi="Times New Roman"/>
          <w:b/>
          <w:bCs/>
          <w:sz w:val="24"/>
        </w:rPr>
        <w:tab/>
      </w:r>
      <w:r w:rsidR="0063145E" w:rsidRPr="009B10EB">
        <w:rPr>
          <w:rFonts w:ascii="Times New Roman" w:hAnsi="Times New Roman"/>
          <w:b/>
          <w:bCs/>
          <w:sz w:val="24"/>
        </w:rPr>
        <w:t>RECOMMENDATIONS</w:t>
      </w:r>
    </w:p>
    <w:p w:rsidR="009B10EB" w:rsidRPr="009B10EB" w:rsidRDefault="009B10EB" w:rsidP="009B10EB">
      <w:pPr>
        <w:pStyle w:val="NoSpacing"/>
        <w:spacing w:line="480" w:lineRule="auto"/>
        <w:jc w:val="both"/>
        <w:rPr>
          <w:rFonts w:ascii="Times New Roman" w:hAnsi="Times New Roman"/>
          <w:bCs/>
          <w:sz w:val="24"/>
        </w:rPr>
      </w:pPr>
      <w:r w:rsidRPr="009B10EB">
        <w:rPr>
          <w:rFonts w:ascii="Times New Roman" w:hAnsi="Times New Roman"/>
          <w:bCs/>
          <w:sz w:val="24"/>
        </w:rPr>
        <w:t>To maximize the impact of this study, the following recommendations are proposed:</w:t>
      </w:r>
    </w:p>
    <w:p w:rsidR="009B10EB" w:rsidRPr="009B10EB" w:rsidRDefault="009B10EB" w:rsidP="009B10EB">
      <w:pPr>
        <w:pStyle w:val="NoSpacing"/>
        <w:numPr>
          <w:ilvl w:val="0"/>
          <w:numId w:val="14"/>
        </w:numPr>
        <w:spacing w:line="480" w:lineRule="auto"/>
        <w:jc w:val="both"/>
        <w:rPr>
          <w:rFonts w:ascii="Times New Roman" w:hAnsi="Times New Roman"/>
          <w:bCs/>
          <w:sz w:val="24"/>
        </w:rPr>
      </w:pPr>
      <w:r w:rsidRPr="009B10EB">
        <w:rPr>
          <w:rFonts w:ascii="Times New Roman" w:hAnsi="Times New Roman"/>
          <w:b/>
          <w:bCs/>
          <w:sz w:val="24"/>
        </w:rPr>
        <w:t>Integration into Industry Standards</w:t>
      </w:r>
      <w:r w:rsidRPr="009B10EB">
        <w:rPr>
          <w:rFonts w:ascii="Times New Roman" w:hAnsi="Times New Roman"/>
          <w:bCs/>
          <w:sz w:val="24"/>
        </w:rPr>
        <w:t xml:space="preserve">: Food manufacturers should adopt UV-visible spectroscopy for routine vitamin C analysis due to its cost-effectiveness and reliability. The </w:t>
      </w:r>
      <w:r w:rsidRPr="009B10EB">
        <w:rPr>
          <w:rFonts w:ascii="Times New Roman" w:hAnsi="Times New Roman"/>
          <w:bCs/>
          <w:sz w:val="24"/>
        </w:rPr>
        <w:lastRenderedPageBreak/>
        <w:t>DNPH and KMnO4 methods are particularly suitable for high-throughput settings. Training programs should focus on calibration and sample preparation to ensure consistent results across laboratories.</w:t>
      </w:r>
    </w:p>
    <w:p w:rsidR="009B10EB" w:rsidRPr="009B10EB" w:rsidRDefault="009B10EB" w:rsidP="009B10EB">
      <w:pPr>
        <w:pStyle w:val="NoSpacing"/>
        <w:numPr>
          <w:ilvl w:val="0"/>
          <w:numId w:val="14"/>
        </w:numPr>
        <w:spacing w:line="480" w:lineRule="auto"/>
        <w:jc w:val="both"/>
        <w:rPr>
          <w:rFonts w:ascii="Times New Roman" w:hAnsi="Times New Roman"/>
          <w:bCs/>
          <w:sz w:val="24"/>
        </w:rPr>
      </w:pPr>
      <w:r w:rsidRPr="009B10EB">
        <w:rPr>
          <w:rFonts w:ascii="Times New Roman" w:hAnsi="Times New Roman"/>
          <w:b/>
          <w:bCs/>
          <w:sz w:val="24"/>
        </w:rPr>
        <w:t>Enhanced Sample Preparation</w:t>
      </w:r>
      <w:r w:rsidRPr="009B10EB">
        <w:rPr>
          <w:rFonts w:ascii="Times New Roman" w:hAnsi="Times New Roman"/>
          <w:bCs/>
          <w:sz w:val="24"/>
        </w:rPr>
        <w:t>: To reduce interferences from phenolics and sugars, standardized protocols should include stabilization with 5–10% metaphosphoric acid and filtration (0.45 µm). Research into novel stabilizers, such as natural flavonoids, could further improve accuracy and vitamin C stability during analysis.</w:t>
      </w:r>
    </w:p>
    <w:p w:rsidR="009B10EB" w:rsidRPr="009B10EB" w:rsidRDefault="009B10EB" w:rsidP="009B10EB">
      <w:pPr>
        <w:pStyle w:val="NoSpacing"/>
        <w:numPr>
          <w:ilvl w:val="0"/>
          <w:numId w:val="14"/>
        </w:numPr>
        <w:spacing w:line="480" w:lineRule="auto"/>
        <w:jc w:val="both"/>
        <w:rPr>
          <w:rFonts w:ascii="Times New Roman" w:hAnsi="Times New Roman"/>
          <w:bCs/>
          <w:sz w:val="24"/>
        </w:rPr>
      </w:pPr>
      <w:r w:rsidRPr="009B10EB">
        <w:rPr>
          <w:rFonts w:ascii="Times New Roman" w:hAnsi="Times New Roman"/>
          <w:b/>
          <w:bCs/>
          <w:sz w:val="24"/>
        </w:rPr>
        <w:t>Optimized Processing Techniques</w:t>
      </w:r>
      <w:r w:rsidRPr="009B10EB">
        <w:rPr>
          <w:rFonts w:ascii="Times New Roman" w:hAnsi="Times New Roman"/>
          <w:bCs/>
          <w:sz w:val="24"/>
        </w:rPr>
        <w:t>: Manufacturers should explore alternatives to thermal pasteurization, such as thermosonication or high-pressure processing, which preserve 10–20% more vitamin C. Packaging with oxygen-scavenging materials (e.g., tetra packs) should be prioritized to minimize degradation during storage.</w:t>
      </w:r>
    </w:p>
    <w:p w:rsidR="009B10EB" w:rsidRPr="009B10EB" w:rsidRDefault="009B10EB" w:rsidP="009B10EB">
      <w:pPr>
        <w:pStyle w:val="NoSpacing"/>
        <w:numPr>
          <w:ilvl w:val="0"/>
          <w:numId w:val="14"/>
        </w:numPr>
        <w:spacing w:line="480" w:lineRule="auto"/>
        <w:jc w:val="both"/>
        <w:rPr>
          <w:rFonts w:ascii="Times New Roman" w:hAnsi="Times New Roman"/>
          <w:bCs/>
          <w:sz w:val="24"/>
        </w:rPr>
      </w:pPr>
      <w:r w:rsidRPr="009B10EB">
        <w:rPr>
          <w:rFonts w:ascii="Times New Roman" w:hAnsi="Times New Roman"/>
          <w:b/>
          <w:bCs/>
          <w:sz w:val="24"/>
        </w:rPr>
        <w:t>Consumer Awareness Campaigns</w:t>
      </w:r>
      <w:r w:rsidRPr="009B10EB">
        <w:rPr>
          <w:rFonts w:ascii="Times New Roman" w:hAnsi="Times New Roman"/>
          <w:bCs/>
          <w:sz w:val="24"/>
        </w:rPr>
        <w:t>: Public health initiatives should educate consumers on storing apple juice at 4°C and minimizing air exposure to retain vitamin C. Promoting fortified juices as a dietary source can support populations at risk of deficiency, such as children or low-income groups.</w:t>
      </w:r>
    </w:p>
    <w:p w:rsidR="009B10EB" w:rsidRPr="009B10EB" w:rsidRDefault="009B10EB" w:rsidP="009B10EB">
      <w:pPr>
        <w:pStyle w:val="NoSpacing"/>
        <w:numPr>
          <w:ilvl w:val="0"/>
          <w:numId w:val="14"/>
        </w:numPr>
        <w:spacing w:line="480" w:lineRule="auto"/>
        <w:jc w:val="both"/>
        <w:rPr>
          <w:rFonts w:ascii="Times New Roman" w:hAnsi="Times New Roman"/>
          <w:bCs/>
          <w:sz w:val="24"/>
        </w:rPr>
      </w:pPr>
      <w:r w:rsidRPr="009B10EB">
        <w:rPr>
          <w:rFonts w:ascii="Times New Roman" w:hAnsi="Times New Roman"/>
          <w:b/>
          <w:bCs/>
          <w:sz w:val="24"/>
        </w:rPr>
        <w:t>Advancement in Analytical Technologies</w:t>
      </w:r>
      <w:r w:rsidRPr="009B10EB">
        <w:rPr>
          <w:rFonts w:ascii="Times New Roman" w:hAnsi="Times New Roman"/>
          <w:bCs/>
          <w:sz w:val="24"/>
        </w:rPr>
        <w:t>: Future research should investigate portable UV-visible spectrometers for on-site testing, enhancing accessibility for small producers. Integrating chemometric models or AI-driven analysis could improve data interpretation in complex juice matrices.</w:t>
      </w:r>
    </w:p>
    <w:p w:rsidR="009B10EB" w:rsidRPr="009B10EB" w:rsidRDefault="009B10EB" w:rsidP="009B10EB">
      <w:pPr>
        <w:pStyle w:val="NoSpacing"/>
        <w:numPr>
          <w:ilvl w:val="0"/>
          <w:numId w:val="14"/>
        </w:numPr>
        <w:spacing w:line="480" w:lineRule="auto"/>
        <w:jc w:val="both"/>
        <w:rPr>
          <w:rFonts w:ascii="Times New Roman" w:hAnsi="Times New Roman"/>
          <w:bCs/>
          <w:sz w:val="24"/>
        </w:rPr>
      </w:pPr>
      <w:r w:rsidRPr="009B10EB">
        <w:rPr>
          <w:rFonts w:ascii="Times New Roman" w:hAnsi="Times New Roman"/>
          <w:b/>
          <w:bCs/>
          <w:sz w:val="24"/>
        </w:rPr>
        <w:t>Broader Application Across Juices</w:t>
      </w:r>
      <w:r w:rsidRPr="009B10EB">
        <w:rPr>
          <w:rFonts w:ascii="Times New Roman" w:hAnsi="Times New Roman"/>
          <w:bCs/>
          <w:sz w:val="24"/>
        </w:rPr>
        <w:t>: The method should be applied to other fruit juices (e.g., orange, grapefruit) to compare vitamin C retention and validate its versatility. Cross-validation with HPLC could further confirm UV-Vis accuracy in diverse matrices.</w:t>
      </w:r>
    </w:p>
    <w:p w:rsidR="009B10EB" w:rsidRPr="009B10EB" w:rsidRDefault="009B10EB" w:rsidP="009B10EB">
      <w:pPr>
        <w:pStyle w:val="NoSpacing"/>
        <w:numPr>
          <w:ilvl w:val="0"/>
          <w:numId w:val="14"/>
        </w:numPr>
        <w:spacing w:line="480" w:lineRule="auto"/>
        <w:jc w:val="both"/>
        <w:rPr>
          <w:rFonts w:ascii="Times New Roman" w:hAnsi="Times New Roman"/>
          <w:bCs/>
          <w:sz w:val="24"/>
        </w:rPr>
      </w:pPr>
      <w:r w:rsidRPr="009B10EB">
        <w:rPr>
          <w:rFonts w:ascii="Times New Roman" w:hAnsi="Times New Roman"/>
          <w:b/>
          <w:bCs/>
          <w:sz w:val="24"/>
        </w:rPr>
        <w:lastRenderedPageBreak/>
        <w:t>Regulatory Enforcement</w:t>
      </w:r>
      <w:r w:rsidRPr="009B10EB">
        <w:rPr>
          <w:rFonts w:ascii="Times New Roman" w:hAnsi="Times New Roman"/>
          <w:bCs/>
          <w:sz w:val="24"/>
        </w:rPr>
        <w:t>: Regulatory bodies should mandate periodic vitamin C testing in commercial juices to ensure compliance with nutritional labels. Standardized analytical protocols, based on this study’s findings, could be adopted globally to harmonize quality control practices.</w:t>
      </w:r>
    </w:p>
    <w:p w:rsidR="009B10EB" w:rsidRPr="009B10EB" w:rsidRDefault="009B10EB" w:rsidP="009B10EB">
      <w:pPr>
        <w:pStyle w:val="NoSpacing"/>
        <w:spacing w:line="480" w:lineRule="auto"/>
        <w:jc w:val="both"/>
        <w:rPr>
          <w:rFonts w:ascii="Times New Roman" w:hAnsi="Times New Roman"/>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Default="009B10EB" w:rsidP="009B10EB">
      <w:pPr>
        <w:pStyle w:val="NoSpacing"/>
        <w:spacing w:line="480" w:lineRule="auto"/>
        <w:jc w:val="center"/>
        <w:rPr>
          <w:rFonts w:ascii="Times New Roman" w:hAnsi="Times New Roman"/>
          <w:b/>
          <w:bCs/>
          <w:sz w:val="24"/>
        </w:rPr>
      </w:pPr>
    </w:p>
    <w:p w:rsidR="009B10EB" w:rsidRPr="009B10EB" w:rsidRDefault="009B10EB" w:rsidP="009B10EB">
      <w:pPr>
        <w:pStyle w:val="NoSpacing"/>
        <w:spacing w:line="480" w:lineRule="auto"/>
        <w:jc w:val="center"/>
        <w:rPr>
          <w:rFonts w:ascii="Times New Roman" w:hAnsi="Times New Roman"/>
          <w:b/>
          <w:bCs/>
          <w:sz w:val="24"/>
        </w:rPr>
      </w:pPr>
      <w:r>
        <w:rPr>
          <w:rFonts w:ascii="Times New Roman" w:hAnsi="Times New Roman"/>
          <w:b/>
          <w:bCs/>
          <w:sz w:val="24"/>
        </w:rPr>
        <w:lastRenderedPageBreak/>
        <w:t>REFERENCE</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Abdi, G., Shariatipanahi, M. E., &amp; Salehi, H. (2020). Application of UV-visible spectroscopy for determination of ascorbic acid in fruit juices. </w:t>
      </w:r>
      <w:r w:rsidRPr="009B10EB">
        <w:rPr>
          <w:rFonts w:ascii="Times New Roman" w:hAnsi="Times New Roman"/>
          <w:i/>
          <w:iCs/>
          <w:sz w:val="24"/>
        </w:rPr>
        <w:t>Journal of Food Science and Technology, 57</w:t>
      </w:r>
      <w:r w:rsidRPr="009B10EB">
        <w:rPr>
          <w:rFonts w:ascii="Times New Roman" w:hAnsi="Times New Roman"/>
          <w:sz w:val="24"/>
        </w:rPr>
        <w:t xml:space="preserve">(3), 1123–1130. </w:t>
      </w:r>
      <w:hyperlink r:id="rId14" w:tgtFrame="_blank" w:history="1">
        <w:r w:rsidRPr="009B10EB">
          <w:rPr>
            <w:rStyle w:val="Hyperlink"/>
            <w:rFonts w:ascii="Times New Roman" w:hAnsi="Times New Roman"/>
            <w:sz w:val="24"/>
          </w:rPr>
          <w:t>https://doi.org/10.1007/s13197-019-04145-2</w:t>
        </w:r>
      </w:hyperlink>
      <w:r w:rsidRPr="009B10EB">
        <w:rPr>
          <w:rFonts w:ascii="Times New Roman" w:hAnsi="Times New Roman"/>
          <w:sz w:val="24"/>
        </w:rPr>
        <w:t xml:space="preserve"> </w:t>
      </w:r>
      <w:r w:rsidRPr="009B10EB">
        <w:rPr>
          <w:rFonts w:ascii="Times New Roman" w:hAnsi="Times New Roman"/>
          <w:i/>
          <w:iCs/>
          <w:sz w:val="24"/>
        </w:rPr>
        <w:t>Context: Used for discussing UV-visible spectroscopy as a cost-effective method for vitamin C analysis (Chapter 1, Section 1.3).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Aguayo, E., Requejo-Jackman, C., Stanley, R., &amp; Woolf, A. (2015). Effects of UV-C treatment on nutrient retention in apple juice. </w:t>
      </w:r>
      <w:r w:rsidRPr="009B10EB">
        <w:rPr>
          <w:rFonts w:ascii="Times New Roman" w:hAnsi="Times New Roman"/>
          <w:i/>
          <w:iCs/>
          <w:sz w:val="24"/>
        </w:rPr>
        <w:t>Postharvest Biology and Technology, 104</w:t>
      </w:r>
      <w:r w:rsidRPr="009B10EB">
        <w:rPr>
          <w:rFonts w:ascii="Times New Roman" w:hAnsi="Times New Roman"/>
          <w:sz w:val="24"/>
        </w:rPr>
        <w:t xml:space="preserve">, 45–51. </w:t>
      </w:r>
      <w:hyperlink r:id="rId15" w:tgtFrame="_blank" w:history="1">
        <w:r w:rsidRPr="009B10EB">
          <w:rPr>
            <w:rStyle w:val="Hyperlink"/>
            <w:rFonts w:ascii="Times New Roman" w:hAnsi="Times New Roman"/>
            <w:sz w:val="24"/>
          </w:rPr>
          <w:t>https://doi.org/10.1016/j.postharvbio.2015.03.003</w:t>
        </w:r>
      </w:hyperlink>
      <w:r w:rsidRPr="009B10EB">
        <w:rPr>
          <w:rFonts w:ascii="Times New Roman" w:hAnsi="Times New Roman"/>
          <w:sz w:val="24"/>
        </w:rPr>
        <w:t xml:space="preserve"> </w:t>
      </w:r>
      <w:r w:rsidRPr="009B10EB">
        <w:rPr>
          <w:rFonts w:ascii="Times New Roman" w:hAnsi="Times New Roman"/>
          <w:i/>
          <w:iCs/>
          <w:sz w:val="24"/>
        </w:rPr>
        <w:t>Context: Cited for UV-C treatment effects on vitamin C stability in apple juice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AOAC International. (2019). </w:t>
      </w:r>
      <w:r w:rsidRPr="009B10EB">
        <w:rPr>
          <w:rFonts w:ascii="Times New Roman" w:hAnsi="Times New Roman"/>
          <w:i/>
          <w:iCs/>
          <w:sz w:val="24"/>
        </w:rPr>
        <w:t>Official methods of analysis of AOAC International</w:t>
      </w:r>
      <w:r w:rsidRPr="009B10EB">
        <w:rPr>
          <w:rFonts w:ascii="Times New Roman" w:hAnsi="Times New Roman"/>
          <w:sz w:val="24"/>
        </w:rPr>
        <w:t xml:space="preserve"> (21st ed.). AOAC International. </w:t>
      </w:r>
      <w:r w:rsidRPr="009B10EB">
        <w:rPr>
          <w:rFonts w:ascii="Times New Roman" w:hAnsi="Times New Roman"/>
          <w:i/>
          <w:iCs/>
          <w:sz w:val="24"/>
        </w:rPr>
        <w:t>Context: Referenced for standard analytical methods, including titration and spectroscopy for vitamin C (Chapter 1, Section 1.1;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Barba, A. A., Calabretti, A., d’Amore, M., Piccinelli, A. L., &amp; Rastrelli, L. (2015). Phenolic constituents levels in cv. empire apples and their relationship with antioxidant activity. </w:t>
      </w:r>
      <w:r w:rsidRPr="009B10EB">
        <w:rPr>
          <w:rFonts w:ascii="Times New Roman" w:hAnsi="Times New Roman"/>
          <w:i/>
          <w:iCs/>
          <w:sz w:val="24"/>
        </w:rPr>
        <w:t>Journal of Agricultural and Food Chemistry, 63</w:t>
      </w:r>
      <w:r w:rsidRPr="009B10EB">
        <w:rPr>
          <w:rFonts w:ascii="Times New Roman" w:hAnsi="Times New Roman"/>
          <w:sz w:val="24"/>
        </w:rPr>
        <w:t xml:space="preserve">(10), 2625–2632. </w:t>
      </w:r>
      <w:hyperlink r:id="rId16" w:tgtFrame="_blank" w:history="1">
        <w:r w:rsidRPr="009B10EB">
          <w:rPr>
            <w:rStyle w:val="Hyperlink"/>
            <w:rFonts w:ascii="Times New Roman" w:hAnsi="Times New Roman"/>
            <w:sz w:val="24"/>
          </w:rPr>
          <w:t>https://doi.org/10.1021/jf505686b</w:t>
        </w:r>
      </w:hyperlink>
      <w:r w:rsidRPr="009B10EB">
        <w:rPr>
          <w:rFonts w:ascii="Times New Roman" w:hAnsi="Times New Roman"/>
          <w:sz w:val="24"/>
        </w:rPr>
        <w:t xml:space="preserve"> </w:t>
      </w:r>
      <w:r w:rsidRPr="009B10EB">
        <w:rPr>
          <w:rFonts w:ascii="Times New Roman" w:hAnsi="Times New Roman"/>
          <w:i/>
          <w:iCs/>
          <w:sz w:val="24"/>
        </w:rPr>
        <w:t>Context: Discusses interferences from phenolic compounds in apple juice during UV-Vis analysis (Chapter 1, Section 1.5).</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Barreira, J. C. M., Arraibi, A. A., &amp; Ferreira, I. C. F. R. (2017). Bioactive components in fruit juices: Analytical methods and health implications. </w:t>
      </w:r>
      <w:r w:rsidRPr="009B10EB">
        <w:rPr>
          <w:rFonts w:ascii="Times New Roman" w:hAnsi="Times New Roman"/>
          <w:i/>
          <w:iCs/>
          <w:sz w:val="24"/>
        </w:rPr>
        <w:t>Trends in Food Science &amp; Technology, 66</w:t>
      </w:r>
      <w:r w:rsidRPr="009B10EB">
        <w:rPr>
          <w:rFonts w:ascii="Times New Roman" w:hAnsi="Times New Roman"/>
          <w:sz w:val="24"/>
        </w:rPr>
        <w:t xml:space="preserve">, 85–94. </w:t>
      </w:r>
      <w:hyperlink r:id="rId17" w:tgtFrame="_blank" w:history="1">
        <w:r w:rsidRPr="009B10EB">
          <w:rPr>
            <w:rStyle w:val="Hyperlink"/>
            <w:rFonts w:ascii="Times New Roman" w:hAnsi="Times New Roman"/>
            <w:sz w:val="24"/>
          </w:rPr>
          <w:t>https://doi.org/10.1016/j.tifs.2017.05.016</w:t>
        </w:r>
      </w:hyperlink>
      <w:r w:rsidRPr="009B10EB">
        <w:rPr>
          <w:rFonts w:ascii="Times New Roman" w:hAnsi="Times New Roman"/>
          <w:sz w:val="24"/>
        </w:rPr>
        <w:t xml:space="preserve"> </w:t>
      </w:r>
      <w:r w:rsidRPr="009B10EB">
        <w:rPr>
          <w:rFonts w:ascii="Times New Roman" w:hAnsi="Times New Roman"/>
          <w:i/>
          <w:iCs/>
          <w:sz w:val="24"/>
        </w:rPr>
        <w:t>Context: Cited for multiproduct calibration in nectar juices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lastRenderedPageBreak/>
        <w:t xml:space="preserve">Burini, G. (2007). Development of a quantitative method for the analysis of total L-ascorbic acid in foods by high-performance liquid chromatography. </w:t>
      </w:r>
      <w:r w:rsidRPr="009B10EB">
        <w:rPr>
          <w:rFonts w:ascii="Times New Roman" w:hAnsi="Times New Roman"/>
          <w:i/>
          <w:iCs/>
          <w:sz w:val="24"/>
        </w:rPr>
        <w:t>Journal of Chromatography A, 1154</w:t>
      </w:r>
      <w:r w:rsidRPr="009B10EB">
        <w:rPr>
          <w:rFonts w:ascii="Times New Roman" w:hAnsi="Times New Roman"/>
          <w:sz w:val="24"/>
        </w:rPr>
        <w:t xml:space="preserve">(1-2), 97–102. </w:t>
      </w:r>
      <w:hyperlink r:id="rId18" w:tgtFrame="_blank" w:history="1">
        <w:r w:rsidRPr="009B10EB">
          <w:rPr>
            <w:rStyle w:val="Hyperlink"/>
            <w:rFonts w:ascii="Times New Roman" w:hAnsi="Times New Roman"/>
            <w:sz w:val="24"/>
          </w:rPr>
          <w:t>https://doi.org/10.1016/j.chroma.2007.03.013</w:t>
        </w:r>
      </w:hyperlink>
      <w:r w:rsidRPr="009B10EB">
        <w:rPr>
          <w:rFonts w:ascii="Times New Roman" w:hAnsi="Times New Roman"/>
          <w:sz w:val="24"/>
        </w:rPr>
        <w:t xml:space="preserve"> </w:t>
      </w:r>
      <w:r w:rsidRPr="009B10EB">
        <w:rPr>
          <w:rFonts w:ascii="Times New Roman" w:hAnsi="Times New Roman"/>
          <w:i/>
          <w:iCs/>
          <w:sz w:val="24"/>
        </w:rPr>
        <w:t>Context: Referenced for DNPH derivatization method in fruits and juices (Chapter 1, Section 1.3;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Campos, F. M., Ribeiro, S. M. R., Della Lucia, C. M., Pinheiro-Sant’Ana, H. M., &amp; Stringheta, P. C. (2016). Optimization of UV-visible spectroscopy for ascorbic acid determination in tropical fruit juices. </w:t>
      </w:r>
      <w:r w:rsidRPr="009B10EB">
        <w:rPr>
          <w:rFonts w:ascii="Times New Roman" w:hAnsi="Times New Roman"/>
          <w:i/>
          <w:iCs/>
          <w:sz w:val="24"/>
        </w:rPr>
        <w:t>Food Analytical Methods, 9</w:t>
      </w:r>
      <w:r w:rsidRPr="009B10EB">
        <w:rPr>
          <w:rFonts w:ascii="Times New Roman" w:hAnsi="Times New Roman"/>
          <w:sz w:val="24"/>
        </w:rPr>
        <w:t xml:space="preserve">(6), 1571–1580. </w:t>
      </w:r>
      <w:hyperlink r:id="rId19" w:tgtFrame="_blank" w:history="1">
        <w:r w:rsidRPr="009B10EB">
          <w:rPr>
            <w:rStyle w:val="Hyperlink"/>
            <w:rFonts w:ascii="Times New Roman" w:hAnsi="Times New Roman"/>
            <w:sz w:val="24"/>
          </w:rPr>
          <w:t>https://doi.org/10.1007/s12161-015-0342-8</w:t>
        </w:r>
      </w:hyperlink>
      <w:r w:rsidRPr="009B10EB">
        <w:rPr>
          <w:rFonts w:ascii="Times New Roman" w:hAnsi="Times New Roman"/>
          <w:sz w:val="24"/>
        </w:rPr>
        <w:t xml:space="preserve"> </w:t>
      </w:r>
      <w:r w:rsidRPr="009B10EB">
        <w:rPr>
          <w:rFonts w:ascii="Times New Roman" w:hAnsi="Times New Roman"/>
          <w:i/>
          <w:iCs/>
          <w:sz w:val="24"/>
        </w:rPr>
        <w:t>Context: Cited for UV-Vis method optimization and comparison with titration (Chapter 1, Section 1.3;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Cen, H., &amp; He, Y. (2007). Theory and application of near-infrared reflectance spectroscopy in determination of fruit quality. </w:t>
      </w:r>
      <w:r w:rsidRPr="009B10EB">
        <w:rPr>
          <w:rFonts w:ascii="Times New Roman" w:hAnsi="Times New Roman"/>
          <w:i/>
          <w:iCs/>
          <w:sz w:val="24"/>
        </w:rPr>
        <w:t>Trends in Food Science &amp; Technology, 18</w:t>
      </w:r>
      <w:r w:rsidRPr="009B10EB">
        <w:rPr>
          <w:rFonts w:ascii="Times New Roman" w:hAnsi="Times New Roman"/>
          <w:sz w:val="24"/>
        </w:rPr>
        <w:t xml:space="preserve">(2), 72–83. </w:t>
      </w:r>
      <w:hyperlink r:id="rId20" w:tgtFrame="_blank" w:history="1">
        <w:r w:rsidRPr="009B10EB">
          <w:rPr>
            <w:rStyle w:val="Hyperlink"/>
            <w:rFonts w:ascii="Times New Roman" w:hAnsi="Times New Roman"/>
            <w:sz w:val="24"/>
          </w:rPr>
          <w:t>https://doi.org/10.1016/j.tifs.2006.09.005</w:t>
        </w:r>
      </w:hyperlink>
      <w:r w:rsidRPr="009B10EB">
        <w:rPr>
          <w:rFonts w:ascii="Times New Roman" w:hAnsi="Times New Roman"/>
          <w:sz w:val="24"/>
        </w:rPr>
        <w:t xml:space="preserve"> </w:t>
      </w:r>
      <w:r w:rsidRPr="009B10EB">
        <w:rPr>
          <w:rFonts w:ascii="Times New Roman" w:hAnsi="Times New Roman"/>
          <w:i/>
          <w:iCs/>
          <w:sz w:val="24"/>
        </w:rPr>
        <w:t>Context: Discusses non-destructive spectroscopy for fruit juice analysis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Cozzolino, D., Cynkar, W. U., Shah, N., &amp; Smith, P. (2011). Multivariate calibration methods for rapid analysis of ascorbic acid in fruit juices. </w:t>
      </w:r>
      <w:r w:rsidRPr="009B10EB">
        <w:rPr>
          <w:rFonts w:ascii="Times New Roman" w:hAnsi="Times New Roman"/>
          <w:i/>
          <w:iCs/>
          <w:sz w:val="24"/>
        </w:rPr>
        <w:t>Journal of Food Composition and Analysis, 24</w:t>
      </w:r>
      <w:r w:rsidRPr="009B10EB">
        <w:rPr>
          <w:rFonts w:ascii="Times New Roman" w:hAnsi="Times New Roman"/>
          <w:sz w:val="24"/>
        </w:rPr>
        <w:t xml:space="preserve">(8), 1089–1094. </w:t>
      </w:r>
      <w:hyperlink r:id="rId21" w:tgtFrame="_blank" w:history="1">
        <w:r w:rsidRPr="009B10EB">
          <w:rPr>
            <w:rStyle w:val="Hyperlink"/>
            <w:rFonts w:ascii="Times New Roman" w:hAnsi="Times New Roman"/>
            <w:sz w:val="24"/>
          </w:rPr>
          <w:t>https://doi.org/10.1016/j.jfca.2011.03.008</w:t>
        </w:r>
      </w:hyperlink>
      <w:r w:rsidRPr="009B10EB">
        <w:rPr>
          <w:rFonts w:ascii="Times New Roman" w:hAnsi="Times New Roman"/>
          <w:sz w:val="24"/>
        </w:rPr>
        <w:t xml:space="preserve"> </w:t>
      </w:r>
      <w:r w:rsidRPr="009B10EB">
        <w:rPr>
          <w:rFonts w:ascii="Times New Roman" w:hAnsi="Times New Roman"/>
          <w:i/>
          <w:iCs/>
          <w:sz w:val="24"/>
        </w:rPr>
        <w:t>Context: Cited for multivariate calibration in UV-Vis analysis of juices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Davey, M. W., Van Montagu, M., Inzé, D., &amp; Sanmartin, M. (2000). Plant L-ascorbic acid: Chemistry, function, metabolism, bioavailability and effects of processing. </w:t>
      </w:r>
      <w:r w:rsidRPr="009B10EB">
        <w:rPr>
          <w:rFonts w:ascii="Times New Roman" w:hAnsi="Times New Roman"/>
          <w:i/>
          <w:iCs/>
          <w:sz w:val="24"/>
        </w:rPr>
        <w:t>Journal of the Science of Food and Agriculture, 80</w:t>
      </w:r>
      <w:r w:rsidRPr="009B10EB">
        <w:rPr>
          <w:rFonts w:ascii="Times New Roman" w:hAnsi="Times New Roman"/>
          <w:sz w:val="24"/>
        </w:rPr>
        <w:t xml:space="preserve">(7), 825–860. </w:t>
      </w:r>
      <w:hyperlink r:id="rId22" w:tgtFrame="_blank" w:history="1">
        <w:r w:rsidRPr="009B10EB">
          <w:rPr>
            <w:rStyle w:val="Hyperlink"/>
            <w:rFonts w:ascii="Times New Roman" w:hAnsi="Times New Roman"/>
            <w:sz w:val="24"/>
          </w:rPr>
          <w:t>https://doi.org/10.1002/(SICI)1097-0010(20000515)80:7</w:t>
        </w:r>
      </w:hyperlink>
      <w:r w:rsidRPr="009B10EB">
        <w:rPr>
          <w:rFonts w:ascii="Times New Roman" w:hAnsi="Times New Roman"/>
          <w:sz w:val="24"/>
        </w:rPr>
        <w:t xml:space="preserve">&lt;825::AID-JSFA598&gt;3.0.CO;2-6 </w:t>
      </w:r>
      <w:r w:rsidRPr="009B10EB">
        <w:rPr>
          <w:rFonts w:ascii="Times New Roman" w:hAnsi="Times New Roman"/>
          <w:i/>
          <w:iCs/>
          <w:sz w:val="24"/>
        </w:rPr>
        <w:t>Context: Provides background on vitamin C stability and processing effects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lastRenderedPageBreak/>
        <w:t xml:space="preserve">El-Gizawy, S. M., &amp; El-Yazbi, F. A. (2018). Simultaneous determination of ascorbic acid and its degradation products in fruit juices using derivative spectrophotometry. </w:t>
      </w:r>
      <w:r w:rsidRPr="009B10EB">
        <w:rPr>
          <w:rFonts w:ascii="Times New Roman" w:hAnsi="Times New Roman"/>
          <w:i/>
          <w:iCs/>
          <w:sz w:val="24"/>
        </w:rPr>
        <w:t>Analytical Letters, 51</w:t>
      </w:r>
      <w:r w:rsidRPr="009B10EB">
        <w:rPr>
          <w:rFonts w:ascii="Times New Roman" w:hAnsi="Times New Roman"/>
          <w:sz w:val="24"/>
        </w:rPr>
        <w:t xml:space="preserve">(14), 2273–2286. </w:t>
      </w:r>
      <w:hyperlink r:id="rId23" w:tgtFrame="_blank" w:history="1">
        <w:r w:rsidRPr="009B10EB">
          <w:rPr>
            <w:rStyle w:val="Hyperlink"/>
            <w:rFonts w:ascii="Times New Roman" w:hAnsi="Times New Roman"/>
            <w:sz w:val="24"/>
          </w:rPr>
          <w:t>https://doi.org/10.1080/00032719.2017.1412345</w:t>
        </w:r>
      </w:hyperlink>
      <w:r w:rsidRPr="009B10EB">
        <w:rPr>
          <w:rFonts w:ascii="Times New Roman" w:hAnsi="Times New Roman"/>
          <w:sz w:val="24"/>
        </w:rPr>
        <w:t xml:space="preserve"> </w:t>
      </w:r>
      <w:r w:rsidRPr="009B10EB">
        <w:rPr>
          <w:rFonts w:ascii="Times New Roman" w:hAnsi="Times New Roman"/>
          <w:i/>
          <w:iCs/>
          <w:sz w:val="24"/>
        </w:rPr>
        <w:t>Context: Cited for derivative spectroscopy in fruit juice analysis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Escarpa, A., &amp; González, M. C. (2001). An overview of analytical chemistry of phenolic compounds in foods. </w:t>
      </w:r>
      <w:r w:rsidRPr="009B10EB">
        <w:rPr>
          <w:rFonts w:ascii="Times New Roman" w:hAnsi="Times New Roman"/>
          <w:i/>
          <w:iCs/>
          <w:sz w:val="24"/>
        </w:rPr>
        <w:t>Critical Reviews in Analytical Chemistry, 31</w:t>
      </w:r>
      <w:r w:rsidRPr="009B10EB">
        <w:rPr>
          <w:rFonts w:ascii="Times New Roman" w:hAnsi="Times New Roman"/>
          <w:sz w:val="24"/>
        </w:rPr>
        <w:t xml:space="preserve">(2), 57–139. </w:t>
      </w:r>
      <w:hyperlink r:id="rId24" w:tgtFrame="_blank" w:history="1">
        <w:r w:rsidRPr="009B10EB">
          <w:rPr>
            <w:rStyle w:val="Hyperlink"/>
            <w:rFonts w:ascii="Times New Roman" w:hAnsi="Times New Roman"/>
            <w:sz w:val="24"/>
          </w:rPr>
          <w:t>https://doi.org/10.1080/20014091076695</w:t>
        </w:r>
      </w:hyperlink>
      <w:r w:rsidRPr="009B10EB">
        <w:rPr>
          <w:rFonts w:ascii="Times New Roman" w:hAnsi="Times New Roman"/>
          <w:sz w:val="24"/>
        </w:rPr>
        <w:t xml:space="preserve"> </w:t>
      </w:r>
      <w:r w:rsidRPr="009B10EB">
        <w:rPr>
          <w:rFonts w:ascii="Times New Roman" w:hAnsi="Times New Roman"/>
          <w:i/>
          <w:iCs/>
          <w:sz w:val="24"/>
        </w:rPr>
        <w:t>Context: Discusses analytical challenges with phenolics in juices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Esteve, M. J., Frígola, A., Rodrigo, C., &amp; Rodrigo, M. (2005). Effect of storage on the vitamin C content of commercial orange juices. </w:t>
      </w:r>
      <w:r w:rsidRPr="009B10EB">
        <w:rPr>
          <w:rFonts w:ascii="Times New Roman" w:hAnsi="Times New Roman"/>
          <w:i/>
          <w:iCs/>
          <w:sz w:val="24"/>
        </w:rPr>
        <w:t>Journal of Food Science, 70</w:t>
      </w:r>
      <w:r w:rsidRPr="009B10EB">
        <w:rPr>
          <w:rFonts w:ascii="Times New Roman" w:hAnsi="Times New Roman"/>
          <w:sz w:val="24"/>
        </w:rPr>
        <w:t xml:space="preserve">(9), S562–S567. </w:t>
      </w:r>
      <w:hyperlink r:id="rId25" w:tgtFrame="_blank" w:history="1">
        <w:r w:rsidRPr="009B10EB">
          <w:rPr>
            <w:rStyle w:val="Hyperlink"/>
            <w:rFonts w:ascii="Times New Roman" w:hAnsi="Times New Roman"/>
            <w:sz w:val="24"/>
          </w:rPr>
          <w:t>https://doi.org/10.1111/j.1365-2621.2005.tb08320.x</w:t>
        </w:r>
      </w:hyperlink>
      <w:r w:rsidRPr="009B10EB">
        <w:rPr>
          <w:rFonts w:ascii="Times New Roman" w:hAnsi="Times New Roman"/>
          <w:sz w:val="24"/>
        </w:rPr>
        <w:t xml:space="preserve"> </w:t>
      </w:r>
      <w:r w:rsidRPr="009B10EB">
        <w:rPr>
          <w:rFonts w:ascii="Times New Roman" w:hAnsi="Times New Roman"/>
          <w:i/>
          <w:iCs/>
          <w:sz w:val="24"/>
        </w:rPr>
        <w:t>Context: Cited for storage effects on vitamin C in juices (Chapter 1, Section 1.5;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Fernández, M., Vega, B., &amp; Pérez, N. (2014). Spectrophotometric determination of ascorbic acid in fruit juices using potassium permanganate. </w:t>
      </w:r>
      <w:r w:rsidRPr="009B10EB">
        <w:rPr>
          <w:rFonts w:ascii="Times New Roman" w:hAnsi="Times New Roman"/>
          <w:i/>
          <w:iCs/>
          <w:sz w:val="24"/>
        </w:rPr>
        <w:t>Food Chemistry, 145</w:t>
      </w:r>
      <w:r w:rsidRPr="009B10EB">
        <w:rPr>
          <w:rFonts w:ascii="Times New Roman" w:hAnsi="Times New Roman"/>
          <w:sz w:val="24"/>
        </w:rPr>
        <w:t xml:space="preserve">, 619–623. </w:t>
      </w:r>
      <w:hyperlink r:id="rId26" w:tgtFrame="_blank" w:history="1">
        <w:r w:rsidRPr="009B10EB">
          <w:rPr>
            <w:rStyle w:val="Hyperlink"/>
            <w:rFonts w:ascii="Times New Roman" w:hAnsi="Times New Roman"/>
            <w:sz w:val="24"/>
          </w:rPr>
          <w:t>https://doi.org/10.1016/j.foodchem.2013.08.087</w:t>
        </w:r>
      </w:hyperlink>
      <w:r w:rsidRPr="009B10EB">
        <w:rPr>
          <w:rFonts w:ascii="Times New Roman" w:hAnsi="Times New Roman"/>
          <w:sz w:val="24"/>
        </w:rPr>
        <w:t xml:space="preserve"> </w:t>
      </w:r>
      <w:r w:rsidRPr="009B10EB">
        <w:rPr>
          <w:rFonts w:ascii="Times New Roman" w:hAnsi="Times New Roman"/>
          <w:i/>
          <w:iCs/>
          <w:sz w:val="24"/>
        </w:rPr>
        <w:t>Context: KMnO4 method for vitamin C in juices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Garcia-Torres, R., Ponagandla, N. R., Rouseff, R. L., &amp; Goodrich-Schneider, R. M. (2009). Effects of processing on the nutritional quality of orange juice. </w:t>
      </w:r>
      <w:r w:rsidRPr="009B10EB">
        <w:rPr>
          <w:rFonts w:ascii="Times New Roman" w:hAnsi="Times New Roman"/>
          <w:i/>
          <w:iCs/>
          <w:sz w:val="24"/>
        </w:rPr>
        <w:t>Journal of Food Engineering, 92</w:t>
      </w:r>
      <w:r w:rsidRPr="009B10EB">
        <w:rPr>
          <w:rFonts w:ascii="Times New Roman" w:hAnsi="Times New Roman"/>
          <w:sz w:val="24"/>
        </w:rPr>
        <w:t xml:space="preserve">(2), 152–158. </w:t>
      </w:r>
      <w:hyperlink r:id="rId27" w:tgtFrame="_blank" w:history="1">
        <w:r w:rsidRPr="009B10EB">
          <w:rPr>
            <w:rStyle w:val="Hyperlink"/>
            <w:rFonts w:ascii="Times New Roman" w:hAnsi="Times New Roman"/>
            <w:sz w:val="24"/>
          </w:rPr>
          <w:t>https://doi.org/10.1016/j.jfoodeng.2008.10.024</w:t>
        </w:r>
      </w:hyperlink>
      <w:r w:rsidRPr="009B10EB">
        <w:rPr>
          <w:rFonts w:ascii="Times New Roman" w:hAnsi="Times New Roman"/>
          <w:sz w:val="24"/>
        </w:rPr>
        <w:t xml:space="preserve"> </w:t>
      </w:r>
      <w:r w:rsidRPr="009B10EB">
        <w:rPr>
          <w:rFonts w:ascii="Times New Roman" w:hAnsi="Times New Roman"/>
          <w:i/>
          <w:iCs/>
          <w:sz w:val="24"/>
        </w:rPr>
        <w:t>Context: Cited for processing impacts on vitamin C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Gómez-Ariza, J. L., Sánchez-Rodas, D., &amp; Giráldez, I. (2006). Analytical methods for determining ascorbic acid in biological samples, food products, and pharmaceuticals. </w:t>
      </w:r>
      <w:r w:rsidRPr="009B10EB">
        <w:rPr>
          <w:rFonts w:ascii="Times New Roman" w:hAnsi="Times New Roman"/>
          <w:i/>
          <w:iCs/>
          <w:sz w:val="24"/>
        </w:rPr>
        <w:t>Journal of Chromatography B, 837</w:t>
      </w:r>
      <w:r w:rsidRPr="009B10EB">
        <w:rPr>
          <w:rFonts w:ascii="Times New Roman" w:hAnsi="Times New Roman"/>
          <w:sz w:val="24"/>
        </w:rPr>
        <w:t xml:space="preserve">(1-2), 1–17. </w:t>
      </w:r>
      <w:hyperlink r:id="rId28" w:tgtFrame="_blank" w:history="1">
        <w:r w:rsidRPr="009B10EB">
          <w:rPr>
            <w:rStyle w:val="Hyperlink"/>
            <w:rFonts w:ascii="Times New Roman" w:hAnsi="Times New Roman"/>
            <w:sz w:val="24"/>
          </w:rPr>
          <w:t>https://doi.org/10.1016/j.jchromb.2006.03.040</w:t>
        </w:r>
      </w:hyperlink>
      <w:r w:rsidRPr="009B10EB">
        <w:rPr>
          <w:rFonts w:ascii="Times New Roman" w:hAnsi="Times New Roman"/>
          <w:sz w:val="24"/>
        </w:rPr>
        <w:t xml:space="preserve"> </w:t>
      </w:r>
      <w:r w:rsidRPr="009B10EB">
        <w:rPr>
          <w:rFonts w:ascii="Times New Roman" w:hAnsi="Times New Roman"/>
          <w:i/>
          <w:iCs/>
          <w:sz w:val="24"/>
        </w:rPr>
        <w:t xml:space="preserve">Context: </w:t>
      </w:r>
      <w:r w:rsidRPr="009B10EB">
        <w:rPr>
          <w:rFonts w:ascii="Times New Roman" w:hAnsi="Times New Roman"/>
          <w:i/>
          <w:iCs/>
          <w:sz w:val="24"/>
        </w:rPr>
        <w:lastRenderedPageBreak/>
        <w:t>Overview of analytical methods for vitamin C (Chapter 1, Section 1.5;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Johnston, C. S., &amp; Steinberg, F. M. (2010). Vitamin C. In </w:t>
      </w:r>
      <w:r w:rsidRPr="009B10EB">
        <w:rPr>
          <w:rFonts w:ascii="Times New Roman" w:hAnsi="Times New Roman"/>
          <w:i/>
          <w:iCs/>
          <w:sz w:val="24"/>
        </w:rPr>
        <w:t>Encyclopedia of dietary supplements</w:t>
      </w:r>
      <w:r w:rsidRPr="009B10EB">
        <w:rPr>
          <w:rFonts w:ascii="Times New Roman" w:hAnsi="Times New Roman"/>
          <w:sz w:val="24"/>
        </w:rPr>
        <w:t xml:space="preserve"> (2nd ed., pp. 837–846). CRC Press. </w:t>
      </w:r>
      <w:r w:rsidRPr="009B10EB">
        <w:rPr>
          <w:rFonts w:ascii="Times New Roman" w:hAnsi="Times New Roman"/>
          <w:i/>
          <w:iCs/>
          <w:sz w:val="24"/>
        </w:rPr>
        <w:t>Context: Provides chemical properties and stability of vitamin C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Kall, M. A., &amp; Andersen, C. (1999). Improved method for simultaneous determination of ascorbic acid and dehydroascorbic acid. </w:t>
      </w:r>
      <w:r w:rsidRPr="009B10EB">
        <w:rPr>
          <w:rFonts w:ascii="Times New Roman" w:hAnsi="Times New Roman"/>
          <w:i/>
          <w:iCs/>
          <w:sz w:val="24"/>
        </w:rPr>
        <w:t>Journal of Chromatography B, 730</w:t>
      </w:r>
      <w:r w:rsidRPr="009B10EB">
        <w:rPr>
          <w:rFonts w:ascii="Times New Roman" w:hAnsi="Times New Roman"/>
          <w:sz w:val="24"/>
        </w:rPr>
        <w:t xml:space="preserve">(1), 101–111. </w:t>
      </w:r>
      <w:hyperlink r:id="rId29" w:tgtFrame="_blank" w:history="1">
        <w:r w:rsidRPr="009B10EB">
          <w:rPr>
            <w:rStyle w:val="Hyperlink"/>
            <w:rFonts w:ascii="Times New Roman" w:hAnsi="Times New Roman"/>
            <w:sz w:val="24"/>
          </w:rPr>
          <w:t>https://doi.org/10.1016/S0378-4347(99)00185-7</w:t>
        </w:r>
      </w:hyperlink>
      <w:r w:rsidRPr="009B10EB">
        <w:rPr>
          <w:rFonts w:ascii="Times New Roman" w:hAnsi="Times New Roman"/>
          <w:sz w:val="24"/>
        </w:rPr>
        <w:t xml:space="preserve"> </w:t>
      </w:r>
      <w:r w:rsidRPr="009B10EB">
        <w:rPr>
          <w:rFonts w:ascii="Times New Roman" w:hAnsi="Times New Roman"/>
          <w:i/>
          <w:iCs/>
          <w:sz w:val="24"/>
        </w:rPr>
        <w:t>Context: Cited for DNPH method and stability studies (Chapter 1, Section 1.3;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Kapur, A., Hasković, A., Čopra-Janićijević, A., &amp; Klepo, L. (2012). Spectrophotometric determination of ascorbic acid in fruits and vegetables. </w:t>
      </w:r>
      <w:r w:rsidRPr="009B10EB">
        <w:rPr>
          <w:rFonts w:ascii="Times New Roman" w:hAnsi="Times New Roman"/>
          <w:i/>
          <w:iCs/>
          <w:sz w:val="24"/>
        </w:rPr>
        <w:t>Food Chemistry, 131</w:t>
      </w:r>
      <w:r w:rsidRPr="009B10EB">
        <w:rPr>
          <w:rFonts w:ascii="Times New Roman" w:hAnsi="Times New Roman"/>
          <w:sz w:val="24"/>
        </w:rPr>
        <w:t xml:space="preserve">(3), 985–989. </w:t>
      </w:r>
      <w:hyperlink r:id="rId30" w:tgtFrame="_blank" w:history="1">
        <w:r w:rsidRPr="009B10EB">
          <w:rPr>
            <w:rStyle w:val="Hyperlink"/>
            <w:rFonts w:ascii="Times New Roman" w:hAnsi="Times New Roman"/>
            <w:sz w:val="24"/>
          </w:rPr>
          <w:t>https://doi.org/10.1016/j.foodchem.2011.09.072</w:t>
        </w:r>
      </w:hyperlink>
      <w:r w:rsidRPr="009B10EB">
        <w:rPr>
          <w:rFonts w:ascii="Times New Roman" w:hAnsi="Times New Roman"/>
          <w:sz w:val="24"/>
        </w:rPr>
        <w:t xml:space="preserve"> </w:t>
      </w:r>
      <w:r w:rsidRPr="009B10EB">
        <w:rPr>
          <w:rFonts w:ascii="Times New Roman" w:hAnsi="Times New Roman"/>
          <w:i/>
          <w:iCs/>
          <w:sz w:val="24"/>
        </w:rPr>
        <w:t>Context: KMnO4 and DNPH methods for vitamin C in fruits (Chapter 1, Section 1.3;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Kleszczewski, T., Kleszczewska, E., &amp; Szumilo, J. (2013). Stabilization of ascorbic acid in fruit juices using natural antioxidants. </w:t>
      </w:r>
      <w:r w:rsidRPr="009B10EB">
        <w:rPr>
          <w:rFonts w:ascii="Times New Roman" w:hAnsi="Times New Roman"/>
          <w:i/>
          <w:iCs/>
          <w:sz w:val="24"/>
        </w:rPr>
        <w:t>Journal of Food Processing and Preservation, 37</w:t>
      </w:r>
      <w:r w:rsidRPr="009B10EB">
        <w:rPr>
          <w:rFonts w:ascii="Times New Roman" w:hAnsi="Times New Roman"/>
          <w:sz w:val="24"/>
        </w:rPr>
        <w:t xml:space="preserve">(5), 789–795. </w:t>
      </w:r>
      <w:hyperlink r:id="rId31" w:tgtFrame="_blank" w:history="1">
        <w:r w:rsidRPr="009B10EB">
          <w:rPr>
            <w:rStyle w:val="Hyperlink"/>
            <w:rFonts w:ascii="Times New Roman" w:hAnsi="Times New Roman"/>
            <w:sz w:val="24"/>
          </w:rPr>
          <w:t>https://doi.org/10.1111/j.1745-4549.2012.00712.x</w:t>
        </w:r>
      </w:hyperlink>
      <w:r w:rsidRPr="009B10EB">
        <w:rPr>
          <w:rFonts w:ascii="Times New Roman" w:hAnsi="Times New Roman"/>
          <w:sz w:val="24"/>
        </w:rPr>
        <w:t xml:space="preserve"> </w:t>
      </w:r>
      <w:r w:rsidRPr="009B10EB">
        <w:rPr>
          <w:rFonts w:ascii="Times New Roman" w:hAnsi="Times New Roman"/>
          <w:i/>
          <w:iCs/>
          <w:sz w:val="24"/>
        </w:rPr>
        <w:t>Context: Discusses stabilizing agents like cysteine for vitamin C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Lee, H. S., &amp; Coates, G. A. (1999). Vitamin C in frozen, fresh squeezed, unpasteurized, polyethylene-bottled orange juice: A storage study. </w:t>
      </w:r>
      <w:r w:rsidRPr="009B10EB">
        <w:rPr>
          <w:rFonts w:ascii="Times New Roman" w:hAnsi="Times New Roman"/>
          <w:i/>
          <w:iCs/>
          <w:sz w:val="24"/>
        </w:rPr>
        <w:t>Food Chemistry, 65</w:t>
      </w:r>
      <w:r w:rsidRPr="009B10EB">
        <w:rPr>
          <w:rFonts w:ascii="Times New Roman" w:hAnsi="Times New Roman"/>
          <w:sz w:val="24"/>
        </w:rPr>
        <w:t xml:space="preserve">(2), 165–168. </w:t>
      </w:r>
      <w:hyperlink r:id="rId32" w:tgtFrame="_blank" w:history="1">
        <w:r w:rsidRPr="009B10EB">
          <w:rPr>
            <w:rStyle w:val="Hyperlink"/>
            <w:rFonts w:ascii="Times New Roman" w:hAnsi="Times New Roman"/>
            <w:sz w:val="24"/>
          </w:rPr>
          <w:t>https://doi.org/10.1016/S0308-8146(98)00180-0</w:t>
        </w:r>
      </w:hyperlink>
      <w:r w:rsidRPr="009B10EB">
        <w:rPr>
          <w:rFonts w:ascii="Times New Roman" w:hAnsi="Times New Roman"/>
          <w:sz w:val="24"/>
        </w:rPr>
        <w:t xml:space="preserve"> </w:t>
      </w:r>
      <w:r w:rsidRPr="009B10EB">
        <w:rPr>
          <w:rFonts w:ascii="Times New Roman" w:hAnsi="Times New Roman"/>
          <w:i/>
          <w:iCs/>
          <w:sz w:val="24"/>
        </w:rPr>
        <w:t>Context: Cited for storage effects on vitamin C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Miller, N. J., &amp; Rice-Evans, C. A. (1997). Factors influencing the antioxidant activity determined by the ABTS radical cation assay. </w:t>
      </w:r>
      <w:r w:rsidRPr="009B10EB">
        <w:rPr>
          <w:rFonts w:ascii="Times New Roman" w:hAnsi="Times New Roman"/>
          <w:i/>
          <w:iCs/>
          <w:sz w:val="24"/>
        </w:rPr>
        <w:t>Free Radical Research, 26</w:t>
      </w:r>
      <w:r w:rsidRPr="009B10EB">
        <w:rPr>
          <w:rFonts w:ascii="Times New Roman" w:hAnsi="Times New Roman"/>
          <w:sz w:val="24"/>
        </w:rPr>
        <w:t xml:space="preserve">(3), 195–199. </w:t>
      </w:r>
      <w:hyperlink r:id="rId33" w:tgtFrame="_blank" w:history="1">
        <w:r w:rsidRPr="009B10EB">
          <w:rPr>
            <w:rStyle w:val="Hyperlink"/>
            <w:rFonts w:ascii="Times New Roman" w:hAnsi="Times New Roman"/>
            <w:sz w:val="24"/>
          </w:rPr>
          <w:t>https://doi.org/10.3109/10715769709097806</w:t>
        </w:r>
      </w:hyperlink>
      <w:r w:rsidRPr="009B10EB">
        <w:rPr>
          <w:rFonts w:ascii="Times New Roman" w:hAnsi="Times New Roman"/>
          <w:sz w:val="24"/>
        </w:rPr>
        <w:t xml:space="preserve"> </w:t>
      </w:r>
      <w:r w:rsidRPr="009B10EB">
        <w:rPr>
          <w:rFonts w:ascii="Times New Roman" w:hAnsi="Times New Roman"/>
          <w:i/>
          <w:iCs/>
          <w:sz w:val="24"/>
        </w:rPr>
        <w:t>Context: Discusses antioxidant interactions in juices (Chapter 1, Section 1.1;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Nagy, S. (1980). Vitamin C contents of citrus fruit and their products: A review. </w:t>
      </w:r>
      <w:r w:rsidRPr="009B10EB">
        <w:rPr>
          <w:rFonts w:ascii="Times New Roman" w:hAnsi="Times New Roman"/>
          <w:i/>
          <w:iCs/>
          <w:sz w:val="24"/>
        </w:rPr>
        <w:t>Journal of Agricultural and Food Chemistry, 28</w:t>
      </w:r>
      <w:r w:rsidRPr="009B10EB">
        <w:rPr>
          <w:rFonts w:ascii="Times New Roman" w:hAnsi="Times New Roman"/>
          <w:sz w:val="24"/>
        </w:rPr>
        <w:t xml:space="preserve">(1), 8–18. </w:t>
      </w:r>
      <w:hyperlink r:id="rId34" w:tgtFrame="_blank" w:history="1">
        <w:r w:rsidRPr="009B10EB">
          <w:rPr>
            <w:rStyle w:val="Hyperlink"/>
            <w:rFonts w:ascii="Times New Roman" w:hAnsi="Times New Roman"/>
            <w:sz w:val="24"/>
          </w:rPr>
          <w:t>https://doi.org/10.1021/jf60227a026</w:t>
        </w:r>
      </w:hyperlink>
      <w:r w:rsidRPr="009B10EB">
        <w:rPr>
          <w:rFonts w:ascii="Times New Roman" w:hAnsi="Times New Roman"/>
          <w:sz w:val="24"/>
        </w:rPr>
        <w:t xml:space="preserve"> </w:t>
      </w:r>
      <w:r w:rsidRPr="009B10EB">
        <w:rPr>
          <w:rFonts w:ascii="Times New Roman" w:hAnsi="Times New Roman"/>
          <w:i/>
          <w:iCs/>
          <w:sz w:val="24"/>
        </w:rPr>
        <w:t>Context: Background on vitamin C stability in juices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O’Connell, P. J., &amp; Gormally, C. (2001). Kinetic study of ascorbic acid degradation in aqueous solutions. </w:t>
      </w:r>
      <w:r w:rsidRPr="009B10EB">
        <w:rPr>
          <w:rFonts w:ascii="Times New Roman" w:hAnsi="Times New Roman"/>
          <w:i/>
          <w:iCs/>
          <w:sz w:val="24"/>
        </w:rPr>
        <w:t>Journal of Chemical Education, 78</w:t>
      </w:r>
      <w:r w:rsidRPr="009B10EB">
        <w:rPr>
          <w:rFonts w:ascii="Times New Roman" w:hAnsi="Times New Roman"/>
          <w:sz w:val="24"/>
        </w:rPr>
        <w:t xml:space="preserve">(8), 1031–1034. </w:t>
      </w:r>
      <w:hyperlink r:id="rId35" w:tgtFrame="_blank" w:history="1">
        <w:r w:rsidRPr="009B10EB">
          <w:rPr>
            <w:rStyle w:val="Hyperlink"/>
            <w:rFonts w:ascii="Times New Roman" w:hAnsi="Times New Roman"/>
            <w:sz w:val="24"/>
          </w:rPr>
          <w:t>https://doi.org/10.1021/ed078p1031</w:t>
        </w:r>
      </w:hyperlink>
      <w:r w:rsidRPr="009B10EB">
        <w:rPr>
          <w:rFonts w:ascii="Times New Roman" w:hAnsi="Times New Roman"/>
          <w:sz w:val="24"/>
        </w:rPr>
        <w:t xml:space="preserve"> </w:t>
      </w:r>
      <w:r w:rsidRPr="009B10EB">
        <w:rPr>
          <w:rFonts w:ascii="Times New Roman" w:hAnsi="Times New Roman"/>
          <w:i/>
          <w:iCs/>
          <w:sz w:val="24"/>
        </w:rPr>
        <w:t>Context: Cited for degradation kinetics of vitamin C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Odriozola-Serrano, I., Soliva-Fortuny, R., &amp; Martín-Belloso, O. (2008). Effect of minimal processing on bioactive compounds and color attributes of fresh-cut tomatoes. </w:t>
      </w:r>
      <w:r w:rsidRPr="009B10EB">
        <w:rPr>
          <w:rFonts w:ascii="Times New Roman" w:hAnsi="Times New Roman"/>
          <w:i/>
          <w:iCs/>
          <w:sz w:val="24"/>
        </w:rPr>
        <w:t>LWT - Food Science and Technology, 41</w:t>
      </w:r>
      <w:r w:rsidRPr="009B10EB">
        <w:rPr>
          <w:rFonts w:ascii="Times New Roman" w:hAnsi="Times New Roman"/>
          <w:sz w:val="24"/>
        </w:rPr>
        <w:t xml:space="preserve">(2), 217–226. </w:t>
      </w:r>
      <w:hyperlink r:id="rId36" w:tgtFrame="_blank" w:history="1">
        <w:r w:rsidRPr="009B10EB">
          <w:rPr>
            <w:rStyle w:val="Hyperlink"/>
            <w:rFonts w:ascii="Times New Roman" w:hAnsi="Times New Roman"/>
            <w:sz w:val="24"/>
          </w:rPr>
          <w:t>https://doi.org/10.1016/j.lwt.2007.03.002</w:t>
        </w:r>
      </w:hyperlink>
      <w:r w:rsidRPr="009B10EB">
        <w:rPr>
          <w:rFonts w:ascii="Times New Roman" w:hAnsi="Times New Roman"/>
          <w:sz w:val="24"/>
        </w:rPr>
        <w:t xml:space="preserve"> </w:t>
      </w:r>
      <w:r w:rsidRPr="009B10EB">
        <w:rPr>
          <w:rFonts w:ascii="Times New Roman" w:hAnsi="Times New Roman"/>
          <w:i/>
          <w:iCs/>
          <w:sz w:val="24"/>
        </w:rPr>
        <w:t>Context: Discusses processing effects on nutrient retention (Chapter 2, Section 2.1).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Rickman, J. C., Barrett, D. M., &amp; Bruhn, C. M. (2007). Nutritional comparison of fresh, frozen, and canned fruits and vegetables. </w:t>
      </w:r>
      <w:r w:rsidRPr="009B10EB">
        <w:rPr>
          <w:rFonts w:ascii="Times New Roman" w:hAnsi="Times New Roman"/>
          <w:i/>
          <w:iCs/>
          <w:sz w:val="24"/>
        </w:rPr>
        <w:t>Journal of the Science of Food and Agriculture, 87</w:t>
      </w:r>
      <w:r w:rsidRPr="009B10EB">
        <w:rPr>
          <w:rFonts w:ascii="Times New Roman" w:hAnsi="Times New Roman"/>
          <w:sz w:val="24"/>
        </w:rPr>
        <w:t xml:space="preserve">(6), 930–944. </w:t>
      </w:r>
      <w:hyperlink r:id="rId37" w:tgtFrame="_blank" w:history="1">
        <w:r w:rsidRPr="009B10EB">
          <w:rPr>
            <w:rStyle w:val="Hyperlink"/>
            <w:rFonts w:ascii="Times New Roman" w:hAnsi="Times New Roman"/>
            <w:sz w:val="24"/>
          </w:rPr>
          <w:t>https://doi.org/10.1002/jsfa.2824</w:t>
        </w:r>
      </w:hyperlink>
      <w:r w:rsidRPr="009B10EB">
        <w:rPr>
          <w:rFonts w:ascii="Times New Roman" w:hAnsi="Times New Roman"/>
          <w:sz w:val="24"/>
        </w:rPr>
        <w:t xml:space="preserve"> </w:t>
      </w:r>
      <w:r w:rsidRPr="009B10EB">
        <w:rPr>
          <w:rFonts w:ascii="Times New Roman" w:hAnsi="Times New Roman"/>
          <w:i/>
          <w:iCs/>
          <w:sz w:val="24"/>
        </w:rPr>
        <w:t>Context: Cited for nutrient loss in processed juices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Sánchez-Moreno, C., Plaza, L., de Ancos, B., &amp; Cano, M. P. (2003). Vitamin C, provitamin A carotenoids, and other carotenoids in high-pressurized orange juice during refrigerated storage. </w:t>
      </w:r>
      <w:r w:rsidRPr="009B10EB">
        <w:rPr>
          <w:rFonts w:ascii="Times New Roman" w:hAnsi="Times New Roman"/>
          <w:i/>
          <w:iCs/>
          <w:sz w:val="24"/>
        </w:rPr>
        <w:t>Journal of Agricultural and Food Chemistry, 51</w:t>
      </w:r>
      <w:r w:rsidRPr="009B10EB">
        <w:rPr>
          <w:rFonts w:ascii="Times New Roman" w:hAnsi="Times New Roman"/>
          <w:sz w:val="24"/>
        </w:rPr>
        <w:t xml:space="preserve">(3), 647–653. </w:t>
      </w:r>
      <w:hyperlink r:id="rId38" w:tgtFrame="_blank" w:history="1">
        <w:r w:rsidRPr="009B10EB">
          <w:rPr>
            <w:rStyle w:val="Hyperlink"/>
            <w:rFonts w:ascii="Times New Roman" w:hAnsi="Times New Roman"/>
            <w:sz w:val="24"/>
          </w:rPr>
          <w:t>https://doi.org/10.1021/jf0207748</w:t>
        </w:r>
      </w:hyperlink>
      <w:r w:rsidRPr="009B10EB">
        <w:rPr>
          <w:rFonts w:ascii="Times New Roman" w:hAnsi="Times New Roman"/>
          <w:sz w:val="24"/>
        </w:rPr>
        <w:t xml:space="preserve"> </w:t>
      </w:r>
      <w:r w:rsidRPr="009B10EB">
        <w:rPr>
          <w:rFonts w:ascii="Times New Roman" w:hAnsi="Times New Roman"/>
          <w:i/>
          <w:iCs/>
          <w:sz w:val="24"/>
        </w:rPr>
        <w:t>Context: Cited for vitamin C analysis in juices (Chapter 1, Section 1.6;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lastRenderedPageBreak/>
        <w:t xml:space="preserve">Tadera, K., Minami, Y., Takamatsu, K., &amp; Matsuoka, A. (2006). Inhibition of ascorbic acid oxidation by flavonoids in fruit juices. </w:t>
      </w:r>
      <w:r w:rsidRPr="009B10EB">
        <w:rPr>
          <w:rFonts w:ascii="Times New Roman" w:hAnsi="Times New Roman"/>
          <w:i/>
          <w:iCs/>
          <w:sz w:val="24"/>
        </w:rPr>
        <w:t>Bioscience, Biotechnology, and Biochemistry, 70</w:t>
      </w:r>
      <w:r w:rsidRPr="009B10EB">
        <w:rPr>
          <w:rFonts w:ascii="Times New Roman" w:hAnsi="Times New Roman"/>
          <w:sz w:val="24"/>
        </w:rPr>
        <w:t xml:space="preserve">(7), 1780–1783. </w:t>
      </w:r>
      <w:hyperlink r:id="rId39" w:tgtFrame="_blank" w:history="1">
        <w:r w:rsidRPr="009B10EB">
          <w:rPr>
            <w:rStyle w:val="Hyperlink"/>
            <w:rFonts w:ascii="Times New Roman" w:hAnsi="Times New Roman"/>
            <w:sz w:val="24"/>
          </w:rPr>
          <w:t>https://doi.org/10.1271/bbb.50653</w:t>
        </w:r>
      </w:hyperlink>
      <w:r w:rsidRPr="009B10EB">
        <w:rPr>
          <w:rFonts w:ascii="Times New Roman" w:hAnsi="Times New Roman"/>
          <w:sz w:val="24"/>
        </w:rPr>
        <w:t xml:space="preserve"> </w:t>
      </w:r>
      <w:r w:rsidRPr="009B10EB">
        <w:rPr>
          <w:rFonts w:ascii="Times New Roman" w:hAnsi="Times New Roman"/>
          <w:i/>
          <w:iCs/>
          <w:sz w:val="24"/>
        </w:rPr>
        <w:t>Context: Discusses flavonoid interactions with vitamin C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Tamburini, E., Costa, S., Rugiero, I., Pedrini, P., &amp; Marchetti, M. G. (2017). Quantification of ascorbic acid in fruit juices using near-infrared spectroscopy. </w:t>
      </w:r>
      <w:r w:rsidRPr="009B10EB">
        <w:rPr>
          <w:rFonts w:ascii="Times New Roman" w:hAnsi="Times New Roman"/>
          <w:i/>
          <w:iCs/>
          <w:sz w:val="24"/>
        </w:rPr>
        <w:t>Spectrochimica Acta Part A: Molecular and Biomolecular Spectroscopy, 173</w:t>
      </w:r>
      <w:r w:rsidRPr="009B10EB">
        <w:rPr>
          <w:rFonts w:ascii="Times New Roman" w:hAnsi="Times New Roman"/>
          <w:sz w:val="24"/>
        </w:rPr>
        <w:t xml:space="preserve">, 517–523. </w:t>
      </w:r>
      <w:hyperlink r:id="rId40" w:tgtFrame="_blank" w:history="1">
        <w:r w:rsidRPr="009B10EB">
          <w:rPr>
            <w:rStyle w:val="Hyperlink"/>
            <w:rFonts w:ascii="Times New Roman" w:hAnsi="Times New Roman"/>
            <w:sz w:val="24"/>
          </w:rPr>
          <w:t>https://doi.org/10.1016/j.saa.2016.09.039</w:t>
        </w:r>
      </w:hyperlink>
      <w:r w:rsidRPr="009B10EB">
        <w:rPr>
          <w:rFonts w:ascii="Times New Roman" w:hAnsi="Times New Roman"/>
          <w:sz w:val="24"/>
        </w:rPr>
        <w:t xml:space="preserve"> </w:t>
      </w:r>
      <w:r w:rsidRPr="009B10EB">
        <w:rPr>
          <w:rFonts w:ascii="Times New Roman" w:hAnsi="Times New Roman"/>
          <w:i/>
          <w:iCs/>
          <w:sz w:val="24"/>
        </w:rPr>
        <w:t>Context: Cited for non-destructive spectroscopy methods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Tounsi, M. S., Wannes, W. A., Ouerghemmi, I., &amp; Mhamdi, B. (2011). Evaluation of antioxidant activity and ascorbic acid content in Tunisian fruits. </w:t>
      </w:r>
      <w:r w:rsidRPr="009B10EB">
        <w:rPr>
          <w:rFonts w:ascii="Times New Roman" w:hAnsi="Times New Roman"/>
          <w:i/>
          <w:iCs/>
          <w:sz w:val="24"/>
        </w:rPr>
        <w:t>Food Chemistry, 124</w:t>
      </w:r>
      <w:r w:rsidRPr="009B10EB">
        <w:rPr>
          <w:rFonts w:ascii="Times New Roman" w:hAnsi="Times New Roman"/>
          <w:sz w:val="24"/>
        </w:rPr>
        <w:t xml:space="preserve">(4), 1350–1357. </w:t>
      </w:r>
      <w:hyperlink r:id="rId41" w:tgtFrame="_blank" w:history="1">
        <w:r w:rsidRPr="009B10EB">
          <w:rPr>
            <w:rStyle w:val="Hyperlink"/>
            <w:rFonts w:ascii="Times New Roman" w:hAnsi="Times New Roman"/>
            <w:sz w:val="24"/>
          </w:rPr>
          <w:t>https://doi.org/10.1016/j.foodchem.2010.07.103</w:t>
        </w:r>
      </w:hyperlink>
      <w:r w:rsidRPr="009B10EB">
        <w:rPr>
          <w:rFonts w:ascii="Times New Roman" w:hAnsi="Times New Roman"/>
          <w:sz w:val="24"/>
        </w:rPr>
        <w:t xml:space="preserve"> </w:t>
      </w:r>
      <w:r w:rsidRPr="009B10EB">
        <w:rPr>
          <w:rFonts w:ascii="Times New Roman" w:hAnsi="Times New Roman"/>
          <w:i/>
          <w:iCs/>
          <w:sz w:val="24"/>
        </w:rPr>
        <w:t>Context: Cited for DNPH method in fruits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Vardin, H., Tay, A., Ozen, B., &amp; Mauer, L. (2008). Authentication of pomegranate juice concentrate using FTIR spectroscopy and chemometrics. </w:t>
      </w:r>
      <w:r w:rsidRPr="009B10EB">
        <w:rPr>
          <w:rFonts w:ascii="Times New Roman" w:hAnsi="Times New Roman"/>
          <w:i/>
          <w:iCs/>
          <w:sz w:val="24"/>
        </w:rPr>
        <w:t>Food Chemistry, 108</w:t>
      </w:r>
      <w:r w:rsidRPr="009B10EB">
        <w:rPr>
          <w:rFonts w:ascii="Times New Roman" w:hAnsi="Times New Roman"/>
          <w:sz w:val="24"/>
        </w:rPr>
        <w:t xml:space="preserve">(2), 742–748. </w:t>
      </w:r>
      <w:hyperlink r:id="rId42" w:tgtFrame="_blank" w:history="1">
        <w:r w:rsidRPr="009B10EB">
          <w:rPr>
            <w:rStyle w:val="Hyperlink"/>
            <w:rFonts w:ascii="Times New Roman" w:hAnsi="Times New Roman"/>
            <w:sz w:val="24"/>
          </w:rPr>
          <w:t>https://doi.org/10.1016/j.foodchem.2007.11.027</w:t>
        </w:r>
      </w:hyperlink>
      <w:r w:rsidRPr="009B10EB">
        <w:rPr>
          <w:rFonts w:ascii="Times New Roman" w:hAnsi="Times New Roman"/>
          <w:sz w:val="24"/>
        </w:rPr>
        <w:t xml:space="preserve"> </w:t>
      </w:r>
      <w:r w:rsidRPr="009B10EB">
        <w:rPr>
          <w:rFonts w:ascii="Times New Roman" w:hAnsi="Times New Roman"/>
          <w:i/>
          <w:iCs/>
          <w:sz w:val="24"/>
        </w:rPr>
        <w:t>Context: Discusses infrared spectroscopy for juice analysis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Verbeyst, L., Oey, I., Van der Plancken, I., Hendrickx, M., &amp; Van Loey, A. (2010). Kinetic study on the thermal and pressure degradation of ascorbic acid in fruit juices. </w:t>
      </w:r>
      <w:r w:rsidRPr="009B10EB">
        <w:rPr>
          <w:rFonts w:ascii="Times New Roman" w:hAnsi="Times New Roman"/>
          <w:i/>
          <w:iCs/>
          <w:sz w:val="24"/>
        </w:rPr>
        <w:t>Food Chemistry, 123</w:t>
      </w:r>
      <w:r w:rsidRPr="009B10EB">
        <w:rPr>
          <w:rFonts w:ascii="Times New Roman" w:hAnsi="Times New Roman"/>
          <w:sz w:val="24"/>
        </w:rPr>
        <w:t xml:space="preserve">(4), 1044–1050. </w:t>
      </w:r>
      <w:hyperlink r:id="rId43" w:tgtFrame="_blank" w:history="1">
        <w:r w:rsidRPr="009B10EB">
          <w:rPr>
            <w:rStyle w:val="Hyperlink"/>
            <w:rFonts w:ascii="Times New Roman" w:hAnsi="Times New Roman"/>
            <w:sz w:val="24"/>
          </w:rPr>
          <w:t>https://doi.org/10.1016/j.foodchem.2010.05.039</w:t>
        </w:r>
      </w:hyperlink>
      <w:r w:rsidRPr="009B10EB">
        <w:rPr>
          <w:rFonts w:ascii="Times New Roman" w:hAnsi="Times New Roman"/>
          <w:sz w:val="24"/>
        </w:rPr>
        <w:t xml:space="preserve"> </w:t>
      </w:r>
      <w:r w:rsidRPr="009B10EB">
        <w:rPr>
          <w:rFonts w:ascii="Times New Roman" w:hAnsi="Times New Roman"/>
          <w:i/>
          <w:iCs/>
          <w:sz w:val="24"/>
        </w:rPr>
        <w:t>Context: Cited for HPLC-MS methods and degradation studies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lastRenderedPageBreak/>
        <w:t xml:space="preserve">Wang, H., Cao, G., &amp; Prior, R. L. (1996). Total antioxidant capacity of fruits. </w:t>
      </w:r>
      <w:r w:rsidRPr="009B10EB">
        <w:rPr>
          <w:rFonts w:ascii="Times New Roman" w:hAnsi="Times New Roman"/>
          <w:i/>
          <w:iCs/>
          <w:sz w:val="24"/>
        </w:rPr>
        <w:t>Journal of Agricultural and Food Chemistry, 44</w:t>
      </w:r>
      <w:r w:rsidRPr="009B10EB">
        <w:rPr>
          <w:rFonts w:ascii="Times New Roman" w:hAnsi="Times New Roman"/>
          <w:sz w:val="24"/>
        </w:rPr>
        <w:t xml:space="preserve">(3), 701–705. </w:t>
      </w:r>
      <w:hyperlink r:id="rId44" w:tgtFrame="_blank" w:history="1">
        <w:r w:rsidRPr="009B10EB">
          <w:rPr>
            <w:rStyle w:val="Hyperlink"/>
            <w:rFonts w:ascii="Times New Roman" w:hAnsi="Times New Roman"/>
            <w:sz w:val="24"/>
          </w:rPr>
          <w:t>https://doi.org/10.1021/jf950579y</w:t>
        </w:r>
      </w:hyperlink>
      <w:r w:rsidRPr="009B10EB">
        <w:rPr>
          <w:rFonts w:ascii="Times New Roman" w:hAnsi="Times New Roman"/>
          <w:sz w:val="24"/>
        </w:rPr>
        <w:t xml:space="preserve"> </w:t>
      </w:r>
      <w:r w:rsidRPr="009B10EB">
        <w:rPr>
          <w:rFonts w:ascii="Times New Roman" w:hAnsi="Times New Roman"/>
          <w:i/>
          <w:iCs/>
          <w:sz w:val="24"/>
        </w:rPr>
        <w:t>Context: Cited for antioxidant content in fruits including apples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Wibowo, S., Grauwet, T., Santiago, J. S., Tomic, J., Vervoort, L., Hendrickx, M., &amp; Van Loey, A. (2015). Effect of high-pressure high-temperature processing on the quality of apple juice. </w:t>
      </w:r>
      <w:r w:rsidRPr="009B10EB">
        <w:rPr>
          <w:rFonts w:ascii="Times New Roman" w:hAnsi="Times New Roman"/>
          <w:i/>
          <w:iCs/>
          <w:sz w:val="24"/>
        </w:rPr>
        <w:t>Food Chemistry, 181</w:t>
      </w:r>
      <w:r w:rsidRPr="009B10EB">
        <w:rPr>
          <w:rFonts w:ascii="Times New Roman" w:hAnsi="Times New Roman"/>
          <w:sz w:val="24"/>
        </w:rPr>
        <w:t xml:space="preserve">, 245–252. </w:t>
      </w:r>
      <w:hyperlink r:id="rId45" w:tgtFrame="_blank" w:history="1">
        <w:r w:rsidRPr="009B10EB">
          <w:rPr>
            <w:rStyle w:val="Hyperlink"/>
            <w:rFonts w:ascii="Times New Roman" w:hAnsi="Times New Roman"/>
            <w:sz w:val="24"/>
          </w:rPr>
          <w:t>https://doi.org/10.1016/j.foodchem.2015.02.089</w:t>
        </w:r>
      </w:hyperlink>
      <w:r w:rsidRPr="009B10EB">
        <w:rPr>
          <w:rFonts w:ascii="Times New Roman" w:hAnsi="Times New Roman"/>
          <w:sz w:val="24"/>
        </w:rPr>
        <w:t xml:space="preserve"> </w:t>
      </w:r>
      <w:r w:rsidRPr="009B10EB">
        <w:rPr>
          <w:rFonts w:ascii="Times New Roman" w:hAnsi="Times New Roman"/>
          <w:i/>
          <w:iCs/>
          <w:sz w:val="24"/>
        </w:rPr>
        <w:t>Context: Discusses processing effects on vitamin C in apple juice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Zerdin, K., Rooney, M. L., &amp; Vermuë, J. (2003). The vitamin C content of orange juice packed in an oxygen scavenger material. </w:t>
      </w:r>
      <w:r w:rsidRPr="009B10EB">
        <w:rPr>
          <w:rFonts w:ascii="Times New Roman" w:hAnsi="Times New Roman"/>
          <w:i/>
          <w:iCs/>
          <w:sz w:val="24"/>
        </w:rPr>
        <w:t>Food Chemistry, 82</w:t>
      </w:r>
      <w:r w:rsidRPr="009B10EB">
        <w:rPr>
          <w:rFonts w:ascii="Times New Roman" w:hAnsi="Times New Roman"/>
          <w:sz w:val="24"/>
        </w:rPr>
        <w:t xml:space="preserve">(3), 387–395. </w:t>
      </w:r>
      <w:hyperlink r:id="rId46" w:tgtFrame="_blank" w:history="1">
        <w:r w:rsidRPr="009B10EB">
          <w:rPr>
            <w:rStyle w:val="Hyperlink"/>
            <w:rFonts w:ascii="Times New Roman" w:hAnsi="Times New Roman"/>
            <w:sz w:val="24"/>
          </w:rPr>
          <w:t>https://doi.org/10.1016/S0308-8146(03)00018-2</w:t>
        </w:r>
      </w:hyperlink>
      <w:r w:rsidRPr="009B10EB">
        <w:rPr>
          <w:rFonts w:ascii="Times New Roman" w:hAnsi="Times New Roman"/>
          <w:sz w:val="24"/>
        </w:rPr>
        <w:t xml:space="preserve"> </w:t>
      </w:r>
      <w:r w:rsidRPr="009B10EB">
        <w:rPr>
          <w:rFonts w:ascii="Times New Roman" w:hAnsi="Times New Roman"/>
          <w:i/>
          <w:iCs/>
          <w:sz w:val="24"/>
        </w:rPr>
        <w:t>Context: Cited for discrepancies in labeled vs. actual vitamin C content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Zhang, Y., Li, P., &amp; Cheng, L. (2010). Developmental changes of ascorbic acid in apples during fruit development and storage. </w:t>
      </w:r>
      <w:r w:rsidRPr="009B10EB">
        <w:rPr>
          <w:rFonts w:ascii="Times New Roman" w:hAnsi="Times New Roman"/>
          <w:i/>
          <w:iCs/>
          <w:sz w:val="24"/>
        </w:rPr>
        <w:t>Postharvest Biology and Technology, 58</w:t>
      </w:r>
      <w:r w:rsidRPr="009B10EB">
        <w:rPr>
          <w:rFonts w:ascii="Times New Roman" w:hAnsi="Times New Roman"/>
          <w:sz w:val="24"/>
        </w:rPr>
        <w:t xml:space="preserve">(3), 189–194. </w:t>
      </w:r>
      <w:hyperlink r:id="rId47" w:tgtFrame="_blank" w:history="1">
        <w:r w:rsidRPr="009B10EB">
          <w:rPr>
            <w:rStyle w:val="Hyperlink"/>
            <w:rFonts w:ascii="Times New Roman" w:hAnsi="Times New Roman"/>
            <w:sz w:val="24"/>
          </w:rPr>
          <w:t>https://doi.org/10.1016/j.postharvbio.2010.07.013</w:t>
        </w:r>
      </w:hyperlink>
      <w:r w:rsidRPr="009B10EB">
        <w:rPr>
          <w:rFonts w:ascii="Times New Roman" w:hAnsi="Times New Roman"/>
          <w:sz w:val="24"/>
        </w:rPr>
        <w:t xml:space="preserve"> </w:t>
      </w:r>
      <w:r w:rsidRPr="009B10EB">
        <w:rPr>
          <w:rFonts w:ascii="Times New Roman" w:hAnsi="Times New Roman"/>
          <w:i/>
          <w:iCs/>
          <w:sz w:val="24"/>
        </w:rPr>
        <w:t>Context: Cited for vitamin C content in apples (Chapter 2, Section 2.3).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USDA FoodData Central. (2023). Apples, raw, with skin. Retrieved from </w:t>
      </w:r>
      <w:hyperlink r:id="rId48" w:anchor="/food-details/171688/nutrients" w:tgtFrame="_blank" w:history="1">
        <w:r w:rsidRPr="009B10EB">
          <w:rPr>
            <w:rStyle w:val="Hyperlink"/>
            <w:rFonts w:ascii="Times New Roman" w:hAnsi="Times New Roman"/>
            <w:sz w:val="24"/>
          </w:rPr>
          <w:t>https://fdc.nal.usda.gov/fdc-app.html#/food-details/171688/nutrients</w:t>
        </w:r>
      </w:hyperlink>
      <w:r w:rsidRPr="009B10EB">
        <w:rPr>
          <w:rFonts w:ascii="Times New Roman" w:hAnsi="Times New Roman"/>
          <w:sz w:val="24"/>
        </w:rPr>
        <w:t xml:space="preserve"> </w:t>
      </w:r>
      <w:r w:rsidRPr="009B10EB">
        <w:rPr>
          <w:rFonts w:ascii="Times New Roman" w:hAnsi="Times New Roman"/>
          <w:i/>
          <w:iCs/>
          <w:sz w:val="24"/>
        </w:rPr>
        <w:t>Context: Provides nutritional data for apples and apple juice (Chapter 1, Section 1.1).</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Bazzano, L. A., Li, T. Y., Joshipura, K. J., &amp; Hu, F. B. (2008). Intake of fruit, vegetables, and fruit juices and risk of diabetes in women. </w:t>
      </w:r>
      <w:r w:rsidRPr="009B10EB">
        <w:rPr>
          <w:rFonts w:ascii="Times New Roman" w:hAnsi="Times New Roman"/>
          <w:i/>
          <w:iCs/>
          <w:sz w:val="24"/>
        </w:rPr>
        <w:t>Diabetes Care, 31</w:t>
      </w:r>
      <w:r w:rsidRPr="009B10EB">
        <w:rPr>
          <w:rFonts w:ascii="Times New Roman" w:hAnsi="Times New Roman"/>
          <w:sz w:val="24"/>
        </w:rPr>
        <w:t xml:space="preserve">(7), 1311–1317. </w:t>
      </w:r>
      <w:hyperlink r:id="rId49" w:tgtFrame="_blank" w:history="1">
        <w:r w:rsidRPr="009B10EB">
          <w:rPr>
            <w:rStyle w:val="Hyperlink"/>
            <w:rFonts w:ascii="Times New Roman" w:hAnsi="Times New Roman"/>
            <w:sz w:val="24"/>
          </w:rPr>
          <w:t>https://doi.org/10.2337/dc08-0080</w:t>
        </w:r>
      </w:hyperlink>
      <w:r w:rsidRPr="009B10EB">
        <w:rPr>
          <w:rFonts w:ascii="Times New Roman" w:hAnsi="Times New Roman"/>
          <w:sz w:val="24"/>
        </w:rPr>
        <w:t xml:space="preserve"> </w:t>
      </w:r>
      <w:r w:rsidRPr="009B10EB">
        <w:rPr>
          <w:rFonts w:ascii="Times New Roman" w:hAnsi="Times New Roman"/>
          <w:i/>
          <w:iCs/>
          <w:sz w:val="24"/>
        </w:rPr>
        <w:t>Context: Discusses health benefits of fruit juices (Chapter 1, Section 1.2).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lastRenderedPageBreak/>
        <w:t xml:space="preserve">Institute of Medicine. (2000). </w:t>
      </w:r>
      <w:r w:rsidRPr="009B10EB">
        <w:rPr>
          <w:rFonts w:ascii="Times New Roman" w:hAnsi="Times New Roman"/>
          <w:i/>
          <w:iCs/>
          <w:sz w:val="24"/>
        </w:rPr>
        <w:t>Dietary reference intakes for vitamin C, vitamin E, selenium, and carotenoids</w:t>
      </w:r>
      <w:r w:rsidRPr="009B10EB">
        <w:rPr>
          <w:rFonts w:ascii="Times New Roman" w:hAnsi="Times New Roman"/>
          <w:sz w:val="24"/>
        </w:rPr>
        <w:t xml:space="preserve">. National Academies Press. </w:t>
      </w:r>
      <w:hyperlink r:id="rId50" w:tgtFrame="_blank" w:history="1">
        <w:r w:rsidRPr="009B10EB">
          <w:rPr>
            <w:rStyle w:val="Hyperlink"/>
            <w:rFonts w:ascii="Times New Roman" w:hAnsi="Times New Roman"/>
            <w:sz w:val="24"/>
          </w:rPr>
          <w:t>https://doi.org/10.17226/9810</w:t>
        </w:r>
      </w:hyperlink>
      <w:r w:rsidRPr="009B10EB">
        <w:rPr>
          <w:rFonts w:ascii="Times New Roman" w:hAnsi="Times New Roman"/>
          <w:sz w:val="24"/>
        </w:rPr>
        <w:t xml:space="preserve"> </w:t>
      </w:r>
      <w:r w:rsidRPr="009B10EB">
        <w:rPr>
          <w:rFonts w:ascii="Times New Roman" w:hAnsi="Times New Roman"/>
          <w:i/>
          <w:iCs/>
          <w:sz w:val="24"/>
        </w:rPr>
        <w:t>Context: Cited for RDA values of vitamin C (Chapter 1, Section 1.2).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Carr, A. C., &amp; Frei, B. (1999). Toward a new recommended dietary allowance for vitamin C based on antioxidant and health effects in humans. </w:t>
      </w:r>
      <w:r w:rsidRPr="009B10EB">
        <w:rPr>
          <w:rFonts w:ascii="Times New Roman" w:hAnsi="Times New Roman"/>
          <w:i/>
          <w:iCs/>
          <w:sz w:val="24"/>
        </w:rPr>
        <w:t>American Journal of Clinical Nutrition, 69</w:t>
      </w:r>
      <w:r w:rsidRPr="009B10EB">
        <w:rPr>
          <w:rFonts w:ascii="Times New Roman" w:hAnsi="Times New Roman"/>
          <w:sz w:val="24"/>
        </w:rPr>
        <w:t xml:space="preserve">(6), 1086–1107. </w:t>
      </w:r>
      <w:hyperlink r:id="rId51" w:tgtFrame="_blank" w:history="1">
        <w:r w:rsidRPr="009B10EB">
          <w:rPr>
            <w:rStyle w:val="Hyperlink"/>
            <w:rFonts w:ascii="Times New Roman" w:hAnsi="Times New Roman"/>
            <w:sz w:val="24"/>
          </w:rPr>
          <w:t>https://doi.org/10.1093/ajcn/69.6.1086</w:t>
        </w:r>
      </w:hyperlink>
      <w:r w:rsidRPr="009B10EB">
        <w:rPr>
          <w:rFonts w:ascii="Times New Roman" w:hAnsi="Times New Roman"/>
          <w:sz w:val="24"/>
        </w:rPr>
        <w:t xml:space="preserve"> </w:t>
      </w:r>
      <w:r w:rsidRPr="009B10EB">
        <w:rPr>
          <w:rFonts w:ascii="Times New Roman" w:hAnsi="Times New Roman"/>
          <w:i/>
          <w:iCs/>
          <w:sz w:val="24"/>
        </w:rPr>
        <w:t>Context: Supports RDA and health benefits of vitamin C (Chapter 1, Section 1.2).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Hyson, D. A. (2011). A comprehensive review of apples and apple components and their relationship to human health. </w:t>
      </w:r>
      <w:r w:rsidRPr="009B10EB">
        <w:rPr>
          <w:rFonts w:ascii="Times New Roman" w:hAnsi="Times New Roman"/>
          <w:i/>
          <w:iCs/>
          <w:sz w:val="24"/>
        </w:rPr>
        <w:t>Advances in Nutrition, 2</w:t>
      </w:r>
      <w:r w:rsidRPr="009B10EB">
        <w:rPr>
          <w:rFonts w:ascii="Times New Roman" w:hAnsi="Times New Roman"/>
          <w:sz w:val="24"/>
        </w:rPr>
        <w:t xml:space="preserve">(5), 408–420. </w:t>
      </w:r>
      <w:hyperlink r:id="rId52" w:tgtFrame="_blank" w:history="1">
        <w:r w:rsidRPr="009B10EB">
          <w:rPr>
            <w:rStyle w:val="Hyperlink"/>
            <w:rFonts w:ascii="Times New Roman" w:hAnsi="Times New Roman"/>
            <w:sz w:val="24"/>
          </w:rPr>
          <w:t>https://doi.org/10.3945/an.111.000513</w:t>
        </w:r>
      </w:hyperlink>
      <w:r w:rsidRPr="009B10EB">
        <w:rPr>
          <w:rFonts w:ascii="Times New Roman" w:hAnsi="Times New Roman"/>
          <w:sz w:val="24"/>
        </w:rPr>
        <w:t xml:space="preserve"> </w:t>
      </w:r>
      <w:r w:rsidRPr="009B10EB">
        <w:rPr>
          <w:rFonts w:ascii="Times New Roman" w:hAnsi="Times New Roman"/>
          <w:i/>
          <w:iCs/>
          <w:sz w:val="24"/>
        </w:rPr>
        <w:t>Context: Discusses nutritional benefits of apples and juices (Chapter 1, Section 1.2).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Levine, M., Rumsey, S. C., Daruwala, R., Park, J. B., &amp; Wang, Y. (1999). Criteria and recommendations for vitamin C intake. </w:t>
      </w:r>
      <w:r w:rsidRPr="009B10EB">
        <w:rPr>
          <w:rFonts w:ascii="Times New Roman" w:hAnsi="Times New Roman"/>
          <w:i/>
          <w:iCs/>
          <w:sz w:val="24"/>
        </w:rPr>
        <w:t>JAMA, 281</w:t>
      </w:r>
      <w:r w:rsidRPr="009B10EB">
        <w:rPr>
          <w:rFonts w:ascii="Times New Roman" w:hAnsi="Times New Roman"/>
          <w:sz w:val="24"/>
        </w:rPr>
        <w:t xml:space="preserve">(15), 1415–1423. </w:t>
      </w:r>
      <w:hyperlink r:id="rId53" w:tgtFrame="_blank" w:history="1">
        <w:r w:rsidRPr="009B10EB">
          <w:rPr>
            <w:rStyle w:val="Hyperlink"/>
            <w:rFonts w:ascii="Times New Roman" w:hAnsi="Times New Roman"/>
            <w:sz w:val="24"/>
          </w:rPr>
          <w:t>https://doi.org/10.1001/jama.281.15.1415</w:t>
        </w:r>
      </w:hyperlink>
      <w:r w:rsidRPr="009B10EB">
        <w:rPr>
          <w:rFonts w:ascii="Times New Roman" w:hAnsi="Times New Roman"/>
          <w:sz w:val="24"/>
        </w:rPr>
        <w:t xml:space="preserve"> </w:t>
      </w:r>
      <w:r w:rsidRPr="009B10EB">
        <w:rPr>
          <w:rFonts w:ascii="Times New Roman" w:hAnsi="Times New Roman"/>
          <w:i/>
          <w:iCs/>
          <w:sz w:val="24"/>
        </w:rPr>
        <w:t>Context: Cited for vitamin C health benefits and deficiency prevention (Chapter 1, Sections 1.1, 1.2).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Slavin, J. L., &amp; Lloyd, B. (2012). Health benefits of fruits and vegetables. </w:t>
      </w:r>
      <w:r w:rsidRPr="009B10EB">
        <w:rPr>
          <w:rFonts w:ascii="Times New Roman" w:hAnsi="Times New Roman"/>
          <w:i/>
          <w:iCs/>
          <w:sz w:val="24"/>
        </w:rPr>
        <w:t>Advances in Nutrition, 3</w:t>
      </w:r>
      <w:r w:rsidRPr="009B10EB">
        <w:rPr>
          <w:rFonts w:ascii="Times New Roman" w:hAnsi="Times New Roman"/>
          <w:sz w:val="24"/>
        </w:rPr>
        <w:t xml:space="preserve">(4), 506–516. </w:t>
      </w:r>
      <w:hyperlink r:id="rId54" w:tgtFrame="_blank" w:history="1">
        <w:r w:rsidRPr="009B10EB">
          <w:rPr>
            <w:rStyle w:val="Hyperlink"/>
            <w:rFonts w:ascii="Times New Roman" w:hAnsi="Times New Roman"/>
            <w:sz w:val="24"/>
          </w:rPr>
          <w:t>https://doi.org/10.3945/an.112.002154</w:t>
        </w:r>
      </w:hyperlink>
      <w:r w:rsidRPr="009B10EB">
        <w:rPr>
          <w:rFonts w:ascii="Times New Roman" w:hAnsi="Times New Roman"/>
          <w:sz w:val="24"/>
        </w:rPr>
        <w:t xml:space="preserve"> </w:t>
      </w:r>
      <w:r w:rsidRPr="009B10EB">
        <w:rPr>
          <w:rFonts w:ascii="Times New Roman" w:hAnsi="Times New Roman"/>
          <w:i/>
          <w:iCs/>
          <w:sz w:val="24"/>
        </w:rPr>
        <w:t>Context: Cited for general nutritional benefits of fruit juices (Chapter 1, Section 1.2).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Padayatty, S. J., Katz, A., Wang, Y., Eck, P., Kwon, O., Lee, J. H., ... &amp; Levine, M. (2003). Vitamin C as an antioxidant: Evaluation of its role in disease prevention. </w:t>
      </w:r>
      <w:r w:rsidRPr="009B10EB">
        <w:rPr>
          <w:rFonts w:ascii="Times New Roman" w:hAnsi="Times New Roman"/>
          <w:i/>
          <w:iCs/>
          <w:sz w:val="24"/>
        </w:rPr>
        <w:t>Journal of the American College of Nutrition, 22</w:t>
      </w:r>
      <w:r w:rsidRPr="009B10EB">
        <w:rPr>
          <w:rFonts w:ascii="Times New Roman" w:hAnsi="Times New Roman"/>
          <w:sz w:val="24"/>
        </w:rPr>
        <w:t xml:space="preserve">(1), 18–35. </w:t>
      </w:r>
      <w:hyperlink r:id="rId55" w:tgtFrame="_blank" w:history="1">
        <w:r w:rsidRPr="009B10EB">
          <w:rPr>
            <w:rStyle w:val="Hyperlink"/>
            <w:rFonts w:ascii="Times New Roman" w:hAnsi="Times New Roman"/>
            <w:sz w:val="24"/>
          </w:rPr>
          <w:t>https://doi.org/10.1080/07315724.2003.10719272</w:t>
        </w:r>
      </w:hyperlink>
      <w:r w:rsidRPr="009B10EB">
        <w:rPr>
          <w:rFonts w:ascii="Times New Roman" w:hAnsi="Times New Roman"/>
          <w:sz w:val="24"/>
        </w:rPr>
        <w:t xml:space="preserve"> </w:t>
      </w:r>
      <w:r w:rsidRPr="009B10EB">
        <w:rPr>
          <w:rFonts w:ascii="Times New Roman" w:hAnsi="Times New Roman"/>
          <w:i/>
          <w:iCs/>
          <w:sz w:val="24"/>
        </w:rPr>
        <w:t>Context: Comprehensive source for vitamin C’s physiological roles (Chapter 1, Sections 1.1, 1.2).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lastRenderedPageBreak/>
        <w:t xml:space="preserve">Rojas, F. S., &amp; Ojeda, C. B. (2009). Recent developments in derivative ultraviolet/visible absorption spectrophotometry. </w:t>
      </w:r>
      <w:r w:rsidRPr="009B10EB">
        <w:rPr>
          <w:rFonts w:ascii="Times New Roman" w:hAnsi="Times New Roman"/>
          <w:i/>
          <w:iCs/>
          <w:sz w:val="24"/>
        </w:rPr>
        <w:t>Analytica Chimica Acta, 635</w:t>
      </w:r>
      <w:r w:rsidRPr="009B10EB">
        <w:rPr>
          <w:rFonts w:ascii="Times New Roman" w:hAnsi="Times New Roman"/>
          <w:sz w:val="24"/>
        </w:rPr>
        <w:t xml:space="preserve">(1), 22–44. </w:t>
      </w:r>
      <w:hyperlink r:id="rId56" w:tgtFrame="_blank" w:history="1">
        <w:r w:rsidRPr="009B10EB">
          <w:rPr>
            <w:rStyle w:val="Hyperlink"/>
            <w:rFonts w:ascii="Times New Roman" w:hAnsi="Times New Roman"/>
            <w:sz w:val="24"/>
          </w:rPr>
          <w:t>https://doi.org/10.1016/j.aca.2008.12.043</w:t>
        </w:r>
      </w:hyperlink>
      <w:r w:rsidRPr="009B10EB">
        <w:rPr>
          <w:rFonts w:ascii="Times New Roman" w:hAnsi="Times New Roman"/>
          <w:sz w:val="24"/>
        </w:rPr>
        <w:t xml:space="preserve"> </w:t>
      </w:r>
      <w:r w:rsidRPr="009B10EB">
        <w:rPr>
          <w:rFonts w:ascii="Times New Roman" w:hAnsi="Times New Roman"/>
          <w:i/>
          <w:iCs/>
          <w:sz w:val="24"/>
        </w:rPr>
        <w:t>Context: Cited for derivative spectroscopy techniques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Roe, J. H., &amp; Kuether, C. A. (1943). The determination of ascorbic acid in whole blood and urine through the 2,4-dinitrophenylhydrazine derivative of dehydroascorbic acid. </w:t>
      </w:r>
      <w:r w:rsidRPr="009B10EB">
        <w:rPr>
          <w:rFonts w:ascii="Times New Roman" w:hAnsi="Times New Roman"/>
          <w:i/>
          <w:iCs/>
          <w:sz w:val="24"/>
        </w:rPr>
        <w:t>Journal of Biological Chemistry, 147</w:t>
      </w:r>
      <w:r w:rsidRPr="009B10EB">
        <w:rPr>
          <w:rFonts w:ascii="Times New Roman" w:hAnsi="Times New Roman"/>
          <w:sz w:val="24"/>
        </w:rPr>
        <w:t xml:space="preserve">(2), 399–407. </w:t>
      </w:r>
      <w:r w:rsidRPr="009B10EB">
        <w:rPr>
          <w:rFonts w:ascii="Times New Roman" w:hAnsi="Times New Roman"/>
          <w:i/>
          <w:iCs/>
          <w:sz w:val="24"/>
        </w:rPr>
        <w:t>Context: Classic reference for DNPH method (Chapter 1, Section 1.3;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Skoog, D. A., Holler, F. J., &amp; Crouch, S. R. (2017). </w:t>
      </w:r>
      <w:r w:rsidRPr="009B10EB">
        <w:rPr>
          <w:rFonts w:ascii="Times New Roman" w:hAnsi="Times New Roman"/>
          <w:i/>
          <w:iCs/>
          <w:sz w:val="24"/>
        </w:rPr>
        <w:t>Principles of instrumental analysis</w:t>
      </w:r>
      <w:r w:rsidRPr="009B10EB">
        <w:rPr>
          <w:rFonts w:ascii="Times New Roman" w:hAnsi="Times New Roman"/>
          <w:sz w:val="24"/>
        </w:rPr>
        <w:t xml:space="preserve"> (7th ed.). Cengage Learning. </w:t>
      </w:r>
      <w:r w:rsidRPr="009B10EB">
        <w:rPr>
          <w:rFonts w:ascii="Times New Roman" w:hAnsi="Times New Roman"/>
          <w:i/>
          <w:iCs/>
          <w:sz w:val="24"/>
        </w:rPr>
        <w:t>Context: Cited for UV-visible spectroscopy principles (Chapter 1, Section 1.3).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Tareke, E., &amp; Binnendijk, E. (2020). Advances in portable spectroscopy for food quality assessment. </w:t>
      </w:r>
      <w:r w:rsidRPr="009B10EB">
        <w:rPr>
          <w:rFonts w:ascii="Times New Roman" w:hAnsi="Times New Roman"/>
          <w:i/>
          <w:iCs/>
          <w:sz w:val="24"/>
        </w:rPr>
        <w:t>Food Control, 112</w:t>
      </w:r>
      <w:r w:rsidRPr="009B10EB">
        <w:rPr>
          <w:rFonts w:ascii="Times New Roman" w:hAnsi="Times New Roman"/>
          <w:sz w:val="24"/>
        </w:rPr>
        <w:t xml:space="preserve">, 107128. </w:t>
      </w:r>
      <w:hyperlink r:id="rId57" w:tgtFrame="_blank" w:history="1">
        <w:r w:rsidRPr="009B10EB">
          <w:rPr>
            <w:rStyle w:val="Hyperlink"/>
            <w:rFonts w:ascii="Times New Roman" w:hAnsi="Times New Roman"/>
            <w:sz w:val="24"/>
          </w:rPr>
          <w:t>https://doi.org/10.1016/j.foodcont.2020.107128</w:t>
        </w:r>
      </w:hyperlink>
      <w:r w:rsidRPr="009B10EB">
        <w:rPr>
          <w:rFonts w:ascii="Times New Roman" w:hAnsi="Times New Roman"/>
          <w:sz w:val="24"/>
        </w:rPr>
        <w:t xml:space="preserve"> </w:t>
      </w:r>
      <w:r w:rsidRPr="009B10EB">
        <w:rPr>
          <w:rFonts w:ascii="Times New Roman" w:hAnsi="Times New Roman"/>
          <w:i/>
          <w:iCs/>
          <w:sz w:val="24"/>
        </w:rPr>
        <w:t>Context: Discusses future directions in portable spectrometry (Chapter 2, Section 2.4).</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Vermeir, S., Nicolai, B. M., Jans, K., Maes, G., &amp; Lammertyn, J. (2007). High-throughput microplate enzymatic assays for fast sugar and acid quantification in apple and tomato. </w:t>
      </w:r>
      <w:r w:rsidRPr="009B10EB">
        <w:rPr>
          <w:rFonts w:ascii="Times New Roman" w:hAnsi="Times New Roman"/>
          <w:i/>
          <w:iCs/>
          <w:sz w:val="24"/>
        </w:rPr>
        <w:t>Journal of Agricultural and Food Chemistry, 55</w:t>
      </w:r>
      <w:r w:rsidRPr="009B10EB">
        <w:rPr>
          <w:rFonts w:ascii="Times New Roman" w:hAnsi="Times New Roman"/>
          <w:sz w:val="24"/>
        </w:rPr>
        <w:t xml:space="preserve">(9), 3240–3248. </w:t>
      </w:r>
      <w:hyperlink r:id="rId58" w:tgtFrame="_blank" w:history="1">
        <w:r w:rsidRPr="009B10EB">
          <w:rPr>
            <w:rStyle w:val="Hyperlink"/>
            <w:rFonts w:ascii="Times New Roman" w:hAnsi="Times New Roman"/>
            <w:sz w:val="24"/>
          </w:rPr>
          <w:t>https://doi.org/10.1021/jf063702+</w:t>
        </w:r>
      </w:hyperlink>
      <w:r w:rsidRPr="009B10EB">
        <w:rPr>
          <w:rFonts w:ascii="Times New Roman" w:hAnsi="Times New Roman"/>
          <w:sz w:val="24"/>
        </w:rPr>
        <w:t xml:space="preserve"> </w:t>
      </w:r>
      <w:r w:rsidRPr="009B10EB">
        <w:rPr>
          <w:rFonts w:ascii="Times New Roman" w:hAnsi="Times New Roman"/>
          <w:i/>
          <w:iCs/>
          <w:sz w:val="24"/>
        </w:rPr>
        <w:t>Context: Cited for innovative kinetic assays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Wang, L., Xu, R., &amp; Chen, Y. (2019). Smartphone-based colorimetric analysis of ascorbic acid in fruit juices. </w:t>
      </w:r>
      <w:r w:rsidRPr="009B10EB">
        <w:rPr>
          <w:rFonts w:ascii="Times New Roman" w:hAnsi="Times New Roman"/>
          <w:i/>
          <w:iCs/>
          <w:sz w:val="24"/>
        </w:rPr>
        <w:t>Sensors and Actuators B: Chemical, 288</w:t>
      </w:r>
      <w:r w:rsidRPr="009B10EB">
        <w:rPr>
          <w:rFonts w:ascii="Times New Roman" w:hAnsi="Times New Roman"/>
          <w:sz w:val="24"/>
        </w:rPr>
        <w:t xml:space="preserve">, 96–102. </w:t>
      </w:r>
      <w:hyperlink r:id="rId59" w:tgtFrame="_blank" w:history="1">
        <w:r w:rsidRPr="009B10EB">
          <w:rPr>
            <w:rStyle w:val="Hyperlink"/>
            <w:rFonts w:ascii="Times New Roman" w:hAnsi="Times New Roman"/>
            <w:sz w:val="24"/>
          </w:rPr>
          <w:t>https://doi.org/10.1016/j.snb.2019.02.079</w:t>
        </w:r>
      </w:hyperlink>
      <w:r w:rsidRPr="009B10EB">
        <w:rPr>
          <w:rFonts w:ascii="Times New Roman" w:hAnsi="Times New Roman"/>
          <w:sz w:val="24"/>
        </w:rPr>
        <w:t xml:space="preserve"> </w:t>
      </w:r>
      <w:r w:rsidRPr="009B10EB">
        <w:rPr>
          <w:rFonts w:ascii="Times New Roman" w:hAnsi="Times New Roman"/>
          <w:i/>
          <w:iCs/>
          <w:sz w:val="24"/>
        </w:rPr>
        <w:t>Context: Cited for point-of-use spectrometry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lastRenderedPageBreak/>
        <w:t xml:space="preserve">Yang, C., &amp; Lee, M. (2015). Development of a portable spectrophotometer for on-site food quality control. </w:t>
      </w:r>
      <w:r w:rsidRPr="009B10EB">
        <w:rPr>
          <w:rFonts w:ascii="Times New Roman" w:hAnsi="Times New Roman"/>
          <w:i/>
          <w:iCs/>
          <w:sz w:val="24"/>
        </w:rPr>
        <w:t>Food Analytical Methods, 8</w:t>
      </w:r>
      <w:r w:rsidRPr="009B10EB">
        <w:rPr>
          <w:rFonts w:ascii="Times New Roman" w:hAnsi="Times New Roman"/>
          <w:sz w:val="24"/>
        </w:rPr>
        <w:t xml:space="preserve">(5), 1142–1150. </w:t>
      </w:r>
      <w:hyperlink r:id="rId60" w:tgtFrame="_blank" w:history="1">
        <w:r w:rsidRPr="009B10EB">
          <w:rPr>
            <w:rStyle w:val="Hyperlink"/>
            <w:rFonts w:ascii="Times New Roman" w:hAnsi="Times New Roman"/>
            <w:sz w:val="24"/>
          </w:rPr>
          <w:t>https://doi.org/10.1007/s12161-014-9992-5</w:t>
        </w:r>
      </w:hyperlink>
      <w:r w:rsidRPr="009B10EB">
        <w:rPr>
          <w:rFonts w:ascii="Times New Roman" w:hAnsi="Times New Roman"/>
          <w:sz w:val="24"/>
        </w:rPr>
        <w:t xml:space="preserve"> </w:t>
      </w:r>
      <w:r w:rsidRPr="009B10EB">
        <w:rPr>
          <w:rFonts w:ascii="Times New Roman" w:hAnsi="Times New Roman"/>
          <w:i/>
          <w:iCs/>
          <w:sz w:val="24"/>
        </w:rPr>
        <w:t>Context: Cited for portable spectrometry applications (Chapter 2, Section 2.2).</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Harris, D. C. (2015). </w:t>
      </w:r>
      <w:r w:rsidRPr="009B10EB">
        <w:rPr>
          <w:rFonts w:ascii="Times New Roman" w:hAnsi="Times New Roman"/>
          <w:i/>
          <w:iCs/>
          <w:sz w:val="24"/>
        </w:rPr>
        <w:t>Quantitative chemical analysis</w:t>
      </w:r>
      <w:r w:rsidRPr="009B10EB">
        <w:rPr>
          <w:rFonts w:ascii="Times New Roman" w:hAnsi="Times New Roman"/>
          <w:sz w:val="24"/>
        </w:rPr>
        <w:t xml:space="preserve"> (9th ed.). W.H. Freeman and Company. </w:t>
      </w:r>
      <w:r w:rsidRPr="009B10EB">
        <w:rPr>
          <w:rFonts w:ascii="Times New Roman" w:hAnsi="Times New Roman"/>
          <w:i/>
          <w:iCs/>
          <w:sz w:val="24"/>
        </w:rPr>
        <w:t>Context: Cited for Beer-Lambert Law and spectroscopy fundamentals (Chapter 1, Section 1.3).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International Conference on Harmonisation (ICH). (2005). </w:t>
      </w:r>
      <w:r w:rsidRPr="009B10EB">
        <w:rPr>
          <w:rFonts w:ascii="Times New Roman" w:hAnsi="Times New Roman"/>
          <w:i/>
          <w:iCs/>
          <w:sz w:val="24"/>
        </w:rPr>
        <w:t>Validation of analytical procedures: Text and methodology Q2(R1)</w:t>
      </w:r>
      <w:r w:rsidRPr="009B10EB">
        <w:rPr>
          <w:rFonts w:ascii="Times New Roman" w:hAnsi="Times New Roman"/>
          <w:sz w:val="24"/>
        </w:rPr>
        <w:t xml:space="preserve">. ICH Harmonised Tripartite Guideline. </w:t>
      </w:r>
      <w:r w:rsidRPr="009B10EB">
        <w:rPr>
          <w:rFonts w:ascii="Times New Roman" w:hAnsi="Times New Roman"/>
          <w:i/>
          <w:iCs/>
          <w:sz w:val="24"/>
        </w:rPr>
        <w:t>Context: Cited for method validation protocols (Chapter 1, Section 1.3).</w:t>
      </w:r>
    </w:p>
    <w:p w:rsidR="009B10EB" w:rsidRPr="009B10EB" w:rsidRDefault="009B10EB" w:rsidP="009B10EB">
      <w:pPr>
        <w:pStyle w:val="NoSpacing"/>
        <w:spacing w:line="480" w:lineRule="auto"/>
        <w:ind w:left="900" w:hanging="540"/>
        <w:jc w:val="both"/>
        <w:rPr>
          <w:rFonts w:ascii="Times New Roman" w:hAnsi="Times New Roman"/>
          <w:sz w:val="24"/>
        </w:rPr>
      </w:pPr>
      <w:r w:rsidRPr="009B10EB">
        <w:rPr>
          <w:rFonts w:ascii="Times New Roman" w:hAnsi="Times New Roman"/>
          <w:sz w:val="24"/>
        </w:rPr>
        <w:t xml:space="preserve">McGorrin, R. J. (2021). Advances in analytical techniques for food authentication. </w:t>
      </w:r>
      <w:r w:rsidRPr="009B10EB">
        <w:rPr>
          <w:rFonts w:ascii="Times New Roman" w:hAnsi="Times New Roman"/>
          <w:i/>
          <w:iCs/>
          <w:sz w:val="24"/>
        </w:rPr>
        <w:t>Annual Review of Food Science and Technology, 12</w:t>
      </w:r>
      <w:r w:rsidRPr="009B10EB">
        <w:rPr>
          <w:rFonts w:ascii="Times New Roman" w:hAnsi="Times New Roman"/>
          <w:sz w:val="24"/>
        </w:rPr>
        <w:t xml:space="preserve">, 365–390. </w:t>
      </w:r>
      <w:hyperlink r:id="rId61" w:tgtFrame="_blank" w:history="1">
        <w:r w:rsidRPr="009B10EB">
          <w:rPr>
            <w:rStyle w:val="Hyperlink"/>
            <w:rFonts w:ascii="Times New Roman" w:hAnsi="Times New Roman"/>
            <w:sz w:val="24"/>
          </w:rPr>
          <w:t>https://doi.org/10.1146/annurev-food-062420-021611</w:t>
        </w:r>
      </w:hyperlink>
      <w:r w:rsidRPr="009B10EB">
        <w:rPr>
          <w:rFonts w:ascii="Times New Roman" w:hAnsi="Times New Roman"/>
          <w:sz w:val="24"/>
        </w:rPr>
        <w:t xml:space="preserve"> </w:t>
      </w:r>
      <w:r w:rsidRPr="009B10EB">
        <w:rPr>
          <w:rFonts w:ascii="Times New Roman" w:hAnsi="Times New Roman"/>
          <w:i/>
          <w:iCs/>
          <w:sz w:val="24"/>
        </w:rPr>
        <w:t>Context: Discusses future analytical trends (Chapter 2, Section 2.4).</w:t>
      </w:r>
    </w:p>
    <w:p w:rsidR="009B10EB" w:rsidRPr="002358AF" w:rsidRDefault="009B10EB" w:rsidP="009B10EB">
      <w:pPr>
        <w:pStyle w:val="NoSpacing"/>
        <w:spacing w:line="480" w:lineRule="auto"/>
        <w:jc w:val="both"/>
        <w:rPr>
          <w:rFonts w:ascii="Times New Roman" w:hAnsi="Times New Roman" w:cs="Times New Roman"/>
          <w:sz w:val="24"/>
        </w:rPr>
      </w:pPr>
    </w:p>
    <w:sectPr w:rsidR="009B10EB" w:rsidRPr="002358AF" w:rsidSect="00AF1BDC">
      <w:footerReference w:type="default" r:id="rId62"/>
      <w:pgSz w:w="12240" w:h="15840"/>
      <w:pgMar w:top="1440" w:right="1260" w:bottom="144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6A6" w:rsidRDefault="00E346A6" w:rsidP="002358AF">
      <w:pPr>
        <w:spacing w:after="0" w:line="240" w:lineRule="auto"/>
      </w:pPr>
      <w:r>
        <w:separator/>
      </w:r>
    </w:p>
  </w:endnote>
  <w:endnote w:type="continuationSeparator" w:id="1">
    <w:p w:rsidR="00E346A6" w:rsidRDefault="00E346A6" w:rsidP="002358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6687"/>
      <w:docPartObj>
        <w:docPartGallery w:val="Page Numbers (Bottom of Page)"/>
        <w:docPartUnique/>
      </w:docPartObj>
    </w:sdtPr>
    <w:sdtContent>
      <w:p w:rsidR="009B10EB" w:rsidRDefault="00FE7DFD">
        <w:pPr>
          <w:pStyle w:val="Footer"/>
          <w:jc w:val="center"/>
        </w:pPr>
        <w:fldSimple w:instr=" PAGE   \* MERGEFORMAT ">
          <w:r w:rsidR="003F7D0D">
            <w:rPr>
              <w:noProof/>
            </w:rPr>
            <w:t>1</w:t>
          </w:r>
        </w:fldSimple>
      </w:p>
    </w:sdtContent>
  </w:sdt>
  <w:p w:rsidR="009B10EB" w:rsidRDefault="009B10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6A6" w:rsidRDefault="00E346A6" w:rsidP="002358AF">
      <w:pPr>
        <w:spacing w:after="0" w:line="240" w:lineRule="auto"/>
      </w:pPr>
      <w:r>
        <w:separator/>
      </w:r>
    </w:p>
  </w:footnote>
  <w:footnote w:type="continuationSeparator" w:id="1">
    <w:p w:rsidR="00E346A6" w:rsidRDefault="00E346A6" w:rsidP="002358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F66FC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856556"/>
    <w:multiLevelType w:val="hybridMultilevel"/>
    <w:tmpl w:val="A838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355F30"/>
    <w:multiLevelType w:val="multilevel"/>
    <w:tmpl w:val="EF86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996965"/>
    <w:multiLevelType w:val="multilevel"/>
    <w:tmpl w:val="48462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92418F"/>
    <w:multiLevelType w:val="multilevel"/>
    <w:tmpl w:val="8154F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F334CA"/>
    <w:multiLevelType w:val="multilevel"/>
    <w:tmpl w:val="D062B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4CA683B"/>
    <w:multiLevelType w:val="multilevel"/>
    <w:tmpl w:val="B930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F2527F"/>
    <w:multiLevelType w:val="multilevel"/>
    <w:tmpl w:val="3CC4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3D6075"/>
    <w:multiLevelType w:val="multilevel"/>
    <w:tmpl w:val="487C4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E971CA"/>
    <w:multiLevelType w:val="multilevel"/>
    <w:tmpl w:val="1FCAE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1"/>
  </w:num>
  <w:num w:numId="3">
    <w:abstractNumId w:val="13"/>
  </w:num>
  <w:num w:numId="4">
    <w:abstractNumId w:val="8"/>
  </w:num>
  <w:num w:numId="5">
    <w:abstractNumId w:val="7"/>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10"/>
  </w:num>
  <w:num w:numId="14">
    <w:abstractNumId w:val="15"/>
  </w:num>
  <w:num w:numId="15">
    <w:abstractNumId w:val="16"/>
  </w:num>
  <w:num w:numId="16">
    <w:abstractNumId w:val="12"/>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358AF"/>
    <w:rsid w:val="001F2A90"/>
    <w:rsid w:val="002358AF"/>
    <w:rsid w:val="0034760F"/>
    <w:rsid w:val="003F7D0D"/>
    <w:rsid w:val="00463111"/>
    <w:rsid w:val="0063145E"/>
    <w:rsid w:val="0082271F"/>
    <w:rsid w:val="008C37CF"/>
    <w:rsid w:val="008F06AE"/>
    <w:rsid w:val="009B10EB"/>
    <w:rsid w:val="00AE30FC"/>
    <w:rsid w:val="00AE41BB"/>
    <w:rsid w:val="00AF1BDC"/>
    <w:rsid w:val="00D31728"/>
    <w:rsid w:val="00D665BD"/>
    <w:rsid w:val="00E346A6"/>
    <w:rsid w:val="00F34271"/>
    <w:rsid w:val="00FE7D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BDC"/>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58AF"/>
    <w:pPr>
      <w:spacing w:after="0" w:line="240" w:lineRule="auto"/>
    </w:pPr>
  </w:style>
  <w:style w:type="table" w:styleId="TableGrid">
    <w:name w:val="Table Grid"/>
    <w:basedOn w:val="TableNormal"/>
    <w:uiPriority w:val="59"/>
    <w:rsid w:val="002358A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358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58AF"/>
  </w:style>
  <w:style w:type="paragraph" w:styleId="Footer">
    <w:name w:val="footer"/>
    <w:basedOn w:val="Normal"/>
    <w:link w:val="FooterChar"/>
    <w:uiPriority w:val="99"/>
    <w:unhideWhenUsed/>
    <w:rsid w:val="002358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8AF"/>
  </w:style>
  <w:style w:type="paragraph" w:styleId="BalloonText">
    <w:name w:val="Balloon Text"/>
    <w:basedOn w:val="Normal"/>
    <w:link w:val="BalloonTextChar"/>
    <w:uiPriority w:val="99"/>
    <w:semiHidden/>
    <w:unhideWhenUsed/>
    <w:rsid w:val="00AF1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BDC"/>
    <w:rPr>
      <w:rFonts w:ascii="Tahoma" w:eastAsia="SimSun" w:hAnsi="Tahoma" w:cs="Tahoma"/>
      <w:sz w:val="16"/>
      <w:szCs w:val="16"/>
      <w:lang w:eastAsia="zh-CN"/>
    </w:rPr>
  </w:style>
  <w:style w:type="character" w:styleId="Hyperlink">
    <w:name w:val="Hyperlink"/>
    <w:basedOn w:val="DefaultParagraphFont"/>
    <w:uiPriority w:val="99"/>
    <w:unhideWhenUsed/>
    <w:rsid w:val="009B10E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7655819">
      <w:bodyDiv w:val="1"/>
      <w:marLeft w:val="0"/>
      <w:marRight w:val="0"/>
      <w:marTop w:val="0"/>
      <w:marBottom w:val="0"/>
      <w:divBdr>
        <w:top w:val="none" w:sz="0" w:space="0" w:color="auto"/>
        <w:left w:val="none" w:sz="0" w:space="0" w:color="auto"/>
        <w:bottom w:val="none" w:sz="0" w:space="0" w:color="auto"/>
        <w:right w:val="none" w:sz="0" w:space="0" w:color="auto"/>
      </w:divBdr>
    </w:div>
    <w:div w:id="577793014">
      <w:bodyDiv w:val="1"/>
      <w:marLeft w:val="0"/>
      <w:marRight w:val="0"/>
      <w:marTop w:val="0"/>
      <w:marBottom w:val="0"/>
      <w:divBdr>
        <w:top w:val="none" w:sz="0" w:space="0" w:color="auto"/>
        <w:left w:val="none" w:sz="0" w:space="0" w:color="auto"/>
        <w:bottom w:val="none" w:sz="0" w:space="0" w:color="auto"/>
        <w:right w:val="none" w:sz="0" w:space="0" w:color="auto"/>
      </w:divBdr>
    </w:div>
    <w:div w:id="759300347">
      <w:bodyDiv w:val="1"/>
      <w:marLeft w:val="0"/>
      <w:marRight w:val="0"/>
      <w:marTop w:val="0"/>
      <w:marBottom w:val="0"/>
      <w:divBdr>
        <w:top w:val="none" w:sz="0" w:space="0" w:color="auto"/>
        <w:left w:val="none" w:sz="0" w:space="0" w:color="auto"/>
        <w:bottom w:val="none" w:sz="0" w:space="0" w:color="auto"/>
        <w:right w:val="none" w:sz="0" w:space="0" w:color="auto"/>
      </w:divBdr>
    </w:div>
    <w:div w:id="969285868">
      <w:bodyDiv w:val="1"/>
      <w:marLeft w:val="0"/>
      <w:marRight w:val="0"/>
      <w:marTop w:val="0"/>
      <w:marBottom w:val="0"/>
      <w:divBdr>
        <w:top w:val="none" w:sz="0" w:space="0" w:color="auto"/>
        <w:left w:val="none" w:sz="0" w:space="0" w:color="auto"/>
        <w:bottom w:val="none" w:sz="0" w:space="0" w:color="auto"/>
        <w:right w:val="none" w:sz="0" w:space="0" w:color="auto"/>
      </w:divBdr>
      <w:divsChild>
        <w:div w:id="190152100">
          <w:marLeft w:val="0"/>
          <w:marRight w:val="0"/>
          <w:marTop w:val="0"/>
          <w:marBottom w:val="0"/>
          <w:divBdr>
            <w:top w:val="none" w:sz="0" w:space="0" w:color="auto"/>
            <w:left w:val="none" w:sz="0" w:space="0" w:color="auto"/>
            <w:bottom w:val="none" w:sz="0" w:space="0" w:color="auto"/>
            <w:right w:val="none" w:sz="0" w:space="0" w:color="auto"/>
          </w:divBdr>
        </w:div>
      </w:divsChild>
    </w:div>
    <w:div w:id="997612137">
      <w:bodyDiv w:val="1"/>
      <w:marLeft w:val="0"/>
      <w:marRight w:val="0"/>
      <w:marTop w:val="0"/>
      <w:marBottom w:val="0"/>
      <w:divBdr>
        <w:top w:val="none" w:sz="0" w:space="0" w:color="auto"/>
        <w:left w:val="none" w:sz="0" w:space="0" w:color="auto"/>
        <w:bottom w:val="none" w:sz="0" w:space="0" w:color="auto"/>
        <w:right w:val="none" w:sz="0" w:space="0" w:color="auto"/>
      </w:divBdr>
    </w:div>
    <w:div w:id="1036544456">
      <w:bodyDiv w:val="1"/>
      <w:marLeft w:val="0"/>
      <w:marRight w:val="0"/>
      <w:marTop w:val="0"/>
      <w:marBottom w:val="0"/>
      <w:divBdr>
        <w:top w:val="none" w:sz="0" w:space="0" w:color="auto"/>
        <w:left w:val="none" w:sz="0" w:space="0" w:color="auto"/>
        <w:bottom w:val="none" w:sz="0" w:space="0" w:color="auto"/>
        <w:right w:val="none" w:sz="0" w:space="0" w:color="auto"/>
      </w:divBdr>
    </w:div>
    <w:div w:id="1120953182">
      <w:bodyDiv w:val="1"/>
      <w:marLeft w:val="0"/>
      <w:marRight w:val="0"/>
      <w:marTop w:val="0"/>
      <w:marBottom w:val="0"/>
      <w:divBdr>
        <w:top w:val="none" w:sz="0" w:space="0" w:color="auto"/>
        <w:left w:val="none" w:sz="0" w:space="0" w:color="auto"/>
        <w:bottom w:val="none" w:sz="0" w:space="0" w:color="auto"/>
        <w:right w:val="none" w:sz="0" w:space="0" w:color="auto"/>
      </w:divBdr>
    </w:div>
    <w:div w:id="1157965271">
      <w:bodyDiv w:val="1"/>
      <w:marLeft w:val="0"/>
      <w:marRight w:val="0"/>
      <w:marTop w:val="0"/>
      <w:marBottom w:val="0"/>
      <w:divBdr>
        <w:top w:val="none" w:sz="0" w:space="0" w:color="auto"/>
        <w:left w:val="none" w:sz="0" w:space="0" w:color="auto"/>
        <w:bottom w:val="none" w:sz="0" w:space="0" w:color="auto"/>
        <w:right w:val="none" w:sz="0" w:space="0" w:color="auto"/>
      </w:divBdr>
    </w:div>
    <w:div w:id="1193377783">
      <w:bodyDiv w:val="1"/>
      <w:marLeft w:val="0"/>
      <w:marRight w:val="0"/>
      <w:marTop w:val="0"/>
      <w:marBottom w:val="0"/>
      <w:divBdr>
        <w:top w:val="none" w:sz="0" w:space="0" w:color="auto"/>
        <w:left w:val="none" w:sz="0" w:space="0" w:color="auto"/>
        <w:bottom w:val="none" w:sz="0" w:space="0" w:color="auto"/>
        <w:right w:val="none" w:sz="0" w:space="0" w:color="auto"/>
      </w:divBdr>
      <w:divsChild>
        <w:div w:id="1762794643">
          <w:marLeft w:val="0"/>
          <w:marRight w:val="0"/>
          <w:marTop w:val="0"/>
          <w:marBottom w:val="0"/>
          <w:divBdr>
            <w:top w:val="none" w:sz="0" w:space="0" w:color="auto"/>
            <w:left w:val="none" w:sz="0" w:space="0" w:color="auto"/>
            <w:bottom w:val="none" w:sz="0" w:space="0" w:color="auto"/>
            <w:right w:val="none" w:sz="0" w:space="0" w:color="auto"/>
          </w:divBdr>
        </w:div>
        <w:div w:id="1144199188">
          <w:marLeft w:val="0"/>
          <w:marRight w:val="0"/>
          <w:marTop w:val="0"/>
          <w:marBottom w:val="0"/>
          <w:divBdr>
            <w:top w:val="none" w:sz="0" w:space="0" w:color="auto"/>
            <w:left w:val="none" w:sz="0" w:space="0" w:color="auto"/>
            <w:bottom w:val="none" w:sz="0" w:space="0" w:color="auto"/>
            <w:right w:val="none" w:sz="0" w:space="0" w:color="auto"/>
          </w:divBdr>
        </w:div>
      </w:divsChild>
    </w:div>
    <w:div w:id="1286424851">
      <w:bodyDiv w:val="1"/>
      <w:marLeft w:val="0"/>
      <w:marRight w:val="0"/>
      <w:marTop w:val="0"/>
      <w:marBottom w:val="0"/>
      <w:divBdr>
        <w:top w:val="none" w:sz="0" w:space="0" w:color="auto"/>
        <w:left w:val="none" w:sz="0" w:space="0" w:color="auto"/>
        <w:bottom w:val="none" w:sz="0" w:space="0" w:color="auto"/>
        <w:right w:val="none" w:sz="0" w:space="0" w:color="auto"/>
      </w:divBdr>
      <w:divsChild>
        <w:div w:id="908657799">
          <w:marLeft w:val="0"/>
          <w:marRight w:val="0"/>
          <w:marTop w:val="0"/>
          <w:marBottom w:val="0"/>
          <w:divBdr>
            <w:top w:val="none" w:sz="0" w:space="0" w:color="auto"/>
            <w:left w:val="none" w:sz="0" w:space="0" w:color="auto"/>
            <w:bottom w:val="none" w:sz="0" w:space="0" w:color="auto"/>
            <w:right w:val="none" w:sz="0" w:space="0" w:color="auto"/>
          </w:divBdr>
        </w:div>
        <w:div w:id="886994194">
          <w:marLeft w:val="0"/>
          <w:marRight w:val="0"/>
          <w:marTop w:val="0"/>
          <w:marBottom w:val="0"/>
          <w:divBdr>
            <w:top w:val="none" w:sz="0" w:space="0" w:color="auto"/>
            <w:left w:val="none" w:sz="0" w:space="0" w:color="auto"/>
            <w:bottom w:val="none" w:sz="0" w:space="0" w:color="auto"/>
            <w:right w:val="none" w:sz="0" w:space="0" w:color="auto"/>
          </w:divBdr>
        </w:div>
      </w:divsChild>
    </w:div>
    <w:div w:id="1368799778">
      <w:bodyDiv w:val="1"/>
      <w:marLeft w:val="0"/>
      <w:marRight w:val="0"/>
      <w:marTop w:val="0"/>
      <w:marBottom w:val="0"/>
      <w:divBdr>
        <w:top w:val="none" w:sz="0" w:space="0" w:color="auto"/>
        <w:left w:val="none" w:sz="0" w:space="0" w:color="auto"/>
        <w:bottom w:val="none" w:sz="0" w:space="0" w:color="auto"/>
        <w:right w:val="none" w:sz="0" w:space="0" w:color="auto"/>
      </w:divBdr>
    </w:div>
    <w:div w:id="1452673579">
      <w:bodyDiv w:val="1"/>
      <w:marLeft w:val="0"/>
      <w:marRight w:val="0"/>
      <w:marTop w:val="0"/>
      <w:marBottom w:val="0"/>
      <w:divBdr>
        <w:top w:val="none" w:sz="0" w:space="0" w:color="auto"/>
        <w:left w:val="none" w:sz="0" w:space="0" w:color="auto"/>
        <w:bottom w:val="none" w:sz="0" w:space="0" w:color="auto"/>
        <w:right w:val="none" w:sz="0" w:space="0" w:color="auto"/>
      </w:divBdr>
    </w:div>
    <w:div w:id="1552186046">
      <w:bodyDiv w:val="1"/>
      <w:marLeft w:val="0"/>
      <w:marRight w:val="0"/>
      <w:marTop w:val="0"/>
      <w:marBottom w:val="0"/>
      <w:divBdr>
        <w:top w:val="none" w:sz="0" w:space="0" w:color="auto"/>
        <w:left w:val="none" w:sz="0" w:space="0" w:color="auto"/>
        <w:bottom w:val="none" w:sz="0" w:space="0" w:color="auto"/>
        <w:right w:val="none" w:sz="0" w:space="0" w:color="auto"/>
      </w:divBdr>
    </w:div>
    <w:div w:id="1764063371">
      <w:bodyDiv w:val="1"/>
      <w:marLeft w:val="0"/>
      <w:marRight w:val="0"/>
      <w:marTop w:val="0"/>
      <w:marBottom w:val="0"/>
      <w:divBdr>
        <w:top w:val="none" w:sz="0" w:space="0" w:color="auto"/>
        <w:left w:val="none" w:sz="0" w:space="0" w:color="auto"/>
        <w:bottom w:val="none" w:sz="0" w:space="0" w:color="auto"/>
        <w:right w:val="none" w:sz="0" w:space="0" w:color="auto"/>
      </w:divBdr>
    </w:div>
    <w:div w:id="2016031231">
      <w:bodyDiv w:val="1"/>
      <w:marLeft w:val="0"/>
      <w:marRight w:val="0"/>
      <w:marTop w:val="0"/>
      <w:marBottom w:val="0"/>
      <w:divBdr>
        <w:top w:val="none" w:sz="0" w:space="0" w:color="auto"/>
        <w:left w:val="none" w:sz="0" w:space="0" w:color="auto"/>
        <w:bottom w:val="none" w:sz="0" w:space="0" w:color="auto"/>
        <w:right w:val="none" w:sz="0" w:space="0" w:color="auto"/>
      </w:divBdr>
      <w:divsChild>
        <w:div w:id="1141921941">
          <w:marLeft w:val="0"/>
          <w:marRight w:val="0"/>
          <w:marTop w:val="0"/>
          <w:marBottom w:val="0"/>
          <w:divBdr>
            <w:top w:val="none" w:sz="0" w:space="0" w:color="auto"/>
            <w:left w:val="none" w:sz="0" w:space="0" w:color="auto"/>
            <w:bottom w:val="none" w:sz="0" w:space="0" w:color="auto"/>
            <w:right w:val="none" w:sz="0" w:space="0" w:color="auto"/>
          </w:divBdr>
        </w:div>
      </w:divsChild>
    </w:div>
    <w:div w:id="20777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doi.org/10.1016/j.chroma.2007.03.013" TargetMode="External"/><Relationship Id="rId26" Type="http://schemas.openxmlformats.org/officeDocument/2006/relationships/hyperlink" Target="https://doi.org/10.1016/j.foodchem.2013.08.087" TargetMode="External"/><Relationship Id="rId39" Type="http://schemas.openxmlformats.org/officeDocument/2006/relationships/hyperlink" Target="https://doi.org/10.1271/bbb.50653" TargetMode="External"/><Relationship Id="rId21" Type="http://schemas.openxmlformats.org/officeDocument/2006/relationships/hyperlink" Target="https://doi.org/10.1016/j.jfca.2011.03.008" TargetMode="External"/><Relationship Id="rId34" Type="http://schemas.openxmlformats.org/officeDocument/2006/relationships/hyperlink" Target="https://doi.org/10.1021/jf60227a026" TargetMode="External"/><Relationship Id="rId42" Type="http://schemas.openxmlformats.org/officeDocument/2006/relationships/hyperlink" Target="https://doi.org/10.1016/j.foodchem.2007.11.027" TargetMode="External"/><Relationship Id="rId47" Type="http://schemas.openxmlformats.org/officeDocument/2006/relationships/hyperlink" Target="https://doi.org/10.1016/j.postharvbio.2010.07.013" TargetMode="External"/><Relationship Id="rId50" Type="http://schemas.openxmlformats.org/officeDocument/2006/relationships/hyperlink" Target="https://doi.org/10.17226/9810" TargetMode="External"/><Relationship Id="rId55" Type="http://schemas.openxmlformats.org/officeDocument/2006/relationships/hyperlink" Target="https://doi.org/10.1080/07315724.2003.10719272" TargetMode="External"/><Relationship Id="rId63"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doi.org/10.1021/jf505686b" TargetMode="External"/><Relationship Id="rId20" Type="http://schemas.openxmlformats.org/officeDocument/2006/relationships/hyperlink" Target="https://doi.org/10.1016/j.tifs.2006.09.005" TargetMode="External"/><Relationship Id="rId29" Type="http://schemas.openxmlformats.org/officeDocument/2006/relationships/hyperlink" Target="https://doi.org/10.1016/S0378-4347(99)00185-7" TargetMode="External"/><Relationship Id="rId41" Type="http://schemas.openxmlformats.org/officeDocument/2006/relationships/hyperlink" Target="https://doi.org/10.1016/j.foodchem.2010.07.103" TargetMode="External"/><Relationship Id="rId54" Type="http://schemas.openxmlformats.org/officeDocument/2006/relationships/hyperlink" Target="https://doi.org/10.3945/an.112.002154"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Relationship Id="rId24" Type="http://schemas.openxmlformats.org/officeDocument/2006/relationships/hyperlink" Target="https://doi.org/10.1080/20014091076695" TargetMode="External"/><Relationship Id="rId32" Type="http://schemas.openxmlformats.org/officeDocument/2006/relationships/hyperlink" Target="https://doi.org/10.1016/S0308-8146(98)00180-0" TargetMode="External"/><Relationship Id="rId37" Type="http://schemas.openxmlformats.org/officeDocument/2006/relationships/hyperlink" Target="https://doi.org/10.1002/jsfa.2824" TargetMode="External"/><Relationship Id="rId40" Type="http://schemas.openxmlformats.org/officeDocument/2006/relationships/hyperlink" Target="https://doi.org/10.1016/j.saa.2016.09.039" TargetMode="External"/><Relationship Id="rId45" Type="http://schemas.openxmlformats.org/officeDocument/2006/relationships/hyperlink" Target="https://doi.org/10.1016/j.foodchem.2015.02.089" TargetMode="External"/><Relationship Id="rId53" Type="http://schemas.openxmlformats.org/officeDocument/2006/relationships/hyperlink" Target="https://doi.org/10.1001/jama.281.15.1415" TargetMode="External"/><Relationship Id="rId58" Type="http://schemas.openxmlformats.org/officeDocument/2006/relationships/hyperlink" Target="https://doi.org/10.1021/jf063702+" TargetMode="External"/><Relationship Id="rId5" Type="http://schemas.openxmlformats.org/officeDocument/2006/relationships/footnotes" Target="footnotes.xml"/><Relationship Id="rId15" Type="http://schemas.openxmlformats.org/officeDocument/2006/relationships/hyperlink" Target="https://doi.org/10.1016/j.postharvbio.2015.03.003" TargetMode="External"/><Relationship Id="rId23" Type="http://schemas.openxmlformats.org/officeDocument/2006/relationships/hyperlink" Target="https://doi.org/10.1080/00032719.2017.1412345" TargetMode="External"/><Relationship Id="rId28" Type="http://schemas.openxmlformats.org/officeDocument/2006/relationships/hyperlink" Target="https://doi.org/10.1016/j.jchromb.2006.03.040" TargetMode="External"/><Relationship Id="rId36" Type="http://schemas.openxmlformats.org/officeDocument/2006/relationships/hyperlink" Target="https://doi.org/10.1016/j.lwt.2007.03.002" TargetMode="External"/><Relationship Id="rId49" Type="http://schemas.openxmlformats.org/officeDocument/2006/relationships/hyperlink" Target="https://doi.org/10.2337/dc08-0080" TargetMode="External"/><Relationship Id="rId57" Type="http://schemas.openxmlformats.org/officeDocument/2006/relationships/hyperlink" Target="https://doi.org/10.1016/j.foodcont.2020.107128" TargetMode="External"/><Relationship Id="rId61" Type="http://schemas.openxmlformats.org/officeDocument/2006/relationships/hyperlink" Target="https://doi.org/10.1146/annurev-food-062420-021611" TargetMode="External"/><Relationship Id="rId10" Type="http://schemas.openxmlformats.org/officeDocument/2006/relationships/image" Target="NULL"/><Relationship Id="rId19" Type="http://schemas.openxmlformats.org/officeDocument/2006/relationships/hyperlink" Target="https://doi.org/10.1007/s12161-015-0342-8" TargetMode="External"/><Relationship Id="rId31" Type="http://schemas.openxmlformats.org/officeDocument/2006/relationships/hyperlink" Target="https://doi.org/10.1111/j.1745-4549.2012.00712.x" TargetMode="External"/><Relationship Id="rId44" Type="http://schemas.openxmlformats.org/officeDocument/2006/relationships/hyperlink" Target="https://doi.org/10.1021/jf950579y" TargetMode="External"/><Relationship Id="rId52" Type="http://schemas.openxmlformats.org/officeDocument/2006/relationships/hyperlink" Target="https://doi.org/10.3945/an.111.000513" TargetMode="External"/><Relationship Id="rId60" Type="http://schemas.openxmlformats.org/officeDocument/2006/relationships/hyperlink" Target="https://doi.org/10.1007/s12161-014-9992-5" TargetMode="External"/><Relationship Id="rId4" Type="http://schemas.openxmlformats.org/officeDocument/2006/relationships/webSettings" Target="webSettings.xml"/><Relationship Id="rId9" Type="http://schemas.openxmlformats.org/officeDocument/2006/relationships/image" Target="NULL"/><Relationship Id="rId14" Type="http://schemas.openxmlformats.org/officeDocument/2006/relationships/hyperlink" Target="https://doi.org/10.1007/s13197-019-04145-2" TargetMode="External"/><Relationship Id="rId22" Type="http://schemas.openxmlformats.org/officeDocument/2006/relationships/hyperlink" Target="https://doi.org/10.1002/(SICI)1097-0010(20000515)80:7" TargetMode="External"/><Relationship Id="rId27" Type="http://schemas.openxmlformats.org/officeDocument/2006/relationships/hyperlink" Target="https://doi.org/10.1016/j.jfoodeng.2008.10.024" TargetMode="External"/><Relationship Id="rId30" Type="http://schemas.openxmlformats.org/officeDocument/2006/relationships/hyperlink" Target="https://doi.org/10.1016/j.foodchem.2011.09.072" TargetMode="External"/><Relationship Id="rId35" Type="http://schemas.openxmlformats.org/officeDocument/2006/relationships/hyperlink" Target="https://doi.org/10.1021/ed078p1031" TargetMode="External"/><Relationship Id="rId43" Type="http://schemas.openxmlformats.org/officeDocument/2006/relationships/hyperlink" Target="https://doi.org/10.1016/j.foodchem.2010.05.039" TargetMode="External"/><Relationship Id="rId48" Type="http://schemas.openxmlformats.org/officeDocument/2006/relationships/hyperlink" Target="https://fdc.nal.usda.gov/fdc-app.html" TargetMode="External"/><Relationship Id="rId56" Type="http://schemas.openxmlformats.org/officeDocument/2006/relationships/hyperlink" Target="https://doi.org/10.1016/j.aca.2008.12.043"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https://doi.org/10.1093/ajcn/69.6.1086" TargetMode="External"/><Relationship Id="rId3" Type="http://schemas.openxmlformats.org/officeDocument/2006/relationships/settings" Target="settings.xml"/><Relationship Id="rId12" Type="http://schemas.openxmlformats.org/officeDocument/2006/relationships/image" Target="NULL"/><Relationship Id="rId17" Type="http://schemas.openxmlformats.org/officeDocument/2006/relationships/hyperlink" Target="https://doi.org/10.1016/j.tifs.2017.05.016" TargetMode="External"/><Relationship Id="rId25" Type="http://schemas.openxmlformats.org/officeDocument/2006/relationships/hyperlink" Target="https://doi.org/10.1111/j.1365-2621.2005.tb08320.x" TargetMode="External"/><Relationship Id="rId33" Type="http://schemas.openxmlformats.org/officeDocument/2006/relationships/hyperlink" Target="https://doi.org/10.3109/10715769709097806" TargetMode="External"/><Relationship Id="rId38" Type="http://schemas.openxmlformats.org/officeDocument/2006/relationships/hyperlink" Target="https://doi.org/10.1021/jf0207748" TargetMode="External"/><Relationship Id="rId46" Type="http://schemas.openxmlformats.org/officeDocument/2006/relationships/hyperlink" Target="https://doi.org/10.1016/S0308-8146(03)00018-2" TargetMode="External"/><Relationship Id="rId59" Type="http://schemas.openxmlformats.org/officeDocument/2006/relationships/hyperlink" Target="https://doi.org/10.1016/j.snb.2019.02.0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41</Pages>
  <Words>8922</Words>
  <Characters>50862</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USER</cp:lastModifiedBy>
  <cp:revision>2</cp:revision>
  <dcterms:created xsi:type="dcterms:W3CDTF">2025-09-24T13:59:00Z</dcterms:created>
  <dcterms:modified xsi:type="dcterms:W3CDTF">2025-09-24T13:59:00Z</dcterms:modified>
</cp:coreProperties>
</file>