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C8" w:rsidRPr="00A27DC8" w:rsidRDefault="00A27DC8" w:rsidP="00A27DC8">
      <w:pPr>
        <w:spacing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EXAMINATION OF POTENCY OF PENICILLIUM PATULIN TOXIN</w:t>
      </w:r>
    </w:p>
    <w:p w:rsidR="00A27DC8" w:rsidRPr="00A27DC8" w:rsidRDefault="00A27DC8" w:rsidP="00A27DC8">
      <w:pPr>
        <w:spacing w:after="0" w:line="240" w:lineRule="auto"/>
        <w:rPr>
          <w:rFonts w:ascii="Times New Roman" w:eastAsia="Times New Roman" w:hAnsi="Times New Roman" w:cs="Times New Roman"/>
          <w:sz w:val="24"/>
          <w:szCs w:val="24"/>
        </w:rPr>
      </w:pPr>
    </w:p>
    <w:p w:rsidR="00A27DC8" w:rsidRPr="00A27DC8" w:rsidRDefault="00A27DC8" w:rsidP="00A27DC8">
      <w:pPr>
        <w:spacing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BY</w:t>
      </w:r>
    </w:p>
    <w:p w:rsidR="00A27DC8" w:rsidRPr="00A27DC8" w:rsidRDefault="00A27DC8" w:rsidP="00A27DC8">
      <w:pPr>
        <w:spacing w:after="0" w:line="240" w:lineRule="auto"/>
        <w:rPr>
          <w:rFonts w:ascii="Times New Roman" w:eastAsia="Times New Roman" w:hAnsi="Times New Roman" w:cs="Times New Roman"/>
          <w:sz w:val="24"/>
          <w:szCs w:val="24"/>
        </w:rPr>
      </w:pPr>
    </w:p>
    <w:p w:rsidR="00A27DC8" w:rsidRPr="00A27DC8" w:rsidRDefault="00A27DC8" w:rsidP="00A27DC8">
      <w:pPr>
        <w:spacing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SULAIMON ISLAMIYAT FOLAKE</w:t>
      </w:r>
    </w:p>
    <w:p w:rsidR="00A27DC8" w:rsidRPr="00A27DC8" w:rsidRDefault="00A27DC8" w:rsidP="00A27DC8">
      <w:pPr>
        <w:spacing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ND/23/SLT/PT/0249</w:t>
      </w:r>
    </w:p>
    <w:p w:rsidR="00A27DC8" w:rsidRPr="00A27DC8" w:rsidRDefault="00A27DC8" w:rsidP="00A27DC8">
      <w:pPr>
        <w:spacing w:after="0" w:line="240" w:lineRule="auto"/>
        <w:rPr>
          <w:rFonts w:ascii="Times New Roman" w:eastAsia="Times New Roman" w:hAnsi="Times New Roman" w:cs="Times New Roman"/>
          <w:sz w:val="24"/>
          <w:szCs w:val="24"/>
        </w:rPr>
      </w:pPr>
    </w:p>
    <w:p w:rsidR="00A27DC8" w:rsidRPr="00A27DC8" w:rsidRDefault="00A27DC8" w:rsidP="00A27DC8">
      <w:pPr>
        <w:spacing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A PROJECT SUBMITTED TO THE DEPARTMENT OF SCIENCE LABORATORY TECHNOLOGY, INSTITUTE OF APPLIED SCIENCES, KWARA STATE POLYTECHNIC, ILORIN</w:t>
      </w:r>
    </w:p>
    <w:p w:rsidR="00A27DC8" w:rsidRPr="00A27DC8" w:rsidRDefault="00A27DC8" w:rsidP="00A27DC8">
      <w:pPr>
        <w:spacing w:after="0" w:line="240" w:lineRule="auto"/>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ab/>
      </w:r>
    </w:p>
    <w:p w:rsidR="00A27DC8" w:rsidRPr="00A27DC8" w:rsidRDefault="00A27DC8" w:rsidP="00A27DC8">
      <w:pPr>
        <w:spacing w:after="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IN PARTIAL FULFILMENT OF THE REQUIREMENTS OF THE AWARD OF NATIONAL DIPLOMA (ND) IN SCIENCE LABORATORY TECHNOLOGY (SLT)</w:t>
      </w:r>
    </w:p>
    <w:p w:rsidR="00A27DC8" w:rsidRPr="00A27DC8" w:rsidRDefault="00A27DC8" w:rsidP="00A27DC8">
      <w:pPr>
        <w:spacing w:after="240" w:line="240" w:lineRule="auto"/>
        <w:rPr>
          <w:rFonts w:ascii="Times New Roman" w:eastAsia="Times New Roman" w:hAnsi="Times New Roman" w:cs="Times New Roman"/>
          <w:sz w:val="24"/>
          <w:szCs w:val="24"/>
        </w:rPr>
      </w:pP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p>
    <w:p w:rsidR="00A27DC8" w:rsidRPr="00A27DC8" w:rsidRDefault="00A27DC8" w:rsidP="00A27DC8">
      <w:pPr>
        <w:spacing w:after="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JULY, 2025</w:t>
      </w:r>
      <w:r w:rsidRPr="00A27DC8">
        <w:rPr>
          <w:rFonts w:ascii="Times New Roman" w:eastAsia="Times New Roman" w:hAnsi="Times New Roman" w:cs="Times New Roman"/>
          <w:b/>
          <w:bCs/>
          <w:color w:val="000000"/>
          <w:sz w:val="28"/>
          <w:szCs w:val="28"/>
        </w:rPr>
        <w:br/>
      </w:r>
    </w:p>
    <w:p w:rsidR="00A27DC8" w:rsidRDefault="00A27DC8"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Default="00266C77" w:rsidP="00A27DC8">
      <w:pPr>
        <w:spacing w:after="0" w:line="240" w:lineRule="auto"/>
        <w:rPr>
          <w:rFonts w:ascii="Times New Roman" w:eastAsia="Times New Roman" w:hAnsi="Times New Roman" w:cs="Times New Roman"/>
          <w:sz w:val="24"/>
          <w:szCs w:val="24"/>
        </w:rPr>
      </w:pPr>
    </w:p>
    <w:p w:rsidR="00266C77" w:rsidRPr="00A27DC8" w:rsidRDefault="00266C77" w:rsidP="00A27DC8">
      <w:pPr>
        <w:spacing w:after="0" w:line="240" w:lineRule="auto"/>
        <w:rPr>
          <w:rFonts w:ascii="Times New Roman" w:eastAsia="Times New Roman" w:hAnsi="Times New Roman" w:cs="Times New Roman"/>
          <w:sz w:val="24"/>
          <w:szCs w:val="24"/>
        </w:rPr>
      </w:pPr>
    </w:p>
    <w:p w:rsidR="00A27DC8" w:rsidRPr="00A27DC8" w:rsidRDefault="00A27DC8" w:rsidP="00A27DC8">
      <w:pPr>
        <w:spacing w:after="240" w:line="240" w:lineRule="auto"/>
        <w:rPr>
          <w:rFonts w:ascii="Times New Roman" w:eastAsia="Times New Roman" w:hAnsi="Times New Roman" w:cs="Times New Roman"/>
          <w:sz w:val="24"/>
          <w:szCs w:val="24"/>
        </w:rPr>
      </w:pPr>
    </w:p>
    <w:p w:rsidR="00266C77" w:rsidRPr="00266C77" w:rsidRDefault="00266C77" w:rsidP="00266C77">
      <w:pPr>
        <w:spacing w:after="240" w:line="240" w:lineRule="auto"/>
        <w:rPr>
          <w:rFonts w:ascii="Times New Roman" w:eastAsia="Times New Roman" w:hAnsi="Times New Roman" w:cs="Times New Roman"/>
          <w:sz w:val="24"/>
          <w:szCs w:val="24"/>
        </w:rPr>
      </w:pPr>
      <w:r w:rsidRPr="00266C77">
        <w:rPr>
          <w:rFonts w:ascii="Times New Roman" w:eastAsia="Times New Roman" w:hAnsi="Times New Roman" w:cs="Times New Roman"/>
          <w:noProof/>
          <w:color w:val="000000"/>
          <w:sz w:val="28"/>
          <w:szCs w:val="28"/>
        </w:rPr>
        <w:drawing>
          <wp:inline distT="0" distB="0" distL="0" distR="0">
            <wp:extent cx="5943600" cy="7568358"/>
            <wp:effectExtent l="0" t="0" r="0" b="0"/>
            <wp:docPr id="1" name="Picture 1" descr="C:\Users\FEMI\Pictures\islamiya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islamiyat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568358"/>
                    </a:xfrm>
                    <a:prstGeom prst="rect">
                      <a:avLst/>
                    </a:prstGeom>
                    <a:noFill/>
                    <a:ln>
                      <a:noFill/>
                    </a:ln>
                  </pic:spPr>
                </pic:pic>
              </a:graphicData>
            </a:graphic>
          </wp:inline>
        </w:drawing>
      </w:r>
      <w:r w:rsidR="00A27DC8" w:rsidRPr="00A27DC8">
        <w:rPr>
          <w:rFonts w:ascii="Times New Roman" w:eastAsia="Times New Roman" w:hAnsi="Times New Roman" w:cs="Times New Roman"/>
          <w:sz w:val="24"/>
          <w:szCs w:val="24"/>
        </w:rPr>
        <w:br/>
      </w:r>
    </w:p>
    <w:p w:rsidR="00A27DC8" w:rsidRPr="00A27DC8" w:rsidRDefault="00A27DC8" w:rsidP="00A27DC8">
      <w:pPr>
        <w:spacing w:before="280"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lastRenderedPageBreak/>
        <w:t>DEDICATION</w:t>
      </w:r>
    </w:p>
    <w:p w:rsidR="00A27DC8" w:rsidRPr="00A27DC8" w:rsidRDefault="00A27DC8" w:rsidP="00266C77">
      <w:pPr>
        <w:spacing w:before="280" w:after="200" w:line="36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This project is dedicated to ALMIGHTY GOD and to my parent MR and MRS SULAIMON for their immense support throughout this program  and to those who have made life meaningful and enjoyable in on or the other for me.</w:t>
      </w:r>
    </w:p>
    <w:p w:rsidR="00A27DC8" w:rsidRDefault="00A27DC8" w:rsidP="00A27DC8">
      <w:pPr>
        <w:spacing w:after="240" w:line="240" w:lineRule="auto"/>
        <w:rPr>
          <w:rFonts w:ascii="Times New Roman" w:eastAsia="Times New Roman" w:hAnsi="Times New Roman" w:cs="Times New Roman"/>
          <w:sz w:val="24"/>
          <w:szCs w:val="24"/>
        </w:rPr>
      </w:pP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Default="00266C77" w:rsidP="00A27DC8">
      <w:pPr>
        <w:spacing w:after="240" w:line="240" w:lineRule="auto"/>
        <w:rPr>
          <w:rFonts w:ascii="Times New Roman" w:eastAsia="Times New Roman" w:hAnsi="Times New Roman" w:cs="Times New Roman"/>
          <w:sz w:val="24"/>
          <w:szCs w:val="24"/>
        </w:rPr>
      </w:pPr>
    </w:p>
    <w:p w:rsidR="00266C77" w:rsidRPr="00A27DC8" w:rsidRDefault="00266C77" w:rsidP="00A27DC8">
      <w:pPr>
        <w:spacing w:after="240" w:line="240" w:lineRule="auto"/>
        <w:rPr>
          <w:rFonts w:ascii="Times New Roman" w:eastAsia="Times New Roman" w:hAnsi="Times New Roman" w:cs="Times New Roman"/>
          <w:sz w:val="24"/>
          <w:szCs w:val="24"/>
        </w:rPr>
      </w:pPr>
    </w:p>
    <w:p w:rsidR="00A27DC8" w:rsidRPr="00A27DC8" w:rsidRDefault="00A27DC8" w:rsidP="00A27DC8">
      <w:pPr>
        <w:spacing w:after="200" w:line="480" w:lineRule="auto"/>
        <w:ind w:left="2160" w:firstLine="720"/>
        <w:jc w:val="both"/>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lastRenderedPageBreak/>
        <w:t>ACKNOWLEDGEMENTS</w:t>
      </w:r>
    </w:p>
    <w:p w:rsidR="00A27DC8" w:rsidRPr="00A27DC8" w:rsidRDefault="00A27DC8" w:rsidP="00A27DC8">
      <w:pPr>
        <w:spacing w:before="280"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To begin with, my unalloyed appreciation and gratitude go to God Almighty the maker of all things for his benevolence and protection throughout the period my program  lasted. More so this research work would not have been a success if not the effort, unwavering mentorship and guidance of my dynamic supervisor MR OLARONGBE G.O. His thorough scrutiny of this work contributed to its success story and timely completion. I am grateful to him. Also, special thanks goes to all staff in my great Department, Education cannot be over emphasis for the instinct and importation of knowledge basic training for their development of building student’s mindset for future and self-reliance purpose. </w:t>
      </w:r>
    </w:p>
    <w:p w:rsidR="00A27DC8" w:rsidRPr="00A27DC8" w:rsidRDefault="00A27DC8" w:rsidP="00A27DC8">
      <w:pPr>
        <w:spacing w:before="280"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My profound gratitude goes to my beloved parent’s MR SULAIMON OLARENWAJU and MRS SULAIMON SEKINAT for their endurance, understanding and their moral, social and financial support toward my ND level. I am thanking them for making me to be an ND holder in life through their words of encouragement. I pray you shall reap the fruits of your labor. </w:t>
      </w:r>
    </w:p>
    <w:p w:rsidR="00A27DC8" w:rsidRPr="00A27DC8" w:rsidRDefault="00A27DC8" w:rsidP="00A27DC8">
      <w:pPr>
        <w:spacing w:before="280"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I also extend my greetings to my siblings’ sister Anat, sister Mariam, sister Yusrouh, brother Yasir, Daud and Aisha for their unwavering support over me. A big kudos to my inspiring friends and group members for their support and word of encouragement. </w:t>
      </w:r>
    </w:p>
    <w:p w:rsidR="00A27DC8" w:rsidRPr="00A27DC8" w:rsidRDefault="00A27DC8" w:rsidP="00A27DC8">
      <w:pPr>
        <w:spacing w:before="280"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lastRenderedPageBreak/>
        <w:t>Finally, I wish myself every good thing in my entire endeavors. May Almighty God continue to bless whatever I lay my hands on (Amen).</w:t>
      </w:r>
    </w:p>
    <w:p w:rsidR="00A27DC8" w:rsidRPr="00A27DC8" w:rsidRDefault="00A27DC8" w:rsidP="00A27DC8">
      <w:pPr>
        <w:spacing w:after="240" w:line="240" w:lineRule="auto"/>
        <w:rPr>
          <w:rFonts w:ascii="Times New Roman" w:eastAsia="Times New Roman" w:hAnsi="Times New Roman" w:cs="Times New Roman"/>
          <w:sz w:val="24"/>
          <w:szCs w:val="24"/>
        </w:rPr>
      </w:pP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266C77" w:rsidRDefault="00266C77" w:rsidP="00A27DC8">
      <w:pPr>
        <w:spacing w:after="200" w:line="240" w:lineRule="auto"/>
        <w:jc w:val="center"/>
        <w:rPr>
          <w:rFonts w:ascii="Times New Roman" w:eastAsia="Times New Roman" w:hAnsi="Times New Roman" w:cs="Times New Roman"/>
          <w:b/>
          <w:bCs/>
          <w:color w:val="000000"/>
          <w:sz w:val="28"/>
          <w:szCs w:val="28"/>
        </w:rPr>
      </w:pPr>
    </w:p>
    <w:p w:rsidR="00A27DC8" w:rsidRPr="00A27DC8" w:rsidRDefault="00A27DC8" w:rsidP="00A27DC8">
      <w:pPr>
        <w:spacing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lastRenderedPageBreak/>
        <w:t>TABLE OF CONTENTS</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                                                                                                            </w:t>
      </w:r>
      <w:r w:rsidRPr="00A27DC8">
        <w:rPr>
          <w:rFonts w:ascii="Times New Roman" w:eastAsia="Times New Roman" w:hAnsi="Times New Roman" w:cs="Times New Roman"/>
          <w:color w:val="000000"/>
          <w:sz w:val="28"/>
          <w:szCs w:val="28"/>
        </w:rPr>
        <w:tab/>
        <w:t>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TITLE PAGE</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i</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CERTIFICATION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ii</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DEDICATION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iii</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ACKNOWLEDGEMENTS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v</w:t>
      </w:r>
      <w:r w:rsidRPr="00A27DC8">
        <w:rPr>
          <w:rFonts w:ascii="Times New Roman" w:eastAsia="Times New Roman" w:hAnsi="Times New Roman" w:cs="Times New Roman"/>
          <w:color w:val="000000"/>
          <w:sz w:val="28"/>
          <w:szCs w:val="28"/>
        </w:rPr>
        <w:tab/>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TABLE OF CONTENTS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viii</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LIST OF TABLES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ix</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LIST OF FIGURES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ix</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ABSTRACT</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x</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CHAPTER ONE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1.0</w:t>
      </w:r>
      <w:r w:rsidRPr="00A27DC8">
        <w:rPr>
          <w:rFonts w:ascii="Times New Roman" w:eastAsia="Times New Roman" w:hAnsi="Times New Roman" w:cs="Times New Roman"/>
          <w:color w:val="000000"/>
          <w:sz w:val="28"/>
          <w:szCs w:val="28"/>
        </w:rPr>
        <w:tab/>
        <w:t>Introduction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1                                                  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1.1</w:t>
      </w:r>
      <w:r w:rsidRPr="00A27DC8">
        <w:rPr>
          <w:rFonts w:ascii="Times New Roman" w:eastAsia="Times New Roman" w:hAnsi="Times New Roman" w:cs="Times New Roman"/>
          <w:color w:val="000000"/>
          <w:sz w:val="28"/>
          <w:szCs w:val="28"/>
        </w:rPr>
        <w:tab/>
        <w:t>Problem statement</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10</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1.2</w:t>
      </w:r>
      <w:r w:rsidRPr="00A27DC8">
        <w:rPr>
          <w:rFonts w:ascii="Times New Roman" w:eastAsia="Times New Roman" w:hAnsi="Times New Roman" w:cs="Times New Roman"/>
          <w:color w:val="000000"/>
          <w:sz w:val="28"/>
          <w:szCs w:val="28"/>
        </w:rPr>
        <w:tab/>
        <w:t>Justification of study</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11</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1.3</w:t>
      </w:r>
      <w:r w:rsidRPr="00A27DC8">
        <w:rPr>
          <w:rFonts w:ascii="Times New Roman" w:eastAsia="Times New Roman" w:hAnsi="Times New Roman" w:cs="Times New Roman"/>
          <w:color w:val="000000"/>
          <w:sz w:val="28"/>
          <w:szCs w:val="28"/>
        </w:rPr>
        <w:tab/>
        <w:t>Literature review</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12</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lastRenderedPageBreak/>
        <w:t>1.4</w:t>
      </w:r>
      <w:r w:rsidRPr="00A27DC8">
        <w:rPr>
          <w:rFonts w:ascii="Times New Roman" w:eastAsia="Times New Roman" w:hAnsi="Times New Roman" w:cs="Times New Roman"/>
          <w:color w:val="000000"/>
          <w:sz w:val="28"/>
          <w:szCs w:val="28"/>
        </w:rPr>
        <w:tab/>
        <w:t>Aims and Objectives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22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CHAPTER TWO</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2.0</w:t>
      </w:r>
      <w:r w:rsidRPr="00A27DC8">
        <w:rPr>
          <w:rFonts w:ascii="Times New Roman" w:eastAsia="Times New Roman" w:hAnsi="Times New Roman" w:cs="Times New Roman"/>
          <w:color w:val="000000"/>
          <w:sz w:val="28"/>
          <w:szCs w:val="28"/>
        </w:rPr>
        <w:tab/>
        <w:t>Materials and Methods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24</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2.1</w:t>
      </w:r>
      <w:r w:rsidRPr="00A27DC8">
        <w:rPr>
          <w:rFonts w:ascii="Times New Roman" w:eastAsia="Times New Roman" w:hAnsi="Times New Roman" w:cs="Times New Roman"/>
          <w:color w:val="000000"/>
          <w:sz w:val="28"/>
          <w:szCs w:val="28"/>
        </w:rPr>
        <w:tab/>
        <w:t>Samples Collection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24</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2.2</w:t>
      </w:r>
      <w:r w:rsidRPr="00A27DC8">
        <w:rPr>
          <w:rFonts w:ascii="Times New Roman" w:eastAsia="Times New Roman" w:hAnsi="Times New Roman" w:cs="Times New Roman"/>
          <w:color w:val="000000"/>
          <w:sz w:val="28"/>
          <w:szCs w:val="28"/>
        </w:rPr>
        <w:tab/>
        <w:t>Sterilization of Equipment and Environment</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24</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2.3</w:t>
      </w:r>
      <w:r w:rsidRPr="00A27DC8">
        <w:rPr>
          <w:rFonts w:ascii="Times New Roman" w:eastAsia="Times New Roman" w:hAnsi="Times New Roman" w:cs="Times New Roman"/>
          <w:color w:val="000000"/>
          <w:sz w:val="28"/>
          <w:szCs w:val="28"/>
        </w:rPr>
        <w:tab/>
        <w:t>Media Preparation for Fungal Isolation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24</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2.4</w:t>
      </w:r>
      <w:r w:rsidRPr="00A27DC8">
        <w:rPr>
          <w:rFonts w:ascii="Times New Roman" w:eastAsia="Times New Roman" w:hAnsi="Times New Roman" w:cs="Times New Roman"/>
          <w:color w:val="000000"/>
          <w:sz w:val="28"/>
          <w:szCs w:val="28"/>
        </w:rPr>
        <w:tab/>
        <w:t>Sub culturing</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25</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2.5</w:t>
      </w:r>
      <w:r w:rsidRPr="00A27DC8">
        <w:rPr>
          <w:rFonts w:ascii="Times New Roman" w:eastAsia="Times New Roman" w:hAnsi="Times New Roman" w:cs="Times New Roman"/>
          <w:color w:val="000000"/>
          <w:sz w:val="28"/>
          <w:szCs w:val="28"/>
        </w:rPr>
        <w:tab/>
        <w:t>Characterization and identification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25</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2.6</w:t>
      </w:r>
      <w:r w:rsidRPr="00A27DC8">
        <w:rPr>
          <w:rFonts w:ascii="Times New Roman" w:eastAsia="Times New Roman" w:hAnsi="Times New Roman" w:cs="Times New Roman"/>
          <w:color w:val="000000"/>
          <w:sz w:val="28"/>
          <w:szCs w:val="28"/>
        </w:rPr>
        <w:tab/>
        <w:t>Toxin Extraction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26</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2.7</w:t>
      </w:r>
      <w:r w:rsidRPr="00A27DC8">
        <w:rPr>
          <w:rFonts w:ascii="Times New Roman" w:eastAsia="Times New Roman" w:hAnsi="Times New Roman" w:cs="Times New Roman"/>
          <w:color w:val="000000"/>
          <w:sz w:val="28"/>
          <w:szCs w:val="28"/>
        </w:rPr>
        <w:tab/>
        <w:t>Separation of Biomass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27</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2.8</w:t>
      </w:r>
      <w:r w:rsidRPr="00A27DC8">
        <w:rPr>
          <w:rFonts w:ascii="Times New Roman" w:eastAsia="Times New Roman" w:hAnsi="Times New Roman" w:cs="Times New Roman"/>
          <w:color w:val="000000"/>
          <w:sz w:val="28"/>
          <w:szCs w:val="28"/>
        </w:rPr>
        <w:tab/>
        <w:t>Preparation of Patulin Concentrations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27</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2.9</w:t>
      </w:r>
      <w:r w:rsidRPr="00A27DC8">
        <w:rPr>
          <w:rFonts w:ascii="Times New Roman" w:eastAsia="Times New Roman" w:hAnsi="Times New Roman" w:cs="Times New Roman"/>
          <w:color w:val="000000"/>
          <w:sz w:val="28"/>
          <w:szCs w:val="28"/>
        </w:rPr>
        <w:tab/>
        <w:t>Experimental Animals and Grouping</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28</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2.10</w:t>
      </w:r>
      <w:r w:rsidRPr="00A27DC8">
        <w:rPr>
          <w:rFonts w:ascii="Times New Roman" w:eastAsia="Times New Roman" w:hAnsi="Times New Roman" w:cs="Times New Roman"/>
          <w:color w:val="000000"/>
          <w:sz w:val="28"/>
          <w:szCs w:val="28"/>
        </w:rPr>
        <w:tab/>
        <w:t>Identification and Grouping of Experimental Rats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28</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2.11</w:t>
      </w:r>
      <w:r w:rsidRPr="00A27DC8">
        <w:rPr>
          <w:rFonts w:ascii="Times New Roman" w:eastAsia="Times New Roman" w:hAnsi="Times New Roman" w:cs="Times New Roman"/>
          <w:color w:val="000000"/>
          <w:sz w:val="28"/>
          <w:szCs w:val="28"/>
        </w:rPr>
        <w:tab/>
        <w:t>Toxin Administration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29</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lastRenderedPageBreak/>
        <w:t>2.12</w:t>
      </w:r>
      <w:r w:rsidRPr="00A27DC8">
        <w:rPr>
          <w:rFonts w:ascii="Times New Roman" w:eastAsia="Times New Roman" w:hAnsi="Times New Roman" w:cs="Times New Roman"/>
          <w:color w:val="000000"/>
          <w:sz w:val="28"/>
          <w:szCs w:val="28"/>
        </w:rPr>
        <w:tab/>
        <w:t>Dissection and Post-Mortem Examination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29</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CHAPTER THREE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3.0</w:t>
      </w:r>
      <w:r w:rsidRPr="00A27DC8">
        <w:rPr>
          <w:rFonts w:ascii="Times New Roman" w:eastAsia="Times New Roman" w:hAnsi="Times New Roman" w:cs="Times New Roman"/>
          <w:color w:val="000000"/>
          <w:sz w:val="28"/>
          <w:szCs w:val="28"/>
        </w:rPr>
        <w:tab/>
        <w:t>Results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30</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3.1     Identification of Fungal Isolate</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30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3.2     Daily Observation of Rats after Toxin Administration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xml:space="preserve"> </w:t>
      </w:r>
      <w:r w:rsidRPr="00A27DC8">
        <w:rPr>
          <w:rFonts w:ascii="Times New Roman" w:eastAsia="Times New Roman" w:hAnsi="Times New Roman" w:cs="Times New Roman"/>
          <w:color w:val="000000"/>
          <w:sz w:val="28"/>
          <w:szCs w:val="28"/>
        </w:rPr>
        <w:tab/>
        <w:t>30</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3.3</w:t>
      </w:r>
      <w:r w:rsidRPr="00A27DC8">
        <w:rPr>
          <w:rFonts w:ascii="Times New Roman" w:eastAsia="Times New Roman" w:hAnsi="Times New Roman" w:cs="Times New Roman"/>
          <w:color w:val="000000"/>
          <w:sz w:val="28"/>
          <w:szCs w:val="28"/>
        </w:rPr>
        <w:tab/>
        <w:t>Post-Mortem Gross Pathological Findings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32</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CHAPTER FOUR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4.0</w:t>
      </w:r>
      <w:r w:rsidRPr="00A27DC8">
        <w:rPr>
          <w:rFonts w:ascii="Times New Roman" w:eastAsia="Times New Roman" w:hAnsi="Times New Roman" w:cs="Times New Roman"/>
          <w:color w:val="000000"/>
          <w:sz w:val="28"/>
          <w:szCs w:val="28"/>
        </w:rPr>
        <w:tab/>
        <w:t>Discussion and Conclusion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40</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 xml:space="preserve">4.1 </w:t>
      </w:r>
      <w:r w:rsidRPr="00A27DC8">
        <w:rPr>
          <w:rFonts w:ascii="Times New Roman" w:eastAsia="Times New Roman" w:hAnsi="Times New Roman" w:cs="Times New Roman"/>
          <w:color w:val="000000"/>
          <w:sz w:val="28"/>
          <w:szCs w:val="28"/>
        </w:rPr>
        <w:tab/>
        <w:t>Discussion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40</w:t>
      </w:r>
      <w:r w:rsidRPr="00A27DC8">
        <w:rPr>
          <w:rFonts w:ascii="Times New Roman" w:eastAsia="Times New Roman" w:hAnsi="Times New Roman" w:cs="Times New Roman"/>
          <w:color w:val="000000"/>
          <w:sz w:val="28"/>
          <w:szCs w:val="28"/>
        </w:rPr>
        <w:tab/>
        <w:t>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 xml:space="preserve">4.2 </w:t>
      </w:r>
      <w:r w:rsidRPr="00A27DC8">
        <w:rPr>
          <w:rFonts w:ascii="Times New Roman" w:eastAsia="Times New Roman" w:hAnsi="Times New Roman" w:cs="Times New Roman"/>
          <w:color w:val="000000"/>
          <w:sz w:val="28"/>
          <w:szCs w:val="28"/>
        </w:rPr>
        <w:tab/>
        <w:t>Conclusion</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43</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REFERENCES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p>
    <w:p w:rsidR="00A27DC8" w:rsidRDefault="00A27DC8" w:rsidP="00A27DC8">
      <w:pPr>
        <w:spacing w:after="240" w:line="240" w:lineRule="auto"/>
        <w:rPr>
          <w:rFonts w:ascii="Times New Roman" w:eastAsia="Times New Roman" w:hAnsi="Times New Roman" w:cs="Times New Roman"/>
          <w:sz w:val="24"/>
          <w:szCs w:val="24"/>
        </w:rPr>
      </w:pP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r w:rsidRPr="00A27DC8">
        <w:rPr>
          <w:rFonts w:ascii="Times New Roman" w:eastAsia="Times New Roman" w:hAnsi="Times New Roman" w:cs="Times New Roman"/>
          <w:sz w:val="24"/>
          <w:szCs w:val="24"/>
        </w:rPr>
        <w:br/>
      </w:r>
    </w:p>
    <w:p w:rsidR="00CF2E2C" w:rsidRPr="00A27DC8" w:rsidRDefault="00CF2E2C" w:rsidP="00A27DC8">
      <w:pPr>
        <w:spacing w:after="240" w:line="240" w:lineRule="auto"/>
        <w:rPr>
          <w:rFonts w:ascii="Times New Roman" w:eastAsia="Times New Roman" w:hAnsi="Times New Roman" w:cs="Times New Roman"/>
          <w:sz w:val="24"/>
          <w:szCs w:val="24"/>
        </w:rPr>
      </w:pPr>
    </w:p>
    <w:p w:rsidR="00A27DC8" w:rsidRPr="00A27DC8" w:rsidRDefault="00A27DC8" w:rsidP="00A27DC8">
      <w:pPr>
        <w:spacing w:after="200" w:line="48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lastRenderedPageBreak/>
        <w:t>LIST OF TABLES</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Table 1:  Identification of Fungal Isolate</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Table 2:  Daily Observation of Rats after Toxin Administration</w:t>
      </w:r>
      <w:r w:rsidRPr="00A27DC8">
        <w:rPr>
          <w:rFonts w:ascii="Times New Roman" w:eastAsia="Times New Roman" w:hAnsi="Times New Roman" w:cs="Times New Roman"/>
          <w:color w:val="000000"/>
          <w:sz w:val="28"/>
          <w:szCs w:val="28"/>
        </w:rPr>
        <w:tab/>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Table 3:  Post-Mortem Gross Pathological Findings</w:t>
      </w:r>
      <w:r w:rsidRPr="00A27DC8">
        <w:rPr>
          <w:rFonts w:ascii="Times New Roman" w:eastAsia="Times New Roman" w:hAnsi="Times New Roman" w:cs="Times New Roman"/>
          <w:color w:val="000000"/>
          <w:sz w:val="28"/>
          <w:szCs w:val="28"/>
        </w:rPr>
        <w:tab/>
      </w:r>
      <w:r w:rsidRPr="00A27DC8">
        <w:rPr>
          <w:rFonts w:ascii="Times New Roman" w:eastAsia="Times New Roman" w:hAnsi="Times New Roman" w:cs="Times New Roman"/>
          <w:color w:val="000000"/>
          <w:sz w:val="28"/>
          <w:szCs w:val="28"/>
        </w:rPr>
        <w:tab/>
        <w:t>                                 </w:t>
      </w:r>
    </w:p>
    <w:p w:rsidR="00A27DC8" w:rsidRPr="00A27DC8" w:rsidRDefault="00A27DC8" w:rsidP="00A27DC8">
      <w:pPr>
        <w:spacing w:before="280"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ab/>
      </w:r>
    </w:p>
    <w:p w:rsidR="00A27DC8" w:rsidRPr="00A27DC8" w:rsidRDefault="00A27DC8" w:rsidP="00A27DC8">
      <w:pPr>
        <w:spacing w:after="200" w:line="48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t>LIST OF FIGURES</w:t>
      </w:r>
    </w:p>
    <w:p w:rsidR="00A27DC8" w:rsidRPr="00A27DC8" w:rsidRDefault="00A27DC8" w:rsidP="00A27DC8">
      <w:pPr>
        <w:spacing w:after="200" w:line="480" w:lineRule="auto"/>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Figure 1a: Colonies on PDA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 xml:space="preserve">Figure 1b: Microscopic view of </w:t>
      </w:r>
      <w:r w:rsidRPr="00A27DC8">
        <w:rPr>
          <w:rFonts w:ascii="Times New Roman" w:eastAsia="Times New Roman" w:hAnsi="Times New Roman" w:cs="Times New Roman"/>
          <w:i/>
          <w:iCs/>
          <w:color w:val="000000"/>
          <w:sz w:val="28"/>
          <w:szCs w:val="28"/>
        </w:rPr>
        <w:t>Penicillium patulin</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Figure 2: Total Weight Loss After Toxin exposure </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Figure 3: Cumulative Frequency Chart for Seven Days After Toxin Administration</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Figure 4: Dissected Rat Showing Effect of Toxin on Internal Organ</w:t>
      </w:r>
    </w:p>
    <w:p w:rsidR="00A27DC8" w:rsidRDefault="00A27DC8" w:rsidP="00A27DC8">
      <w:pPr>
        <w:spacing w:after="240" w:line="240" w:lineRule="auto"/>
        <w:rPr>
          <w:rFonts w:ascii="Times New Roman" w:eastAsia="Times New Roman" w:hAnsi="Times New Roman" w:cs="Times New Roman"/>
          <w:sz w:val="24"/>
          <w:szCs w:val="24"/>
        </w:rPr>
      </w:pPr>
      <w:r w:rsidRPr="00A27DC8">
        <w:rPr>
          <w:rFonts w:ascii="Times New Roman" w:eastAsia="Times New Roman" w:hAnsi="Times New Roman" w:cs="Times New Roman"/>
          <w:sz w:val="24"/>
          <w:szCs w:val="24"/>
        </w:rPr>
        <w:br/>
      </w:r>
    </w:p>
    <w:p w:rsidR="00CF2E2C" w:rsidRDefault="00CF2E2C" w:rsidP="00A27DC8">
      <w:pPr>
        <w:spacing w:after="240" w:line="240" w:lineRule="auto"/>
        <w:rPr>
          <w:rFonts w:ascii="Times New Roman" w:eastAsia="Times New Roman" w:hAnsi="Times New Roman" w:cs="Times New Roman"/>
          <w:sz w:val="24"/>
          <w:szCs w:val="24"/>
        </w:rPr>
      </w:pPr>
    </w:p>
    <w:p w:rsidR="00CF2E2C" w:rsidRDefault="00CF2E2C" w:rsidP="00A27DC8">
      <w:pPr>
        <w:spacing w:after="240" w:line="240" w:lineRule="auto"/>
        <w:rPr>
          <w:rFonts w:ascii="Times New Roman" w:eastAsia="Times New Roman" w:hAnsi="Times New Roman" w:cs="Times New Roman"/>
          <w:sz w:val="24"/>
          <w:szCs w:val="24"/>
        </w:rPr>
      </w:pPr>
    </w:p>
    <w:p w:rsidR="00CF2E2C" w:rsidRDefault="00CF2E2C" w:rsidP="00A27DC8">
      <w:pPr>
        <w:spacing w:after="240" w:line="240" w:lineRule="auto"/>
        <w:rPr>
          <w:rFonts w:ascii="Times New Roman" w:eastAsia="Times New Roman" w:hAnsi="Times New Roman" w:cs="Times New Roman"/>
          <w:sz w:val="24"/>
          <w:szCs w:val="24"/>
        </w:rPr>
      </w:pPr>
    </w:p>
    <w:p w:rsidR="00CF2E2C" w:rsidRPr="00A27DC8" w:rsidRDefault="00CF2E2C" w:rsidP="00A27DC8">
      <w:pPr>
        <w:spacing w:after="240" w:line="240" w:lineRule="auto"/>
        <w:rPr>
          <w:rFonts w:ascii="Times New Roman" w:eastAsia="Times New Roman" w:hAnsi="Times New Roman" w:cs="Times New Roman"/>
          <w:sz w:val="24"/>
          <w:szCs w:val="24"/>
        </w:rPr>
      </w:pPr>
    </w:p>
    <w:p w:rsidR="00A27DC8" w:rsidRPr="00A27DC8" w:rsidRDefault="00A27DC8" w:rsidP="00A27DC8">
      <w:pPr>
        <w:spacing w:before="280" w:after="200" w:line="240" w:lineRule="auto"/>
        <w:jc w:val="center"/>
        <w:rPr>
          <w:rFonts w:ascii="Times New Roman" w:eastAsia="Times New Roman" w:hAnsi="Times New Roman" w:cs="Times New Roman"/>
          <w:sz w:val="24"/>
          <w:szCs w:val="24"/>
        </w:rPr>
      </w:pPr>
      <w:r w:rsidRPr="00A27DC8">
        <w:rPr>
          <w:rFonts w:ascii="Times New Roman" w:eastAsia="Times New Roman" w:hAnsi="Times New Roman" w:cs="Times New Roman"/>
          <w:b/>
          <w:bCs/>
          <w:color w:val="000000"/>
          <w:sz w:val="28"/>
          <w:szCs w:val="28"/>
        </w:rPr>
        <w:lastRenderedPageBreak/>
        <w:t>ABSTRACT</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i/>
          <w:iCs/>
          <w:color w:val="000000"/>
          <w:sz w:val="28"/>
          <w:szCs w:val="28"/>
        </w:rPr>
        <w:t>Penicillium</w:t>
      </w:r>
      <w:r w:rsidRPr="00A27DC8">
        <w:rPr>
          <w:rFonts w:ascii="Times New Roman" w:eastAsia="Times New Roman" w:hAnsi="Times New Roman" w:cs="Times New Roman"/>
          <w:color w:val="000000"/>
          <w:sz w:val="28"/>
          <w:szCs w:val="28"/>
        </w:rPr>
        <w:t xml:space="preserve"> species are known producers of patulin, a mycotoxin frequently associated with decayed fruits and implicated in several health disorders. This study investigates the potency of </w:t>
      </w:r>
      <w:r w:rsidRPr="00A27DC8">
        <w:rPr>
          <w:rFonts w:ascii="Times New Roman" w:eastAsia="Times New Roman" w:hAnsi="Times New Roman" w:cs="Times New Roman"/>
          <w:i/>
          <w:iCs/>
          <w:color w:val="000000"/>
          <w:sz w:val="28"/>
          <w:szCs w:val="28"/>
        </w:rPr>
        <w:t>Penicillium</w:t>
      </w:r>
      <w:r w:rsidRPr="00A27DC8">
        <w:rPr>
          <w:rFonts w:ascii="Times New Roman" w:eastAsia="Times New Roman" w:hAnsi="Times New Roman" w:cs="Times New Roman"/>
          <w:color w:val="000000"/>
          <w:sz w:val="28"/>
          <w:szCs w:val="28"/>
        </w:rPr>
        <w:t xml:space="preserve"> patulin toxin using albino rats as biological models. The research involved isolating </w:t>
      </w:r>
      <w:r w:rsidRPr="00A27DC8">
        <w:rPr>
          <w:rFonts w:ascii="Times New Roman" w:eastAsia="Times New Roman" w:hAnsi="Times New Roman" w:cs="Times New Roman"/>
          <w:i/>
          <w:iCs/>
          <w:color w:val="000000"/>
          <w:sz w:val="28"/>
          <w:szCs w:val="28"/>
        </w:rPr>
        <w:t>Penicillium</w:t>
      </w:r>
      <w:r w:rsidRPr="00A27DC8">
        <w:rPr>
          <w:rFonts w:ascii="Times New Roman" w:eastAsia="Times New Roman" w:hAnsi="Times New Roman" w:cs="Times New Roman"/>
          <w:color w:val="000000"/>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rsidR="00A27DC8" w:rsidRPr="00A27DC8" w:rsidRDefault="00A27DC8" w:rsidP="00A27DC8">
      <w:pPr>
        <w:spacing w:after="200" w:line="480" w:lineRule="auto"/>
        <w:jc w:val="both"/>
        <w:rPr>
          <w:rFonts w:ascii="Times New Roman" w:eastAsia="Times New Roman" w:hAnsi="Times New Roman" w:cs="Times New Roman"/>
          <w:sz w:val="24"/>
          <w:szCs w:val="24"/>
        </w:rPr>
      </w:pPr>
      <w:r w:rsidRPr="00A27DC8">
        <w:rPr>
          <w:rFonts w:ascii="Times New Roman" w:eastAsia="Times New Roman" w:hAnsi="Times New Roman" w:cs="Times New Roman"/>
          <w:color w:val="000000"/>
          <w:sz w:val="28"/>
          <w:szCs w:val="28"/>
        </w:rPr>
        <w:t xml:space="preserve">Keywords: </w:t>
      </w:r>
      <w:r w:rsidRPr="00A27DC8">
        <w:rPr>
          <w:rFonts w:ascii="Times New Roman" w:eastAsia="Times New Roman" w:hAnsi="Times New Roman" w:cs="Times New Roman"/>
          <w:i/>
          <w:iCs/>
          <w:color w:val="000000"/>
          <w:sz w:val="28"/>
          <w:szCs w:val="28"/>
        </w:rPr>
        <w:t>Penicillium</w:t>
      </w:r>
      <w:r w:rsidRPr="00A27DC8">
        <w:rPr>
          <w:rFonts w:ascii="Times New Roman" w:eastAsia="Times New Roman" w:hAnsi="Times New Roman" w:cs="Times New Roman"/>
          <w:color w:val="000000"/>
          <w:sz w:val="28"/>
          <w:szCs w:val="28"/>
        </w:rPr>
        <w:t>, Patulin, Mycotoxin, Toxicity, Histopathology, Albino Rats, Food Safety, Public Health.</w:t>
      </w:r>
    </w:p>
    <w:p w:rsidR="006D140C" w:rsidRDefault="006D140C"/>
    <w:p w:rsidR="00266C77" w:rsidRDefault="00266C77"/>
    <w:p w:rsidR="00266C77" w:rsidRDefault="00266C77"/>
    <w:p w:rsidR="00CF2E2C" w:rsidRDefault="00CF2E2C">
      <w:pPr>
        <w:sectPr w:rsidR="00CF2E2C" w:rsidSect="00CF2E2C">
          <w:footerReference w:type="default" r:id="rId8"/>
          <w:pgSz w:w="12240" w:h="15840"/>
          <w:pgMar w:top="1440" w:right="1440" w:bottom="1440" w:left="1440" w:header="720" w:footer="720" w:gutter="0"/>
          <w:pgNumType w:fmt="lowerRoman"/>
          <w:cols w:space="720"/>
          <w:docGrid w:linePitch="360"/>
        </w:sectPr>
      </w:pPr>
    </w:p>
    <w:p w:rsidR="00266C77" w:rsidRPr="00CF2E2C" w:rsidRDefault="00266C77" w:rsidP="00CF2E2C">
      <w:pPr>
        <w:spacing w:line="480" w:lineRule="auto"/>
        <w:jc w:val="center"/>
        <w:rPr>
          <w:rFonts w:ascii="Times New Roman" w:hAnsi="Times New Roman" w:cs="Times New Roman"/>
          <w:b/>
          <w:sz w:val="28"/>
          <w:szCs w:val="28"/>
        </w:rPr>
      </w:pPr>
      <w:r w:rsidRPr="00CF2E2C">
        <w:rPr>
          <w:rFonts w:ascii="Times New Roman" w:hAnsi="Times New Roman" w:cs="Times New Roman"/>
          <w:b/>
          <w:sz w:val="28"/>
          <w:szCs w:val="28"/>
        </w:rPr>
        <w:lastRenderedPageBreak/>
        <w:t>CHAPTER ONE</w:t>
      </w:r>
    </w:p>
    <w:p w:rsidR="00266C77" w:rsidRPr="00CF2E2C" w:rsidRDefault="00266C77" w:rsidP="00266C77">
      <w:pPr>
        <w:spacing w:line="480" w:lineRule="auto"/>
        <w:jc w:val="both"/>
        <w:rPr>
          <w:rFonts w:ascii="Times New Roman" w:hAnsi="Times New Roman" w:cs="Times New Roman"/>
          <w:b/>
          <w:sz w:val="28"/>
          <w:szCs w:val="28"/>
        </w:rPr>
      </w:pPr>
      <w:r w:rsidRPr="00CF2E2C">
        <w:rPr>
          <w:rFonts w:ascii="Times New Roman" w:hAnsi="Times New Roman" w:cs="Times New Roman"/>
          <w:b/>
          <w:sz w:val="28"/>
          <w:szCs w:val="28"/>
        </w:rPr>
        <w:t>1.0 INTRODUCTION</w:t>
      </w:r>
    </w:p>
    <w:p w:rsidR="00CF2E2C"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as a kingdom of eukaryotic organisms, occupy a distinctive position in biological classification, set apart from plants, animals, and bacteria by their cellular composition and modes of reproduction. Characterized by their heterotrophic nature, fungi absorb nutrients through the enzymatic degradation of organic matter, playing a crucial role in decomposition and nutrient cycling in ecosystems (Kumar et al., 2021). While some fungi are beneficial used in food production, pharmaceuticals, and biotechnology others are known for their pathogenic and toxigenic potentials. This dichotomy highlights the importance of studying fungi not only for their utility but also for the risks they pose, particularly in the form of mycotoxins. Mycotoxins are secondary metabolites produced by certain fungal species, particularly those belonging to the genera </w:t>
      </w:r>
      <w:r w:rsidRPr="00F16258">
        <w:rPr>
          <w:rFonts w:ascii="Times New Roman" w:hAnsi="Times New Roman" w:cs="Times New Roman"/>
          <w:i/>
          <w:iCs/>
          <w:sz w:val="28"/>
          <w:szCs w:val="28"/>
        </w:rPr>
        <w:t>Aspergillus</w:t>
      </w:r>
      <w:r>
        <w:rPr>
          <w:rFonts w:ascii="Times New Roman" w:hAnsi="Times New Roman" w:cs="Times New Roman"/>
          <w:sz w:val="28"/>
          <w:szCs w:val="28"/>
        </w:rPr>
        <w:t xml:space="preserve">, </w:t>
      </w:r>
      <w:r w:rsidRPr="00F16258">
        <w:rPr>
          <w:rFonts w:ascii="Times New Roman" w:hAnsi="Times New Roman" w:cs="Times New Roman"/>
          <w:i/>
          <w:iCs/>
          <w:sz w:val="28"/>
          <w:szCs w:val="28"/>
        </w:rPr>
        <w:t>Fusarium</w:t>
      </w:r>
      <w:r>
        <w:rPr>
          <w:rFonts w:ascii="Times New Roman" w:hAnsi="Times New Roman" w:cs="Times New Roman"/>
          <w:sz w:val="28"/>
          <w:szCs w:val="28"/>
        </w:rPr>
        <w:t xml:space="preserve">, and </w:t>
      </w:r>
      <w:r w:rsidRPr="00F16258">
        <w:rPr>
          <w:rFonts w:ascii="Times New Roman" w:hAnsi="Times New Roman" w:cs="Times New Roman"/>
          <w:i/>
          <w:iCs/>
          <w:sz w:val="28"/>
          <w:szCs w:val="28"/>
        </w:rPr>
        <w:t>Penicillium</w:t>
      </w:r>
      <w:r>
        <w:rPr>
          <w:rFonts w:ascii="Times New Roman" w:hAnsi="Times New Roman" w:cs="Times New Roman"/>
          <w:sz w:val="28"/>
          <w:szCs w:val="28"/>
        </w:rPr>
        <w:t xml:space="preserve">. Among these, </w:t>
      </w:r>
      <w:r w:rsidRPr="00F16258">
        <w:rPr>
          <w:rFonts w:ascii="Times New Roman" w:hAnsi="Times New Roman" w:cs="Times New Roman"/>
          <w:i/>
          <w:iCs/>
          <w:sz w:val="28"/>
          <w:szCs w:val="28"/>
        </w:rPr>
        <w:t>Penicillium</w:t>
      </w:r>
      <w:r>
        <w:rPr>
          <w:rFonts w:ascii="Times New Roman" w:hAnsi="Times New Roman" w:cs="Times New Roman"/>
          <w:sz w:val="28"/>
          <w:szCs w:val="28"/>
        </w:rPr>
        <w:t xml:space="preserve"> species are especially significant in the context of food spoilage and toxin production. While the genus is historically celebrated for </w:t>
      </w:r>
      <w:r w:rsidRPr="00F16258">
        <w:rPr>
          <w:rFonts w:ascii="Times New Roman" w:hAnsi="Times New Roman" w:cs="Times New Roman"/>
          <w:i/>
          <w:iCs/>
          <w:sz w:val="28"/>
          <w:szCs w:val="28"/>
        </w:rPr>
        <w:t>Penicilliumchrysogenum</w:t>
      </w:r>
      <w:r>
        <w:rPr>
          <w:rFonts w:ascii="Times New Roman" w:hAnsi="Times New Roman" w:cs="Times New Roman"/>
          <w:sz w:val="28"/>
          <w:szCs w:val="28"/>
        </w:rPr>
        <w:t xml:space="preserve">, the source of the antibiotic penicillin, it also includes toxigenic species such as </w:t>
      </w:r>
      <w:r w:rsidRPr="00F16258">
        <w:rPr>
          <w:rFonts w:ascii="Times New Roman" w:hAnsi="Times New Roman" w:cs="Times New Roman"/>
          <w:i/>
          <w:iCs/>
          <w:sz w:val="28"/>
          <w:szCs w:val="28"/>
        </w:rPr>
        <w:t>Penicilliumexpansum</w:t>
      </w:r>
      <w:r>
        <w:rPr>
          <w:rFonts w:ascii="Times New Roman" w:hAnsi="Times New Roman" w:cs="Times New Roman"/>
          <w:sz w:val="28"/>
          <w:szCs w:val="28"/>
        </w:rPr>
        <w:t>, which produces patulin a mycotoxin of considerable concern in food safety (Puel et al., 2018).</w:t>
      </w:r>
    </w:p>
    <w:p w:rsidR="00266C77" w:rsidRPr="00CF2E2C" w:rsidRDefault="00CF2E2C" w:rsidP="00CF2E2C">
      <w:pPr>
        <w:tabs>
          <w:tab w:val="left" w:pos="5133"/>
        </w:tabs>
        <w:rPr>
          <w:rFonts w:ascii="Times New Roman" w:hAnsi="Times New Roman" w:cs="Times New Roman"/>
          <w:sz w:val="28"/>
          <w:szCs w:val="28"/>
        </w:rPr>
      </w:pPr>
      <w:r>
        <w:rPr>
          <w:rFonts w:ascii="Times New Roman" w:hAnsi="Times New Roman" w:cs="Times New Roman"/>
          <w:sz w:val="28"/>
          <w:szCs w:val="28"/>
        </w:rPr>
        <w:tab/>
      </w:r>
    </w:p>
    <w:p w:rsidR="00266C77" w:rsidRDefault="00266C77" w:rsidP="00266C77">
      <w:pPr>
        <w:spacing w:line="480" w:lineRule="auto"/>
        <w:jc w:val="both"/>
        <w:rPr>
          <w:rFonts w:ascii="Times New Roman" w:hAnsi="Times New Roman" w:cs="Times New Roman"/>
          <w:sz w:val="28"/>
          <w:szCs w:val="28"/>
        </w:rPr>
      </w:pPr>
      <w:r w:rsidRPr="00077C7B">
        <w:rPr>
          <w:rFonts w:ascii="Times New Roman" w:hAnsi="Times New Roman" w:cs="Times New Roman"/>
          <w:i/>
          <w:iCs/>
          <w:sz w:val="28"/>
          <w:szCs w:val="28"/>
        </w:rPr>
        <w:lastRenderedPageBreak/>
        <w:t>Penicillium expansum</w:t>
      </w:r>
      <w:r>
        <w:rPr>
          <w:rFonts w:ascii="Times New Roman" w:hAnsi="Times New Roman" w:cs="Times New Roman"/>
          <w:sz w:val="28"/>
          <w:szCs w:val="28"/>
        </w:rPr>
        <w:t xml:space="preserve">, a filamentous fungus, is commonly found on decaying fruits, especially apples and pears. Its ability to thrive in post-harvest storage environments allows it to infiltrate fruit-processing chains, leading to widespread contamination of fruit products. The mycotoxin patulin is its principal metabolite of concern. Patulin is a polyketide compound with a characteristic lactone ring that imparts biological activity and toxicity. Structurally, it is a small molecule that remains stable under mild heat and pH conditions, making it resistant to conventional food-processing methods like pasteurization (Drusch &amp; Ragab, 2021). Patulin is not the only toxin associated with </w:t>
      </w:r>
      <w:r w:rsidRPr="00077C7B">
        <w:rPr>
          <w:rFonts w:ascii="Times New Roman" w:hAnsi="Times New Roman" w:cs="Times New Roman"/>
          <w:i/>
          <w:iCs/>
          <w:sz w:val="28"/>
          <w:szCs w:val="28"/>
        </w:rPr>
        <w:t>Penicillium</w:t>
      </w:r>
      <w:r>
        <w:rPr>
          <w:rFonts w:ascii="Times New Roman" w:hAnsi="Times New Roman" w:cs="Times New Roman"/>
          <w:sz w:val="28"/>
          <w:szCs w:val="28"/>
        </w:rPr>
        <w:t xml:space="preserve"> species. Several other secondary metabolites of toxicological interest include citrinin, ochratoxin A, roquefortine C, and mycophenolic acid, produced by various Penicillium strains (Pitt &amp; Hocking, 2009). For example:</w:t>
      </w:r>
    </w:p>
    <w:p w:rsidR="00266C77" w:rsidRDefault="00266C77" w:rsidP="00266C77">
      <w:pPr>
        <w:spacing w:line="480" w:lineRule="auto"/>
        <w:jc w:val="both"/>
        <w:rPr>
          <w:rFonts w:ascii="Times New Roman" w:hAnsi="Times New Roman" w:cs="Times New Roman"/>
          <w:sz w:val="28"/>
          <w:szCs w:val="28"/>
        </w:rPr>
      </w:pPr>
      <w:r w:rsidRPr="00286C68">
        <w:rPr>
          <w:rFonts w:ascii="Times New Roman" w:hAnsi="Times New Roman" w:cs="Times New Roman"/>
          <w:b/>
          <w:bCs/>
          <w:sz w:val="28"/>
          <w:szCs w:val="28"/>
        </w:rPr>
        <w:t>Citrinin</w:t>
      </w:r>
      <w:r>
        <w:rPr>
          <w:rFonts w:ascii="Times New Roman" w:hAnsi="Times New Roman" w:cs="Times New Roman"/>
          <w:sz w:val="28"/>
          <w:szCs w:val="28"/>
        </w:rPr>
        <w:t xml:space="preserve">: Produced by </w:t>
      </w:r>
      <w:r w:rsidRPr="00077C7B">
        <w:rPr>
          <w:rFonts w:ascii="Times New Roman" w:hAnsi="Times New Roman" w:cs="Times New Roman"/>
          <w:i/>
          <w:iCs/>
          <w:sz w:val="28"/>
          <w:szCs w:val="28"/>
        </w:rPr>
        <w:t>Penicilliumcitrinum</w:t>
      </w:r>
      <w:r>
        <w:rPr>
          <w:rFonts w:ascii="Times New Roman" w:hAnsi="Times New Roman" w:cs="Times New Roman"/>
          <w:sz w:val="28"/>
          <w:szCs w:val="28"/>
        </w:rPr>
        <w:t xml:space="preserve"> and occasionally by </w:t>
      </w:r>
      <w:r w:rsidRPr="00286C68">
        <w:rPr>
          <w:rFonts w:ascii="Times New Roman" w:hAnsi="Times New Roman" w:cs="Times New Roman"/>
          <w:i/>
          <w:iCs/>
          <w:sz w:val="28"/>
          <w:szCs w:val="28"/>
        </w:rPr>
        <w:t>Penicillium expansum</w:t>
      </w:r>
      <w:r>
        <w:rPr>
          <w:rFonts w:ascii="Times New Roman" w:hAnsi="Times New Roman" w:cs="Times New Roman"/>
          <w:sz w:val="28"/>
          <w:szCs w:val="28"/>
        </w:rPr>
        <w:t>, this toxin primarily affects kidney function and has been implicated in nephropathy in humans and animals (Flajs &amp; Peraica, 2009).</w:t>
      </w:r>
    </w:p>
    <w:p w:rsidR="00266C77" w:rsidRDefault="00266C77" w:rsidP="00266C77">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Ochratoxin A (OTA):</w:t>
      </w:r>
      <w:r>
        <w:rPr>
          <w:rFonts w:ascii="Times New Roman" w:hAnsi="Times New Roman" w:cs="Times New Roman"/>
          <w:sz w:val="28"/>
          <w:szCs w:val="28"/>
        </w:rPr>
        <w:t xml:space="preserve"> Though primarily produced by </w:t>
      </w:r>
      <w:r w:rsidRPr="00286C68">
        <w:rPr>
          <w:rFonts w:ascii="Times New Roman" w:hAnsi="Times New Roman" w:cs="Times New Roman"/>
          <w:i/>
          <w:iCs/>
          <w:sz w:val="28"/>
          <w:szCs w:val="28"/>
        </w:rPr>
        <w:t>Aspergillusochraceus</w:t>
      </w:r>
      <w:r>
        <w:rPr>
          <w:rFonts w:ascii="Times New Roman" w:hAnsi="Times New Roman" w:cs="Times New Roman"/>
          <w:sz w:val="28"/>
          <w:szCs w:val="28"/>
        </w:rPr>
        <w:t xml:space="preserve">, some </w:t>
      </w:r>
      <w:r w:rsidRPr="00286C68">
        <w:rPr>
          <w:rFonts w:ascii="Times New Roman" w:hAnsi="Times New Roman" w:cs="Times New Roman"/>
          <w:i/>
          <w:iCs/>
          <w:sz w:val="28"/>
          <w:szCs w:val="28"/>
        </w:rPr>
        <w:t>Penicillium</w:t>
      </w:r>
      <w:r>
        <w:rPr>
          <w:rFonts w:ascii="Times New Roman" w:hAnsi="Times New Roman" w:cs="Times New Roman"/>
          <w:sz w:val="28"/>
          <w:szCs w:val="28"/>
        </w:rPr>
        <w:t xml:space="preserve"> species also produce OTA, which is nephrotoxic, carcinogenic, and teratogenic. It contaminates cereals, coffee, and dried fruits (Petzinger &amp; Weidenbach, 2021).</w:t>
      </w:r>
    </w:p>
    <w:p w:rsidR="00266C77" w:rsidRDefault="00266C77" w:rsidP="00266C77">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lastRenderedPageBreak/>
        <w:t>Roquefortine C:</w:t>
      </w:r>
      <w:r>
        <w:rPr>
          <w:rFonts w:ascii="Times New Roman" w:hAnsi="Times New Roman" w:cs="Times New Roman"/>
          <w:sz w:val="28"/>
          <w:szCs w:val="28"/>
        </w:rPr>
        <w:t xml:space="preserve"> Found in blue cheese-producing species such as </w:t>
      </w:r>
      <w:r w:rsidRPr="00286C68">
        <w:rPr>
          <w:rFonts w:ascii="Times New Roman" w:hAnsi="Times New Roman" w:cs="Times New Roman"/>
          <w:i/>
          <w:iCs/>
          <w:sz w:val="28"/>
          <w:szCs w:val="28"/>
        </w:rPr>
        <w:t>Penicilliumroqueforti</w:t>
      </w:r>
      <w:r>
        <w:rPr>
          <w:rFonts w:ascii="Times New Roman" w:hAnsi="Times New Roman" w:cs="Times New Roman"/>
          <w:sz w:val="28"/>
          <w:szCs w:val="28"/>
        </w:rPr>
        <w:t>, it has neurotoxic effects at high concentrations, though its presence in food is usually minimal (Frisvad et al., 2004).</w:t>
      </w:r>
    </w:p>
    <w:p w:rsidR="00266C77" w:rsidRDefault="00266C77" w:rsidP="00266C77">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Mycophenolic acid</w:t>
      </w:r>
      <w:r>
        <w:rPr>
          <w:rFonts w:ascii="Times New Roman" w:hAnsi="Times New Roman" w:cs="Times New Roman"/>
          <w:sz w:val="28"/>
          <w:szCs w:val="28"/>
        </w:rPr>
        <w:t xml:space="preserve">: An immunosuppressive agent originally isolated from </w:t>
      </w:r>
      <w:r w:rsidRPr="00286C68">
        <w:rPr>
          <w:rFonts w:ascii="Times New Roman" w:hAnsi="Times New Roman" w:cs="Times New Roman"/>
          <w:i/>
          <w:iCs/>
          <w:sz w:val="28"/>
          <w:szCs w:val="28"/>
        </w:rPr>
        <w:t>Penicillium brevicompactum</w:t>
      </w:r>
      <w:r>
        <w:rPr>
          <w:rFonts w:ascii="Times New Roman" w:hAnsi="Times New Roman" w:cs="Times New Roman"/>
          <w:sz w:val="28"/>
          <w:szCs w:val="28"/>
        </w:rPr>
        <w:t xml:space="preserve">, used pharmacologically in transplant medicine, but concerning when found in food products (Tiraboschi et al., 2021). Among these, patulin remains the most prominent due to its association with commonly consumed fruit products. Patulin’s toxicity includes mutagenic, genotoxic, immunotoxic, and gastrointestinal effects. Acute exposure causes symptoms such as nausea, vomiting, and intestinal hemorrhaging, while chronic exposure has been linked to immune suppression and neurotoxicity (Pfohl-Leszkowicz &amp; Manderville, 2020). The International Agency for Research on Cancer (IARC) currently classifies patulin in Group 3, meaning it is not classifiable as to its carcinogenicity to humans due to insufficient evidence (IARC, 2017). Nevertheless, the compound’s potential to damage DNA and cellular structures warrants strict monitoring and control. The global regulatory concern about patulin has prompted numerous countries and international bodies, including the World Health Organization (WHO) and Food and Agriculture Organization (FAO), to establish maximum permissible levels in food. The European Commission and United States Food and Drug Administration (FDA) have set maximum limits for patulin in apple products at 50 µg/kg for general </w:t>
      </w:r>
      <w:r>
        <w:rPr>
          <w:rFonts w:ascii="Times New Roman" w:hAnsi="Times New Roman" w:cs="Times New Roman"/>
          <w:sz w:val="28"/>
          <w:szCs w:val="28"/>
        </w:rPr>
        <w:lastRenderedPageBreak/>
        <w:t xml:space="preserve">products and 10–25 µg/kg for baby foods (Codex Alimentarius, 2020). These standards reflect a precautionary approach grounded in toxicological risk assessment studies conducted over several decades. In the context of scientific studies aimed at evaluating patulin’s potency and toxicological impact, controlled laboratory production of the toxin is essential. The production process typically involves the cultivation of </w:t>
      </w:r>
      <w:r w:rsidRPr="007A378C">
        <w:rPr>
          <w:rFonts w:ascii="Times New Roman" w:hAnsi="Times New Roman" w:cs="Times New Roman"/>
          <w:i/>
          <w:iCs/>
          <w:sz w:val="28"/>
          <w:szCs w:val="28"/>
        </w:rPr>
        <w:t>Penicillium expansum</w:t>
      </w:r>
      <w:r>
        <w:rPr>
          <w:rFonts w:ascii="Times New Roman" w:hAnsi="Times New Roman" w:cs="Times New Roman"/>
          <w:sz w:val="28"/>
          <w:szCs w:val="28"/>
        </w:rPr>
        <w:t xml:space="preserve"> under optimized growth conditions that promote secondary metabolite synthesis. Low-cost production strategies have been developed to minimize expenses while maintaining yield and purity.</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Early research by Riley and Norred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w:t>
      </w:r>
      <w:r>
        <w:rPr>
          <w:rFonts w:ascii="Times New Roman" w:hAnsi="Times New Roman" w:cs="Times New Roman"/>
          <w:sz w:val="28"/>
          <w:szCs w:val="28"/>
        </w:rPr>
        <w:lastRenderedPageBreak/>
        <w:t xml:space="preserve">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damage 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immunotoxic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rsidR="00266C77" w:rsidRDefault="00266C77" w:rsidP="00266C77">
      <w:pPr>
        <w:pStyle w:val="NormalWeb"/>
        <w:spacing w:line="480" w:lineRule="auto"/>
        <w:jc w:val="both"/>
        <w:rPr>
          <w:sz w:val="28"/>
          <w:szCs w:val="28"/>
        </w:rPr>
      </w:pPr>
      <w:r>
        <w:rPr>
          <w:sz w:val="28"/>
          <w:szCs w:val="28"/>
        </w:rPr>
        <w:t xml:space="preserve">Despite extensive research on patulin, significant gaps remain regarding its biosynthesis, detection, toxicity mechanisms, mitigation strategies and the potency </w:t>
      </w:r>
      <w:r>
        <w:rPr>
          <w:sz w:val="28"/>
          <w:szCs w:val="28"/>
        </w:rPr>
        <w:lastRenderedPageBreak/>
        <w:t xml:space="preserve">of toxin at different concentration. While studies have established that </w:t>
      </w:r>
      <w:r>
        <w:rPr>
          <w:rStyle w:val="Emphasis"/>
          <w:sz w:val="28"/>
          <w:szCs w:val="28"/>
        </w:rPr>
        <w:t>Penicillium expansum</w:t>
      </w:r>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r>
        <w:rPr>
          <w:rStyle w:val="Emphasis"/>
          <w:sz w:val="28"/>
          <w:szCs w:val="28"/>
        </w:rPr>
        <w:t>Byssochlamys</w:t>
      </w:r>
      <w:r>
        <w:rPr>
          <w:sz w:val="28"/>
          <w:szCs w:val="28"/>
        </w:rPr>
        <w:t xml:space="preserve">, may also contribute to contamination in specific environmental conditions (Li et al., 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w:t>
      </w:r>
      <w:r>
        <w:rPr>
          <w:sz w:val="28"/>
          <w:szCs w:val="28"/>
        </w:rPr>
        <w:lastRenderedPageBreak/>
        <w:t xml:space="preserve">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w:t>
      </w:r>
      <w:r>
        <w:rPr>
          <w:sz w:val="28"/>
          <w:szCs w:val="28"/>
        </w:rPr>
        <w:lastRenderedPageBreak/>
        <w:t xml:space="preserve">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effects of patulin with other mycotoxins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Pr>
          <w:sz w:val="28"/>
          <w:szCs w:val="28"/>
        </w:rPr>
        <w:t>risks and contribute to the development of more effective prevention and mitigation strategies.</w:t>
      </w:r>
    </w:p>
    <w:p w:rsidR="00266C77" w:rsidRDefault="00266C77" w:rsidP="00266C77">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r>
        <w:rPr>
          <w:i/>
          <w:iCs/>
          <w:sz w:val="28"/>
          <w:szCs w:val="28"/>
        </w:rPr>
        <w:t>Penicilliumexpansum</w:t>
      </w:r>
      <w:r>
        <w:rPr>
          <w:sz w:val="28"/>
          <w:szCs w:val="28"/>
        </w:rPr>
        <w:t xml:space="preserve"> is the primary producer of </w:t>
      </w:r>
      <w:r>
        <w:rPr>
          <w:sz w:val="28"/>
          <w:szCs w:val="28"/>
        </w:rPr>
        <w:lastRenderedPageBreak/>
        <w:t xml:space="preserve">patulin, emerging studies indicate that other fungal species, such as </w:t>
      </w:r>
      <w:r>
        <w:rPr>
          <w:i/>
          <w:iCs/>
          <w:sz w:val="28"/>
          <w:szCs w:val="28"/>
        </w:rPr>
        <w:t>Aspergillus</w:t>
      </w:r>
      <w:r>
        <w:rPr>
          <w:sz w:val="28"/>
          <w:szCs w:val="28"/>
        </w:rPr>
        <w:t xml:space="preserve"> and </w:t>
      </w:r>
      <w:r>
        <w:rPr>
          <w:i/>
          <w:iCs/>
          <w:sz w:val="28"/>
          <w:szCs w:val="28"/>
        </w:rPr>
        <w:t>Byssochlamys</w:t>
      </w:r>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w:t>
      </w:r>
      <w:r>
        <w:rPr>
          <w:sz w:val="28"/>
          <w:szCs w:val="28"/>
        </w:rPr>
        <w:lastRenderedPageBreak/>
        <w:t xml:space="preserve">high-performance liquid chromatography(HPLC) and enzyme-linked immunosorbent assays(ELISA),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w:t>
      </w:r>
      <w:r>
        <w:rPr>
          <w:sz w:val="28"/>
          <w:szCs w:val="28"/>
        </w:rPr>
        <w:lastRenderedPageBreak/>
        <w:t xml:space="preserve">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immunotoxic effects of </w:t>
      </w:r>
      <w:r w:rsidRPr="00B503E2">
        <w:rPr>
          <w:iCs/>
          <w:sz w:val="28"/>
          <w:szCs w:val="28"/>
        </w:rPr>
        <w:t>patulin</w:t>
      </w:r>
      <w:r>
        <w:rPr>
          <w:sz w:val="28"/>
          <w:szCs w:val="28"/>
        </w:rPr>
        <w:t>in animal models is crucial. Studies should 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storauiige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rsidR="00B204E0" w:rsidRDefault="00B204E0" w:rsidP="00266C77">
      <w:pPr>
        <w:pStyle w:val="NormalWeb"/>
        <w:spacing w:line="480" w:lineRule="auto"/>
        <w:jc w:val="both"/>
        <w:rPr>
          <w:sz w:val="28"/>
          <w:szCs w:val="28"/>
        </w:rPr>
      </w:pPr>
    </w:p>
    <w:p w:rsidR="00266C77" w:rsidRDefault="00266C77" w:rsidP="00266C77">
      <w:pPr>
        <w:pStyle w:val="NormalWeb"/>
        <w:spacing w:line="480" w:lineRule="auto"/>
        <w:jc w:val="both"/>
        <w:rPr>
          <w:sz w:val="28"/>
          <w:szCs w:val="28"/>
        </w:rPr>
      </w:pPr>
      <w:r>
        <w:rPr>
          <w:sz w:val="28"/>
          <w:szCs w:val="28"/>
        </w:rPr>
        <w:lastRenderedPageBreak/>
        <w:t xml:space="preserve">1.2 STATEMENT OF PROBLEM </w:t>
      </w:r>
    </w:p>
    <w:p w:rsidR="00266C77" w:rsidRDefault="00266C77" w:rsidP="00266C77">
      <w:pPr>
        <w:pStyle w:val="NormalWeb"/>
        <w:numPr>
          <w:ilvl w:val="0"/>
          <w:numId w:val="2"/>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rsidR="00266C77" w:rsidRDefault="00266C77" w:rsidP="00266C77">
      <w:pPr>
        <w:pStyle w:val="NormalWeb"/>
        <w:numPr>
          <w:ilvl w:val="0"/>
          <w:numId w:val="2"/>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rsidR="00266C77" w:rsidRDefault="00266C77" w:rsidP="00266C77">
      <w:pPr>
        <w:pStyle w:val="NormalWeb"/>
        <w:numPr>
          <w:ilvl w:val="0"/>
          <w:numId w:val="2"/>
        </w:numPr>
        <w:spacing w:line="480" w:lineRule="auto"/>
        <w:jc w:val="both"/>
        <w:rPr>
          <w:sz w:val="28"/>
          <w:szCs w:val="28"/>
        </w:rPr>
      </w:pPr>
      <w:r>
        <w:rPr>
          <w:sz w:val="28"/>
          <w:szCs w:val="28"/>
        </w:rPr>
        <w:t>This research aim to address the gap in toxicological profiling of patulin by examining its pathological impact at varying concentrations on laboratory animals, thereby providing insights into safe exposure limits and reinforcing the importance of improved food safety protocols.</w:t>
      </w:r>
    </w:p>
    <w:p w:rsidR="00266C77" w:rsidRDefault="00266C77" w:rsidP="00266C77">
      <w:pPr>
        <w:pStyle w:val="NormalWeb"/>
        <w:spacing w:line="480" w:lineRule="auto"/>
        <w:jc w:val="both"/>
        <w:rPr>
          <w:sz w:val="28"/>
          <w:szCs w:val="28"/>
        </w:rPr>
      </w:pPr>
      <w:r>
        <w:rPr>
          <w:sz w:val="28"/>
          <w:szCs w:val="28"/>
        </w:rPr>
        <w:t>1.3 JUSTIFICATION OF THE STUDY</w:t>
      </w:r>
    </w:p>
    <w:p w:rsidR="00266C77" w:rsidRPr="00EC2D00" w:rsidRDefault="00266C77" w:rsidP="00266C77">
      <w:pPr>
        <w:pStyle w:val="NormalWeb"/>
        <w:spacing w:line="480" w:lineRule="auto"/>
        <w:jc w:val="both"/>
        <w:rPr>
          <w:sz w:val="28"/>
          <w:szCs w:val="28"/>
        </w:rPr>
      </w:pPr>
      <w:r w:rsidRPr="000B080D">
        <w:rPr>
          <w:i/>
          <w:iCs/>
          <w:sz w:val="28"/>
          <w:szCs w:val="28"/>
        </w:rPr>
        <w:t>Penicillium expansum</w:t>
      </w:r>
      <w:r>
        <w:rPr>
          <w:sz w:val="28"/>
          <w:szCs w:val="28"/>
        </w:rPr>
        <w:t xml:space="preserve">, the primary producer of patulin, commonly infects apples during post-harvest handling and storage. Although regulatory agencies have established maximum permissible levels for patulin, reports of contamination above safe limits still occur, especially in low-resource settings with weak monitoring systems. Investigating the potency of patulin at varying concentrations in a controlled animal model provides critical insight into its dose-dependent toxicity. </w:t>
      </w:r>
      <w:r>
        <w:rPr>
          <w:sz w:val="28"/>
          <w:szCs w:val="28"/>
        </w:rPr>
        <w:lastRenderedPageBreak/>
        <w:t>This approach allows for a better understanding of how different exposure levels affect physiological functions and organ systems, particularly in mammals. The findings will contribute to the scientific basis for risk assessment and enhance awareness about the dangers of patulin. Moreover, the study may aid in the formulation of more effective control strategies, promote public health safety, and support regulatory compliance in food processing industries.</w:t>
      </w:r>
    </w:p>
    <w:p w:rsidR="00266C77" w:rsidRPr="00EC2D00"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EC2D00">
        <w:rPr>
          <w:rFonts w:ascii="Times New Roman" w:hAnsi="Times New Roman" w:cs="Times New Roman"/>
          <w:sz w:val="28"/>
          <w:szCs w:val="28"/>
        </w:rPr>
        <w:t>AIMS AND OBJECTIVES</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aim to check the potency of </w:t>
      </w:r>
      <w:r w:rsidRPr="00B503E2">
        <w:rPr>
          <w:rFonts w:ascii="Times New Roman" w:hAnsi="Times New Roman" w:cs="Times New Roman"/>
          <w:i/>
          <w:sz w:val="28"/>
          <w:szCs w:val="28"/>
        </w:rPr>
        <w:t>Penicillium</w:t>
      </w:r>
      <w:r>
        <w:rPr>
          <w:rFonts w:ascii="Times New Roman" w:hAnsi="Times New Roman" w:cs="Times New Roman"/>
          <w:sz w:val="28"/>
          <w:szCs w:val="28"/>
        </w:rPr>
        <w:t xml:space="preserve"> patulin toxin at vary degree of concentration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rsidR="00266C77" w:rsidRPr="004764C4" w:rsidRDefault="00266C77" w:rsidP="00266C77">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r w:rsidRPr="00AA25DA">
        <w:rPr>
          <w:rFonts w:ascii="Times New Roman" w:hAnsi="Times New Roman" w:cs="Times New Roman"/>
          <w:i/>
          <w:iCs/>
          <w:sz w:val="28"/>
          <w:szCs w:val="28"/>
        </w:rPr>
        <w:t>Penicilliumexpansum</w:t>
      </w:r>
      <w:r w:rsidRPr="004764C4">
        <w:rPr>
          <w:rFonts w:ascii="Times New Roman" w:hAnsi="Times New Roman" w:cs="Times New Roman"/>
          <w:sz w:val="28"/>
          <w:szCs w:val="28"/>
        </w:rPr>
        <w:t xml:space="preserve"> from spoiled apple </w:t>
      </w:r>
    </w:p>
    <w:p w:rsidR="00266C77" w:rsidRDefault="00266C77" w:rsidP="00266C77">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rsidR="00266C77" w:rsidRPr="004764C4" w:rsidRDefault="00266C77" w:rsidP="00266C77">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rsidR="00266C77" w:rsidRPr="004764C4" w:rsidRDefault="00266C77" w:rsidP="00266C77">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rsidR="00266C77" w:rsidRPr="00EC2D00"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B204E0" w:rsidRPr="00EC2D00" w:rsidRDefault="00B204E0" w:rsidP="00266C77">
      <w:pPr>
        <w:spacing w:line="480" w:lineRule="auto"/>
        <w:jc w:val="both"/>
        <w:rPr>
          <w:rFonts w:ascii="Times New Roman" w:hAnsi="Times New Roman" w:cs="Times New Roman"/>
          <w:sz w:val="28"/>
          <w:szCs w:val="28"/>
        </w:rPr>
      </w:pPr>
    </w:p>
    <w:p w:rsidR="00266C77" w:rsidRPr="00EC2D00"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MATERIALS AND METHOD </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Preparation </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brought from Ipata Market in Ilorin, Kwara State, Nigeria. The apples were first rinsed with clean distilled water to remove any surface dirt or contaminants. Using a clean and sterile scalpel, the visibly decayed parts of the apples were carefully cut out. This was done to prepare the samples for further laboratory testing to find the fungi responsible for the spoilage. This method is commonly used in similar studies to safely isolate fungi from infected fruits (García-Benítez et al., 2020; Ali et al., 2019).</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2.3 Media Preparation and Culturing </w:t>
      </w:r>
    </w:p>
    <w:p w:rsidR="00266C77" w:rsidRDefault="00266C77" w:rsidP="00266C77">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t xml:space="preserve">Potato Dextrose Agar (PDA) and Potato Dextrose Broth (PDB) were prepared following the instructions provided by the manufacturer. After preparation, the </w:t>
      </w:r>
      <w:r>
        <w:rPr>
          <w:rFonts w:ascii="Times New Roman" w:hAnsi="Times New Roman" w:cs="Times New Roman"/>
          <w:sz w:val="28"/>
          <w:szCs w:val="28"/>
        </w:rPr>
        <w:lastRenderedPageBreak/>
        <w:t>media were sterilized using an autoclave at 121°C for 15 minutes. Once the media cooled down, 1 mL of streptomycin was added aseptically to prevent the growth of bacteria. About 250 mL of the sterile PDA was then poured into clean Petri dishes and left to solidify. Using a sterile inoculating loop, a small portion of the decayed apple tissue was taken and placed carefully on the surface of the solidified PDA plates. The inoculated plates were then incubated at room temperature (between 25°C and 28°C) for four days to allow fungal growth (Pitt &amp; Hocking, 2021).</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Subculturing </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fungal colonies were subcultured onto fresh PDA plates to obtain pure isolates. These were incubated under the same conditions for 4days (Watanabe, 2017).</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Characterization and identification </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rsidR="00266C77" w:rsidRPr="00E21931" w:rsidRDefault="00266C77" w:rsidP="00266C77">
      <w:pPr>
        <w:pStyle w:val="ListParagraph"/>
        <w:numPr>
          <w:ilvl w:val="1"/>
          <w:numId w:val="3"/>
        </w:numPr>
        <w:spacing w:line="480" w:lineRule="auto"/>
        <w:jc w:val="both"/>
        <w:rPr>
          <w:rFonts w:ascii="Times New Roman" w:hAnsi="Times New Roman" w:cs="Times New Roman"/>
          <w:sz w:val="28"/>
          <w:szCs w:val="28"/>
        </w:rPr>
      </w:pPr>
      <w:r w:rsidRPr="00E21931">
        <w:rPr>
          <w:rFonts w:ascii="Times New Roman" w:hAnsi="Times New Roman" w:cs="Times New Roman"/>
          <w:sz w:val="28"/>
          <w:szCs w:val="28"/>
        </w:rPr>
        <w:t xml:space="preserve">Toxin Extraction </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Pure fungal isolates grown on PDA were transferred into PDB in sterile flasks, placed on a rotary shaker for 3 days to stimulate mycelial growth and secondary metabolite production, then left undisturbed for 5 more days at room temperature to complete patulin biosynthesis (Kabak et al., 2019).</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Separation of Biomass </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 (Sewram et al., 2019).</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2.8 Preparation of Patulin Concentrations</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patulin. Each prepared concentration was measured into a sterile test tube as follows:</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50% concentration: 2.5 mL of crude patulin filtrate mixed with 2.5 mL of sterile distilled water. Each mixture was homogenized and labeled accordingly for further use.</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2.9 Experimental Animals and Grouping</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2.10 Identification and Grouping of Experimental Rats</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6C2EFB">
        <w:rPr>
          <w:rFonts w:ascii="Times New Roman" w:hAnsi="Times New Roman" w:cs="Times New Roman"/>
          <w:i/>
          <w:iCs/>
          <w:sz w:val="28"/>
          <w:szCs w:val="28"/>
        </w:rPr>
        <w:t>Penicillium expansum</w:t>
      </w:r>
      <w:r>
        <w:rPr>
          <w:rFonts w:ascii="Times New Roman" w:hAnsi="Times New Roman" w:cs="Times New Roman"/>
          <w:sz w:val="28"/>
          <w:szCs w:val="28"/>
        </w:rPr>
        <w:t xml:space="preserve"> patulin toxin they received as follows:</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 The color marking was maintained throughout the experiment for accurate tracking and observation.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2.11 Toxin Administration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Dissection and Post-Mortem Examination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Pr="00EC2D00"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Pr="00B86E04">
        <w:rPr>
          <w:rFonts w:ascii="Times New Roman" w:hAnsi="Times New Roman" w:cs="Times New Roman"/>
          <w:sz w:val="28"/>
          <w:szCs w:val="28"/>
        </w:rPr>
        <w:t>RESULTS</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p>
    <w:p w:rsidR="00266C77" w:rsidRDefault="00266C77" w:rsidP="00266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266C77" w:rsidTr="006B2622">
        <w:tc>
          <w:tcPr>
            <w:tcW w:w="442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266C77" w:rsidTr="006B2622">
        <w:tc>
          <w:tcPr>
            <w:tcW w:w="442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B</w:t>
            </w:r>
            <w:r w:rsidRPr="001D7504">
              <w:rPr>
                <w:rFonts w:ascii="Times New Roman" w:hAnsi="Times New Roman" w:cs="Times New Roman"/>
                <w:sz w:val="28"/>
                <w:szCs w:val="28"/>
              </w:rPr>
              <w:t>ranced flask shaped condidia</w:t>
            </w:r>
          </w:p>
        </w:tc>
      </w:tr>
    </w:tbl>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rPr>
          <w:rFonts w:ascii="Times New Roman" w:hAnsi="Times New Roman" w:cs="Times New Roman"/>
          <w:sz w:val="28"/>
          <w:szCs w:val="28"/>
        </w:rPr>
      </w:pPr>
      <w:r>
        <w:rPr>
          <w:noProof/>
        </w:rPr>
        <w:drawing>
          <wp:anchor distT="0" distB="0" distL="114300" distR="114300" simplePos="0" relativeHeight="251660288" behindDoc="0" locked="0" layoutInCell="1" allowOverlap="1" wp14:anchorId="3F6419FE" wp14:editId="7E45EB7A">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9"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anchor>
        </w:drawing>
      </w:r>
      <w:r w:rsidRPr="004867E8">
        <w:rPr>
          <w:rFonts w:ascii="Times New Roman" w:hAnsi="Times New Roman" w:cs="Times New Roman"/>
          <w:noProof/>
          <w:sz w:val="28"/>
          <w:szCs w:val="28"/>
        </w:rPr>
        <w:drawing>
          <wp:anchor distT="0" distB="0" distL="114300" distR="114300" simplePos="0" relativeHeight="251659264" behindDoc="0" locked="0" layoutInCell="1" allowOverlap="1" wp14:anchorId="5B67AF17" wp14:editId="33B4E44A">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anchor>
        </w:drawing>
      </w:r>
      <w:r>
        <w:rPr>
          <w:rFonts w:ascii="Times New Roman" w:hAnsi="Times New Roman" w:cs="Times New Roman"/>
          <w:sz w:val="28"/>
          <w:szCs w:val="28"/>
        </w:rPr>
        <w:t xml:space="preserve">Figure 1a: showing colonies on PDA       Figure 1b: Showing microscopic view    </w:t>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TABLE 2</w:t>
      </w:r>
    </w:p>
    <w:p w:rsidR="00266C77" w:rsidRDefault="00266C77" w:rsidP="00266C77">
      <w:pPr>
        <w:spacing w:line="480" w:lineRule="auto"/>
        <w:jc w:val="both"/>
        <w:rPr>
          <w:rFonts w:ascii="Times New Roman" w:hAnsi="Times New Roman" w:cs="Times New Roman"/>
          <w:iCs/>
          <w:sz w:val="28"/>
          <w:szCs w:val="28"/>
        </w:rPr>
      </w:pPr>
      <w:r>
        <w:rPr>
          <w:rFonts w:ascii="Times New Roman" w:hAnsi="Times New Roman" w:cs="Times New Roman"/>
          <w:sz w:val="28"/>
          <w:szCs w:val="28"/>
        </w:rPr>
        <w:t>3.2</w:t>
      </w:r>
      <w:r>
        <w:rPr>
          <w:rFonts w:ascii="Times New Roman" w:hAnsi="Times New Roman" w:cs="Times New Roman"/>
          <w:iCs/>
          <w:sz w:val="28"/>
          <w:szCs w:val="28"/>
        </w:rPr>
        <w:t>Daily Observation during Toxin Administration 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60"/>
        <w:gridCol w:w="1578"/>
        <w:gridCol w:w="2290"/>
        <w:gridCol w:w="2006"/>
        <w:gridCol w:w="1718"/>
        <w:gridCol w:w="2283"/>
      </w:tblGrid>
      <w:tr w:rsidR="00266C77" w:rsidTr="006B2622">
        <w:trPr>
          <w:trHeight w:val="729"/>
        </w:trPr>
        <w:tc>
          <w:tcPr>
            <w:tcW w:w="644" w:type="pct"/>
            <w:hideMark/>
          </w:tcPr>
          <w:p w:rsidR="00266C77" w:rsidRDefault="00266C77" w:rsidP="006B2622">
            <w:pPr>
              <w:rPr>
                <w:rFonts w:ascii="Times New Roman" w:hAnsi="Times New Roman" w:cs="Times New Roman"/>
                <w:sz w:val="28"/>
                <w:szCs w:val="28"/>
              </w:rPr>
            </w:pPr>
            <w:bookmarkStart w:id="0" w:name="_Hlk202154477"/>
            <w:r>
              <w:rPr>
                <w:rFonts w:ascii="Times New Roman" w:hAnsi="Times New Roman" w:cs="Times New Roman"/>
                <w:sz w:val="28"/>
                <w:szCs w:val="28"/>
              </w:rPr>
              <w:lastRenderedPageBreak/>
              <w:t>Rat ID</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Appearance</w:t>
            </w:r>
          </w:p>
          <w:p w:rsidR="00266C77" w:rsidRDefault="00266C77" w:rsidP="006B2622">
            <w:pPr>
              <w:rPr>
                <w:rFonts w:ascii="Times New Roman" w:hAnsi="Times New Roman" w:cs="Times New Roman"/>
                <w:sz w:val="28"/>
                <w:szCs w:val="28"/>
              </w:rPr>
            </w:pP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Eye /Nose</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266C77" w:rsidTr="006B2622">
        <w:trPr>
          <w:cantSplit/>
          <w:trHeight w:val="484"/>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Green </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Pr="00840EA9"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tc>
      </w:tr>
      <w:tr w:rsidR="00266C77" w:rsidTr="006B2622">
        <w:trPr>
          <w:cantSplit/>
          <w:trHeight w:val="484"/>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Green </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tc>
      </w:tr>
      <w:tr w:rsidR="00266C77" w:rsidTr="006B2622">
        <w:trPr>
          <w:cantSplit/>
          <w:trHeight w:val="484"/>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Green </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Decrease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Decrease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 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Gnawing</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p>
        </w:tc>
      </w:tr>
      <w:tr w:rsidR="00266C77" w:rsidTr="006B2622">
        <w:trPr>
          <w:cantSplit/>
          <w:trHeight w:val="506"/>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Green </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Lackluster</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Lethargic</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Reduce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Reduce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Lethargic</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 xml:space="preserve">Nil </w:t>
            </w:r>
          </w:p>
        </w:tc>
      </w:tr>
      <w:tr w:rsidR="00266C77" w:rsidTr="006B2622">
        <w:trPr>
          <w:cantSplit/>
          <w:trHeight w:val="484"/>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Green </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Lackluster</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Sluggish</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Reduce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Reduce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Reduce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p>
        </w:tc>
      </w:tr>
      <w:tr w:rsidR="00266C77" w:rsidTr="006B2622">
        <w:trPr>
          <w:cantSplit/>
          <w:trHeight w:val="484"/>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Green </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Weak</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Weak</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Dull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Pale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Ataxic</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lethargic</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Very low</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Low</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Reduce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tc>
      </w:tr>
      <w:tr w:rsidR="00266C77" w:rsidTr="006B2622">
        <w:trPr>
          <w:trHeight w:val="547"/>
        </w:trPr>
        <w:tc>
          <w:tcPr>
            <w:tcW w:w="644" w:type="pct"/>
            <w:hideMark/>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Blue</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Green</w:t>
            </w:r>
          </w:p>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Weak</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Weak</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Weak</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Pale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Inactive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inactive</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Poor</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Low</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Poor</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sunken</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Lackluster</w:t>
            </w:r>
          </w:p>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Nill</w:t>
            </w:r>
          </w:p>
        </w:tc>
      </w:tr>
      <w:bookmarkEnd w:id="0"/>
    </w:tbl>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rsidR="00266C77" w:rsidRDefault="00266C77" w:rsidP="00266C77">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rsidR="00266C77" w:rsidRPr="00950266" w:rsidRDefault="00266C77" w:rsidP="00266C77">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Pr>
          <w:rFonts w:ascii="Times New Roman" w:hAnsi="Times New Roman" w:cs="Times New Roman"/>
          <w:sz w:val="28"/>
          <w:szCs w:val="28"/>
        </w:rPr>
        <w:t xml:space="preserve"> – 100%</w:t>
      </w:r>
    </w:p>
    <w:p w:rsidR="00266C77" w:rsidRDefault="00266C77" w:rsidP="00266C77">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lastRenderedPageBreak/>
        <w:t>Red</w:t>
      </w:r>
      <w:r>
        <w:rPr>
          <w:rFonts w:ascii="Times New Roman" w:hAnsi="Times New Roman" w:cs="Times New Roman"/>
          <w:sz w:val="28"/>
          <w:szCs w:val="28"/>
        </w:rPr>
        <w:t xml:space="preserve"> – 80% </w:t>
      </w:r>
    </w:p>
    <w:p w:rsidR="00266C77" w:rsidRDefault="00266C77" w:rsidP="00266C77">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rsidR="00266C77" w:rsidRDefault="00266C77" w:rsidP="00266C77">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rsidR="00266C77" w:rsidRDefault="00266C77" w:rsidP="00266C77">
      <w:pPr>
        <w:spacing w:line="240" w:lineRule="auto"/>
        <w:jc w:val="both"/>
        <w:rPr>
          <w:rFonts w:ascii="Times New Roman" w:hAnsi="Times New Roman" w:cs="Times New Roman"/>
          <w:sz w:val="28"/>
          <w:szCs w:val="28"/>
        </w:rPr>
      </w:pPr>
    </w:p>
    <w:p w:rsidR="00266C77" w:rsidRDefault="00266C77" w:rsidP="00266C77">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10A8939" wp14:editId="1C3F3ADB">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6C77" w:rsidRDefault="00266C77" w:rsidP="00266C77">
      <w:pPr>
        <w:spacing w:line="240" w:lineRule="auto"/>
        <w:jc w:val="both"/>
        <w:rPr>
          <w:rFonts w:ascii="Times New Roman" w:hAnsi="Times New Roman" w:cs="Times New Roman"/>
          <w:sz w:val="28"/>
          <w:szCs w:val="28"/>
        </w:rPr>
      </w:pPr>
    </w:p>
    <w:p w:rsidR="00266C77" w:rsidRDefault="00266C77" w:rsidP="00266C77">
      <w:pPr>
        <w:spacing w:line="240" w:lineRule="auto"/>
        <w:jc w:val="both"/>
        <w:rPr>
          <w:rFonts w:ascii="Times New Roman" w:hAnsi="Times New Roman" w:cs="Times New Roman"/>
          <w:sz w:val="28"/>
          <w:szCs w:val="28"/>
        </w:rPr>
      </w:pPr>
    </w:p>
    <w:p w:rsidR="00266C77" w:rsidRDefault="00266C77" w:rsidP="00266C77">
      <w:pPr>
        <w:spacing w:line="24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Showing cumulative frequency chart for seven days of toxin administration</w:t>
      </w:r>
    </w:p>
    <w:p w:rsidR="00266C77" w:rsidRDefault="00266C77" w:rsidP="00266C77">
      <w:pPr>
        <w:spacing w:line="480" w:lineRule="auto"/>
        <w:jc w:val="both"/>
        <w:rPr>
          <w:rFonts w:ascii="Times New Roman" w:hAnsi="Times New Roman" w:cs="Times New Roman"/>
          <w:sz w:val="28"/>
          <w:szCs w:val="28"/>
        </w:rPr>
      </w:pPr>
      <w:r>
        <w:rPr>
          <w:noProof/>
        </w:rPr>
        <w:lastRenderedPageBreak/>
        <w:drawing>
          <wp:inline distT="0" distB="0" distL="0" distR="0" wp14:anchorId="40C1B3A8" wp14:editId="6216148A">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266C77" w:rsidTr="006B2622">
        <w:trPr>
          <w:trHeight w:val="621"/>
        </w:trPr>
        <w:tc>
          <w:tcPr>
            <w:tcW w:w="1242" w:type="dxa"/>
            <w:tcBorders>
              <w:bottom w:val="single" w:sz="4" w:space="0" w:color="auto"/>
            </w:tcBorders>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266C77" w:rsidTr="006B2622">
        <w:trPr>
          <w:trHeight w:val="310"/>
        </w:trPr>
        <w:tc>
          <w:tcPr>
            <w:tcW w:w="1242" w:type="dxa"/>
            <w:tcBorders>
              <w:top w:val="single" w:sz="4" w:space="0" w:color="auto"/>
            </w:tcBorders>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Darkened</w:t>
            </w:r>
          </w:p>
        </w:tc>
      </w:tr>
      <w:tr w:rsidR="00266C77" w:rsidTr="006B2622">
        <w:trPr>
          <w:trHeight w:val="310"/>
        </w:trPr>
        <w:tc>
          <w:tcPr>
            <w:tcW w:w="1242" w:type="dxa"/>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Bloching</w:t>
            </w:r>
          </w:p>
        </w:tc>
        <w:tc>
          <w:tcPr>
            <w:tcW w:w="3176"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r>
      <w:tr w:rsidR="00266C77" w:rsidTr="006B2622">
        <w:trPr>
          <w:trHeight w:val="635"/>
        </w:trPr>
        <w:tc>
          <w:tcPr>
            <w:tcW w:w="1242" w:type="dxa"/>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Mottling</w:t>
            </w:r>
          </w:p>
        </w:tc>
      </w:tr>
      <w:tr w:rsidR="00266C77" w:rsidTr="006B2622">
        <w:trPr>
          <w:trHeight w:val="310"/>
        </w:trPr>
        <w:tc>
          <w:tcPr>
            <w:tcW w:w="1242" w:type="dxa"/>
          </w:tcPr>
          <w:p w:rsidR="00266C77" w:rsidRDefault="00266C77" w:rsidP="006B2622">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266C77" w:rsidRDefault="00266C77" w:rsidP="006B2622">
            <w:pPr>
              <w:jc w:val="center"/>
              <w:rPr>
                <w:rFonts w:ascii="Times New Roman" w:hAnsi="Times New Roman" w:cs="Times New Roman"/>
                <w:sz w:val="28"/>
                <w:szCs w:val="28"/>
              </w:rPr>
            </w:pPr>
            <w:r>
              <w:rPr>
                <w:rFonts w:ascii="Times New Roman" w:hAnsi="Times New Roman" w:cs="Times New Roman"/>
                <w:sz w:val="28"/>
                <w:szCs w:val="28"/>
              </w:rPr>
              <w:t>Normal</w:t>
            </w:r>
          </w:p>
        </w:tc>
      </w:tr>
    </w:tbl>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3.3Post-Mortem Gross Pathological Findings</w:t>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041ECA2D" wp14:editId="2C3EE43C">
            <wp:simplePos x="0" y="0"/>
            <wp:positionH relativeFrom="column">
              <wp:posOffset>4283689</wp:posOffset>
            </wp:positionH>
            <wp:positionV relativeFrom="paragraph">
              <wp:posOffset>795746</wp:posOffset>
            </wp:positionV>
            <wp:extent cx="1494133" cy="2136161"/>
            <wp:effectExtent l="19050" t="0" r="0" b="0"/>
            <wp:wrapNone/>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4133" cy="2136161"/>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3360" behindDoc="0" locked="0" layoutInCell="1" allowOverlap="1" wp14:anchorId="03C69B01" wp14:editId="75353A98">
            <wp:simplePos x="0" y="0"/>
            <wp:positionH relativeFrom="column">
              <wp:posOffset>2654674</wp:posOffset>
            </wp:positionH>
            <wp:positionV relativeFrom="paragraph">
              <wp:posOffset>795746</wp:posOffset>
            </wp:positionV>
            <wp:extent cx="1421738" cy="2043953"/>
            <wp:effectExtent l="19050" t="0" r="7012" b="0"/>
            <wp:wrapNone/>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1738"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2336" behindDoc="0" locked="0" layoutInCell="1" allowOverlap="1" wp14:anchorId="1615D321" wp14:editId="5E5160D8">
            <wp:simplePos x="0" y="0"/>
            <wp:positionH relativeFrom="column">
              <wp:posOffset>1056395</wp:posOffset>
            </wp:positionH>
            <wp:positionV relativeFrom="paragraph">
              <wp:posOffset>795746</wp:posOffset>
            </wp:positionV>
            <wp:extent cx="1494133" cy="2043953"/>
            <wp:effectExtent l="19050" t="0" r="0" b="0"/>
            <wp:wrapNone/>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4133"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14:anchorId="72FD1FB9" wp14:editId="73B6F391">
            <wp:simplePos x="0" y="0"/>
            <wp:positionH relativeFrom="column">
              <wp:posOffset>-564937</wp:posOffset>
            </wp:positionH>
            <wp:positionV relativeFrom="paragraph">
              <wp:posOffset>795746</wp:posOffset>
            </wp:positionV>
            <wp:extent cx="1517821" cy="2043953"/>
            <wp:effectExtent l="19050" t="0" r="6179" b="0"/>
            <wp:wrapNone/>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7821" cy="2043953"/>
                    </a:xfrm>
                    <a:prstGeom prst="rect">
                      <a:avLst/>
                    </a:prstGeom>
                  </pic:spPr>
                </pic:pic>
              </a:graphicData>
            </a:graphic>
          </wp:anchor>
        </w:drawing>
      </w:r>
      <w:r>
        <w:rPr>
          <w:rFonts w:ascii="Times New Roman" w:hAnsi="Times New Roman" w:cs="Times New Roman"/>
          <w:sz w:val="28"/>
          <w:szCs w:val="28"/>
        </w:rPr>
        <w:t>Figure 4: Dissected rats showing effects of fungal toxin (</w:t>
      </w:r>
      <w:r w:rsidRPr="00045B4C">
        <w:rPr>
          <w:rFonts w:ascii="Times New Roman" w:hAnsi="Times New Roman" w:cs="Times New Roman"/>
          <w:i/>
          <w:sz w:val="28"/>
          <w:szCs w:val="28"/>
        </w:rPr>
        <w:t xml:space="preserve">Penicillium </w:t>
      </w:r>
      <w:r>
        <w:rPr>
          <w:rFonts w:ascii="Times New Roman" w:hAnsi="Times New Roman" w:cs="Times New Roman"/>
          <w:sz w:val="28"/>
          <w:szCs w:val="28"/>
        </w:rPr>
        <w:t>patulin) on internal organs</w:t>
      </w:r>
    </w:p>
    <w:p w:rsidR="00266C77" w:rsidRDefault="00266C77" w:rsidP="00266C77">
      <w:pPr>
        <w:spacing w:line="480" w:lineRule="auto"/>
        <w:rPr>
          <w:rFonts w:ascii="Times New Roman" w:hAnsi="Times New Roman" w:cs="Times New Roman"/>
          <w:sz w:val="28"/>
          <w:szCs w:val="28"/>
        </w:rPr>
      </w:pPr>
    </w:p>
    <w:p w:rsidR="00266C77" w:rsidRDefault="00266C77" w:rsidP="00266C77">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p>
    <w:p w:rsidR="00B204E0" w:rsidRDefault="00B204E0" w:rsidP="00266C77">
      <w:pPr>
        <w:spacing w:line="480" w:lineRule="auto"/>
        <w:jc w:val="center"/>
        <w:rPr>
          <w:rFonts w:ascii="Times New Roman" w:hAnsi="Times New Roman" w:cs="Times New Roman"/>
          <w:sz w:val="28"/>
          <w:szCs w:val="28"/>
        </w:rPr>
      </w:pPr>
    </w:p>
    <w:p w:rsidR="00B204E0" w:rsidRDefault="00B204E0" w:rsidP="00266C77">
      <w:pPr>
        <w:spacing w:line="480" w:lineRule="auto"/>
        <w:jc w:val="center"/>
        <w:rPr>
          <w:rFonts w:ascii="Times New Roman" w:hAnsi="Times New Roman" w:cs="Times New Roman"/>
          <w:sz w:val="28"/>
          <w:szCs w:val="28"/>
        </w:rPr>
      </w:pPr>
    </w:p>
    <w:p w:rsidR="00B204E0" w:rsidRDefault="00B204E0" w:rsidP="00266C77">
      <w:pPr>
        <w:spacing w:line="480" w:lineRule="auto"/>
        <w:jc w:val="center"/>
        <w:rPr>
          <w:rFonts w:ascii="Times New Roman" w:hAnsi="Times New Roman" w:cs="Times New Roman"/>
          <w:sz w:val="28"/>
          <w:szCs w:val="28"/>
        </w:rPr>
      </w:pPr>
    </w:p>
    <w:p w:rsidR="00B204E0" w:rsidRDefault="00B204E0" w:rsidP="00266C77">
      <w:pPr>
        <w:spacing w:line="480" w:lineRule="auto"/>
        <w:jc w:val="center"/>
        <w:rPr>
          <w:rFonts w:ascii="Times New Roman" w:hAnsi="Times New Roman" w:cs="Times New Roman"/>
          <w:sz w:val="28"/>
          <w:szCs w:val="28"/>
        </w:rPr>
      </w:pPr>
    </w:p>
    <w:p w:rsidR="00B204E0" w:rsidRDefault="00B204E0" w:rsidP="00266C77">
      <w:pPr>
        <w:spacing w:line="480" w:lineRule="auto"/>
        <w:jc w:val="center"/>
        <w:rPr>
          <w:rFonts w:ascii="Times New Roman" w:hAnsi="Times New Roman" w:cs="Times New Roman"/>
          <w:sz w:val="28"/>
          <w:szCs w:val="28"/>
        </w:rPr>
      </w:pPr>
    </w:p>
    <w:p w:rsidR="00266C77" w:rsidRDefault="00266C77" w:rsidP="00266C77">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266C77" w:rsidRPr="00EC2D00"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266C77" w:rsidRPr="00C879C5"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4.1 Discussion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Penicillium expansum</w:t>
      </w:r>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 behavioral and physical effects of patulin on the rats over seven days are presented in Table 2, supported by the cumulative trends in Figure 3. The effects were clearly dose-dependent, with more severe symptoms in rats exposed to higher concentrations.The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Pfohl-Leszkowicz &amp; Manderville (2020), where patulin induced oxidative stress and neurobehavioral changes in rodents.The red-coded rat (80% concentration) also displayed marked toxicity, including lethargy, sunken eyes, and ataxia. Its weight </w:t>
      </w:r>
      <w:r>
        <w:rPr>
          <w:rFonts w:ascii="Times New Roman" w:hAnsi="Times New Roman" w:cs="Times New Roman"/>
          <w:sz w:val="28"/>
          <w:szCs w:val="28"/>
        </w:rPr>
        <w:lastRenderedPageBreak/>
        <w:t xml:space="preserve">dropped from 108g to 100g by day 6. These outcomes reflect those of Escobar et al. (2020), who observed neurological impairments and liver stress in rats at medium-dose patulin exposures.In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levels.The black-coded rat (50% concentration) maintained a stable condition throughout. No significant behavioral, ocular, or weight changes were observed, consistent with findings by Moake et al. (2005), who noted that patulin concentrations below regulatory limits often result in negligible short-term toxicity, though chronic effects remain a concern. The post-mortem examination, detailed in Table 3 and illustrated in Figure 4, revealed clear organ-level damage correlating with toxin concentration. The 100% patulin rat (Blue) exhibited darkened intestines and heart, and discolored liver, indicating severe systemic toxicity. These findings echo the work of Puel et al. (2018) and Riley &amp; Norred (2018), who found that patulin induces vascular and hepatic degeneration at high doses.The 80% group (Red) presented with intestinal blotching, consistent with mild hemorrhagic enteritis, while major organs like liver, kidney, and heart appeared normal. Such localized damage supports earlier observations by Huang et al. (2022), who emphasized patulin’s direct impact on the </w:t>
      </w:r>
      <w:r>
        <w:rPr>
          <w:rFonts w:ascii="Times New Roman" w:hAnsi="Times New Roman" w:cs="Times New Roman"/>
          <w:sz w:val="28"/>
          <w:szCs w:val="28"/>
        </w:rPr>
        <w:lastRenderedPageBreak/>
        <w:t>intestinal barrier and its pro-inflammatory effects. 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(2020).In contrast, the 50% group (Black) had only mild intestinal mottling and no significant abnormalities in liver, kidney, or heart. This suggests that lower doses fall below the acute toxicity threshold, aligning with EFSA (2017) regulatory standards that define 50µg/kg as the safe limit for patulin in food</w:t>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4.2 CONCLUSION</w:t>
      </w:r>
    </w:p>
    <w:p w:rsidR="00266C77" w:rsidRDefault="00266C77" w:rsidP="00266C77">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rsidR="00266C77" w:rsidRDefault="00266C77" w:rsidP="00266C77">
      <w:pPr>
        <w:spacing w:line="480" w:lineRule="auto"/>
        <w:jc w:val="both"/>
        <w:rPr>
          <w:rFonts w:ascii="Times New Roman" w:hAnsi="Times New Roman" w:cs="Times New Roman"/>
          <w:sz w:val="28"/>
          <w:szCs w:val="28"/>
        </w:rPr>
      </w:pPr>
    </w:p>
    <w:p w:rsidR="00266C77" w:rsidRDefault="00266C77" w:rsidP="00266C77">
      <w:pPr>
        <w:tabs>
          <w:tab w:val="left" w:pos="3444"/>
        </w:tabs>
        <w:spacing w:line="480" w:lineRule="auto"/>
        <w:jc w:val="both"/>
        <w:rPr>
          <w:rFonts w:ascii="Times New Roman" w:hAnsi="Times New Roman" w:cs="Times New Roman"/>
          <w:sz w:val="28"/>
          <w:szCs w:val="28"/>
        </w:rPr>
      </w:pPr>
    </w:p>
    <w:p w:rsidR="00266C77" w:rsidRDefault="00266C77" w:rsidP="00266C77">
      <w:pPr>
        <w:tabs>
          <w:tab w:val="left" w:pos="3444"/>
        </w:tabs>
        <w:spacing w:line="480" w:lineRule="auto"/>
        <w:jc w:val="both"/>
        <w:rPr>
          <w:rFonts w:ascii="Times New Roman" w:hAnsi="Times New Roman" w:cs="Times New Roman"/>
          <w:sz w:val="28"/>
          <w:szCs w:val="28"/>
        </w:rPr>
      </w:pPr>
    </w:p>
    <w:p w:rsidR="00266C77" w:rsidRDefault="00266C77" w:rsidP="00266C77">
      <w:pPr>
        <w:spacing w:line="240" w:lineRule="auto"/>
        <w:jc w:val="center"/>
        <w:rPr>
          <w:rFonts w:ascii="Times New Roman" w:hAnsi="Times New Roman" w:cs="Times New Roman"/>
          <w:sz w:val="28"/>
          <w:szCs w:val="28"/>
        </w:rPr>
      </w:pPr>
      <w:r w:rsidRPr="00D10ECF">
        <w:rPr>
          <w:rFonts w:ascii="Times New Roman" w:hAnsi="Times New Roman" w:cs="Times New Roman"/>
          <w:b/>
          <w:sz w:val="28"/>
          <w:szCs w:val="28"/>
        </w:rPr>
        <w:lastRenderedPageBreak/>
        <w:t>REFERENCES</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Alshannaq, A., &amp; Yu, J. H. (2017). Occurrence, toxicity, and analysis of major mycotoxins in food. International Journal of Environmental Research and Public Health, 14(6), 632.</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Anderson, N. M., Lin, K., &amp; Zhang, B. (2017). Fungal contamination of fruits and its impact on food safety: A review. Food Microbiology, 68, 1-10</w:t>
      </w:r>
    </w:p>
    <w:p w:rsidR="00266C77" w:rsidRPr="008B4208"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Bonfante, P., &amp; Genre, A. (2018). The arbuscular mycorrhizal symbiosis: Origin and evolution of a beneficial plant-fungal interaction. Fungal Biology Reviews, 32(4), 193–205.</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Drusch, S., &amp; Ragab, W. (2021). Stability of patulin in fruit juice processing and storage. Journal of Food Science and Technology, 58(4), 1550-1563.</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Escobar, I. E., Lopes, J. M., Muthukrishnan, G., Smith, H., Hernandez, C., &amp; Dandekar, A. A. (2020). The role of enterotoxins in Staphylococcus aureus pathogenesis and host immune response. Infection and Immunity, 88(10), e00354-20. https://doi.org/10.1128/IAI.00354-20</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Eskola, M., Kos, G., Elliott, C. T., Hajšlová, J., Mayar, S., &amp; Krska, R. (2020). Worldwide contamination of food-crops with mycotoxins: Validity of the widely cited ‘FAO estimate’ of 25%. Critical Reviews in Food Science and Nutrition, 60(16), 2773-2789.</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Flajs, D., &amp; Peraica, M. (2019). Mycotoxins in food: Detection, monitoring, and detoxification. Toxins, 11(6), 328.</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Forneris, L., Ruiz, M. J., &amp; Juan-García, A. (2022). Trichothecenes mycotoxins: Biomonitoring and human exposure. Toxins, 14(5), 337.</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Gonçalves, M., Wisecaver, J. H., Kominek, J., &amp; Shen, X. X. (2020). Evolution of chitin metabolism pathways in fungi. Genome Biology and Evolution, 12(5), 1017–1035</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Hayes, A. W., Phillips, T. D., Williams, W. L., &amp; Ciegler, A. (1979). Acute toxicity of patulin in mice and rats. Toxicology, 13(1), 91–100. </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Houbraken, J., Kocsubé, S., Visagie, C. M., Yilmaz, N., &amp; Frisvad, J. C. (2020). Classification of Penicillium and Aspergillus: Historical overview and current status. Studies in Mycology, 95, 5–10</w:t>
      </w:r>
    </w:p>
    <w:p w:rsidR="00266C77" w:rsidRPr="00A17BDB"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Hyde, K. D., Xu, J., Rapior, S., Jeewon, R., &amp; Lumyong, S. (2019). The amazing potential of fungi: 50 ways we can exploit fungi industrially. Fungal Diversity, 97(1), 1–136</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Kumar, S., Kaushik, N., Proffitt, E., &amp; Mehrotra, R. (2021). Fungal ecology and diversity in changing environments. Environmental Microbiology Reports, 13(1), 19–35.</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Li, S., Wang, X., Liu, J., Yang, Y., Zhang, H., &amp; Xu, Y. (2020). Molecular characterization and toxin gene profiling of Staphylococcus aureus isolated from food and clinical samples. Microbial Pathogenesis, 149, 104522</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Longcore, J. E., Pessier, A. P., &amp; Nichols, D. K. (2019). Batrachochytrium dendrobatidis: A fungus linked to global amphibian declines. Journal of Wildlife Diseases, 55(3), 454–469.</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Marin, S., Ramos, A. J., Cano-Sancho, G., &amp; Sanchis, V. (2021). Mycotoxins: Occurrence, toxicology, and exposure assessment. Food and Chemical Toxicology, 157, 112603.</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McKinley, E. R., Carlton, W. W., &amp; Boon, G. D. (1982). Patulin mycotoxicosis in the rat: Toxicology, pathology and clinical pathology. Food and Chemical Toxicology, 20(3), 289–300. </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Moake, M. M., Padilla-Zakour, O. I., &amp; Worobo, R. W. (2020). Food safety implications of patulin in apple juice. Comprehensive Reviews in Food Science and Food Safety, 19(3), 1532-1547.</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Munkvold, G. P., Ariño, A., &amp; Mahuku, G. (2019). Fumonisins and their implications in plant disease and food safety. Toxins, 11(6), 328.</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Naranjo-Ortiz, M. A., &amp; Gabaldón, T. (2019). Fungal evolution: Diversity, taxonomy, and phylogeny of the Fungi. Biological Reviews, 94(6), 2101–2137.</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Petzinger, E., &amp; Weidenbach, A. (2021). Ochratoxin A: Its impact on the human kidney and approaches to reduce its contamination in food. Journal of Toxicology, 2021, 8850476.</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Pfohl-Leszkowicz, A., &amp; Manderville, R. A. (2020). Molecular mechanisms   of patulin toxicity and its impact on DNA integrity. Toxicology Reports, 7, 798-810.</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Puel, O., Galtier, P., &amp; Oswald, I. P. (2010). Biosynthesis and toxicological effects of patulin. Toxins, 2(4), 613–631. </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Puel, O., Galtier, P., &amp; Oswald, I. P. (2018). Biosynthesis and toxicological effects of patulin. Toxins, 10(10), 406.</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Riley, L. W., &amp; Norreed, A. T. (2018). Staphylococcus aureus: Pathogenesis, epidemiology, and clinical manifestations. Journal of Clinical Microbiology, 56(4), e00215-18. </w:t>
      </w:r>
      <w:hyperlink r:id="rId17" w:history="1">
        <w:r>
          <w:rPr>
            <w:rStyle w:val="Hyperlink"/>
            <w:rFonts w:ascii="Times New Roman" w:hAnsi="Times New Roman" w:cs="Times New Roman"/>
            <w:sz w:val="28"/>
            <w:szCs w:val="28"/>
          </w:rPr>
          <w:t>https://doi.org/10.1128/JCM.00215-18</w:t>
        </w:r>
      </w:hyperlink>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Smith, M. C., Madec, S., Coton, E., &amp; Hymery, N. (2021). Natural co-occurrence of mycotoxins in foods and feeds and their in vitro combined toxicological effects. Toxins, 13(1), 30</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Spatafora, J. W., Chang, Y., Benny, G. L., Lazarus, K., &amp; Smith, M. E. (2018). A phylum-level phylogenetic classification of fungi. Mycologia, 110(1), 1–12.</w:t>
      </w:r>
    </w:p>
    <w:p w:rsidR="00266C77" w:rsidRDefault="00266C77" w:rsidP="00266C77">
      <w:pPr>
        <w:spacing w:line="240" w:lineRule="auto"/>
        <w:ind w:left="720" w:hanging="720"/>
        <w:jc w:val="both"/>
        <w:rPr>
          <w:rFonts w:ascii="Times New Roman" w:hAnsi="Times New Roman" w:cs="Times New Roman"/>
          <w:sz w:val="28"/>
          <w:szCs w:val="28"/>
        </w:rPr>
      </w:pP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Speijers, G. J. A., Franken, M. A. M., Van Leeuwen, F. X. R., &amp; Van Egmond, H. P. (1986). Subchronic oral toxicity study of patulin in the rat. Rijksinstituut voor Volksgezondheid en Milieuhygiëne, Report no. 618314 001.</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Tannous, J., El Khoury, R., &amp; Atoui, A. (2017). Patulin biosynthesis and regulation in Penicillium expansum: A review. Microorganisms, 5(4), 49.</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Turner, N. W., Subrahmanyam, S., &amp; Piletsky, S. A. (2019). Analytical methods for detection of patulin in food. Analytical and Bioanalytical Chemistry, 411(12), 2531-2545.</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Vanhoutte, I., Audenaert, K., &amp; De Gelder, L. (2017). Biocontrol of patulin-producing Penicillium expansum with antagonistic microorganisms in post-harvest apples. International Journal of Food Microbiology, 246, 31-39.</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18" w:history="1">
        <w:r>
          <w:rPr>
            <w:rStyle w:val="Hyperlink"/>
            <w:rFonts w:ascii="Times New Roman" w:hAnsi="Times New Roman" w:cs="Times New Roman"/>
            <w:sz w:val="28"/>
            <w:szCs w:val="28"/>
          </w:rPr>
          <w:t>https://doi.org/10.1016/j.foodcont.2020.107164</w:t>
        </w:r>
      </w:hyperlink>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Wu, S., Duan, N., Gu, H., Hao, L., Ye, H., &amp; Wang, Z. (2019). A comprehensive review on Staphylococcus aureus enterotoxins: Production, detection, and </w:t>
      </w:r>
      <w:r>
        <w:rPr>
          <w:rFonts w:ascii="Times New Roman" w:hAnsi="Times New Roman" w:cs="Times New Roman"/>
          <w:sz w:val="28"/>
          <w:szCs w:val="28"/>
        </w:rPr>
        <w:lastRenderedPageBreak/>
        <w:t xml:space="preserve">regulatory mechanisms. Critical Reviews in Food Science and Nutrition, 59(3), 373–386. </w:t>
      </w:r>
      <w:hyperlink r:id="rId19" w:history="1">
        <w:r>
          <w:rPr>
            <w:rStyle w:val="Hyperlink"/>
            <w:rFonts w:ascii="Times New Roman" w:hAnsi="Times New Roman" w:cs="Times New Roman"/>
            <w:sz w:val="28"/>
            <w:szCs w:val="28"/>
          </w:rPr>
          <w:t>https://doi.org/10.1080/10408398.2017.1372412</w:t>
        </w:r>
      </w:hyperlink>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Zain, M. E. (2020). Impact of mycotoxins on humans and animals. Toxicology Research, 9(1), 1–16</w:t>
      </w:r>
    </w:p>
    <w:p w:rsidR="00266C77"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Zervakis, G. I., Venturella, G., &amp; Papazi, A. (2019). Edible and medicinal mushrooms: Importance, taxonomy, and production. International Journal of Medicinal Mushrooms, 21(1), 1–16.</w:t>
      </w:r>
    </w:p>
    <w:p w:rsidR="00266C77" w:rsidRPr="00EC2D00" w:rsidRDefault="00266C77" w:rsidP="00266C7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K., Zhang, L., Pan, L., &amp; Zhang, W. (2021). A review of mycotoxin detection techniques in food. Food Chemistry, 353, 12944.</w:t>
      </w:r>
    </w:p>
    <w:p w:rsidR="00266C77" w:rsidRDefault="00266C77">
      <w:bookmarkStart w:id="1" w:name="_GoBack"/>
      <w:bookmarkEnd w:id="1"/>
    </w:p>
    <w:sectPr w:rsidR="00266C77" w:rsidSect="00CF2E2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85C" w:rsidRDefault="0089085C" w:rsidP="00CF2E2C">
      <w:pPr>
        <w:spacing w:after="0" w:line="240" w:lineRule="auto"/>
      </w:pPr>
      <w:r>
        <w:separator/>
      </w:r>
    </w:p>
  </w:endnote>
  <w:endnote w:type="continuationSeparator" w:id="0">
    <w:p w:rsidR="0089085C" w:rsidRDefault="0089085C" w:rsidP="00CF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779894"/>
      <w:docPartObj>
        <w:docPartGallery w:val="Page Numbers (Bottom of Page)"/>
        <w:docPartUnique/>
      </w:docPartObj>
    </w:sdtPr>
    <w:sdtEndPr>
      <w:rPr>
        <w:noProof/>
      </w:rPr>
    </w:sdtEndPr>
    <w:sdtContent>
      <w:p w:rsidR="00CF2E2C" w:rsidRDefault="00CF2E2C">
        <w:pPr>
          <w:pStyle w:val="Footer"/>
          <w:jc w:val="center"/>
        </w:pPr>
        <w:r>
          <w:fldChar w:fldCharType="begin"/>
        </w:r>
        <w:r>
          <w:instrText xml:space="preserve"> PAGE   \* MERGEFORMAT </w:instrText>
        </w:r>
        <w:r>
          <w:fldChar w:fldCharType="separate"/>
        </w:r>
        <w:r w:rsidR="00B204E0">
          <w:rPr>
            <w:noProof/>
          </w:rPr>
          <w:t>20</w:t>
        </w:r>
        <w:r>
          <w:rPr>
            <w:noProof/>
          </w:rPr>
          <w:fldChar w:fldCharType="end"/>
        </w:r>
      </w:p>
    </w:sdtContent>
  </w:sdt>
  <w:p w:rsidR="00CF2E2C" w:rsidRDefault="00CF2E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85C" w:rsidRDefault="0089085C" w:rsidP="00CF2E2C">
      <w:pPr>
        <w:spacing w:after="0" w:line="240" w:lineRule="auto"/>
      </w:pPr>
      <w:r>
        <w:separator/>
      </w:r>
    </w:p>
  </w:footnote>
  <w:footnote w:type="continuationSeparator" w:id="0">
    <w:p w:rsidR="0089085C" w:rsidRDefault="0089085C" w:rsidP="00CF2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65713"/>
    <w:multiLevelType w:val="multilevel"/>
    <w:tmpl w:val="81A6439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C8"/>
    <w:rsid w:val="00266C77"/>
    <w:rsid w:val="00341F0B"/>
    <w:rsid w:val="006D140C"/>
    <w:rsid w:val="008579EF"/>
    <w:rsid w:val="0089085C"/>
    <w:rsid w:val="00A27DC8"/>
    <w:rsid w:val="00B204E0"/>
    <w:rsid w:val="00CF2E2C"/>
    <w:rsid w:val="00F9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5E70"/>
  <w15:chartTrackingRefBased/>
  <w15:docId w15:val="{8F1D9829-1658-4BD9-88B0-FD1E106C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7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7DC8"/>
  </w:style>
  <w:style w:type="paragraph" w:styleId="ListParagraph">
    <w:name w:val="List Paragraph"/>
    <w:basedOn w:val="Normal"/>
    <w:uiPriority w:val="34"/>
    <w:qFormat/>
    <w:rsid w:val="00266C77"/>
    <w:pPr>
      <w:spacing w:line="278" w:lineRule="auto"/>
      <w:ind w:left="720"/>
      <w:contextualSpacing/>
    </w:pPr>
    <w:rPr>
      <w:rFonts w:eastAsiaTheme="minorEastAsia"/>
      <w:kern w:val="2"/>
      <w:sz w:val="24"/>
      <w:szCs w:val="24"/>
    </w:rPr>
  </w:style>
  <w:style w:type="character" w:styleId="Emphasis">
    <w:name w:val="Emphasis"/>
    <w:basedOn w:val="DefaultParagraphFont"/>
    <w:uiPriority w:val="20"/>
    <w:qFormat/>
    <w:rsid w:val="00266C77"/>
    <w:rPr>
      <w:i/>
      <w:iCs/>
    </w:rPr>
  </w:style>
  <w:style w:type="table" w:styleId="TableGrid">
    <w:name w:val="Table Grid"/>
    <w:basedOn w:val="TableNormal"/>
    <w:uiPriority w:val="39"/>
    <w:rsid w:val="00266C77"/>
    <w:pPr>
      <w:spacing w:after="0" w:line="240" w:lineRule="auto"/>
    </w:pPr>
    <w:rPr>
      <w:rFonts w:eastAsiaTheme="minor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C77"/>
    <w:rPr>
      <w:color w:val="0563C1" w:themeColor="hyperlink"/>
      <w:u w:val="single"/>
    </w:rPr>
  </w:style>
  <w:style w:type="paragraph" w:styleId="Header">
    <w:name w:val="header"/>
    <w:basedOn w:val="Normal"/>
    <w:link w:val="HeaderChar"/>
    <w:uiPriority w:val="99"/>
    <w:unhideWhenUsed/>
    <w:rsid w:val="00CF2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2C"/>
  </w:style>
  <w:style w:type="paragraph" w:styleId="Footer">
    <w:name w:val="footer"/>
    <w:basedOn w:val="Normal"/>
    <w:link w:val="FooterChar"/>
    <w:uiPriority w:val="99"/>
    <w:unhideWhenUsed/>
    <w:rsid w:val="00CF2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8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doi.org/10.1016/j.foodcont.2020.1071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yperlink" Target="https://doi.org/10.1128/JCM.00215-18"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s://doi.org/10.1080/10408398.2017.137241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50-4D92-96D4-D04E7E38CC5A}"/>
                </c:ext>
              </c:extLst>
            </c:dLbl>
            <c:dLbl>
              <c:idx val="1"/>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50-4D92-96D4-D04E7E38CC5A}"/>
                </c:ext>
              </c:extLst>
            </c:dLbl>
            <c:dLbl>
              <c:idx val="2"/>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50-4D92-96D4-D04E7E38CC5A}"/>
                </c:ext>
              </c:extLst>
            </c:dLbl>
            <c:dLbl>
              <c:idx val="3"/>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50-4D92-96D4-D04E7E38CC5A}"/>
                </c:ext>
              </c:extLst>
            </c:dLbl>
            <c:dLbl>
              <c:idx val="4"/>
              <c:tx>
                <c:rich>
                  <a:bodyPr/>
                  <a:lstStyle/>
                  <a:p>
                    <a:r>
                      <a:rPr lang="en-US"/>
                      <a:t>128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50-4D92-96D4-D04E7E38CC5A}"/>
                </c:ext>
              </c:extLst>
            </c:dLbl>
            <c:dLbl>
              <c:idx val="5"/>
              <c:tx>
                <c:rich>
                  <a:bodyPr/>
                  <a:lstStyle/>
                  <a:p>
                    <a:r>
                      <a:rPr lang="en-US"/>
                      <a:t>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50-4D92-96D4-D04E7E38CC5A}"/>
                </c:ext>
              </c:extLst>
            </c:dLbl>
            <c:dLbl>
              <c:idx val="6"/>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50-4D92-96D4-D04E7E38CC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c:ext xmlns:c16="http://schemas.microsoft.com/office/drawing/2014/chart" uri="{C3380CC4-5D6E-409C-BE32-E72D297353CC}">
              <c16:uniqueId val="{00000007-CA50-4D92-96D4-D04E7E38CC5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50-4D92-96D4-D04E7E38CC5A}"/>
                </c:ext>
              </c:extLst>
            </c:dLbl>
            <c:dLbl>
              <c:idx val="1"/>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50-4D92-96D4-D04E7E38CC5A}"/>
                </c:ext>
              </c:extLst>
            </c:dLbl>
            <c:dLbl>
              <c:idx val="2"/>
              <c:tx>
                <c:rich>
                  <a:bodyPr/>
                  <a:lstStyle/>
                  <a:p>
                    <a:r>
                      <a:rPr lang="en-US"/>
                      <a:t>107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50-4D92-96D4-D04E7E38CC5A}"/>
                </c:ext>
              </c:extLst>
            </c:dLbl>
            <c:dLbl>
              <c:idx val="3"/>
              <c:tx>
                <c:rich>
                  <a:bodyPr/>
                  <a:lstStyle/>
                  <a:p>
                    <a:r>
                      <a:rPr lang="en-US"/>
                      <a:t>106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50-4D92-96D4-D04E7E38CC5A}"/>
                </c:ext>
              </c:extLst>
            </c:dLbl>
            <c:dLbl>
              <c:idx val="4"/>
              <c:tx>
                <c:rich>
                  <a:bodyPr/>
                  <a:lstStyle/>
                  <a:p>
                    <a:r>
                      <a:rPr lang="en-US"/>
                      <a:t>104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50-4D92-96D4-D04E7E38CC5A}"/>
                </c:ext>
              </c:extLst>
            </c:dLbl>
            <c:dLbl>
              <c:idx val="5"/>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50-4D92-96D4-D04E7E38CC5A}"/>
                </c:ext>
              </c:extLst>
            </c:dLbl>
            <c:dLbl>
              <c:idx val="6"/>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50-4D92-96D4-D04E7E38CC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c:ext xmlns:c16="http://schemas.microsoft.com/office/drawing/2014/chart" uri="{C3380CC4-5D6E-409C-BE32-E72D297353CC}">
              <c16:uniqueId val="{0000000F-CA50-4D92-96D4-D04E7E38CC5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A50-4D92-96D4-D04E7E38CC5A}"/>
                </c:ext>
              </c:extLst>
            </c:dLbl>
            <c:dLbl>
              <c:idx val="1"/>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50-4D92-96D4-D04E7E38CC5A}"/>
                </c:ext>
              </c:extLst>
            </c:dLbl>
            <c:dLbl>
              <c:idx val="2"/>
              <c:tx>
                <c:rich>
                  <a:bodyPr/>
                  <a:lstStyle/>
                  <a:p>
                    <a:r>
                      <a:rPr lang="en-US"/>
                      <a:t>138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50-4D92-96D4-D04E7E38CC5A}"/>
                </c:ext>
              </c:extLst>
            </c:dLbl>
            <c:dLbl>
              <c:idx val="3"/>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50-4D92-96D4-D04E7E38CC5A}"/>
                </c:ext>
              </c:extLst>
            </c:dLbl>
            <c:dLbl>
              <c:idx val="4"/>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A50-4D92-96D4-D04E7E38CC5A}"/>
                </c:ext>
              </c:extLst>
            </c:dLbl>
            <c:dLbl>
              <c:idx val="5"/>
              <c:tx>
                <c:rich>
                  <a:bodyPr/>
                  <a:lstStyle/>
                  <a:p>
                    <a:r>
                      <a:rPr lang="en-US"/>
                      <a:t>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50-4D92-96D4-D04E7E38CC5A}"/>
                </c:ext>
              </c:extLst>
            </c:dLbl>
            <c:dLbl>
              <c:idx val="6"/>
              <c:tx>
                <c:rich>
                  <a:bodyPr/>
                  <a:lstStyle/>
                  <a:p>
                    <a:r>
                      <a:rPr lang="en-US"/>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A50-4D92-96D4-D04E7E38CC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c:ext xmlns:c16="http://schemas.microsoft.com/office/drawing/2014/chart" uri="{C3380CC4-5D6E-409C-BE32-E72D297353CC}">
              <c16:uniqueId val="{00000017-CA50-4D92-96D4-D04E7E38CC5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A50-4D92-96D4-D04E7E38CC5A}"/>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A50-4D92-96D4-D04E7E38CC5A}"/>
                </c:ext>
              </c:extLst>
            </c:dLbl>
            <c:dLbl>
              <c:idx val="2"/>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A50-4D92-96D4-D04E7E38CC5A}"/>
                </c:ext>
              </c:extLst>
            </c:dLbl>
            <c:dLbl>
              <c:idx val="3"/>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A50-4D92-96D4-D04E7E38CC5A}"/>
                </c:ext>
              </c:extLst>
            </c:dLbl>
            <c:dLbl>
              <c:idx val="4"/>
              <c:tx>
                <c:rich>
                  <a:bodyPr/>
                  <a:lstStyle/>
                  <a:p>
                    <a:r>
                      <a:rPr lang="en-US"/>
                      <a:t>123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A50-4D92-96D4-D04E7E38CC5A}"/>
                </c:ext>
              </c:extLst>
            </c:dLbl>
            <c:dLbl>
              <c:idx val="5"/>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A50-4D92-96D4-D04E7E38CC5A}"/>
                </c:ext>
              </c:extLst>
            </c:dLbl>
            <c:dLbl>
              <c:idx val="6"/>
              <c:tx>
                <c:rich>
                  <a:bodyPr/>
                  <a:lstStyle/>
                  <a:p>
                    <a:r>
                      <a:rPr lang="en-US"/>
                      <a:t>121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A50-4D92-96D4-D04E7E38CC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c:ext xmlns:c16="http://schemas.microsoft.com/office/drawing/2014/chart" uri="{C3380CC4-5D6E-409C-BE32-E72D297353CC}">
              <c16:uniqueId val="{0000001F-CA50-4D92-96D4-D04E7E38CC5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A50-4D92-96D4-D04E7E38CC5A}"/>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A50-4D92-96D4-D04E7E38CC5A}"/>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A50-4D92-96D4-D04E7E38CC5A}"/>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A50-4D92-96D4-D04E7E38CC5A}"/>
                </c:ext>
              </c:extLst>
            </c:dLbl>
            <c:dLbl>
              <c:idx val="4"/>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A50-4D92-96D4-D04E7E38CC5A}"/>
                </c:ext>
              </c:extLst>
            </c:dLbl>
            <c:dLbl>
              <c:idx val="5"/>
              <c:tx>
                <c:rich>
                  <a:bodyPr/>
                  <a:lstStyle/>
                  <a:p>
                    <a:r>
                      <a:rPr lang="en-US"/>
                      <a:t>162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CA50-4D92-96D4-D04E7E38CC5A}"/>
                </c:ext>
              </c:extLst>
            </c:dLbl>
            <c:dLbl>
              <c:idx val="6"/>
              <c:tx>
                <c:rich>
                  <a:bodyPr/>
                  <a:lstStyle/>
                  <a:p>
                    <a:r>
                      <a:rPr lang="en-US"/>
                      <a:t>163.5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CA50-4D92-96D4-D04E7E38CC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6.3599999999999994</c:v>
                </c:pt>
              </c:numCache>
            </c:numRef>
          </c:val>
          <c:extLst>
            <c:ext xmlns:c16="http://schemas.microsoft.com/office/drawing/2014/chart" uri="{C3380CC4-5D6E-409C-BE32-E72D297353CC}">
              <c16:uniqueId val="{00000027-CA50-4D92-96D4-D04E7E38CC5A}"/>
            </c:ext>
          </c:extLst>
        </c:ser>
        <c:dLbls>
          <c:showLegendKey val="0"/>
          <c:showVal val="1"/>
          <c:showCatName val="0"/>
          <c:showSerName val="0"/>
          <c:showPercent val="0"/>
          <c:showBubbleSize val="0"/>
        </c:dLbls>
        <c:gapWidth val="219"/>
        <c:overlap val="-27"/>
        <c:axId val="93990272"/>
        <c:axId val="104604800"/>
      </c:barChart>
      <c:catAx>
        <c:axId val="9399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604800"/>
        <c:crosses val="autoZero"/>
        <c:auto val="1"/>
        <c:lblAlgn val="ctr"/>
        <c:lblOffset val="100"/>
        <c:noMultiLvlLbl val="0"/>
      </c:catAx>
      <c:valAx>
        <c:axId val="10460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9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5E-6"/>
        </c:manualLayout>
      </c:layout>
      <c:overlay val="0"/>
    </c:title>
    <c:autoTitleDeleted val="0"/>
    <c:plotArea>
      <c:layout>
        <c:manualLayout>
          <c:layoutTarget val="inner"/>
          <c:xMode val="edge"/>
          <c:yMode val="edge"/>
          <c:x val="6.070793234179063E-2"/>
          <c:y val="0.16656761654793154"/>
          <c:w val="0.92077354913969089"/>
          <c:h val="0.39558242719660053"/>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c:ext xmlns:c16="http://schemas.microsoft.com/office/drawing/2014/chart" uri="{C3380CC4-5D6E-409C-BE32-E72D297353CC}">
              <c16:uniqueId val="{00000000-2FE8-4C59-9570-33CFC68EDA80}"/>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c:ext xmlns:c16="http://schemas.microsoft.com/office/drawing/2014/chart" uri="{C3380CC4-5D6E-409C-BE32-E72D297353CC}">
              <c16:uniqueId val="{00000001-2FE8-4C59-9570-33CFC68EDA80}"/>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c:ext xmlns:c16="http://schemas.microsoft.com/office/drawing/2014/chart" uri="{C3380CC4-5D6E-409C-BE32-E72D297353CC}">
              <c16:uniqueId val="{00000002-2FE8-4C59-9570-33CFC68EDA80}"/>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c:ext xmlns:c16="http://schemas.microsoft.com/office/drawing/2014/chart" uri="{C3380CC4-5D6E-409C-BE32-E72D297353CC}">
              <c16:uniqueId val="{00000003-2FE8-4C59-9570-33CFC68EDA80}"/>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2FE8-4C59-9570-33CFC68EDA80}"/>
            </c:ext>
          </c:extLst>
        </c:ser>
        <c:dLbls>
          <c:showLegendKey val="0"/>
          <c:showVal val="0"/>
          <c:showCatName val="0"/>
          <c:showSerName val="0"/>
          <c:showPercent val="0"/>
          <c:showBubbleSize val="0"/>
        </c:dLbls>
        <c:gapWidth val="305"/>
        <c:overlap val="-25"/>
        <c:axId val="104771968"/>
        <c:axId val="104773504"/>
      </c:barChart>
      <c:catAx>
        <c:axId val="104771968"/>
        <c:scaling>
          <c:orientation val="minMax"/>
        </c:scaling>
        <c:delete val="0"/>
        <c:axPos val="b"/>
        <c:numFmt formatCode="General" sourceLinked="0"/>
        <c:majorTickMark val="none"/>
        <c:minorTickMark val="none"/>
        <c:tickLblPos val="nextTo"/>
        <c:crossAx val="104773504"/>
        <c:crosses val="autoZero"/>
        <c:auto val="1"/>
        <c:lblAlgn val="ctr"/>
        <c:lblOffset val="100"/>
        <c:noMultiLvlLbl val="0"/>
      </c:catAx>
      <c:valAx>
        <c:axId val="104773504"/>
        <c:scaling>
          <c:orientation val="minMax"/>
        </c:scaling>
        <c:delete val="0"/>
        <c:axPos val="l"/>
        <c:majorGridlines/>
        <c:numFmt formatCode="General" sourceLinked="1"/>
        <c:majorTickMark val="none"/>
        <c:minorTickMark val="none"/>
        <c:tickLblPos val="nextTo"/>
        <c:spPr>
          <a:ln w="12700">
            <a:noFill/>
          </a:ln>
        </c:spPr>
        <c:crossAx val="104771968"/>
        <c:crosses val="autoZero"/>
        <c:crossBetween val="between"/>
      </c:valAx>
    </c:plotArea>
    <c:legend>
      <c:legendPos val="b"/>
      <c:layout>
        <c:manualLayout>
          <c:xMode val="edge"/>
          <c:yMode val="edge"/>
          <c:x val="0.11427949110527851"/>
          <c:y val="0.66814898137732781"/>
          <c:w val="0.86171861329833777"/>
          <c:h val="0.1453430821147357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40</Pages>
  <Words>6372</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4</cp:revision>
  <dcterms:created xsi:type="dcterms:W3CDTF">2025-09-23T14:26:00Z</dcterms:created>
  <dcterms:modified xsi:type="dcterms:W3CDTF">2025-09-23T14:50:00Z</dcterms:modified>
</cp:coreProperties>
</file>