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0B9F3421" w:rsidR="00B6560E" w:rsidRDefault="0092444A"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OLADOSU DUPE FOLASAYO</w:t>
      </w:r>
    </w:p>
    <w:p w14:paraId="2041257D" w14:textId="09530D6D" w:rsidR="00B6560E" w:rsidRDefault="005F0D18"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w:t>
      </w:r>
      <w:r w:rsidR="0092444A">
        <w:rPr>
          <w:rFonts w:ascii="Times New Roman" w:hAnsi="Times New Roman" w:cs="Times New Roman"/>
          <w:b/>
          <w:bCs/>
          <w:sz w:val="28"/>
          <w:szCs w:val="28"/>
        </w:rPr>
        <w:t>P</w:t>
      </w:r>
      <w:r>
        <w:rPr>
          <w:rFonts w:ascii="Times New Roman" w:hAnsi="Times New Roman" w:cs="Times New Roman"/>
          <w:b/>
          <w:bCs/>
          <w:sz w:val="28"/>
          <w:szCs w:val="28"/>
        </w:rPr>
        <w:t>T/</w:t>
      </w:r>
      <w:r w:rsidR="0092444A">
        <w:rPr>
          <w:rFonts w:ascii="Times New Roman" w:hAnsi="Times New Roman" w:cs="Times New Roman"/>
          <w:b/>
          <w:bCs/>
          <w:sz w:val="28"/>
          <w:szCs w:val="28"/>
        </w:rPr>
        <w:t>0895</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18FCAD5F"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NATIONAL DIPLOMA (ND)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182008B6"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537736">
        <w:rPr>
          <w:rFonts w:ascii="Times New Roman" w:hAnsi="Times New Roman" w:cs="Times New Roman"/>
          <w:sz w:val="24"/>
          <w:szCs w:val="24"/>
        </w:rPr>
        <w:t>OLADOSU DUPE FOLASAYO with M</w:t>
      </w:r>
      <w:r w:rsidRPr="00A14BE5">
        <w:rPr>
          <w:rFonts w:ascii="Times New Roman" w:hAnsi="Times New Roman" w:cs="Times New Roman"/>
          <w:sz w:val="24"/>
          <w:szCs w:val="24"/>
        </w:rPr>
        <w:t xml:space="preserve">atric number </w:t>
      </w:r>
      <w:r w:rsidR="00C1441E" w:rsidRPr="00A14BE5">
        <w:rPr>
          <w:rFonts w:ascii="Times New Roman" w:hAnsi="Times New Roman" w:cs="Times New Roman"/>
          <w:sz w:val="24"/>
          <w:szCs w:val="24"/>
        </w:rPr>
        <w:t>ND/23/SLT/</w:t>
      </w:r>
      <w:r w:rsidR="00537736">
        <w:rPr>
          <w:rFonts w:ascii="Times New Roman" w:hAnsi="Times New Roman" w:cs="Times New Roman"/>
          <w:sz w:val="24"/>
          <w:szCs w:val="24"/>
        </w:rPr>
        <w:t>P</w:t>
      </w:r>
      <w:r w:rsidR="00C1441E" w:rsidRPr="00A14BE5">
        <w:rPr>
          <w:rFonts w:ascii="Times New Roman" w:hAnsi="Times New Roman" w:cs="Times New Roman"/>
          <w:sz w:val="24"/>
          <w:szCs w:val="24"/>
        </w:rPr>
        <w:t>T/</w:t>
      </w:r>
      <w:r w:rsidR="00537736">
        <w:rPr>
          <w:rFonts w:ascii="Times New Roman" w:hAnsi="Times New Roman" w:cs="Times New Roman"/>
          <w:sz w:val="24"/>
          <w:szCs w:val="24"/>
        </w:rPr>
        <w:t>0895</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National Diploma (ND) in Science Laboratory Technology.</w:t>
      </w:r>
    </w:p>
    <w:p w14:paraId="2B6302D2" w14:textId="317BCE9A" w:rsidR="00B6560E" w:rsidRDefault="00B6560E" w:rsidP="00B6560E">
      <w:pPr>
        <w:rPr>
          <w:rFonts w:ascii="Times New Roman" w:hAnsi="Times New Roman" w:cs="Times New Roman"/>
          <w:sz w:val="24"/>
          <w:szCs w:val="24"/>
        </w:rPr>
      </w:pPr>
    </w:p>
    <w:p w14:paraId="75B1A882" w14:textId="3B9A76C4" w:rsidR="008C1835" w:rsidRDefault="008C1835" w:rsidP="00B6560E">
      <w:pPr>
        <w:rPr>
          <w:rFonts w:ascii="Times New Roman" w:hAnsi="Times New Roman" w:cs="Times New Roman"/>
          <w:sz w:val="24"/>
          <w:szCs w:val="24"/>
        </w:rPr>
      </w:pPr>
    </w:p>
    <w:p w14:paraId="2FCB1AA4" w14:textId="77777777" w:rsidR="008C1835" w:rsidRPr="00A14BE5" w:rsidRDefault="008C1835"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4D25E29E" w:rsidR="00B6560E" w:rsidRDefault="00B6560E" w:rsidP="00B6560E">
      <w:pPr>
        <w:spacing w:after="0"/>
        <w:ind w:firstLine="284"/>
        <w:rPr>
          <w:rFonts w:ascii="Times New Roman" w:hAnsi="Times New Roman" w:cs="Times New Roman"/>
          <w:sz w:val="26"/>
          <w:szCs w:val="26"/>
        </w:rPr>
      </w:pPr>
    </w:p>
    <w:p w14:paraId="4173A0A3" w14:textId="0BE673DF" w:rsidR="008C1835" w:rsidRDefault="008C1835" w:rsidP="00B6560E">
      <w:pPr>
        <w:spacing w:after="0"/>
        <w:ind w:firstLine="284"/>
        <w:rPr>
          <w:rFonts w:ascii="Times New Roman" w:hAnsi="Times New Roman" w:cs="Times New Roman"/>
          <w:sz w:val="26"/>
          <w:szCs w:val="26"/>
        </w:rPr>
      </w:pPr>
    </w:p>
    <w:p w14:paraId="22F7DFA5" w14:textId="1A4B882C" w:rsidR="008C1835" w:rsidRDefault="008C1835" w:rsidP="00B6560E">
      <w:pPr>
        <w:spacing w:after="0"/>
        <w:ind w:firstLine="284"/>
        <w:rPr>
          <w:rFonts w:ascii="Times New Roman" w:hAnsi="Times New Roman" w:cs="Times New Roman"/>
          <w:sz w:val="26"/>
          <w:szCs w:val="26"/>
        </w:rPr>
      </w:pPr>
    </w:p>
    <w:p w14:paraId="5EB3C18C" w14:textId="77777777" w:rsidR="008C1835" w:rsidRPr="008039B9" w:rsidRDefault="008C1835"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1B8F6E3F"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w:t>
      </w:r>
      <w:r w:rsidR="008C1835">
        <w:rPr>
          <w:rFonts w:ascii="Times New Roman" w:hAnsi="Times New Roman" w:cs="Times New Roman"/>
          <w:sz w:val="26"/>
          <w:szCs w:val="26"/>
        </w:rPr>
        <w:t>MR. LUKMAN, I.A.</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2AB2771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w:t>
      </w:r>
      <w:r w:rsidR="008C1835">
        <w:rPr>
          <w:rFonts w:ascii="Times New Roman" w:hAnsi="Times New Roman" w:cs="Times New Roman"/>
          <w:sz w:val="26"/>
          <w:szCs w:val="26"/>
        </w:rPr>
        <w:t>SLT PT COORDINATOR</w:t>
      </w:r>
      <w:r w:rsidRPr="008039B9">
        <w:rPr>
          <w:rFonts w:ascii="Times New Roman" w:hAnsi="Times New Roman" w:cs="Times New Roman"/>
          <w:sz w:val="26"/>
          <w:szCs w:val="26"/>
        </w:rPr>
        <w:t>)</w:t>
      </w:r>
    </w:p>
    <w:p w14:paraId="6E5EF05C" w14:textId="77777777" w:rsidR="00B6560E" w:rsidRPr="008039B9" w:rsidRDefault="00B6560E" w:rsidP="00B6560E">
      <w:pPr>
        <w:spacing w:after="0"/>
        <w:rPr>
          <w:rFonts w:ascii="Times New Roman" w:hAnsi="Times New Roman" w:cs="Times New Roman"/>
          <w:sz w:val="26"/>
          <w:szCs w:val="26"/>
        </w:rPr>
      </w:pPr>
    </w:p>
    <w:p w14:paraId="6FEEA6A4" w14:textId="1DC9CC76" w:rsidR="008C1835" w:rsidRDefault="008C1835" w:rsidP="00B6560E">
      <w:pPr>
        <w:rPr>
          <w:rFonts w:ascii="Times New Roman" w:hAnsi="Times New Roman" w:cs="Times New Roman"/>
          <w:sz w:val="26"/>
          <w:szCs w:val="26"/>
        </w:rPr>
      </w:pPr>
    </w:p>
    <w:p w14:paraId="086FED65" w14:textId="48F2E9B2" w:rsidR="008C1835" w:rsidRDefault="008C1835" w:rsidP="00B6560E">
      <w:pPr>
        <w:rPr>
          <w:rFonts w:ascii="Times New Roman" w:hAnsi="Times New Roman" w:cs="Times New Roman"/>
          <w:sz w:val="26"/>
          <w:szCs w:val="26"/>
        </w:rPr>
      </w:pPr>
    </w:p>
    <w:p w14:paraId="29FC3FBC" w14:textId="77777777" w:rsidR="008C1835" w:rsidRDefault="008C1835" w:rsidP="00B6560E">
      <w:pPr>
        <w:rPr>
          <w:rFonts w:ascii="Times New Roman" w:hAnsi="Times New Roman" w:cs="Times New Roman"/>
          <w:sz w:val="26"/>
          <w:szCs w:val="26"/>
        </w:rPr>
      </w:pPr>
    </w:p>
    <w:p w14:paraId="4B37F461" w14:textId="7D8B9C0D"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5671C3A9" w14:textId="084C4375" w:rsidR="00B6560E" w:rsidRPr="000B33AB" w:rsidRDefault="00B6560E" w:rsidP="004E1B9E">
      <w:pPr>
        <w:pStyle w:val="Heading1"/>
        <w:spacing w:line="480" w:lineRule="auto"/>
        <w:jc w:val="center"/>
        <w:rPr>
          <w:b w:val="0"/>
        </w:rPr>
      </w:pPr>
      <w:bookmarkStart w:id="2" w:name="_Toc203100985"/>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proofErr w:type="spellStart"/>
      <w:r w:rsidR="00A14BE5" w:rsidRPr="008039B9">
        <w:rPr>
          <w:rFonts w:ascii="Times New Roman" w:eastAsia="Times New Roman" w:hAnsi="Times New Roman" w:cs="Times New Roman"/>
          <w:szCs w:val="24"/>
        </w:rPr>
        <w:t>Programme</w:t>
      </w:r>
      <w:proofErr w:type="spellEnd"/>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A14BE5">
        <w:rPr>
          <w:rFonts w:ascii="Times New Roman" w:eastAsia="Times New Roman" w:hAnsi="Times New Roman" w:cs="Times New Roman"/>
          <w:sz w:val="24"/>
          <w:szCs w:val="24"/>
        </w:rPr>
        <w:t xml:space="preserve">B </w:t>
      </w:r>
      <w:proofErr w:type="gramStart"/>
      <w:r w:rsidR="00A14BE5">
        <w:rPr>
          <w:rFonts w:ascii="Times New Roman" w:eastAsia="Times New Roman" w:hAnsi="Times New Roman" w:cs="Times New Roman"/>
          <w:sz w:val="24"/>
          <w:szCs w:val="24"/>
        </w:rPr>
        <w:t xml:space="preserve">( </w:t>
      </w:r>
      <w:proofErr w:type="spellStart"/>
      <w:r w:rsidR="00A14BE5" w:rsidRPr="00B6560E">
        <w:rPr>
          <w:rFonts w:ascii="Times New Roman" w:eastAsia="Times New Roman" w:hAnsi="Times New Roman" w:cs="Times New Roman"/>
          <w:sz w:val="24"/>
          <w:szCs w:val="24"/>
        </w:rPr>
        <w:t>Mrs</w:t>
      </w:r>
      <w:proofErr w:type="spellEnd"/>
      <w:proofErr w:type="gram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for her invaluable guidance, constructive feedback, and consistent support throughout the course of this project. Her mentorship has greatly enriched my academic journey.</w:t>
      </w:r>
    </w:p>
    <w:p w14:paraId="6F573549" w14:textId="32AF044E"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proofErr w:type="spellStart"/>
      <w:r w:rsidR="00537736">
        <w:rPr>
          <w:rFonts w:ascii="Times New Roman" w:eastAsia="Times New Roman" w:hAnsi="Times New Roman" w:cs="Times New Roman"/>
          <w:sz w:val="24"/>
          <w:szCs w:val="24"/>
        </w:rPr>
        <w:t>Oladosu</w:t>
      </w:r>
      <w:proofErr w:type="spellEnd"/>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D35D1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D35D1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D35D1E"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lastRenderedPageBreak/>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w:t>
      </w:r>
      <w:r w:rsidRPr="007E1E94">
        <w:rPr>
          <w:rFonts w:ascii="Times New Roman" w:eastAsia="Times New Roman" w:hAnsi="Times New Roman" w:cs="Times New Roman"/>
          <w:sz w:val="24"/>
          <w:szCs w:val="24"/>
        </w:rPr>
        <w:lastRenderedPageBreak/>
        <w:t xml:space="preserve">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Moreover, essential oils are generally considered safe, biodegradable, and less toxic compared to synthetic antibiotics when used appropriately (Júnior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w:t>
      </w:r>
      <w:r w:rsidRPr="007E1E94">
        <w:rPr>
          <w:rFonts w:ascii="Times New Roman" w:eastAsia="Times New Roman" w:hAnsi="Times New Roman" w:cs="Times New Roman"/>
          <w:sz w:val="24"/>
          <w:szCs w:val="24"/>
        </w:rPr>
        <w:lastRenderedPageBreak/>
        <w:t>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xml:space="preserve">. The study could contribute valuable knowledge to the </w:t>
      </w:r>
      <w:r w:rsidRPr="00A94319">
        <w:rPr>
          <w:rFonts w:ascii="Times New Roman" w:eastAsia="Times New Roman" w:hAnsi="Times New Roman" w:cs="Times New Roman"/>
          <w:sz w:val="24"/>
          <w:szCs w:val="24"/>
        </w:rPr>
        <w:lastRenderedPageBreak/>
        <w:t>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w:t>
      </w:r>
      <w:proofErr w:type="gramStart"/>
      <w:r w:rsidRPr="007E1E94">
        <w:rPr>
          <w:rFonts w:ascii="Times New Roman" w:eastAsia="Times New Roman" w:hAnsi="Times New Roman" w:cs="Times New Roman"/>
          <w:sz w:val="24"/>
          <w:szCs w:val="24"/>
        </w:rPr>
        <w:t>extracts</w:t>
      </w:r>
      <w:proofErr w:type="gramEnd"/>
      <w:r w:rsidRPr="007E1E94">
        <w:rPr>
          <w:rFonts w:ascii="Times New Roman" w:eastAsia="Times New Roman" w:hAnsi="Times New Roman" w:cs="Times New Roman"/>
          <w:sz w:val="24"/>
          <w:szCs w:val="24"/>
        </w:rPr>
        <w:t xml:space="preserve">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lastRenderedPageBreak/>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 Plant extracts, essential oils, and phytochemicals such as flavonoids, tannins, and terpenoids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w:t>
      </w:r>
      <w:r w:rsidRPr="00D16AC2">
        <w:rPr>
          <w:rFonts w:ascii="Times New Roman" w:hAnsi="Times New Roman" w:cs="Times New Roman"/>
          <w:bCs/>
          <w:sz w:val="24"/>
          <w:szCs w:val="24"/>
        </w:rPr>
        <w:lastRenderedPageBreak/>
        <w:t xml:space="preserve">strong antibacterial properties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gramStart"/>
      <w:r w:rsidRPr="00D16AC2">
        <w:rPr>
          <w:rFonts w:ascii="Times New Roman" w:hAnsi="Times New Roman" w:cs="Times New Roman"/>
          <w:bCs/>
          <w:sz w:val="24"/>
          <w:szCs w:val="24"/>
        </w:rPr>
        <w:lastRenderedPageBreak/>
        <w:t>Penicillium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xml:space="preserve">, 2020). For example, combining β-lactams with β-lactamase inhibitors can restore the effectiveness </w:t>
      </w:r>
      <w:r w:rsidRPr="00D16AC2">
        <w:rPr>
          <w:rFonts w:ascii="Times New Roman" w:hAnsi="Times New Roman" w:cs="Times New Roman"/>
          <w:bCs/>
          <w:sz w:val="24"/>
          <w:szCs w:val="24"/>
        </w:rPr>
        <w:lastRenderedPageBreak/>
        <w:t>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Overview of Eucalyptus globulus</w:t>
      </w:r>
      <w:bookmarkEnd w:id="23"/>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globulus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lastRenderedPageBreak/>
        <w:t>2.3</w:t>
      </w:r>
      <w:r w:rsidRPr="006817A8">
        <w:tab/>
        <w:t xml:space="preserve">Methicillin -Resistant Staphylococcus </w:t>
      </w:r>
      <w:r w:rsidRPr="004E1B9E">
        <w:rPr>
          <w:i/>
        </w:rPr>
        <w:t>aureus</w:t>
      </w:r>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w:t>
      </w:r>
      <w:r w:rsidRPr="00D16AC2">
        <w:rPr>
          <w:rFonts w:ascii="Times New Roman" w:hAnsi="Times New Roman" w:cs="Times New Roman"/>
          <w:bCs/>
          <w:sz w:val="24"/>
          <w:szCs w:val="24"/>
        </w:rPr>
        <w:lastRenderedPageBreak/>
        <w:t xml:space="preserve">significant pathogenic strain, Enterohemorrhagic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29" w:name="_Toc203146305"/>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lastRenderedPageBreak/>
        <w:t>carbapenemases</w:t>
      </w:r>
      <w:proofErr w:type="spellEnd"/>
      <w:r w:rsidRPr="00D16AC2">
        <w:rPr>
          <w:rFonts w:ascii="Times New Roman" w:hAnsi="Times New Roman" w:cs="Times New Roman"/>
          <w:bCs/>
          <w:sz w:val="24"/>
          <w:szCs w:val="24"/>
        </w:rPr>
        <w:t xml:space="preserve">, such as New Delhi metallo-beta-lactamase (NDM) and Klebsiella pneumoniae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0"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w:t>
      </w:r>
      <w:r w:rsidRPr="00D16AC2">
        <w:rPr>
          <w:rFonts w:ascii="Times New Roman" w:hAnsi="Times New Roman" w:cs="Times New Roman"/>
          <w:bCs/>
          <w:sz w:val="24"/>
          <w:szCs w:val="24"/>
        </w:rPr>
        <w:lastRenderedPageBreak/>
        <w:t xml:space="preserve">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1" w:name="_Toc203146307"/>
      <w:r w:rsidRPr="002B726B">
        <w:lastRenderedPageBreak/>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xml:space="preserv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lastRenderedPageBreak/>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Test for Saponins</w:t>
      </w:r>
      <w:bookmarkEnd w:id="41"/>
    </w:p>
    <w:p w14:paraId="6E425494" w14:textId="77777777" w:rsidR="00C123C8" w:rsidRDefault="00C123C8" w:rsidP="00C123C8">
      <w:pPr>
        <w:pStyle w:val="NormalWeb"/>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lastRenderedPageBreak/>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w:t>
      </w:r>
      <w:r>
        <w:lastRenderedPageBreak/>
        <w:t>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lastRenderedPageBreak/>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Phytochemical Screening of Eucalyptus globulus Leaf Extracts</w:t>
      </w:r>
      <w:bookmarkEnd w:id="49"/>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Eucalyptus globulus</w:t>
      </w:r>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Antibacterial Activity of Eucalyptus globulus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lastRenderedPageBreak/>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w:t>
      </w:r>
      <w:proofErr w:type="spellStart"/>
      <w:proofErr w:type="gramStart"/>
      <w:r>
        <w:t>alkaloids,and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 xml:space="preserve">Phytochemical screening of the extracts revealed the presence of several important secondary metabolites, including flavonoids, </w:t>
      </w:r>
      <w:proofErr w:type="gramStart"/>
      <w:r>
        <w:t>tannins,  and</w:t>
      </w:r>
      <w:proofErr w:type="gramEnd"/>
      <w:r>
        <w:t xml:space="preserve"> phenolic compounds but </w:t>
      </w:r>
      <w:proofErr w:type="spellStart"/>
      <w:r>
        <w:t>alkanoids</w:t>
      </w:r>
      <w:proofErr w:type="spellEnd"/>
      <w:r>
        <w:t xml:space="preserve">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w:t>
      </w:r>
      <w:r>
        <w:lastRenderedPageBreak/>
        <w:t xml:space="preserve">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Taiwo </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collection, low toxicity, and </w:t>
      </w:r>
      <w:r>
        <w:lastRenderedPageBreak/>
        <w:t>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3" w:name="_Toc203146329"/>
      <w:r w:rsidRPr="00001BC5">
        <w:lastRenderedPageBreak/>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lastRenderedPageBreak/>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lastRenderedPageBreak/>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r>
        <w:t xml:space="preserve">Alabi,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Badulla, W. F. A. R., &amp; 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A., Marzouk,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Marzouk,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Diarrheagenic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Adewale, O. A., &amp; 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Salehi,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Jayaweera, S., Dias, D. A., ... &amp; 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Setzer,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r>
        <w:t xml:space="preserve">Taiwo, A. O., Lawal, O. A., &amp; 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59" w:name="_Toc203146335"/>
      <w:r w:rsidRPr="004E1B9E">
        <w:lastRenderedPageBreak/>
        <w:t>APPENDIX</w:t>
      </w:r>
      <w:bookmarkEnd w:id="59"/>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w:t>
                      </w:r>
                      <w:r w:rsidRPr="004E1B9E">
                        <w:rPr>
                          <w:rFonts w:ascii="Times New Roman" w:hAnsi="Times New Roman" w:cs="Times New Roman"/>
                          <w:i/>
                          <w:color w:val="000000" w:themeColor="text1"/>
                          <w:sz w:val="24"/>
                          <w:szCs w:val="24"/>
                        </w:rPr>
                        <w:t>.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701CB7FC" w:rsidR="00F132E1" w:rsidRDefault="00F132E1" w:rsidP="00366D86">
      <w:pPr>
        <w:rPr>
          <w:rFonts w:ascii="Times New Roman" w:hAnsi="Times New Roman" w:cs="Times New Roman"/>
          <w:sz w:val="24"/>
          <w:szCs w:val="24"/>
        </w:rPr>
      </w:pPr>
    </w:p>
    <w:p w14:paraId="45E8B16A" w14:textId="19951513" w:rsidR="006C3945" w:rsidRDefault="006C3945" w:rsidP="00366D86">
      <w:pPr>
        <w:rPr>
          <w:rFonts w:ascii="Times New Roman" w:hAnsi="Times New Roman" w:cs="Times New Roman"/>
          <w:sz w:val="24"/>
          <w:szCs w:val="24"/>
        </w:rPr>
      </w:pPr>
    </w:p>
    <w:p w14:paraId="7625C940" w14:textId="07564642" w:rsidR="006C3945" w:rsidRDefault="0092444A" w:rsidP="00366D86">
      <w:pPr>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2DD59016" wp14:editId="7BAF1EBB">
            <wp:simplePos x="0" y="0"/>
            <wp:positionH relativeFrom="column">
              <wp:posOffset>3181350</wp:posOffset>
            </wp:positionH>
            <wp:positionV relativeFrom="paragraph">
              <wp:posOffset>5080</wp:posOffset>
            </wp:positionV>
            <wp:extent cx="2326005" cy="2120265"/>
            <wp:effectExtent l="0" t="0" r="0" b="0"/>
            <wp:wrapThrough wrapText="bothSides">
              <wp:wrapPolygon edited="0">
                <wp:start x="0" y="0"/>
                <wp:lineTo x="0" y="21348"/>
                <wp:lineTo x="21405" y="21348"/>
                <wp:lineTo x="214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005"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45">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1028C922"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10B5F3CB"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166EE448" w:rsidR="00F132E1" w:rsidRDefault="00F132E1" w:rsidP="00F132E1">
      <w:pPr>
        <w:jc w:val="center"/>
        <w:rPr>
          <w:rFonts w:ascii="Times New Roman" w:hAnsi="Times New Roman" w:cs="Times New Roman"/>
          <w:sz w:val="24"/>
          <w:szCs w:val="24"/>
        </w:rPr>
      </w:pPr>
    </w:p>
    <w:p w14:paraId="12580CBF" w14:textId="0FDE86BA"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6ACD6E0" wp14:editId="6306F86E">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p>
    <w:sectPr w:rsidR="00945B14" w:rsidRPr="00945B14" w:rsidSect="008C183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764A" w14:textId="77777777" w:rsidR="00D35D1E" w:rsidRDefault="00D35D1E" w:rsidP="00D16AC2">
      <w:pPr>
        <w:spacing w:after="0" w:line="240" w:lineRule="auto"/>
      </w:pPr>
      <w:r>
        <w:separator/>
      </w:r>
    </w:p>
  </w:endnote>
  <w:endnote w:type="continuationSeparator" w:id="0">
    <w:p w14:paraId="6EE8377E" w14:textId="77777777" w:rsidR="00D35D1E" w:rsidRDefault="00D35D1E"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557D0D">
          <w:rPr>
            <w:noProof/>
          </w:rPr>
          <w:t>20</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9306" w14:textId="77777777" w:rsidR="00D35D1E" w:rsidRDefault="00D35D1E" w:rsidP="00D16AC2">
      <w:pPr>
        <w:spacing w:after="0" w:line="240" w:lineRule="auto"/>
      </w:pPr>
      <w:r>
        <w:separator/>
      </w:r>
    </w:p>
  </w:footnote>
  <w:footnote w:type="continuationSeparator" w:id="0">
    <w:p w14:paraId="5AD5857C" w14:textId="77777777" w:rsidR="00D35D1E" w:rsidRDefault="00D35D1E" w:rsidP="00D16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37736"/>
    <w:rsid w:val="0055385E"/>
    <w:rsid w:val="00557D0D"/>
    <w:rsid w:val="00587B80"/>
    <w:rsid w:val="005A151A"/>
    <w:rsid w:val="005C6C05"/>
    <w:rsid w:val="005F0D18"/>
    <w:rsid w:val="00650874"/>
    <w:rsid w:val="006817A8"/>
    <w:rsid w:val="006C3945"/>
    <w:rsid w:val="006F1122"/>
    <w:rsid w:val="00890242"/>
    <w:rsid w:val="00894DF2"/>
    <w:rsid w:val="008C1835"/>
    <w:rsid w:val="00902CEF"/>
    <w:rsid w:val="00911BE5"/>
    <w:rsid w:val="0092444A"/>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35D1E"/>
    <w:rsid w:val="00D41895"/>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9044</Words>
  <Characters>51555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2</cp:revision>
  <dcterms:created xsi:type="dcterms:W3CDTF">2025-09-23T11:21:00Z</dcterms:created>
  <dcterms:modified xsi:type="dcterms:W3CDTF">2025-09-23T11:21:00Z</dcterms:modified>
</cp:coreProperties>
</file>