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7345">
      <w:pPr>
        <w:jc w:val="center"/>
        <w:rPr>
          <w:rFonts w:ascii="Bookman Old Style" w:hAnsi="Bookman Old Style" w:cs="Times New Roman"/>
          <w:b/>
          <w:bCs/>
          <w:color w:val="000000" w:themeColor="text1"/>
          <w:sz w:val="48"/>
          <w:szCs w:val="22"/>
          <w:shd w:val="clear" w:color="auto" w:fill="FFFFFF"/>
          <w14:textFill>
            <w14:solidFill>
              <w14:schemeClr w14:val="tx1"/>
            </w14:solidFill>
          </w14:textFill>
        </w:rPr>
      </w:pPr>
      <w:r>
        <w:rPr>
          <w:rFonts w:ascii="Bookman Old Style" w:hAnsi="Bookman Old Style" w:cs="Times New Roman"/>
          <w:b/>
          <w:bCs/>
          <w:color w:val="000000" w:themeColor="text1"/>
          <w:sz w:val="44"/>
          <w:szCs w:val="22"/>
          <w:shd w:val="clear" w:color="auto" w:fill="FFFFFF"/>
          <w14:textFill>
            <w14:solidFill>
              <w14:schemeClr w14:val="tx1"/>
            </w14:solidFill>
          </w14:textFill>
        </w:rPr>
        <w:t>BACTERIOLOGICAL AND PHYSICO CHEMICAL QUALITY ASSESSMEMT OF SELECTED DRINKING WATER</w:t>
      </w:r>
    </w:p>
    <w:p w14:paraId="46D093A8">
      <w:pPr>
        <w:jc w:val="center"/>
        <w:rPr>
          <w:rFonts w:ascii="Bookman Old Style" w:hAnsi="Bookman Old Style" w:cs="Times New Roman"/>
          <w:b/>
          <w:bCs/>
          <w:color w:val="000000" w:themeColor="text1"/>
          <w:sz w:val="28"/>
          <w:szCs w:val="22"/>
          <w:shd w:val="clear" w:color="auto" w:fill="FFFFFF"/>
          <w14:textFill>
            <w14:solidFill>
              <w14:schemeClr w14:val="tx1"/>
            </w14:solidFill>
          </w14:textFill>
        </w:rPr>
      </w:pPr>
    </w:p>
    <w:p w14:paraId="1D29C86D">
      <w:pPr>
        <w:jc w:val="center"/>
        <w:rPr>
          <w:rFonts w:ascii="Bookman Old Style" w:hAnsi="Bookman Old Style" w:cs="Times New Roman"/>
          <w:b/>
          <w:bCs/>
          <w:color w:val="000000" w:themeColor="text1"/>
          <w:sz w:val="44"/>
          <w:szCs w:val="22"/>
          <w:shd w:val="clear" w:color="auto" w:fill="FFFFFF"/>
          <w14:textFill>
            <w14:solidFill>
              <w14:schemeClr w14:val="tx1"/>
            </w14:solidFill>
          </w14:textFill>
        </w:rPr>
      </w:pPr>
      <w:r>
        <w:rPr>
          <w:rFonts w:ascii="Bookman Old Style" w:hAnsi="Bookman Old Style" w:cs="Times New Roman"/>
          <w:b/>
          <w:bCs/>
          <w:color w:val="000000" w:themeColor="text1"/>
          <w:sz w:val="44"/>
          <w:szCs w:val="22"/>
          <w:shd w:val="clear" w:color="auto" w:fill="FFFFFF"/>
          <w14:textFill>
            <w14:solidFill>
              <w14:schemeClr w14:val="tx1"/>
            </w14:solidFill>
          </w14:textFill>
        </w:rPr>
        <w:t>BY</w:t>
      </w:r>
    </w:p>
    <w:p w14:paraId="7BBC0807">
      <w:pPr>
        <w:jc w:val="center"/>
        <w:rPr>
          <w:rFonts w:ascii="Bookman Old Style" w:hAnsi="Bookman Old Style" w:cs="Times New Roman"/>
          <w:b/>
          <w:bCs/>
          <w:color w:val="000000" w:themeColor="text1"/>
          <w:sz w:val="16"/>
          <w:szCs w:val="22"/>
          <w:shd w:val="clear" w:color="auto" w:fill="FFFFFF"/>
          <w14:textFill>
            <w14:solidFill>
              <w14:schemeClr w14:val="tx1"/>
            </w14:solidFill>
          </w14:textFill>
        </w:rPr>
      </w:pPr>
    </w:p>
    <w:p w14:paraId="6AD50C00">
      <w:pPr>
        <w:pStyle w:val="19"/>
        <w:jc w:val="center"/>
        <w:rPr>
          <w:rFonts w:hint="default" w:ascii="Bookman Old Style" w:hAnsi="Bookman Old Style" w:eastAsia="Times New Roman" w:cs="Times New Roman"/>
          <w:b/>
          <w:bCs/>
          <w:sz w:val="48"/>
          <w:szCs w:val="22"/>
          <w:lang w:val="en-US"/>
        </w:rPr>
      </w:pPr>
      <w:r>
        <w:rPr>
          <w:rFonts w:hint="default" w:ascii="Bookman Old Style" w:hAnsi="Bookman Old Style" w:eastAsia="Times New Roman" w:cs="Times New Roman"/>
          <w:b/>
          <w:bCs/>
          <w:sz w:val="48"/>
          <w:szCs w:val="22"/>
          <w:lang w:val="en-US"/>
        </w:rPr>
        <w:t>ABDULMALIK SUKURAT OPEYEMI</w:t>
      </w:r>
    </w:p>
    <w:p w14:paraId="67B93741">
      <w:pPr>
        <w:pStyle w:val="19"/>
        <w:jc w:val="center"/>
        <w:rPr>
          <w:rFonts w:hint="default" w:ascii="Bookman Old Style" w:hAnsi="Bookman Old Style" w:eastAsia="Times New Roman" w:cs="Times New Roman"/>
          <w:b/>
          <w:bCs/>
          <w:sz w:val="52"/>
          <w:szCs w:val="22"/>
          <w:lang w:val="en-US"/>
        </w:rPr>
      </w:pPr>
      <w:r>
        <w:rPr>
          <w:rFonts w:ascii="Bookman Old Style" w:hAnsi="Bookman Old Style" w:eastAsia="Times New Roman" w:cs="Times New Roman"/>
          <w:b/>
          <w:bCs/>
          <w:sz w:val="48"/>
          <w:szCs w:val="22"/>
        </w:rPr>
        <w:t>ND/23/SLT/PT/0</w:t>
      </w:r>
      <w:r>
        <w:rPr>
          <w:rFonts w:hint="default" w:ascii="Bookman Old Style" w:hAnsi="Bookman Old Style" w:eastAsia="Times New Roman" w:cs="Times New Roman"/>
          <w:b/>
          <w:bCs/>
          <w:sz w:val="48"/>
          <w:szCs w:val="22"/>
          <w:lang w:val="en-US"/>
        </w:rPr>
        <w:t>237</w:t>
      </w:r>
    </w:p>
    <w:p w14:paraId="4068BC7E">
      <w:pPr>
        <w:pStyle w:val="19"/>
        <w:spacing w:line="360" w:lineRule="auto"/>
        <w:jc w:val="both"/>
        <w:rPr>
          <w:rFonts w:ascii="Bookman Old Style" w:hAnsi="Bookman Old Style" w:cstheme="majorBidi"/>
          <w:b/>
          <w:sz w:val="21"/>
          <w:szCs w:val="21"/>
        </w:rPr>
      </w:pPr>
    </w:p>
    <w:p w14:paraId="225E14ED">
      <w:pPr>
        <w:pStyle w:val="19"/>
        <w:spacing w:line="240" w:lineRule="auto"/>
        <w:jc w:val="center"/>
        <w:rPr>
          <w:rFonts w:ascii="Bookman Old Style" w:hAnsi="Bookman Old Style" w:cstheme="majorBidi"/>
          <w:b/>
          <w:sz w:val="24"/>
          <w:szCs w:val="21"/>
        </w:rPr>
      </w:pPr>
      <w:r>
        <w:rPr>
          <w:rFonts w:ascii="Bookman Old Style" w:hAnsi="Bookman Old Style" w:cstheme="majorBidi"/>
          <w:b/>
          <w:sz w:val="24"/>
          <w:szCs w:val="21"/>
        </w:rPr>
        <w:t>SUBMITTED TO:</w:t>
      </w:r>
    </w:p>
    <w:p w14:paraId="082E3D92">
      <w:pPr>
        <w:pStyle w:val="19"/>
        <w:spacing w:line="240" w:lineRule="auto"/>
        <w:jc w:val="center"/>
        <w:rPr>
          <w:rFonts w:ascii="Bookman Old Style" w:hAnsi="Bookman Old Style" w:cstheme="majorBidi"/>
          <w:b/>
          <w:sz w:val="24"/>
          <w:szCs w:val="21"/>
        </w:rPr>
      </w:pPr>
      <w:r>
        <w:rPr>
          <w:rFonts w:ascii="Bookman Old Style" w:hAnsi="Bookman Old Style" w:cstheme="majorBidi"/>
          <w:b/>
          <w:sz w:val="24"/>
          <w:szCs w:val="21"/>
        </w:rPr>
        <w:t>DEPARTMENT OF SCIENCE LABORATORY TECHNOLOGY</w:t>
      </w:r>
    </w:p>
    <w:p w14:paraId="54AD87BE">
      <w:pPr>
        <w:pStyle w:val="19"/>
        <w:spacing w:line="240" w:lineRule="auto"/>
        <w:jc w:val="center"/>
        <w:rPr>
          <w:rFonts w:ascii="Bookman Old Style" w:hAnsi="Bookman Old Style" w:cstheme="majorBidi"/>
          <w:b/>
          <w:sz w:val="24"/>
          <w:szCs w:val="21"/>
        </w:rPr>
      </w:pPr>
      <w:r>
        <w:rPr>
          <w:rFonts w:ascii="Bookman Old Style" w:hAnsi="Bookman Old Style" w:cstheme="majorBidi"/>
          <w:b/>
          <w:sz w:val="24"/>
          <w:szCs w:val="21"/>
        </w:rPr>
        <w:t>(MICROBIOLOGY UNIT), INSTITUTE OF APPLIED SCIENCES (IAS),</w:t>
      </w:r>
    </w:p>
    <w:p w14:paraId="1C76BA14">
      <w:pPr>
        <w:pStyle w:val="19"/>
        <w:spacing w:line="240" w:lineRule="auto"/>
        <w:jc w:val="center"/>
        <w:rPr>
          <w:rFonts w:ascii="Bookman Old Style" w:hAnsi="Bookman Old Style" w:cstheme="majorBidi"/>
          <w:b/>
          <w:sz w:val="24"/>
          <w:szCs w:val="21"/>
        </w:rPr>
      </w:pPr>
      <w:r>
        <w:rPr>
          <w:rFonts w:ascii="Bookman Old Style" w:hAnsi="Bookman Old Style" w:cstheme="majorBidi"/>
          <w:b/>
          <w:sz w:val="24"/>
          <w:szCs w:val="21"/>
        </w:rPr>
        <w:t>KWARA STATE POLYTECHNIC, ILORIN.</w:t>
      </w:r>
    </w:p>
    <w:p w14:paraId="7377AFCB">
      <w:pPr>
        <w:pStyle w:val="19"/>
        <w:spacing w:line="240" w:lineRule="auto"/>
        <w:jc w:val="center"/>
        <w:rPr>
          <w:rFonts w:ascii="Bookman Old Style" w:hAnsi="Bookman Old Style" w:cstheme="majorBidi"/>
          <w:b/>
          <w:sz w:val="15"/>
          <w:szCs w:val="2"/>
        </w:rPr>
      </w:pPr>
    </w:p>
    <w:p w14:paraId="601A9EC9">
      <w:pPr>
        <w:pStyle w:val="19"/>
        <w:spacing w:line="240" w:lineRule="auto"/>
        <w:jc w:val="center"/>
        <w:rPr>
          <w:rFonts w:ascii="Bookman Old Style" w:hAnsi="Bookman Old Style" w:cstheme="majorBidi"/>
          <w:b/>
          <w:sz w:val="24"/>
          <w:szCs w:val="21"/>
        </w:rPr>
      </w:pPr>
      <w:r>
        <w:rPr>
          <w:rFonts w:ascii="Bookman Old Style" w:hAnsi="Bookman Old Style" w:cstheme="majorBidi"/>
          <w:b/>
          <w:sz w:val="24"/>
          <w:szCs w:val="21"/>
        </w:rPr>
        <w:t>IN PARTIAL FULFILMENT OF THE REQUIREMENTS FOR THE AWARD OF NATIONAL DIPLOMA (ND), IN SCIENCE LABORATORY TECHNOLOGY (SLT)</w:t>
      </w:r>
    </w:p>
    <w:p w14:paraId="77C9EC5C">
      <w:pPr>
        <w:pStyle w:val="19"/>
        <w:spacing w:line="240" w:lineRule="auto"/>
        <w:jc w:val="center"/>
        <w:rPr>
          <w:rFonts w:ascii="Bookman Old Style" w:hAnsi="Bookman Old Style" w:cstheme="majorBidi"/>
          <w:b/>
          <w:sz w:val="2"/>
          <w:szCs w:val="2"/>
        </w:rPr>
      </w:pPr>
    </w:p>
    <w:p w14:paraId="622F1E88">
      <w:pPr>
        <w:pStyle w:val="19"/>
        <w:spacing w:line="240" w:lineRule="auto"/>
        <w:jc w:val="center"/>
        <w:rPr>
          <w:rFonts w:ascii="Bookman Old Style" w:hAnsi="Bookman Old Style" w:cstheme="majorBidi"/>
          <w:b/>
          <w:sz w:val="21"/>
          <w:szCs w:val="21"/>
        </w:rPr>
      </w:pPr>
    </w:p>
    <w:p w14:paraId="02102C92">
      <w:pPr>
        <w:pStyle w:val="19"/>
        <w:spacing w:line="240" w:lineRule="auto"/>
        <w:rPr>
          <w:rFonts w:ascii="Bookman Old Style" w:hAnsi="Bookman Old Style" w:cstheme="majorBidi"/>
          <w:b/>
          <w:sz w:val="24"/>
          <w:szCs w:val="24"/>
        </w:rPr>
      </w:pPr>
    </w:p>
    <w:p w14:paraId="696FDF3C">
      <w:pPr>
        <w:pStyle w:val="19"/>
        <w:bidi/>
        <w:spacing w:line="240" w:lineRule="auto"/>
        <w:jc w:val="both"/>
        <w:rPr>
          <w:rFonts w:ascii="Bookman Old Style" w:hAnsi="Bookman Old Style" w:cstheme="majorBidi"/>
          <w:b/>
          <w:i/>
          <w:iCs/>
          <w:sz w:val="24"/>
          <w:szCs w:val="24"/>
        </w:rPr>
      </w:pPr>
      <w:r>
        <w:rPr>
          <w:rFonts w:ascii="Bookman Old Style" w:hAnsi="Bookman Old Style" w:cstheme="majorBidi"/>
          <w:b/>
          <w:i/>
          <w:iCs/>
          <w:sz w:val="24"/>
          <w:szCs w:val="24"/>
        </w:rPr>
        <w:t>JULY, 2025</w:t>
      </w:r>
    </w:p>
    <w:p w14:paraId="0FDA2BDE">
      <w:pPr>
        <w:spacing w:line="240" w:lineRule="auto"/>
        <w:rPr>
          <w:rFonts w:ascii="Bookman Old Style" w:hAnsi="Bookman Old Style" w:cs="Times New Roman"/>
          <w:b/>
          <w:bCs/>
          <w:color w:val="000000" w:themeColor="text1"/>
          <w:sz w:val="38"/>
          <w:szCs w:val="24"/>
          <w:shd w:val="clear" w:color="auto" w:fill="FFFFFF"/>
          <w14:textFill>
            <w14:solidFill>
              <w14:schemeClr w14:val="tx1"/>
            </w14:solidFill>
          </w14:textFill>
        </w:rPr>
      </w:pPr>
      <w:r>
        <w:rPr>
          <w:rFonts w:ascii="Bookman Old Style" w:hAnsi="Bookman Old Style" w:cs="Times New Roman"/>
          <w:b/>
          <w:bCs/>
          <w:color w:val="000000" w:themeColor="text1"/>
          <w:sz w:val="38"/>
          <w:szCs w:val="24"/>
          <w:shd w:val="clear" w:color="auto" w:fill="FFFFFF"/>
          <w14:textFill>
            <w14:solidFill>
              <w14:schemeClr w14:val="tx1"/>
            </w14:solidFill>
          </w14:textFill>
        </w:rPr>
        <w:br w:type="page"/>
      </w:r>
    </w:p>
    <w:p w14:paraId="5763A3D3">
      <w:pPr>
        <w:spacing w:line="240" w:lineRule="auto"/>
        <w:jc w:val="center"/>
        <w:rPr>
          <w:rStyle w:val="14"/>
          <w:rFonts w:ascii="Times New Roman" w:hAnsi="Times New Roman" w:cs="Times New Roman" w:eastAsiaTheme="majorEastAsia"/>
          <w:sz w:val="24"/>
          <w:szCs w:val="24"/>
        </w:rPr>
      </w:pPr>
      <w:r>
        <w:rPr>
          <w:rFonts w:hint="default" w:ascii="Bookman Old Style" w:hAnsi="Bookman Old Style" w:cs="Times New Roman"/>
          <w:b/>
          <w:bCs/>
          <w:color w:val="000000" w:themeColor="text1"/>
          <w:sz w:val="38"/>
          <w:szCs w:val="24"/>
          <w:shd w:val="clear" w:color="auto" w:fill="FFFFFF"/>
          <w:lang w:val="en-US"/>
          <w14:textFill>
            <w14:solidFill>
              <w14:schemeClr w14:val="tx1"/>
            </w14:solidFill>
          </w14:textFill>
        </w:rPr>
        <w:drawing>
          <wp:inline distT="0" distB="0" distL="114300" distR="114300">
            <wp:extent cx="5471160" cy="7747635"/>
            <wp:effectExtent l="0" t="0" r="15240" b="24765"/>
            <wp:docPr id="1" name="Picture 1" descr="PHOTO-2025-09-23-11-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2025-09-23-11-24-10"/>
                    <pic:cNvPicPr>
                      <a:picLocks noChangeAspect="1"/>
                    </pic:cNvPicPr>
                  </pic:nvPicPr>
                  <pic:blipFill>
                    <a:blip r:embed="rId7"/>
                    <a:srcRect l="13353" t="2163" r="7933" b="14601"/>
                    <a:stretch>
                      <a:fillRect/>
                    </a:stretch>
                  </pic:blipFill>
                  <pic:spPr>
                    <a:xfrm>
                      <a:off x="0" y="0"/>
                      <a:ext cx="5471160" cy="7747635"/>
                    </a:xfrm>
                    <a:prstGeom prst="rect">
                      <a:avLst/>
                    </a:prstGeom>
                  </pic:spPr>
                </pic:pic>
              </a:graphicData>
            </a:graphic>
          </wp:inline>
        </w:drawing>
      </w:r>
      <w:bookmarkStart w:id="25" w:name="_GoBack"/>
      <w:bookmarkEnd w:id="25"/>
    </w:p>
    <w:p w14:paraId="0C0360AF">
      <w:pPr>
        <w:pStyle w:val="4"/>
        <w:spacing w:line="360" w:lineRule="auto"/>
        <w:jc w:val="center"/>
        <w:rPr>
          <w:rFonts w:ascii="Times New Roman" w:hAnsi="Times New Roman" w:cs="Times New Roman"/>
          <w:color w:val="auto"/>
          <w:sz w:val="28"/>
          <w:szCs w:val="28"/>
        </w:rPr>
      </w:pPr>
      <w:r>
        <w:rPr>
          <w:rStyle w:val="14"/>
          <w:rFonts w:ascii="Times New Roman" w:hAnsi="Times New Roman" w:cs="Times New Roman"/>
          <w:b/>
          <w:bCs/>
          <w:color w:val="auto"/>
          <w:sz w:val="28"/>
          <w:szCs w:val="28"/>
        </w:rPr>
        <w:t>DEDICATION</w:t>
      </w:r>
    </w:p>
    <w:p w14:paraId="374CBDF7">
      <w:pPr>
        <w:spacing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14:paraId="3757C25D">
      <w:pPr>
        <w:spacing w:line="360" w:lineRule="auto"/>
        <w:jc w:val="both"/>
        <w:rPr>
          <w:rFonts w:ascii="Times New Roman" w:hAnsi="Times New Roman" w:eastAsia="Times New Roman" w:cs="Times New Roman"/>
          <w:sz w:val="24"/>
          <w:szCs w:val="24"/>
        </w:rPr>
      </w:pPr>
      <w:r>
        <w:br w:type="page"/>
      </w:r>
    </w:p>
    <w:p w14:paraId="519A8D2F">
      <w:pPr>
        <w:pStyle w:val="13"/>
        <w:spacing w:line="360" w:lineRule="auto"/>
        <w:jc w:val="center"/>
        <w:rPr>
          <w:b/>
          <w:bCs/>
          <w:sz w:val="28"/>
          <w:szCs w:val="28"/>
        </w:rPr>
      </w:pPr>
      <w:r>
        <w:rPr>
          <w:b/>
          <w:bCs/>
          <w:sz w:val="28"/>
          <w:szCs w:val="28"/>
        </w:rPr>
        <w:t>ACKNOWLEDGEMENTS</w:t>
      </w:r>
    </w:p>
    <w:p w14:paraId="129307D7">
      <w:pPr>
        <w:pStyle w:val="13"/>
        <w:spacing w:line="360" w:lineRule="auto"/>
        <w:jc w:val="both"/>
        <w:rPr>
          <w:sz w:val="28"/>
          <w:szCs w:val="28"/>
        </w:rPr>
      </w:pPr>
      <w:r>
        <w:rPr>
          <w:sz w:val="28"/>
          <w:szCs w:val="28"/>
        </w:rPr>
        <w:tab/>
      </w:r>
      <w:r>
        <w:rPr>
          <w:sz w:val="28"/>
          <w:szCs w:val="28"/>
        </w:rPr>
        <w:t>First and foremost, my profound gratitude goes to Almighty Allah for granting me the strength, wisdom, and perseverance to successfully complete this project. His infinite mercy and guidance have been my anchor throughout this academic journey.</w:t>
      </w:r>
    </w:p>
    <w:p w14:paraId="49B4503C">
      <w:pPr>
        <w:pStyle w:val="13"/>
        <w:spacing w:line="360" w:lineRule="auto"/>
        <w:jc w:val="both"/>
        <w:rPr>
          <w:sz w:val="28"/>
          <w:szCs w:val="28"/>
        </w:rPr>
      </w:pPr>
      <w:r>
        <w:rPr>
          <w:sz w:val="28"/>
          <w:szCs w:val="28"/>
        </w:rPr>
        <w:tab/>
      </w:r>
      <w:r>
        <w:rPr>
          <w:sz w:val="28"/>
          <w:szCs w:val="28"/>
        </w:rPr>
        <w:t xml:space="preserve">I am deeply grateful to my able, notable, and honorable supervisor, </w:t>
      </w:r>
      <w:r>
        <w:rPr>
          <w:b/>
          <w:bCs/>
          <w:sz w:val="28"/>
          <w:szCs w:val="28"/>
        </w:rPr>
        <w:t>Mrs. Mujibat Otuyo</w:t>
      </w:r>
      <w:r>
        <w:rPr>
          <w:sz w:val="28"/>
          <w:szCs w:val="28"/>
        </w:rPr>
        <w:t>,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her.</w:t>
      </w:r>
    </w:p>
    <w:p w14:paraId="4AD9735B">
      <w:pPr>
        <w:pStyle w:val="13"/>
        <w:spacing w:line="360" w:lineRule="auto"/>
        <w:jc w:val="both"/>
        <w:rPr>
          <w:sz w:val="28"/>
          <w:szCs w:val="28"/>
        </w:rPr>
      </w:pPr>
      <w:r>
        <w:rPr>
          <w:sz w:val="28"/>
          <w:szCs w:val="28"/>
        </w:rPr>
        <w:tab/>
      </w:r>
      <w:r>
        <w:rPr>
          <w:sz w:val="28"/>
          <w:szCs w:val="28"/>
        </w:rPr>
        <w:t xml:space="preserve">My sincere appreciation also goes to our Head of Department, </w:t>
      </w:r>
      <w:r>
        <w:rPr>
          <w:b/>
          <w:bCs/>
          <w:sz w:val="28"/>
          <w:szCs w:val="28"/>
        </w:rPr>
        <w:t>Dr. Usman Abdul Kareem</w:t>
      </w:r>
      <w:r>
        <w:rPr>
          <w:sz w:val="28"/>
          <w:szCs w:val="28"/>
        </w:rPr>
        <w:t xml:space="preserve">, and the Head of Unit, </w:t>
      </w:r>
      <w:r>
        <w:rPr>
          <w:b/>
          <w:bCs/>
          <w:sz w:val="28"/>
          <w:szCs w:val="28"/>
        </w:rPr>
        <w:t>Mrs. Ahmed T.</w:t>
      </w:r>
      <w:r>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14:paraId="19C1A341">
      <w:pPr>
        <w:pStyle w:val="13"/>
        <w:spacing w:line="360" w:lineRule="auto"/>
        <w:jc w:val="both"/>
        <w:rPr>
          <w:sz w:val="28"/>
          <w:szCs w:val="28"/>
        </w:rPr>
      </w:pPr>
      <w:r>
        <w:rPr>
          <w:sz w:val="28"/>
          <w:szCs w:val="28"/>
        </w:rPr>
        <w:tab/>
      </w:r>
      <w:r>
        <w:rPr>
          <w:sz w:val="28"/>
          <w:szCs w:val="28"/>
        </w:rPr>
        <w:t xml:space="preserve">To my beloved parents, </w:t>
      </w:r>
      <w:r>
        <w:rPr>
          <w:b/>
          <w:bCs/>
          <w:sz w:val="28"/>
          <w:szCs w:val="28"/>
        </w:rPr>
        <w:t>Mrs. Bello Monsurat</w:t>
      </w:r>
      <w:r>
        <w:rPr>
          <w:sz w:val="28"/>
          <w:szCs w:val="28"/>
        </w:rPr>
        <w:t xml:space="preserve"> and </w:t>
      </w:r>
      <w:r>
        <w:rPr>
          <w:b/>
          <w:bCs/>
          <w:sz w:val="28"/>
          <w:szCs w:val="28"/>
        </w:rPr>
        <w:t>Mr. Bello Rasheed</w:t>
      </w:r>
      <w:r>
        <w:rPr>
          <w:sz w:val="28"/>
          <w:szCs w:val="28"/>
        </w:rPr>
        <w:t>, I owe a debt of gratitude. Thank you for your unwavering love, endless prayers, moral guidance, and continuous support. You have been the backbone of my success. May you both live long to enjoy the fruits of your labor.</w:t>
      </w:r>
    </w:p>
    <w:p w14:paraId="00E1F856">
      <w:pPr>
        <w:pStyle w:val="13"/>
        <w:spacing w:line="360" w:lineRule="auto"/>
        <w:jc w:val="both"/>
        <w:rPr>
          <w:sz w:val="28"/>
          <w:szCs w:val="28"/>
        </w:rPr>
      </w:pPr>
      <w:r>
        <w:rPr>
          <w:sz w:val="28"/>
          <w:szCs w:val="28"/>
        </w:rPr>
        <w:tab/>
      </w:r>
      <w:r>
        <w:rPr>
          <w:sz w:val="28"/>
          <w:szCs w:val="28"/>
        </w:rPr>
        <w:t xml:space="preserve">I also extend heartfelt thanks to my dear siblings, </w:t>
      </w:r>
      <w:r>
        <w:rPr>
          <w:b/>
          <w:bCs/>
          <w:sz w:val="28"/>
          <w:szCs w:val="28"/>
        </w:rPr>
        <w:t>Brother Ayinde</w:t>
      </w:r>
      <w:r>
        <w:rPr>
          <w:sz w:val="28"/>
          <w:szCs w:val="28"/>
        </w:rPr>
        <w:t xml:space="preserve"> and </w:t>
      </w:r>
      <w:r>
        <w:rPr>
          <w:b/>
          <w:bCs/>
          <w:sz w:val="28"/>
          <w:szCs w:val="28"/>
        </w:rPr>
        <w:t>Sister Titilope</w:t>
      </w:r>
      <w:r>
        <w:rPr>
          <w:sz w:val="28"/>
          <w:szCs w:val="28"/>
        </w:rPr>
        <w:t>, for their steadfast encouragement, prayers, and financial support. Your belief in me has been a great source of motivation.</w:t>
      </w:r>
    </w:p>
    <w:p w14:paraId="7D5B507E">
      <w:pPr>
        <w:pStyle w:val="13"/>
        <w:spacing w:line="360" w:lineRule="auto"/>
        <w:jc w:val="both"/>
        <w:rPr>
          <w:sz w:val="28"/>
          <w:szCs w:val="28"/>
        </w:rPr>
      </w:pPr>
      <w:r>
        <w:rPr>
          <w:sz w:val="28"/>
          <w:szCs w:val="28"/>
        </w:rPr>
        <w:tab/>
      </w:r>
      <w:r>
        <w:rPr>
          <w:sz w:val="28"/>
          <w:szCs w:val="28"/>
        </w:rPr>
        <w:t xml:space="preserve">To my special friends and companions: </w:t>
      </w:r>
      <w:r>
        <w:rPr>
          <w:b/>
          <w:bCs/>
          <w:sz w:val="28"/>
          <w:szCs w:val="28"/>
        </w:rPr>
        <w:t>Adeleke, Mujibat, Adenike, Oyenike, Shola, Victoria, Roqeeb, and Pamilerin</w:t>
      </w:r>
      <w:r>
        <w:rPr>
          <w:sz w:val="28"/>
          <w:szCs w:val="28"/>
        </w:rPr>
        <w:t>, thank you for your consistent support, words of encouragement, and friendship. You made this journey memorable and fulfilling.</w:t>
      </w:r>
    </w:p>
    <w:p w14:paraId="5B5E44B9">
      <w:pPr>
        <w:pStyle w:val="13"/>
        <w:spacing w:line="360" w:lineRule="auto"/>
        <w:jc w:val="both"/>
        <w:rPr>
          <w:sz w:val="28"/>
          <w:szCs w:val="28"/>
        </w:rPr>
      </w:pPr>
      <w:r>
        <w:rPr>
          <w:sz w:val="28"/>
          <w:szCs w:val="28"/>
        </w:rPr>
        <w:tab/>
      </w:r>
      <w:r>
        <w:rPr>
          <w:sz w:val="28"/>
          <w:szCs w:val="28"/>
        </w:rPr>
        <w:t>May Almighty Allah bless every individual who contributed, directly or indirectly, to the success of this project work.</w:t>
      </w:r>
    </w:p>
    <w:p w14:paraId="0421A3FF">
      <w:pPr>
        <w:pStyle w:val="13"/>
        <w:spacing w:line="360" w:lineRule="auto"/>
        <w:jc w:val="both"/>
      </w:pPr>
    </w:p>
    <w:p w14:paraId="673AE96B">
      <w:pPr>
        <w:rPr>
          <w:rFonts w:ascii="Bookman Old Style" w:hAnsi="Bookman Old Style" w:cs="Times New Roman"/>
          <w:b/>
          <w:bCs/>
          <w:color w:val="000000" w:themeColor="text1"/>
          <w:sz w:val="38"/>
          <w:szCs w:val="24"/>
          <w:shd w:val="clear" w:color="auto" w:fill="FFFFFF"/>
          <w14:textFill>
            <w14:solidFill>
              <w14:schemeClr w14:val="tx1"/>
            </w14:solidFill>
          </w14:textFill>
        </w:rPr>
      </w:pPr>
    </w:p>
    <w:p w14:paraId="53E9512F">
      <w:pPr>
        <w:rPr>
          <w:rStyle w:val="14"/>
          <w:rFonts w:ascii="Times New Roman" w:hAnsi="Times New Roman" w:eastAsia="Times New Roman" w:cs="Times New Roman"/>
          <w:i/>
          <w:sz w:val="24"/>
          <w:szCs w:val="24"/>
        </w:rPr>
      </w:pPr>
      <w:r>
        <w:rPr>
          <w:rStyle w:val="14"/>
          <w:b w:val="0"/>
          <w:bCs w:val="0"/>
          <w:i/>
          <w:sz w:val="24"/>
          <w:szCs w:val="24"/>
        </w:rPr>
        <w:br w:type="page"/>
      </w:r>
    </w:p>
    <w:p w14:paraId="78265939">
      <w:pPr>
        <w:pStyle w:val="4"/>
        <w:jc w:val="center"/>
        <w:rPr>
          <w:rFonts w:ascii="Times New Roman" w:hAnsi="Times New Roman" w:cs="Times New Roman"/>
          <w:i/>
          <w:color w:val="auto"/>
          <w:sz w:val="28"/>
          <w:szCs w:val="28"/>
        </w:rPr>
      </w:pPr>
      <w:r>
        <w:rPr>
          <w:rStyle w:val="14"/>
          <w:rFonts w:ascii="Times New Roman" w:hAnsi="Times New Roman" w:cs="Times New Roman"/>
          <w:b/>
          <w:bCs/>
          <w:i/>
          <w:color w:val="auto"/>
          <w:sz w:val="28"/>
          <w:szCs w:val="28"/>
        </w:rPr>
        <w:t>ABSTRACT</w:t>
      </w:r>
    </w:p>
    <w:p w14:paraId="75DD09B5">
      <w:pPr>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This study assessed the </w:t>
      </w:r>
      <w:r>
        <w:rPr>
          <w:rFonts w:ascii="Times New Roman" w:hAnsi="Times New Roman" w:eastAsia="Times New Roman" w:cs="Times New Roman"/>
          <w:i/>
          <w:iCs/>
          <w:sz w:val="28"/>
          <w:szCs w:val="28"/>
        </w:rPr>
        <w:t>bacteriological</w:t>
      </w:r>
      <w:r>
        <w:rPr>
          <w:rFonts w:ascii="Times New Roman" w:hAnsi="Times New Roman" w:eastAsia="Times New Roman" w:cs="Times New Roman"/>
          <w:i/>
          <w:sz w:val="28"/>
          <w:szCs w:val="28"/>
        </w:rPr>
        <w:t xml:space="preserve"> and </w:t>
      </w:r>
      <w:r>
        <w:rPr>
          <w:rFonts w:ascii="Times New Roman" w:hAnsi="Times New Roman" w:eastAsia="Times New Roman" w:cs="Times New Roman"/>
          <w:i/>
          <w:iCs/>
          <w:sz w:val="28"/>
          <w:szCs w:val="28"/>
        </w:rPr>
        <w:t>physico-chemical quality</w:t>
      </w:r>
      <w:r>
        <w:rPr>
          <w:rFonts w:ascii="Times New Roman" w:hAnsi="Times New Roman" w:eastAsia="Times New Roman" w:cs="Times New Roman"/>
          <w:i/>
          <w:sz w:val="28"/>
          <w:szCs w:val="28"/>
        </w:rPr>
        <w:t xml:space="preserve"> of selected </w:t>
      </w:r>
      <w:r>
        <w:rPr>
          <w:rFonts w:ascii="Times New Roman" w:hAnsi="Times New Roman" w:eastAsia="Times New Roman" w:cs="Times New Roman"/>
          <w:i/>
          <w:iCs/>
          <w:sz w:val="28"/>
          <w:szCs w:val="28"/>
        </w:rPr>
        <w:t>drinking water</w:t>
      </w:r>
      <w:r>
        <w:rPr>
          <w:rFonts w:ascii="Times New Roman" w:hAnsi="Times New Roman" w:eastAsia="Times New Roman" w:cs="Times New Roman"/>
          <w:i/>
          <w:sz w:val="28"/>
          <w:szCs w:val="28"/>
        </w:rPr>
        <w:t xml:space="preserve"> sources to evaluate their suitability for human consumption. Water samples were collected from borehole sources within the study area and analyzed using standard laboratory procedures. Key </w:t>
      </w:r>
      <w:r>
        <w:rPr>
          <w:rFonts w:ascii="Times New Roman" w:hAnsi="Times New Roman" w:eastAsia="Times New Roman" w:cs="Times New Roman"/>
          <w:i/>
          <w:iCs/>
          <w:sz w:val="28"/>
          <w:szCs w:val="28"/>
        </w:rPr>
        <w:t>physico-chemical parameters</w:t>
      </w:r>
      <w:r>
        <w:rPr>
          <w:rFonts w:ascii="Times New Roman" w:hAnsi="Times New Roman" w:eastAsia="Times New Roman" w:cs="Times New Roman"/>
          <w:i/>
          <w:sz w:val="28"/>
          <w:szCs w:val="28"/>
        </w:rPr>
        <w:t xml:space="preserve"> examined included </w:t>
      </w:r>
      <w:r>
        <w:rPr>
          <w:rFonts w:ascii="Times New Roman" w:hAnsi="Times New Roman" w:eastAsia="Times New Roman" w:cs="Times New Roman"/>
          <w:i/>
          <w:iCs/>
          <w:sz w:val="28"/>
          <w:szCs w:val="28"/>
        </w:rPr>
        <w:t>pH</w:t>
      </w:r>
      <w:r>
        <w:rPr>
          <w:rFonts w:ascii="Times New Roman" w:hAnsi="Times New Roman" w:eastAsia="Times New Roman" w:cs="Times New Roman"/>
          <w:i/>
          <w:sz w:val="28"/>
          <w:szCs w:val="28"/>
        </w:rPr>
        <w:t xml:space="preserve">, </w:t>
      </w:r>
      <w:r>
        <w:rPr>
          <w:rFonts w:ascii="Times New Roman" w:hAnsi="Times New Roman" w:eastAsia="Times New Roman" w:cs="Times New Roman"/>
          <w:i/>
          <w:iCs/>
          <w:sz w:val="28"/>
          <w:szCs w:val="28"/>
        </w:rPr>
        <w:t>temperature</w:t>
      </w:r>
      <w:r>
        <w:rPr>
          <w:rFonts w:ascii="Times New Roman" w:hAnsi="Times New Roman" w:eastAsia="Times New Roman" w:cs="Times New Roman"/>
          <w:i/>
          <w:sz w:val="28"/>
          <w:szCs w:val="28"/>
        </w:rPr>
        <w:t xml:space="preserve">, </w:t>
      </w:r>
      <w:r>
        <w:rPr>
          <w:rFonts w:ascii="Times New Roman" w:hAnsi="Times New Roman" w:eastAsia="Times New Roman" w:cs="Times New Roman"/>
          <w:i/>
          <w:iCs/>
          <w:sz w:val="28"/>
          <w:szCs w:val="28"/>
        </w:rPr>
        <w:t>turbidity</w:t>
      </w:r>
      <w:r>
        <w:rPr>
          <w:rFonts w:ascii="Times New Roman" w:hAnsi="Times New Roman" w:eastAsia="Times New Roman" w:cs="Times New Roman"/>
          <w:i/>
          <w:sz w:val="28"/>
          <w:szCs w:val="28"/>
        </w:rPr>
        <w:t xml:space="preserve">, </w:t>
      </w:r>
      <w:r>
        <w:rPr>
          <w:rFonts w:ascii="Times New Roman" w:hAnsi="Times New Roman" w:eastAsia="Times New Roman" w:cs="Times New Roman"/>
          <w:i/>
          <w:iCs/>
          <w:sz w:val="28"/>
          <w:szCs w:val="28"/>
        </w:rPr>
        <w:t>total dissolved solids (TDS)</w:t>
      </w:r>
      <w:r>
        <w:rPr>
          <w:rFonts w:ascii="Times New Roman" w:hAnsi="Times New Roman" w:eastAsia="Times New Roman" w:cs="Times New Roman"/>
          <w:i/>
          <w:sz w:val="28"/>
          <w:szCs w:val="28"/>
        </w:rPr>
        <w:t xml:space="preserve">, and </w:t>
      </w:r>
      <w:r>
        <w:rPr>
          <w:rFonts w:ascii="Times New Roman" w:hAnsi="Times New Roman" w:eastAsia="Times New Roman" w:cs="Times New Roman"/>
          <w:i/>
          <w:iCs/>
          <w:sz w:val="28"/>
          <w:szCs w:val="28"/>
        </w:rPr>
        <w:t>electrical conductivity</w:t>
      </w:r>
      <w:r>
        <w:rPr>
          <w:rFonts w:ascii="Times New Roman" w:hAnsi="Times New Roman" w:eastAsia="Times New Roman" w:cs="Times New Roman"/>
          <w:i/>
          <w:sz w:val="28"/>
          <w:szCs w:val="28"/>
        </w:rPr>
        <w:t xml:space="preserve">, while </w:t>
      </w:r>
      <w:r>
        <w:rPr>
          <w:rFonts w:ascii="Times New Roman" w:hAnsi="Times New Roman" w:eastAsia="Times New Roman" w:cs="Times New Roman"/>
          <w:i/>
          <w:iCs/>
          <w:sz w:val="28"/>
          <w:szCs w:val="28"/>
        </w:rPr>
        <w:t>bacteriological analysis</w:t>
      </w:r>
      <w:r>
        <w:rPr>
          <w:rFonts w:ascii="Times New Roman" w:hAnsi="Times New Roman" w:eastAsia="Times New Roman" w:cs="Times New Roman"/>
          <w:i/>
          <w:sz w:val="28"/>
          <w:szCs w:val="28"/>
        </w:rPr>
        <w:t xml:space="preserve"> focused on the presence of </w:t>
      </w:r>
      <w:r>
        <w:rPr>
          <w:rFonts w:ascii="Times New Roman" w:hAnsi="Times New Roman" w:eastAsia="Times New Roman" w:cs="Times New Roman"/>
          <w:i/>
          <w:iCs/>
          <w:sz w:val="28"/>
          <w:szCs w:val="28"/>
        </w:rPr>
        <w:t>total coliforms</w:t>
      </w:r>
      <w:r>
        <w:rPr>
          <w:rFonts w:ascii="Times New Roman" w:hAnsi="Times New Roman" w:eastAsia="Times New Roman" w:cs="Times New Roman"/>
          <w:i/>
          <w:sz w:val="28"/>
          <w:szCs w:val="28"/>
        </w:rPr>
        <w:t xml:space="preserve"> and </w:t>
      </w:r>
      <w:r>
        <w:rPr>
          <w:rFonts w:ascii="Times New Roman" w:hAnsi="Times New Roman" w:eastAsia="Times New Roman" w:cs="Times New Roman"/>
          <w:i/>
          <w:iCs/>
          <w:sz w:val="28"/>
          <w:szCs w:val="28"/>
        </w:rPr>
        <w:t>Escherichia coli</w:t>
      </w:r>
      <w:r>
        <w:rPr>
          <w:rFonts w:ascii="Times New Roman" w:hAnsi="Times New Roman" w:eastAsia="Times New Roman" w:cs="Times New Roman"/>
          <w:i/>
          <w:sz w:val="28"/>
          <w:szCs w:val="28"/>
        </w:rPr>
        <w:t xml:space="preserve"> as indicators of </w:t>
      </w:r>
      <w:r>
        <w:rPr>
          <w:rFonts w:ascii="Times New Roman" w:hAnsi="Times New Roman" w:eastAsia="Times New Roman" w:cs="Times New Roman"/>
          <w:i/>
          <w:iCs/>
          <w:sz w:val="28"/>
          <w:szCs w:val="28"/>
        </w:rPr>
        <w:t>fecal contamination</w:t>
      </w:r>
      <w:r>
        <w:rPr>
          <w:rFonts w:ascii="Times New Roman" w:hAnsi="Times New Roman" w:eastAsia="Times New Roman" w:cs="Times New Roman"/>
          <w:i/>
          <w:sz w:val="28"/>
          <w:szCs w:val="28"/>
        </w:rPr>
        <w:t xml:space="preserve">. The results showed that although most samples met WHO and NSDWQ standards for physico-chemical parameters, some exceeded permissible limits in terms of turbidity and TDS. Moreover, bacteriological findings revealed contamination in well and tap water samples, indicating potential </w:t>
      </w:r>
      <w:r>
        <w:rPr>
          <w:rFonts w:ascii="Times New Roman" w:hAnsi="Times New Roman" w:eastAsia="Times New Roman" w:cs="Times New Roman"/>
          <w:i/>
          <w:iCs/>
          <w:sz w:val="28"/>
          <w:szCs w:val="28"/>
        </w:rPr>
        <w:t>public health risks</w:t>
      </w:r>
      <w:r>
        <w:rPr>
          <w:rFonts w:ascii="Times New Roman" w:hAnsi="Times New Roman" w:eastAsia="Times New Roman" w:cs="Times New Roman"/>
          <w:i/>
          <w:sz w:val="28"/>
          <w:szCs w:val="28"/>
        </w:rPr>
        <w:t xml:space="preserve">. The study highlights the need for regular </w:t>
      </w:r>
      <w:r>
        <w:rPr>
          <w:rFonts w:ascii="Times New Roman" w:hAnsi="Times New Roman" w:eastAsia="Times New Roman" w:cs="Times New Roman"/>
          <w:i/>
          <w:iCs/>
          <w:sz w:val="28"/>
          <w:szCs w:val="28"/>
        </w:rPr>
        <w:t>water quality monitoring</w:t>
      </w:r>
      <w:r>
        <w:rPr>
          <w:rFonts w:ascii="Times New Roman" w:hAnsi="Times New Roman" w:eastAsia="Times New Roman" w:cs="Times New Roman"/>
          <w:i/>
          <w:sz w:val="28"/>
          <w:szCs w:val="28"/>
        </w:rPr>
        <w:t xml:space="preserve">, effective </w:t>
      </w:r>
      <w:r>
        <w:rPr>
          <w:rFonts w:ascii="Times New Roman" w:hAnsi="Times New Roman" w:eastAsia="Times New Roman" w:cs="Times New Roman"/>
          <w:i/>
          <w:iCs/>
          <w:sz w:val="28"/>
          <w:szCs w:val="28"/>
        </w:rPr>
        <w:t>treatment</w:t>
      </w:r>
      <w:r>
        <w:rPr>
          <w:rFonts w:ascii="Times New Roman" w:hAnsi="Times New Roman" w:eastAsia="Times New Roman" w:cs="Times New Roman"/>
          <w:i/>
          <w:sz w:val="28"/>
          <w:szCs w:val="28"/>
        </w:rPr>
        <w:t xml:space="preserve">, and improved </w:t>
      </w:r>
      <w:r>
        <w:rPr>
          <w:rFonts w:ascii="Times New Roman" w:hAnsi="Times New Roman" w:eastAsia="Times New Roman" w:cs="Times New Roman"/>
          <w:i/>
          <w:iCs/>
          <w:sz w:val="28"/>
          <w:szCs w:val="28"/>
        </w:rPr>
        <w:t>sanitation practices</w:t>
      </w:r>
      <w:r>
        <w:rPr>
          <w:rFonts w:ascii="Times New Roman" w:hAnsi="Times New Roman" w:eastAsia="Times New Roman" w:cs="Times New Roman"/>
          <w:i/>
          <w:sz w:val="28"/>
          <w:szCs w:val="28"/>
        </w:rPr>
        <w:t xml:space="preserve"> to ensure safe drinking water.</w:t>
      </w:r>
    </w:p>
    <w:p w14:paraId="6862E418">
      <w:p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Keywords</w:t>
      </w:r>
      <w:r>
        <w:rPr>
          <w:rFonts w:ascii="Times New Roman" w:hAnsi="Times New Roman" w:eastAsia="Times New Roman" w:cs="Times New Roman"/>
          <w:sz w:val="28"/>
          <w:szCs w:val="28"/>
        </w:rPr>
        <w:t>: Bacteriological quality, Physico-chemical parameters, Drinking water, Coliforms, Escherichia coli, Water contamination, Public health, Water quality monitoring.</w:t>
      </w:r>
    </w:p>
    <w:p w14:paraId="015D91F4">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w:t>
      </w:r>
    </w:p>
    <w:p w14:paraId="772F0D6C">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14:paraId="38595BEA">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OF CONTENTS</w:t>
      </w:r>
    </w:p>
    <w:p w14:paraId="15625D0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Title Page</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Certification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ii</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Dedication</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iii</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Acknowledgements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iv</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Abstract</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v</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14:textFill>
            <w14:solidFill>
              <w14:schemeClr w14:val="tx1"/>
            </w14:solidFill>
          </w14:textFill>
        </w:rPr>
        <w:t>Table of Contents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vi</w:t>
      </w:r>
    </w:p>
    <w:p w14:paraId="10DF9608">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ONE: INTRODUCTION</w:t>
      </w:r>
    </w:p>
    <w:p w14:paraId="23AA5A8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Background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w:t>
      </w:r>
    </w:p>
    <w:p w14:paraId="2215F4B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Statement of the Problem</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ab/>
      </w:r>
    </w:p>
    <w:p w14:paraId="1AB87FA1">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Objectives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w:t>
      </w:r>
    </w:p>
    <w:p w14:paraId="07B05868">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Research Question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w:t>
      </w:r>
    </w:p>
    <w:p w14:paraId="46EDA4A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Justification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w:t>
      </w:r>
    </w:p>
    <w:p w14:paraId="7FE0DD7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Scope and Limitation of the Study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5</w:t>
      </w:r>
    </w:p>
    <w:p w14:paraId="5494FBB6">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Definition of Terms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6</w:t>
      </w:r>
    </w:p>
    <w:p w14:paraId="50721E39">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TWO: LITERATURE REVIEW</w:t>
      </w:r>
    </w:p>
    <w:p w14:paraId="450F8D2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Overview of Drinking Water Sources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7</w:t>
      </w:r>
    </w:p>
    <w:p w14:paraId="7010414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Microbiological Contamination of Drinking Water</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10</w:t>
      </w:r>
    </w:p>
    <w:p w14:paraId="34D5C20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Physicochemical Parameters of Water Quality</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12</w:t>
      </w:r>
    </w:p>
    <w:p w14:paraId="04060DB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Waterborne Diseases from Microbial Contaminants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15</w:t>
      </w:r>
    </w:p>
    <w:p w14:paraId="7AF4B4B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Regulatory Standards for Drinking Water</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18</w:t>
      </w:r>
    </w:p>
    <w:p w14:paraId="7EAD960D">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Previous Studies on Water Quality Assessment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21</w:t>
      </w:r>
    </w:p>
    <w:p w14:paraId="608A0DB8">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THREE: MATERIALS AND METHODS</w:t>
      </w:r>
    </w:p>
    <w:p w14:paraId="011BDE7E">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Study Area</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24</w:t>
      </w:r>
    </w:p>
    <w:p w14:paraId="0BA8E65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Sample Collection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24</w:t>
      </w:r>
    </w:p>
    <w:p w14:paraId="4613A23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Microbiological Analyses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24</w:t>
      </w:r>
    </w:p>
    <w:p w14:paraId="73E8AED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Isolation of Microorganisms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26</w:t>
      </w:r>
    </w:p>
    <w:p w14:paraId="4368350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Characteristics of Microbial Isolates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27</w:t>
      </w:r>
    </w:p>
    <w:p w14:paraId="3F61E7A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3.6</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Biochemical Test</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28</w:t>
      </w:r>
    </w:p>
    <w:p w14:paraId="6D5AED82">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3.7</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Physicochemical Analyses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30</w:t>
      </w:r>
    </w:p>
    <w:p w14:paraId="5D764395">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FOUR: RESULTS AND DISCUSSION</w:t>
      </w:r>
    </w:p>
    <w:p w14:paraId="6D74545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Total Bacteria Counts (CFU/ml)</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201A2A6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Most Probable Number</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473704B4">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 xml:space="preserve">Colonial Morphological Characteristics </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5B517D27">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4.4</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Biochemical Characterization and Gram Staining Reaction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21A14813">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Physicochemical Parameters of Water Samples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31</w:t>
      </w:r>
    </w:p>
    <w:p w14:paraId="4D3F4657">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FIVE: SUMMARY, CONCLUSION AND RECOMMENDATIONS</w:t>
      </w:r>
    </w:p>
    <w:p w14:paraId="3D7850A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Discussion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35</w:t>
      </w:r>
    </w:p>
    <w:p w14:paraId="2464BAF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Conclusion</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36</w:t>
      </w:r>
    </w:p>
    <w:p w14:paraId="7CFF8B22">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5.3</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Recommendations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36</w:t>
      </w:r>
    </w:p>
    <w:p w14:paraId="23C6C34E">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References</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37</w:t>
      </w:r>
    </w:p>
    <w:p w14:paraId="059213DD">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24A77347">
      <w:pPr>
        <w:spacing w:line="360" w:lineRule="auto"/>
        <w:jc w:val="center"/>
        <w:rPr>
          <w:rFonts w:ascii="Times New Roman" w:hAnsi="Times New Roman" w:cs="Times New Roman"/>
          <w:b/>
          <w:bCs/>
          <w:sz w:val="28"/>
          <w:szCs w:val="28"/>
        </w:rPr>
        <w:sectPr>
          <w:footerReference r:id="rId5" w:type="default"/>
          <w:pgSz w:w="11520" w:h="15120"/>
          <w:pgMar w:top="1440" w:right="1440" w:bottom="1440" w:left="1440" w:header="720" w:footer="720" w:gutter="0"/>
          <w:pgNumType w:fmt="lowerRoman"/>
          <w:cols w:space="720" w:num="1"/>
          <w:docGrid w:linePitch="360" w:charSpace="0"/>
        </w:sectPr>
      </w:pPr>
    </w:p>
    <w:p w14:paraId="1B05F7C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BE156E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Pr>
          <w:rFonts w:ascii="Times New Roman" w:hAnsi="Times New Roman" w:cs="Times New Roman"/>
          <w:b/>
          <w:bCs/>
          <w:sz w:val="28"/>
          <w:szCs w:val="28"/>
        </w:rPr>
        <w:tab/>
      </w:r>
      <w:r>
        <w:rPr>
          <w:rFonts w:ascii="Times New Roman" w:hAnsi="Times New Roman" w:cs="Times New Roman"/>
          <w:b/>
          <w:bCs/>
          <w:sz w:val="28"/>
          <w:szCs w:val="28"/>
        </w:rPr>
        <w:t>INTRODUCTION</w:t>
      </w:r>
    </w:p>
    <w:p w14:paraId="6E10242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r>
      <w:r>
        <w:rPr>
          <w:rFonts w:ascii="Times New Roman" w:hAnsi="Times New Roman" w:cs="Times New Roman"/>
          <w:b/>
          <w:bCs/>
          <w:sz w:val="28"/>
          <w:szCs w:val="28"/>
        </w:rPr>
        <w:t>Background of the Study</w:t>
      </w:r>
    </w:p>
    <w:p w14:paraId="2E6B2007">
      <w:pPr>
        <w:spacing w:line="360" w:lineRule="auto"/>
        <w:jc w:val="both"/>
        <w:rPr>
          <w:rFonts w:ascii="Times New Roman" w:hAnsi="Times New Roman" w:cs="Times New Roman"/>
          <w:sz w:val="28"/>
          <w:szCs w:val="28"/>
        </w:rPr>
      </w:pPr>
      <w:r>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14:paraId="38F8703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Pr>
          <w:rFonts w:ascii="Times New Roman" w:hAnsi="Times New Roman" w:cs="Times New Roman"/>
          <w:i/>
          <w:iCs/>
          <w:sz w:val="28"/>
          <w:szCs w:val="28"/>
        </w:rPr>
        <w:t>Escherichia coli</w:t>
      </w:r>
      <w:r>
        <w:rPr>
          <w:rFonts w:ascii="Times New Roman" w:hAnsi="Times New Roman" w:cs="Times New Roman"/>
          <w:sz w:val="28"/>
          <w:szCs w:val="28"/>
        </w:rPr>
        <w:t xml:space="preserve">, serves as an indicator of recent fecal contamination and the potential presence of disease-causing pathogens such as </w:t>
      </w:r>
      <w:r>
        <w:rPr>
          <w:rFonts w:ascii="Times New Roman" w:hAnsi="Times New Roman" w:cs="Times New Roman"/>
          <w:i/>
          <w:iCs/>
          <w:sz w:val="28"/>
          <w:szCs w:val="28"/>
        </w:rPr>
        <w:t>Salmonella</w:t>
      </w:r>
      <w:r>
        <w:rPr>
          <w:rFonts w:ascii="Times New Roman" w:hAnsi="Times New Roman" w:cs="Times New Roman"/>
          <w:sz w:val="28"/>
          <w:szCs w:val="28"/>
        </w:rPr>
        <w:t xml:space="preserve">, </w:t>
      </w:r>
      <w:r>
        <w:rPr>
          <w:rFonts w:ascii="Times New Roman" w:hAnsi="Times New Roman" w:cs="Times New Roman"/>
          <w:i/>
          <w:iCs/>
          <w:sz w:val="28"/>
          <w:szCs w:val="28"/>
        </w:rPr>
        <w:t>Shigella</w:t>
      </w:r>
      <w:r>
        <w:rPr>
          <w:rFonts w:ascii="Times New Roman" w:hAnsi="Times New Roman" w:cs="Times New Roman"/>
          <w:sz w:val="28"/>
          <w:szCs w:val="28"/>
        </w:rPr>
        <w:t>, and viruses (Yahaya et al., 2024). On the other hand, physicochemical parameters such as pH, turbidity, total dissolved solids (TDS), temperature, electrical conductivity, and concentrations of metals or chemicals like nitrates and chlorides help to determine the aesthetic and toxicological safety of water (Olowolafe et al., 2021).</w:t>
      </w:r>
    </w:p>
    <w:p w14:paraId="0BE28911">
      <w:pPr>
        <w:spacing w:line="360" w:lineRule="auto"/>
        <w:jc w:val="both"/>
        <w:rPr>
          <w:rFonts w:ascii="Times New Roman" w:hAnsi="Times New Roman" w:cs="Times New Roman"/>
          <w:sz w:val="28"/>
          <w:szCs w:val="28"/>
        </w:rPr>
      </w:pPr>
      <w:r>
        <w:rPr>
          <w:rFonts w:ascii="Times New Roman" w:hAnsi="Times New Roman" w:cs="Times New Roman"/>
          <w:sz w:val="28"/>
          <w:szCs w:val="28"/>
        </w:rPr>
        <w:t>In Nigeria, many communities rely on alternative water sources such as wells, boreholes, streams, and sachet water due to unreliable public water supply. Unfortunately, these sources are often exposed to contaminants, especially in peri-urban and rural settings where regulation is minimal (Okonkwo et al., 2023). Continuous consumption of contaminated water has been linked to outbreaks of waterborne diseases including cholera, diarrhea, typhoid fever, and dysentery (Ibrahim &amp; Usman,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14:paraId="336B003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r>
      <w:r>
        <w:rPr>
          <w:rFonts w:ascii="Times New Roman" w:hAnsi="Times New Roman" w:cs="Times New Roman"/>
          <w:b/>
          <w:bCs/>
          <w:sz w:val="28"/>
          <w:szCs w:val="28"/>
        </w:rPr>
        <w:t>Statement of the Problem</w:t>
      </w:r>
    </w:p>
    <w:p w14:paraId="4F943DBD">
      <w:pPr>
        <w:spacing w:line="360" w:lineRule="auto"/>
        <w:jc w:val="both"/>
        <w:rPr>
          <w:rFonts w:ascii="Times New Roman" w:hAnsi="Times New Roman" w:cs="Times New Roman"/>
          <w:sz w:val="28"/>
          <w:szCs w:val="28"/>
        </w:rPr>
      </w:pPr>
      <w:r>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(Chukwudi et al., 2025). Bacteriological contamination, particularly from fecal sources, continues to be reported in water sources meant for human consumption.</w:t>
      </w:r>
    </w:p>
    <w:p w14:paraId="769ED805">
      <w:pPr>
        <w:spacing w:line="360" w:lineRule="auto"/>
        <w:jc w:val="both"/>
        <w:rPr>
          <w:rFonts w:ascii="Times New Roman" w:hAnsi="Times New Roman" w:cs="Times New Roman"/>
          <w:sz w:val="28"/>
          <w:szCs w:val="28"/>
        </w:rPr>
      </w:pPr>
      <w:r>
        <w:rPr>
          <w:rFonts w:ascii="Times New Roman" w:hAnsi="Times New Roman" w:cs="Times New Roman"/>
          <w:sz w:val="28"/>
          <w:szCs w:val="28"/>
        </w:rPr>
        <w:t>Furthermore, physicochemical parameters such as pH, turbidity, and total dissolved solids are frequently found to be outside the acceptable limits set 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(Adeleye et al., 2022).</w:t>
      </w:r>
    </w:p>
    <w:p w14:paraId="1D5DF511">
      <w:pPr>
        <w:spacing w:line="360" w:lineRule="auto"/>
        <w:jc w:val="both"/>
        <w:rPr>
          <w:rFonts w:ascii="Times New Roman" w:hAnsi="Times New Roman" w:cs="Times New Roman"/>
          <w:sz w:val="28"/>
          <w:szCs w:val="28"/>
        </w:rPr>
      </w:pPr>
      <w:r>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14:paraId="7B4C126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r>
      <w:r>
        <w:rPr>
          <w:rFonts w:ascii="Times New Roman" w:hAnsi="Times New Roman" w:cs="Times New Roman"/>
          <w:b/>
          <w:bCs/>
          <w:sz w:val="28"/>
          <w:szCs w:val="28"/>
        </w:rPr>
        <w:t>Objectives of the Study</w:t>
      </w:r>
    </w:p>
    <w:p w14:paraId="27AFA3A8">
      <w:pPr>
        <w:spacing w:line="360" w:lineRule="auto"/>
        <w:jc w:val="both"/>
        <w:rPr>
          <w:rFonts w:ascii="Times New Roman" w:hAnsi="Times New Roman" w:cs="Times New Roman"/>
          <w:sz w:val="28"/>
          <w:szCs w:val="28"/>
        </w:rPr>
      </w:pPr>
      <w:r>
        <w:rPr>
          <w:rFonts w:ascii="Times New Roman" w:hAnsi="Times New Roman" w:cs="Times New Roman"/>
          <w:sz w:val="28"/>
          <w:szCs w:val="28"/>
        </w:rPr>
        <w:t>The primary objective of this study is to assess the bacteriological and physicochemical quality of selected drinking water sources.</w:t>
      </w:r>
    </w:p>
    <w:p w14:paraId="5CAB3BFE">
      <w:pPr>
        <w:spacing w:line="360" w:lineRule="auto"/>
        <w:jc w:val="both"/>
        <w:rPr>
          <w:rFonts w:ascii="Times New Roman" w:hAnsi="Times New Roman" w:cs="Times New Roman"/>
          <w:sz w:val="28"/>
          <w:szCs w:val="28"/>
        </w:rPr>
      </w:pPr>
      <w:r>
        <w:rPr>
          <w:rFonts w:ascii="Times New Roman" w:hAnsi="Times New Roman" w:cs="Times New Roman"/>
          <w:sz w:val="28"/>
          <w:szCs w:val="28"/>
        </w:rPr>
        <w:t>The specific objectives are to:</w:t>
      </w:r>
    </w:p>
    <w:p w14:paraId="284D260D">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Determine the levels of bacteriological contamination (e.g., total coliforms, </w:t>
      </w:r>
      <w:r>
        <w:rPr>
          <w:rFonts w:ascii="Times New Roman" w:hAnsi="Times New Roman" w:cs="Times New Roman"/>
          <w:i/>
          <w:iCs/>
          <w:sz w:val="28"/>
          <w:szCs w:val="28"/>
        </w:rPr>
        <w:t>E. coli</w:t>
      </w:r>
      <w:r>
        <w:rPr>
          <w:rFonts w:ascii="Times New Roman" w:hAnsi="Times New Roman" w:cs="Times New Roman"/>
          <w:sz w:val="28"/>
          <w:szCs w:val="28"/>
        </w:rPr>
        <w:t>) in the selected water samples.</w:t>
      </w:r>
    </w:p>
    <w:p w14:paraId="321FCB1E">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Evaluate the physicochemical properties (such as pH, turbidity, TDS, conductivity, temperature) of the water samples.</w:t>
      </w:r>
    </w:p>
    <w:p w14:paraId="7BD55DC4">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Compare the results of the analysis with national (SON) and international (WHO) standards for drinking water.</w:t>
      </w:r>
    </w:p>
    <w:p w14:paraId="5CA3FE5F">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Identify possible sources of contamination and suggest appropriate control measures.</w:t>
      </w:r>
    </w:p>
    <w:p w14:paraId="6096D4D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1.4</w:t>
      </w:r>
      <w:r>
        <w:rPr>
          <w:rFonts w:ascii="Times New Roman" w:hAnsi="Times New Roman" w:cs="Times New Roman"/>
          <w:b/>
          <w:bCs/>
          <w:sz w:val="28"/>
          <w:szCs w:val="28"/>
        </w:rPr>
        <w:tab/>
      </w:r>
      <w:r>
        <w:rPr>
          <w:rFonts w:ascii="Times New Roman" w:hAnsi="Times New Roman" w:cs="Times New Roman"/>
          <w:b/>
          <w:bCs/>
          <w:sz w:val="28"/>
          <w:szCs w:val="28"/>
        </w:rPr>
        <w:t>Research Questions</w:t>
      </w:r>
    </w:p>
    <w:p w14:paraId="5746507B">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is the level of bacteriological contamination in the selected drinking water sources?</w:t>
      </w:r>
    </w:p>
    <w:p w14:paraId="0154DC55">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are the physicochemical characteristics of the water samples collected?</w:t>
      </w:r>
    </w:p>
    <w:p w14:paraId="061BFCAB">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How do the results compare with the acceptable limits set by WHO and SON for potable water?</w:t>
      </w:r>
    </w:p>
    <w:p w14:paraId="4C5E3C1C">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are the likely sources of contamination, and what measures can be recommended?</w:t>
      </w:r>
    </w:p>
    <w:p w14:paraId="3BC30A2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ab/>
      </w:r>
      <w:r>
        <w:rPr>
          <w:rFonts w:ascii="Times New Roman" w:hAnsi="Times New Roman" w:cs="Times New Roman"/>
          <w:b/>
          <w:bCs/>
          <w:sz w:val="28"/>
          <w:szCs w:val="28"/>
        </w:rPr>
        <w:t>Justification of the Study</w:t>
      </w:r>
    </w:p>
    <w:p w14:paraId="796D418A">
      <w:pPr>
        <w:spacing w:line="360" w:lineRule="auto"/>
        <w:jc w:val="both"/>
        <w:rPr>
          <w:rFonts w:ascii="Times New Roman" w:hAnsi="Times New Roman" w:cs="Times New Roman"/>
          <w:sz w:val="28"/>
          <w:szCs w:val="28"/>
        </w:rPr>
      </w:pPr>
      <w:r>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(Olowolafe et al., 2021).</w:t>
      </w:r>
    </w:p>
    <w:p w14:paraId="58D3FC42">
      <w:pPr>
        <w:spacing w:line="360" w:lineRule="auto"/>
        <w:jc w:val="both"/>
        <w:rPr>
          <w:rFonts w:ascii="Times New Roman" w:hAnsi="Times New Roman" w:cs="Times New Roman"/>
          <w:sz w:val="28"/>
          <w:szCs w:val="28"/>
        </w:rPr>
      </w:pPr>
      <w:r>
        <w:rPr>
          <w:rFonts w:ascii="Times New Roman" w:hAnsi="Times New Roman" w:cs="Times New Roman"/>
          <w:sz w:val="28"/>
          <w:szCs w:val="28"/>
        </w:rPr>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14:paraId="63E515D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1.6</w:t>
      </w:r>
      <w:r>
        <w:rPr>
          <w:rFonts w:ascii="Times New Roman" w:hAnsi="Times New Roman" w:cs="Times New Roman"/>
          <w:b/>
          <w:bCs/>
          <w:sz w:val="28"/>
          <w:szCs w:val="28"/>
        </w:rPr>
        <w:tab/>
      </w:r>
      <w:r>
        <w:rPr>
          <w:rFonts w:ascii="Times New Roman" w:hAnsi="Times New Roman" w:cs="Times New Roman"/>
          <w:b/>
          <w:bCs/>
          <w:sz w:val="28"/>
          <w:szCs w:val="28"/>
        </w:rPr>
        <w:t>Scope and Limitations of the Study</w:t>
      </w:r>
    </w:p>
    <w:p w14:paraId="1B058E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Pr>
          <w:rFonts w:ascii="Times New Roman" w:hAnsi="Times New Roman" w:cs="Times New Roman"/>
          <w:i/>
          <w:iCs/>
          <w:sz w:val="28"/>
          <w:szCs w:val="28"/>
        </w:rPr>
        <w:t>Escherichia coli</w:t>
      </w:r>
      <w:r>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14:paraId="5AE7C97D">
      <w:pPr>
        <w:spacing w:line="360" w:lineRule="auto"/>
        <w:jc w:val="both"/>
        <w:rPr>
          <w:rFonts w:ascii="Times New Roman" w:hAnsi="Times New Roman" w:cs="Times New Roman"/>
          <w:sz w:val="28"/>
          <w:szCs w:val="28"/>
        </w:rPr>
      </w:pPr>
      <w:r>
        <w:rPr>
          <w:rFonts w:ascii="Times New Roman" w:hAnsi="Times New Roman" w:cs="Times New Roman"/>
          <w:sz w:val="28"/>
          <w:szCs w:val="28"/>
        </w:rPr>
        <w:t>However, the study is subject to certain limitations. Seasonal variation in water quality will not be covered, as the sampling will be done within a single season. Also, the study does not include virological, parasitological, or radiological assessments, which may also impact water quality (Chukwudi et al., 2025). Resource constraints may also limit the number of samples and range of parameters analyzed. Nonetheless, the study is expected to offer critical insights into the safety of drinking water in the selected area.</w:t>
      </w:r>
    </w:p>
    <w:p w14:paraId="33CC239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1.7</w:t>
      </w:r>
      <w:r>
        <w:rPr>
          <w:rFonts w:ascii="Times New Roman" w:hAnsi="Times New Roman" w:cs="Times New Roman"/>
          <w:b/>
          <w:bCs/>
          <w:sz w:val="28"/>
          <w:szCs w:val="28"/>
        </w:rPr>
        <w:tab/>
      </w:r>
      <w:r>
        <w:rPr>
          <w:rFonts w:ascii="Times New Roman" w:hAnsi="Times New Roman" w:cs="Times New Roman"/>
          <w:b/>
          <w:bCs/>
          <w:sz w:val="28"/>
          <w:szCs w:val="28"/>
        </w:rPr>
        <w:t>Definition of Terms</w:t>
      </w:r>
    </w:p>
    <w:p w14:paraId="503D30BE">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Bacteriological Quality</w:t>
      </w:r>
      <w:r>
        <w:rPr>
          <w:rFonts w:ascii="Times New Roman" w:hAnsi="Times New Roman" w:cs="Times New Roman"/>
          <w:sz w:val="28"/>
          <w:szCs w:val="28"/>
        </w:rPr>
        <w:t>: The level of microbial contamination in water, typically assessed using indicator organisms like coliforms.</w:t>
      </w:r>
    </w:p>
    <w:p w14:paraId="18276126">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Physicochemical Parameters</w:t>
      </w:r>
      <w:r>
        <w:rPr>
          <w:rFonts w:ascii="Times New Roman" w:hAnsi="Times New Roman" w:cs="Times New Roman"/>
          <w:sz w:val="28"/>
          <w:szCs w:val="28"/>
        </w:rPr>
        <w:t>: Physical and chemical characteristics of water such as pH, turbidity, and conductivity.</w:t>
      </w:r>
    </w:p>
    <w:p w14:paraId="249926B4">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Coliform Bacteria</w:t>
      </w:r>
      <w:r>
        <w:rPr>
          <w:rFonts w:ascii="Times New Roman" w:hAnsi="Times New Roman" w:cs="Times New Roman"/>
          <w:sz w:val="28"/>
          <w:szCs w:val="28"/>
        </w:rPr>
        <w:t>: A group of bacteria commonly found in the environment, used as an indicator of fecal contamination.</w:t>
      </w:r>
    </w:p>
    <w:p w14:paraId="76580EDB">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Turbidity</w:t>
      </w:r>
      <w:r>
        <w:rPr>
          <w:rFonts w:ascii="Times New Roman" w:hAnsi="Times New Roman" w:cs="Times New Roman"/>
          <w:sz w:val="28"/>
          <w:szCs w:val="28"/>
        </w:rPr>
        <w:t>: The cloudiness or haziness in water caused by large numbers of individual particles.</w:t>
      </w:r>
    </w:p>
    <w:p w14:paraId="078A6F9B">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Total Dissolved Solids (TDS)</w:t>
      </w:r>
      <w:r>
        <w:rPr>
          <w:rFonts w:ascii="Times New Roman" w:hAnsi="Times New Roman" w:cs="Times New Roman"/>
          <w:sz w:val="28"/>
          <w:szCs w:val="28"/>
        </w:rPr>
        <w:t>: A measure of all inorganic and organic substances dissolved in water.</w:t>
      </w:r>
    </w:p>
    <w:p w14:paraId="74C227E6">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Sachet Water</w:t>
      </w:r>
      <w:r>
        <w:rPr>
          <w:rFonts w:ascii="Times New Roman" w:hAnsi="Times New Roman" w:cs="Times New Roman"/>
          <w:sz w:val="28"/>
          <w:szCs w:val="28"/>
        </w:rPr>
        <w:t>: Packaged water sold in small plastic bags, commonly used as a drinking source in Nigeria.</w:t>
      </w:r>
    </w:p>
    <w:p w14:paraId="5A1F15A9">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WHO Standards</w:t>
      </w:r>
      <w:r>
        <w:rPr>
          <w:rFonts w:ascii="Times New Roman" w:hAnsi="Times New Roman" w:cs="Times New Roman"/>
          <w:sz w:val="28"/>
          <w:szCs w:val="28"/>
        </w:rPr>
        <w:t>: Guidelines provided by the World Health Organization for the safety of drinking water.</w:t>
      </w:r>
    </w:p>
    <w:p w14:paraId="2CEE2018">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SON</w:t>
      </w:r>
      <w:r>
        <w:rPr>
          <w:rFonts w:ascii="Times New Roman" w:hAnsi="Times New Roman" w:cs="Times New Roman"/>
          <w:sz w:val="28"/>
          <w:szCs w:val="28"/>
        </w:rPr>
        <w:t>: Standards Organisation of Nigeria, responsible for setting and monitoring product and service standards in Nigeria.</w:t>
      </w:r>
    </w:p>
    <w:p w14:paraId="638190E2">
      <w:pPr>
        <w:rPr>
          <w:sz w:val="28"/>
          <w:szCs w:val="28"/>
        </w:rPr>
      </w:pPr>
      <w:r>
        <w:rPr>
          <w:sz w:val="28"/>
          <w:szCs w:val="28"/>
        </w:rPr>
        <w:br w:type="page"/>
      </w:r>
    </w:p>
    <w:p w14:paraId="0E7BCE4E">
      <w:pPr>
        <w:spacing w:before="100" w:beforeAutospacing="1" w:after="100" w:afterAutospacing="1" w:line="36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CHAPTER TWO</w:t>
      </w:r>
    </w:p>
    <w:p w14:paraId="7E746931">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2.0</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LITERATURE REVIEW</w:t>
      </w:r>
    </w:p>
    <w:p w14:paraId="18939C1A">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Overview of Drinking Water Sources</w:t>
      </w:r>
    </w:p>
    <w:p w14:paraId="5B09586C">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Surface Water Sources</w:t>
      </w:r>
    </w:p>
    <w:p w14:paraId="39983C5E">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(Chukwudi et al., 2025). Without adequate purification, surface water poses a high risk for the transmission of waterborne diseases such as cholera and typhoid fever.</w:t>
      </w:r>
    </w:p>
    <w:p w14:paraId="11CFD38E">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Groundwater Sources</w:t>
      </w:r>
    </w:p>
    <w:p w14:paraId="62AD1643">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(Olowolafe et al., 2021). Moreover, geogenic contaminants such as iron, manganese, fluoride, and arsenic can also compromise groundwater quality, especially if not periodically tested and treated (Yahaya et al., 2024).</w:t>
      </w:r>
    </w:p>
    <w:p w14:paraId="047AEEFF">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Rainwater Harvesting</w:t>
      </w:r>
    </w:p>
    <w:p w14:paraId="64A9FB11">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Usman, 2023). In some cases, acid rain caused by industrial emissions can further degrade its quality.</w:t>
      </w:r>
    </w:p>
    <w:p w14:paraId="609F1ABF">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Municipal and Piped Water Supply</w:t>
      </w:r>
    </w:p>
    <w:p w14:paraId="18C3B5E1">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Piped water systems provided by government agencies or water corporations are generally expected to meet national and international safety standards. These systems typically involve centralized treatment including coagulation, sedimentation, filtration, and chlorination. However, in Nigeria, such systems are often hindered by aging infrastructure, poor maintenance, and intermittent supply (Adeleye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14:paraId="177B60BE">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Packaged Water (Sachet and Bottled Water)</w:t>
      </w:r>
    </w:p>
    <w:p w14:paraId="7F4C3AC3">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(Okonkwo et al., 2023). Nonetheless, when produced under proper hygienic conditions and monitored for quality, packaged water can be a safe alternative.</w:t>
      </w:r>
    </w:p>
    <w:p w14:paraId="47D38020">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2.1.6</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Comparison of Sources and Quality Implications</w:t>
      </w:r>
    </w:p>
    <w:p w14:paraId="0D7A0F22">
      <w:pPr>
        <w:spacing w:before="100" w:beforeAutospacing="1" w:after="100" w:afterAutospacing="1"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while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14:paraId="608C8496">
      <w:pPr>
        <w:spacing w:before="100" w:beforeAutospacing="1" w:after="100" w:afterAutospacing="1" w:line="360" w:lineRule="auto"/>
        <w:jc w:val="both"/>
        <w:rPr>
          <w:rFonts w:ascii="Times New Roman" w:hAnsi="Times New Roman" w:eastAsia="Times New Roman" w:cs="Times New Roman"/>
          <w:b/>
          <w:sz w:val="28"/>
          <w:szCs w:val="28"/>
        </w:rPr>
      </w:pPr>
    </w:p>
    <w:p w14:paraId="055E57E3">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2.2</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Microbiological Contamination of Drinking Water</w:t>
      </w:r>
    </w:p>
    <w:p w14:paraId="4D4EEC06">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14:paraId="6028FCAC">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most common indicators used to assess microbiological water quality are coliform bacteria, especially </w:t>
      </w:r>
      <w:r>
        <w:rPr>
          <w:rFonts w:ascii="Times New Roman" w:hAnsi="Times New Roman" w:eastAsia="Times New Roman" w:cs="Times New Roman"/>
          <w:bCs/>
          <w:sz w:val="28"/>
          <w:szCs w:val="28"/>
        </w:rPr>
        <w:t>Escherichia coli (E. coli)</w:t>
      </w:r>
      <w:r>
        <w:rPr>
          <w:rFonts w:ascii="Times New Roman" w:hAnsi="Times New Roman" w:eastAsia="Times New Roman" w:cs="Times New Roman"/>
          <w:sz w:val="28"/>
          <w:szCs w:val="28"/>
        </w:rPr>
        <w:t xml:space="preserve">, which is a strong indicator of recent fecal contamination. These bacteria are not necessarily harmful themselves but signal the potential presence of more dangerous pathogens (Adeleye et al., 2022). The presence of </w:t>
      </w:r>
      <w:r>
        <w:rPr>
          <w:rFonts w:ascii="Times New Roman" w:hAnsi="Times New Roman" w:eastAsia="Times New Roman" w:cs="Times New Roman"/>
          <w:i/>
          <w:iCs/>
          <w:sz w:val="28"/>
          <w:szCs w:val="28"/>
        </w:rPr>
        <w:t>E. coli</w:t>
      </w:r>
      <w:r>
        <w:rPr>
          <w:rFonts w:ascii="Times New Roman" w:hAnsi="Times New Roman" w:eastAsia="Times New Roman" w:cs="Times New Roman"/>
          <w:sz w:val="28"/>
          <w:szCs w:val="28"/>
        </w:rPr>
        <w:t xml:space="preserve"> in drinking water is unacceptable at any level according to both WHO and Nigerian national standards (SON, 2020), and its detection calls for immediate corrective actions.</w:t>
      </w:r>
    </w:p>
    <w:p w14:paraId="778EFFA1">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is high (Olowolafe et al., 2021). In urban centers, broken water pipelines running alongside sewer lines also provide entry points for microbial contaminants due to pressure imbalances (Ibrahim &amp; Usman, 2023).</w:t>
      </w:r>
    </w:p>
    <w:p w14:paraId="291AF017">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Pr>
          <w:rFonts w:ascii="Times New Roman" w:hAnsi="Times New Roman" w:eastAsia="Times New Roman" w:cs="Times New Roman"/>
          <w:i/>
          <w:iCs/>
          <w:sz w:val="28"/>
          <w:szCs w:val="28"/>
        </w:rPr>
        <w:t>Salmonella spp.</w:t>
      </w:r>
      <w:r>
        <w:rPr>
          <w:rFonts w:ascii="Times New Roman" w:hAnsi="Times New Roman" w:eastAsia="Times New Roman" w:cs="Times New Roman"/>
          <w:sz w:val="28"/>
          <w:szCs w:val="28"/>
        </w:rPr>
        <w:t xml:space="preserve">, </w:t>
      </w:r>
      <w:r>
        <w:rPr>
          <w:rFonts w:ascii="Times New Roman" w:hAnsi="Times New Roman" w:eastAsia="Times New Roman" w:cs="Times New Roman"/>
          <w:i/>
          <w:iCs/>
          <w:sz w:val="28"/>
          <w:szCs w:val="28"/>
        </w:rPr>
        <w:t>Campylobacter</w:t>
      </w:r>
      <w:r>
        <w:rPr>
          <w:rFonts w:ascii="Times New Roman" w:hAnsi="Times New Roman" w:eastAsia="Times New Roman" w:cs="Times New Roman"/>
          <w:sz w:val="28"/>
          <w:szCs w:val="28"/>
        </w:rPr>
        <w:t xml:space="preserve">, and even parasites into stored rainwater (Yahaya et al., 2024). Similarly, sachet water, often assumed to be safe, has been found in some studies to contain total coliforms and </w:t>
      </w:r>
      <w:r>
        <w:rPr>
          <w:rFonts w:ascii="Times New Roman" w:hAnsi="Times New Roman" w:eastAsia="Times New Roman" w:cs="Times New Roman"/>
          <w:i/>
          <w:iCs/>
          <w:sz w:val="28"/>
          <w:szCs w:val="28"/>
        </w:rPr>
        <w:t>E. coli</w:t>
      </w:r>
      <w:r>
        <w:rPr>
          <w:rFonts w:ascii="Times New Roman" w:hAnsi="Times New Roman" w:eastAsia="Times New Roman" w:cs="Times New Roman"/>
          <w:sz w:val="28"/>
          <w:szCs w:val="28"/>
        </w:rPr>
        <w:t>, especially when produced under unhygienic conditions (Okonkwo et al., 2023).</w:t>
      </w:r>
    </w:p>
    <w:p w14:paraId="59815B24">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health consequences of drinking microbially contaminated water are particularly severe among vulnerable populations such as children, pregnant women, and immunocompromised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14:paraId="032A5126">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remains low, highlighting the need for public education and community-based interventions (Chukwudi et al., 2025).</w:t>
      </w:r>
    </w:p>
    <w:p w14:paraId="62DCAD83">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In conclusion, microbiological contamination remains a pressing issue in the context of water safety, and its prevention requires a multi-sectoral approach involving public health authorities, community leaders, water engineers, and the general public. Safe water provision cannot be achieved without addressing the root causes of microbial pollution and ensuring consistent water quality surveillance.</w:t>
      </w:r>
    </w:p>
    <w:p w14:paraId="70DE7217">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2.3</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Physicochemical Parameters of Water Quality</w:t>
      </w:r>
    </w:p>
    <w:p w14:paraId="25610AA1">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potability (WHO, 2021; SON, 2020).</w:t>
      </w:r>
    </w:p>
    <w:p w14:paraId="13803EDD">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pH</w:t>
      </w:r>
    </w:p>
    <w:p w14:paraId="02216E1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(Okonkwo et al., 2023).</w:t>
      </w:r>
    </w:p>
    <w:p w14:paraId="3B9F0158">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Turbidity</w:t>
      </w:r>
    </w:p>
    <w:p w14:paraId="6501BB26">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 High turbidity is often reported in surface waters and poorly treated sachet water in Nigeria (Chukwudi et al., 2025).</w:t>
      </w:r>
    </w:p>
    <w:p w14:paraId="7AC5C13B">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Total Dissolved Solids (TDS)</w:t>
      </w:r>
    </w:p>
    <w:p w14:paraId="536DAE19">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(Adeleye et al., 2022).</w:t>
      </w:r>
    </w:p>
    <w:p w14:paraId="588A21FE">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Electrical Conductivity (EC)</w:t>
      </w:r>
    </w:p>
    <w:p w14:paraId="6036C020">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Usman, 2023). Water sources near farmlands or urban drainage systems frequently show high EC values, indicating contamination by nitrates, sulfates, or chlorides.</w:t>
      </w:r>
    </w:p>
    <w:p w14:paraId="67B87DF1">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Temperature</w:t>
      </w:r>
    </w:p>
    <w:p w14:paraId="491E0CD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(Yahaya et al., 2024).</w:t>
      </w:r>
    </w:p>
    <w:p w14:paraId="4AB863D4">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2.3.6</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Nitrates</w:t>
      </w:r>
    </w:p>
    <w:p w14:paraId="3E440C59">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Nitrates are commonly found in groundwater contaminated by fertilizers, animal waste, or sewage. High nitrate levels are particularly dangerous for infants, leading to methemoglobinemia or “blue baby syndrome.” The WHO limit for nitrates in drinking water is 50 mg/L. Many rural communities in Nigeria exceed this limit due to open defecation and proximity to agricultural fields (Olowolafe et al., 2021).</w:t>
      </w:r>
    </w:p>
    <w:p w14:paraId="0D1056E9">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2.3.7</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Chlorides and Hardness</w:t>
      </w:r>
    </w:p>
    <w:p w14:paraId="4ABEC12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 Hard water is frequently reported in borehole samples, particularly in the savannah regions of Nigeria (Okonkwo et al., 2023).</w:t>
      </w:r>
    </w:p>
    <w:p w14:paraId="4F5D098B">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2.3.8</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Heavy Metals</w:t>
      </w:r>
    </w:p>
    <w:p w14:paraId="53D0DC41">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(Chukwudi et al., 2025).</w:t>
      </w:r>
    </w:p>
    <w:p w14:paraId="199E1D29">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2.4</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Public Health Implications of Contaminated Water</w:t>
      </w:r>
    </w:p>
    <w:p w14:paraId="62843542">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economic productivity (WHO, 2021).</w:t>
      </w:r>
    </w:p>
    <w:p w14:paraId="60119882">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Waterborne Diseases from Microbial Contaminants</w:t>
      </w:r>
    </w:p>
    <w:p w14:paraId="420B36A0">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most immediate and widespread consequence of consuming microbiologically contaminated water is the outbreak of waterborne diseases. Pathogens such as </w:t>
      </w:r>
      <w:r>
        <w:rPr>
          <w:rFonts w:ascii="Times New Roman" w:hAnsi="Times New Roman" w:eastAsia="Times New Roman" w:cs="Times New Roman"/>
          <w:bCs/>
          <w:sz w:val="28"/>
          <w:szCs w:val="28"/>
        </w:rPr>
        <w:t>Escherichia coli</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Salmonella spp.</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Vibrio cholerae</w:t>
      </w:r>
      <w:r>
        <w:rPr>
          <w:rFonts w:ascii="Times New Roman" w:hAnsi="Times New Roman" w:eastAsia="Times New Roman" w:cs="Times New Roman"/>
          <w:sz w:val="28"/>
          <w:szCs w:val="28"/>
        </w:rPr>
        <w:t xml:space="preserve">, and various protozoa are often introduced into drinking water through fecal contamination. These organisms can cause diseases such as </w:t>
      </w:r>
      <w:r>
        <w:rPr>
          <w:rFonts w:ascii="Times New Roman" w:hAnsi="Times New Roman" w:eastAsia="Times New Roman" w:cs="Times New Roman"/>
          <w:bCs/>
          <w:sz w:val="28"/>
          <w:szCs w:val="28"/>
        </w:rPr>
        <w:t>cholera, typhoid fever, dysentery, and hepatitis A</w:t>
      </w:r>
      <w:r>
        <w:rPr>
          <w:rFonts w:ascii="Times New Roman" w:hAnsi="Times New Roman" w:eastAsia="Times New Roman" w:cs="Times New Roman"/>
          <w:sz w:val="28"/>
          <w:szCs w:val="28"/>
        </w:rPr>
        <w:t>, which are common in Nigeria’s low-income and rural areas (Ibrahim &amp; Usman, 2023). Children under five years are most at risk. According to UNICEF (2023), diarrheal diseases caused by unsafe water and poor sanitation kill more than 1,000 children daily worldwide.</w:t>
      </w:r>
    </w:p>
    <w:p w14:paraId="13648E35">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Chronic Illnesses from Chemical Pollutants</w:t>
      </w:r>
    </w:p>
    <w:p w14:paraId="0C3325BA">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Apart from immediate infections, prolonged exposure to chemically contaminated water can result in chronic health problems. For example, excessive </w:t>
      </w:r>
      <w:r>
        <w:rPr>
          <w:rFonts w:ascii="Times New Roman" w:hAnsi="Times New Roman" w:eastAsia="Times New Roman" w:cs="Times New Roman"/>
          <w:bCs/>
          <w:sz w:val="28"/>
          <w:szCs w:val="28"/>
        </w:rPr>
        <w:t>nitrate</w:t>
      </w:r>
      <w:r>
        <w:rPr>
          <w:rFonts w:ascii="Times New Roman" w:hAnsi="Times New Roman" w:eastAsia="Times New Roman" w:cs="Times New Roman"/>
          <w:sz w:val="28"/>
          <w:szCs w:val="28"/>
        </w:rPr>
        <w:t xml:space="preserve"> levels are linked to </w:t>
      </w:r>
      <w:r>
        <w:rPr>
          <w:rFonts w:ascii="Times New Roman" w:hAnsi="Times New Roman" w:eastAsia="Times New Roman" w:cs="Times New Roman"/>
          <w:bCs/>
          <w:sz w:val="28"/>
          <w:szCs w:val="28"/>
        </w:rPr>
        <w:t>methemoglobinemia</w:t>
      </w:r>
      <w:r>
        <w:rPr>
          <w:rFonts w:ascii="Times New Roman" w:hAnsi="Times New Roman" w:eastAsia="Times New Roman" w:cs="Times New Roman"/>
          <w:sz w:val="28"/>
          <w:szCs w:val="28"/>
        </w:rPr>
        <w:t xml:space="preserve"> or “blue baby syndrome,” a fatal condition in infants. Long-term consumption of water contaminated with </w:t>
      </w:r>
      <w:r>
        <w:rPr>
          <w:rFonts w:ascii="Times New Roman" w:hAnsi="Times New Roman" w:eastAsia="Times New Roman" w:cs="Times New Roman"/>
          <w:bCs/>
          <w:sz w:val="28"/>
          <w:szCs w:val="28"/>
        </w:rPr>
        <w:t>lead, arsenic, or cadmium</w:t>
      </w:r>
      <w:r>
        <w:rPr>
          <w:rFonts w:ascii="Times New Roman" w:hAnsi="Times New Roman" w:eastAsia="Times New Roman" w:cs="Times New Roman"/>
          <w:sz w:val="28"/>
          <w:szCs w:val="28"/>
        </w:rPr>
        <w:t xml:space="preserve"> can cause irreversible damage to the </w:t>
      </w:r>
      <w:r>
        <w:rPr>
          <w:rFonts w:ascii="Times New Roman" w:hAnsi="Times New Roman" w:eastAsia="Times New Roman" w:cs="Times New Roman"/>
          <w:bCs/>
          <w:sz w:val="28"/>
          <w:szCs w:val="28"/>
        </w:rPr>
        <w:t>nervous system, liver, kidneys</w:t>
      </w:r>
      <w:r>
        <w:rPr>
          <w:rFonts w:ascii="Times New Roman" w:hAnsi="Times New Roman" w:eastAsia="Times New Roman" w:cs="Times New Roman"/>
          <w:sz w:val="28"/>
          <w:szCs w:val="28"/>
        </w:rPr>
        <w:t xml:space="preserve">, and even trigger carcinogenic effects (Chukwudi et al., 2025). In several parts of Nigeria, high concentrations of </w:t>
      </w:r>
      <w:r>
        <w:rPr>
          <w:rFonts w:ascii="Times New Roman" w:hAnsi="Times New Roman" w:eastAsia="Times New Roman" w:cs="Times New Roman"/>
          <w:bCs/>
          <w:sz w:val="28"/>
          <w:szCs w:val="28"/>
        </w:rPr>
        <w:t>iron, fluoride, and manganese</w:t>
      </w:r>
      <w:r>
        <w:rPr>
          <w:rFonts w:ascii="Times New Roman" w:hAnsi="Times New Roman" w:eastAsia="Times New Roman" w:cs="Times New Roman"/>
          <w:sz w:val="28"/>
          <w:szCs w:val="28"/>
        </w:rPr>
        <w:t xml:space="preserve"> have been reported in groundwater sources, which may contribute to skeletal deformities and dental fluorosis (Olowolafe et al., 2021).</w:t>
      </w:r>
    </w:p>
    <w:p w14:paraId="0810D978">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Impact on Vulnerable Populations</w:t>
      </w:r>
    </w:p>
    <w:p w14:paraId="6A1DE9B8">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Vulnerable populations especially </w:t>
      </w:r>
      <w:r>
        <w:rPr>
          <w:rFonts w:ascii="Times New Roman" w:hAnsi="Times New Roman" w:eastAsia="Times New Roman" w:cs="Times New Roman"/>
          <w:bCs/>
          <w:sz w:val="28"/>
          <w:szCs w:val="28"/>
        </w:rPr>
        <w:t>infants, pregnant women, the elderly, and immunocompromised individuals</w:t>
      </w:r>
      <w:r>
        <w:rPr>
          <w:rFonts w:ascii="Times New Roman" w:hAnsi="Times New Roman" w:eastAsia="Times New Roman" w:cs="Times New Roman"/>
          <w:sz w:val="28"/>
          <w:szCs w:val="28"/>
        </w:rPr>
        <w:t xml:space="preserve"> are disproportionately affected by contaminated drinking water. For instance, pregnant women consuming high-nitrate water are at increased risk of miscarriage, while children are more susceptible to dehydration and nutrient malabsorption following diarrheal infections (Yahaya et al., 2024). These issues also contribute to poor school attendance and long-term cognitive development setbacks among children.</w:t>
      </w:r>
    </w:p>
    <w:p w14:paraId="52493835">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Socioeconomic Burden of Waterborne Illnesses</w:t>
      </w:r>
    </w:p>
    <w:p w14:paraId="0CF2798A">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(Adeleye et al., 2022). Women and girls, who are often responsible for collecting water, face increased burdens and reduced educational opportunities when clean sources are distant or inaccessible.</w:t>
      </w:r>
    </w:p>
    <w:p w14:paraId="1D77A95A">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Breakdown of Public Trust and Risky Alternatives</w:t>
      </w:r>
    </w:p>
    <w:p w14:paraId="7DB77FAD">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(Okonkwo et al., 2023). The lack of trust in government-supplied water can also reduce willingness to invest in infrastructure maintenance or engage in public health interventions.</w:t>
      </w:r>
    </w:p>
    <w:p w14:paraId="4D8E10E9">
      <w:pPr>
        <w:spacing w:before="100" w:beforeAutospacing="1" w:after="100" w:afterAutospacing="1" w:line="360" w:lineRule="auto"/>
        <w:jc w:val="both"/>
        <w:rPr>
          <w:rFonts w:ascii="Times New Roman" w:hAnsi="Times New Roman" w:eastAsia="Times New Roman" w:cs="Times New Roman"/>
          <w:b/>
          <w:bCs/>
          <w:sz w:val="28"/>
          <w:szCs w:val="28"/>
        </w:rPr>
      </w:pPr>
    </w:p>
    <w:p w14:paraId="499FE0E7">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2.4.6</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Need for Preventive Interventions</w:t>
      </w:r>
    </w:p>
    <w:p w14:paraId="5C273EA1">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To reduce the public health burden of unsafe water, there must be a proactive approach involving </w:t>
      </w:r>
      <w:r>
        <w:rPr>
          <w:rFonts w:ascii="Times New Roman" w:hAnsi="Times New Roman" w:eastAsia="Times New Roman" w:cs="Times New Roman"/>
          <w:bCs/>
          <w:sz w:val="28"/>
          <w:szCs w:val="28"/>
        </w:rPr>
        <w:t>water treatment, regular quality monitoring, hygiene education, and policy enforcement</w:t>
      </w:r>
      <w:r>
        <w:rPr>
          <w:rFonts w:ascii="Times New Roman" w:hAnsi="Times New Roman" w:eastAsia="Times New Roman" w:cs="Times New Roman"/>
          <w:sz w:val="28"/>
          <w:szCs w:val="28"/>
        </w:rPr>
        <w:t xml:space="preserve">. Technologies like </w:t>
      </w:r>
      <w:r>
        <w:rPr>
          <w:rFonts w:ascii="Times New Roman" w:hAnsi="Times New Roman" w:eastAsia="Times New Roman" w:cs="Times New Roman"/>
          <w:bCs/>
          <w:sz w:val="28"/>
          <w:szCs w:val="28"/>
        </w:rPr>
        <w:t>point-of-use filtration</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chlorination</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community sensitization campaigns</w:t>
      </w:r>
      <w:r>
        <w:rPr>
          <w:rFonts w:ascii="Times New Roman" w:hAnsi="Times New Roman" w:eastAsia="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14:paraId="7A09630B">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2.5</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Regulatory Standards for Drinking Water</w:t>
      </w:r>
    </w:p>
    <w:p w14:paraId="2C11786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Pr>
          <w:rFonts w:ascii="Times New Roman" w:hAnsi="Times New Roman" w:eastAsia="Times New Roman" w:cs="Times New Roman"/>
          <w:bCs/>
          <w:sz w:val="28"/>
          <w:szCs w:val="28"/>
        </w:rPr>
        <w:t>national</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international agencies</w:t>
      </w:r>
      <w:r>
        <w:rPr>
          <w:rFonts w:ascii="Times New Roman" w:hAnsi="Times New Roman" w:eastAsia="Times New Roman" w:cs="Times New Roman"/>
          <w:sz w:val="28"/>
          <w:szCs w:val="28"/>
        </w:rPr>
        <w:t xml:space="preserve"> such as the </w:t>
      </w:r>
      <w:r>
        <w:rPr>
          <w:rFonts w:ascii="Times New Roman" w:hAnsi="Times New Roman" w:eastAsia="Times New Roman" w:cs="Times New Roman"/>
          <w:bCs/>
          <w:sz w:val="28"/>
          <w:szCs w:val="28"/>
        </w:rPr>
        <w:t>Standards Organisation of Nigeria (SON)</w:t>
      </w:r>
      <w:r>
        <w:rPr>
          <w:rFonts w:ascii="Times New Roman" w:hAnsi="Times New Roman" w:eastAsia="Times New Roman" w:cs="Times New Roman"/>
          <w:sz w:val="28"/>
          <w:szCs w:val="28"/>
        </w:rPr>
        <w:t xml:space="preserve"> and the </w:t>
      </w:r>
      <w:r>
        <w:rPr>
          <w:rFonts w:ascii="Times New Roman" w:hAnsi="Times New Roman" w:eastAsia="Times New Roman" w:cs="Times New Roman"/>
          <w:bCs/>
          <w:sz w:val="28"/>
          <w:szCs w:val="28"/>
        </w:rPr>
        <w:t>World Health Organization (WHO)</w:t>
      </w:r>
      <w:r>
        <w:rPr>
          <w:rFonts w:ascii="Times New Roman" w:hAnsi="Times New Roman" w:eastAsia="Times New Roman" w:cs="Times New Roman"/>
          <w:sz w:val="28"/>
          <w:szCs w:val="28"/>
        </w:rPr>
        <w:t xml:space="preserve"> (SON, 2020; WHO, 2021).</w:t>
      </w:r>
    </w:p>
    <w:p w14:paraId="5AC1DDBF">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2.5.1</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Nigerian Standard for Drinking Water Quality (NSDWQ)</w:t>
      </w:r>
    </w:p>
    <w:p w14:paraId="43F99CF5">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t>
      </w:r>
      <w:r>
        <w:rPr>
          <w:rFonts w:ascii="Times New Roman" w:hAnsi="Times New Roman" w:eastAsia="Times New Roman" w:cs="Times New Roman"/>
          <w:bCs/>
          <w:sz w:val="28"/>
          <w:szCs w:val="28"/>
        </w:rPr>
        <w:t>Standards Organisation of Nigeria (SON)</w:t>
      </w:r>
      <w:r>
        <w:rPr>
          <w:rFonts w:ascii="Times New Roman" w:hAnsi="Times New Roman" w:eastAsia="Times New Roman" w:cs="Times New Roman"/>
          <w:sz w:val="28"/>
          <w:szCs w:val="28"/>
        </w:rPr>
        <w:t xml:space="preserve"> developed the </w:t>
      </w:r>
      <w:r>
        <w:rPr>
          <w:rFonts w:ascii="Times New Roman" w:hAnsi="Times New Roman" w:eastAsia="Times New Roman" w:cs="Times New Roman"/>
          <w:bCs/>
          <w:sz w:val="28"/>
          <w:szCs w:val="28"/>
        </w:rPr>
        <w:t>Nigerian Standard for Drinking Water Quality (NSDWQ)</w:t>
      </w:r>
      <w:r>
        <w:rPr>
          <w:rFonts w:ascii="Times New Roman" w:hAnsi="Times New Roman" w:eastAsia="Times New Roman" w:cs="Times New Roman"/>
          <w:sz w:val="28"/>
          <w:szCs w:val="28"/>
        </w:rPr>
        <w:t xml:space="preserve"> in 2007 and revised it in 2020. It outlines maximum permissible limits for physical, chemical, radiological, and microbiological parameters in drinking water. The NSDWQ specifies that:</w:t>
      </w:r>
    </w:p>
    <w:p w14:paraId="2FBEE534">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pH should range from </w:t>
      </w:r>
      <w:r>
        <w:rPr>
          <w:rFonts w:ascii="Times New Roman" w:hAnsi="Times New Roman" w:eastAsia="Times New Roman" w:cs="Times New Roman"/>
          <w:bCs/>
          <w:sz w:val="28"/>
          <w:szCs w:val="28"/>
        </w:rPr>
        <w:t>6.5 to 8.5</w:t>
      </w:r>
    </w:p>
    <w:p w14:paraId="73FDC482">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Turbidity</w:t>
      </w:r>
      <w:r>
        <w:rPr>
          <w:rFonts w:ascii="Times New Roman" w:hAnsi="Times New Roman" w:eastAsia="Times New Roman" w:cs="Times New Roman"/>
          <w:sz w:val="28"/>
          <w:szCs w:val="28"/>
        </w:rPr>
        <w:t xml:space="preserve"> should not exceed </w:t>
      </w:r>
      <w:r>
        <w:rPr>
          <w:rFonts w:ascii="Times New Roman" w:hAnsi="Times New Roman" w:eastAsia="Times New Roman" w:cs="Times New Roman"/>
          <w:bCs/>
          <w:sz w:val="28"/>
          <w:szCs w:val="28"/>
        </w:rPr>
        <w:t>5 NTU</w:t>
      </w:r>
    </w:p>
    <w:p w14:paraId="2A0BF33C">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TDS</w:t>
      </w:r>
      <w:r>
        <w:rPr>
          <w:rFonts w:ascii="Times New Roman" w:hAnsi="Times New Roman" w:eastAsia="Times New Roman" w:cs="Times New Roman"/>
          <w:sz w:val="28"/>
          <w:szCs w:val="28"/>
        </w:rPr>
        <w:t xml:space="preserve"> should be ≤ </w:t>
      </w:r>
      <w:r>
        <w:rPr>
          <w:rFonts w:ascii="Times New Roman" w:hAnsi="Times New Roman" w:eastAsia="Times New Roman" w:cs="Times New Roman"/>
          <w:bCs/>
          <w:sz w:val="28"/>
          <w:szCs w:val="28"/>
        </w:rPr>
        <w:t>500 mg/L</w:t>
      </w:r>
    </w:p>
    <w:p w14:paraId="34510154">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E. coli</w:t>
      </w:r>
      <w:r>
        <w:rPr>
          <w:rFonts w:ascii="Times New Roman" w:hAnsi="Times New Roman" w:eastAsia="Times New Roman" w:cs="Times New Roman"/>
          <w:sz w:val="28"/>
          <w:szCs w:val="28"/>
        </w:rPr>
        <w:t xml:space="preserve"> must be </w:t>
      </w:r>
      <w:r>
        <w:rPr>
          <w:rFonts w:ascii="Times New Roman" w:hAnsi="Times New Roman" w:eastAsia="Times New Roman" w:cs="Times New Roman"/>
          <w:bCs/>
          <w:sz w:val="28"/>
          <w:szCs w:val="28"/>
        </w:rPr>
        <w:t>absent in 100 mL</w:t>
      </w:r>
      <w:r>
        <w:rPr>
          <w:rFonts w:ascii="Times New Roman" w:hAnsi="Times New Roman" w:eastAsia="Times New Roman" w:cs="Times New Roman"/>
          <w:sz w:val="28"/>
          <w:szCs w:val="28"/>
        </w:rPr>
        <w:t xml:space="preserve"> of any drinking water sample</w:t>
      </w:r>
    </w:p>
    <w:p w14:paraId="4BC47354">
      <w:pPr>
        <w:numPr>
          <w:ilvl w:val="0"/>
          <w:numId w:val="4"/>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Nitrates should be ≤ </w:t>
      </w:r>
      <w:r>
        <w:rPr>
          <w:rFonts w:ascii="Times New Roman" w:hAnsi="Times New Roman" w:eastAsia="Times New Roman" w:cs="Times New Roman"/>
          <w:bCs/>
          <w:sz w:val="28"/>
          <w:szCs w:val="28"/>
        </w:rPr>
        <w:t>50 mg/L</w:t>
      </w:r>
      <w:r>
        <w:rPr>
          <w:rFonts w:ascii="Times New Roman" w:hAnsi="Times New Roman" w:eastAsia="Times New Roman" w:cs="Times New Roman"/>
          <w:sz w:val="28"/>
          <w:szCs w:val="28"/>
        </w:rPr>
        <w:t xml:space="preserve">, and heavy metals like </w:t>
      </w:r>
      <w:r>
        <w:rPr>
          <w:rFonts w:ascii="Times New Roman" w:hAnsi="Times New Roman" w:eastAsia="Times New Roman" w:cs="Times New Roman"/>
          <w:bCs/>
          <w:sz w:val="28"/>
          <w:szCs w:val="28"/>
        </w:rPr>
        <w:t>lead and arsenic</w:t>
      </w:r>
      <w:r>
        <w:rPr>
          <w:rFonts w:ascii="Times New Roman" w:hAnsi="Times New Roman" w:eastAsia="Times New Roman" w:cs="Times New Roman"/>
          <w:sz w:val="28"/>
          <w:szCs w:val="28"/>
        </w:rPr>
        <w:t xml:space="preserve"> must be ≤ </w:t>
      </w:r>
      <w:r>
        <w:rPr>
          <w:rFonts w:ascii="Times New Roman" w:hAnsi="Times New Roman" w:eastAsia="Times New Roman" w:cs="Times New Roman"/>
          <w:bCs/>
          <w:sz w:val="28"/>
          <w:szCs w:val="28"/>
        </w:rPr>
        <w:t>0.01 mg/L</w:t>
      </w:r>
      <w:r>
        <w:rPr>
          <w:rFonts w:ascii="Times New Roman" w:hAnsi="Times New Roman" w:eastAsia="Times New Roman" w:cs="Times New Roman"/>
          <w:sz w:val="28"/>
          <w:szCs w:val="28"/>
        </w:rPr>
        <w:t xml:space="preserve"> (SON, 2020)</w:t>
      </w:r>
    </w:p>
    <w:p w14:paraId="4600E8B2">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These parameters are adopted in routine quality assessment by government bodies such as the </w:t>
      </w:r>
      <w:r>
        <w:rPr>
          <w:rFonts w:ascii="Times New Roman" w:hAnsi="Times New Roman" w:eastAsia="Times New Roman" w:cs="Times New Roman"/>
          <w:bCs/>
          <w:sz w:val="28"/>
          <w:szCs w:val="28"/>
        </w:rPr>
        <w:t>Federal Ministry of Water Resources</w:t>
      </w:r>
      <w:r>
        <w:rPr>
          <w:rFonts w:ascii="Times New Roman" w:hAnsi="Times New Roman" w:eastAsia="Times New Roman" w:cs="Times New Roman"/>
          <w:sz w:val="28"/>
          <w:szCs w:val="28"/>
        </w:rPr>
        <w:t xml:space="preserve">, </w:t>
      </w:r>
      <w:r>
        <w:rPr>
          <w:rFonts w:ascii="Times New Roman" w:hAnsi="Times New Roman" w:eastAsia="Times New Roman" w:cs="Times New Roman"/>
          <w:bCs/>
          <w:sz w:val="28"/>
          <w:szCs w:val="28"/>
        </w:rPr>
        <w:t>State Water Boards</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Rural Water Supply and Sanitation Agencies (RUWASSA)</w:t>
      </w:r>
      <w:r>
        <w:rPr>
          <w:rFonts w:ascii="Times New Roman" w:hAnsi="Times New Roman" w:eastAsia="Times New Roman" w:cs="Times New Roman"/>
          <w:sz w:val="28"/>
          <w:szCs w:val="28"/>
        </w:rPr>
        <w:t>. Despite the existence of these standards, enforcement remains weak, especially in informal water packaging and rural borehole supplies (Chukwudi et al., 2025).</w:t>
      </w:r>
    </w:p>
    <w:p w14:paraId="19BD21C6">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2.5.2</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World Health Organization (WHO) Guidelines</w:t>
      </w:r>
    </w:p>
    <w:p w14:paraId="67F3FB4E">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t>
      </w:r>
      <w:r>
        <w:rPr>
          <w:rFonts w:ascii="Times New Roman" w:hAnsi="Times New Roman" w:eastAsia="Times New Roman" w:cs="Times New Roman"/>
          <w:bCs/>
          <w:sz w:val="28"/>
          <w:szCs w:val="28"/>
        </w:rPr>
        <w:t>WHO Guidelines for Drinking-water Quality</w:t>
      </w:r>
      <w:r>
        <w:rPr>
          <w:rFonts w:ascii="Times New Roman" w:hAnsi="Times New Roman" w:eastAsia="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Pr>
          <w:rFonts w:ascii="Times New Roman" w:hAnsi="Times New Roman" w:eastAsia="Times New Roman" w:cs="Times New Roman"/>
          <w:bCs/>
          <w:sz w:val="28"/>
          <w:szCs w:val="28"/>
        </w:rPr>
        <w:t>E. coli</w:t>
      </w:r>
      <w:r>
        <w:rPr>
          <w:rFonts w:ascii="Times New Roman" w:hAnsi="Times New Roman" w:eastAsia="Times New Roman" w:cs="Times New Roman"/>
          <w:sz w:val="28"/>
          <w:szCs w:val="28"/>
        </w:rPr>
        <w:t xml:space="preserve"> in drinking water and outline limits for substances like </w:t>
      </w:r>
      <w:r>
        <w:rPr>
          <w:rFonts w:ascii="Times New Roman" w:hAnsi="Times New Roman" w:eastAsia="Times New Roman" w:cs="Times New Roman"/>
          <w:bCs/>
          <w:sz w:val="28"/>
          <w:szCs w:val="28"/>
        </w:rPr>
        <w:t>fluoride (1.5 mg/L), nitrate (50 mg/L), lead (0.01 mg/L),</w:t>
      </w:r>
      <w:r>
        <w:rPr>
          <w:rFonts w:ascii="Times New Roman" w:hAnsi="Times New Roman" w:eastAsia="Times New Roman" w:cs="Times New Roman"/>
          <w:sz w:val="28"/>
          <w:szCs w:val="28"/>
        </w:rPr>
        <w:t xml:space="preserve"> and </w:t>
      </w:r>
      <w:r>
        <w:rPr>
          <w:rFonts w:ascii="Times New Roman" w:hAnsi="Times New Roman" w:eastAsia="Times New Roman" w:cs="Times New Roman"/>
          <w:bCs/>
          <w:sz w:val="28"/>
          <w:szCs w:val="28"/>
        </w:rPr>
        <w:t>arsenic (0.01 mg/L)</w:t>
      </w:r>
      <w:r>
        <w:rPr>
          <w:rFonts w:ascii="Times New Roman" w:hAnsi="Times New Roman" w:eastAsia="Times New Roman" w:cs="Times New Roman"/>
          <w:sz w:val="28"/>
          <w:szCs w:val="28"/>
        </w:rPr>
        <w:t>.</w:t>
      </w:r>
    </w:p>
    <w:p w14:paraId="36049B8D">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The WHO adopts a </w:t>
      </w:r>
      <w:r>
        <w:rPr>
          <w:rFonts w:ascii="Times New Roman" w:hAnsi="Times New Roman" w:eastAsia="Times New Roman" w:cs="Times New Roman"/>
          <w:bCs/>
          <w:sz w:val="28"/>
          <w:szCs w:val="28"/>
        </w:rPr>
        <w:t>risk-based approach</w:t>
      </w:r>
      <w:r>
        <w:rPr>
          <w:rFonts w:ascii="Times New Roman" w:hAnsi="Times New Roman" w:eastAsia="Times New Roman" w:cs="Times New Roman"/>
          <w:sz w:val="28"/>
          <w:szCs w:val="28"/>
        </w:rPr>
        <w:t xml:space="preserve"> to water quality management, promoting </w:t>
      </w:r>
      <w:r>
        <w:rPr>
          <w:rFonts w:ascii="Times New Roman" w:hAnsi="Times New Roman" w:eastAsia="Times New Roman" w:cs="Times New Roman"/>
          <w:bCs/>
          <w:sz w:val="28"/>
          <w:szCs w:val="28"/>
        </w:rPr>
        <w:t>Water Safety Plans (WSPs)</w:t>
      </w:r>
      <w:r>
        <w:rPr>
          <w:rFonts w:ascii="Times New Roman" w:hAnsi="Times New Roman" w:eastAsia="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14:paraId="2CD423F1">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2.5.3</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National Agency for Food and Drug Administration and Control (NAFDAC)</w:t>
      </w:r>
    </w:p>
    <w:p w14:paraId="0BC7571D">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In Nigeria, </w:t>
      </w:r>
      <w:r>
        <w:rPr>
          <w:rFonts w:ascii="Times New Roman" w:hAnsi="Times New Roman" w:eastAsia="Times New Roman" w:cs="Times New Roman"/>
          <w:bCs/>
          <w:sz w:val="28"/>
          <w:szCs w:val="28"/>
        </w:rPr>
        <w:t>NAFDAC</w:t>
      </w:r>
      <w:r>
        <w:rPr>
          <w:rFonts w:ascii="Times New Roman" w:hAnsi="Times New Roman" w:eastAsia="Times New Roman" w:cs="Times New Roman"/>
          <w:sz w:val="28"/>
          <w:szCs w:val="28"/>
        </w:rPr>
        <w:t xml:space="preserve"> is responsible for regulating </w:t>
      </w:r>
      <w:r>
        <w:rPr>
          <w:rFonts w:ascii="Times New Roman" w:hAnsi="Times New Roman" w:eastAsia="Times New Roman" w:cs="Times New Roman"/>
          <w:bCs/>
          <w:sz w:val="28"/>
          <w:szCs w:val="28"/>
        </w:rPr>
        <w:t>packaged water products</w:t>
      </w:r>
      <w:r>
        <w:rPr>
          <w:rFonts w:ascii="Times New Roman" w:hAnsi="Times New Roman" w:eastAsia="Times New Roman" w:cs="Times New Roman"/>
          <w:sz w:val="28"/>
          <w:szCs w:val="28"/>
        </w:rPr>
        <w:t xml:space="preserve">, including </w:t>
      </w:r>
      <w:r>
        <w:rPr>
          <w:rFonts w:ascii="Times New Roman" w:hAnsi="Times New Roman" w:eastAsia="Times New Roman" w:cs="Times New Roman"/>
          <w:bCs/>
          <w:sz w:val="28"/>
          <w:szCs w:val="28"/>
        </w:rPr>
        <w:t>bottled and sachet water</w:t>
      </w:r>
      <w:r>
        <w:rPr>
          <w:rFonts w:ascii="Times New Roman" w:hAnsi="Times New Roman" w:eastAsia="Times New Roman" w:cs="Times New Roman"/>
          <w:sz w:val="28"/>
          <w:szCs w:val="28"/>
        </w:rPr>
        <w:t xml:space="preserve">. The agency monitors microbial and chemical content through routine inspections, laboratory testing, and facility certification. Producers of sachet water are expected to meet the </w:t>
      </w:r>
      <w:r>
        <w:rPr>
          <w:rFonts w:ascii="Times New Roman" w:hAnsi="Times New Roman" w:eastAsia="Times New Roman" w:cs="Times New Roman"/>
          <w:bCs/>
          <w:sz w:val="28"/>
          <w:szCs w:val="28"/>
        </w:rPr>
        <w:t>SON and WHO standards</w:t>
      </w:r>
      <w:r>
        <w:rPr>
          <w:rFonts w:ascii="Times New Roman" w:hAnsi="Times New Roman" w:eastAsia="Times New Roman" w:cs="Times New Roman"/>
          <w:sz w:val="28"/>
          <w:szCs w:val="28"/>
        </w:rPr>
        <w:t xml:space="preserve"> and operate in hygienic environments with appropriate treatment systems. However, studies reveal that many small-scale producers bypass regulations, leading to unsafe products in circulation (Okonkwo et al., 2023).</w:t>
      </w:r>
    </w:p>
    <w:p w14:paraId="2E8EF1AA">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2.5.4</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Challenges in Compliance and Enforcement</w:t>
      </w:r>
    </w:p>
    <w:p w14:paraId="5BCA4CD1">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Despite the existence of regulatory frameworks, compliance remains a major challenge in Nigeria. Several factors contribute to this:</w:t>
      </w:r>
    </w:p>
    <w:p w14:paraId="1D893BA3">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Limited laboratory capacity</w:t>
      </w:r>
      <w:r>
        <w:rPr>
          <w:rFonts w:ascii="Times New Roman" w:hAnsi="Times New Roman" w:eastAsia="Times New Roman" w:cs="Times New Roman"/>
          <w:sz w:val="28"/>
          <w:szCs w:val="28"/>
        </w:rPr>
        <w:t xml:space="preserve"> for testing in rural areas</w:t>
      </w:r>
    </w:p>
    <w:p w14:paraId="10BD3DB8">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Corruption</w:t>
      </w:r>
      <w:r>
        <w:rPr>
          <w:rFonts w:ascii="Times New Roman" w:hAnsi="Times New Roman" w:eastAsia="Times New Roman" w:cs="Times New Roman"/>
          <w:sz w:val="28"/>
          <w:szCs w:val="28"/>
        </w:rPr>
        <w:t xml:space="preserve"> and weak inspection mechanisms</w:t>
      </w:r>
    </w:p>
    <w:p w14:paraId="3C47DEB5">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Public unawareness</w:t>
      </w:r>
      <w:r>
        <w:rPr>
          <w:rFonts w:ascii="Times New Roman" w:hAnsi="Times New Roman" w:eastAsia="Times New Roman" w:cs="Times New Roman"/>
          <w:sz w:val="28"/>
          <w:szCs w:val="28"/>
        </w:rPr>
        <w:t xml:space="preserve"> of water quality parameters</w:t>
      </w:r>
    </w:p>
    <w:p w14:paraId="2C4C5F3F">
      <w:pPr>
        <w:numPr>
          <w:ilvl w:val="0"/>
          <w:numId w:val="5"/>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Inconsistent policy enforcement</w:t>
      </w:r>
      <w:r>
        <w:rPr>
          <w:rFonts w:ascii="Times New Roman" w:hAnsi="Times New Roman" w:eastAsia="Times New Roman" w:cs="Times New Roman"/>
          <w:sz w:val="28"/>
          <w:szCs w:val="28"/>
        </w:rPr>
        <w:t xml:space="preserve"> (Adeleye et al., 2022)</w:t>
      </w:r>
    </w:p>
    <w:p w14:paraId="0048FD38">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As a result, unsafe water often finds its way to consumers, especially in underserved communities. Bridging the enforcement gap will require a combination of regulatory reform, increased funding, capacity-building, and public awareness campaigns (Ibrahim &amp; Usman, 2023).</w:t>
      </w:r>
    </w:p>
    <w:p w14:paraId="0D8AAA6F">
      <w:pPr>
        <w:spacing w:before="100" w:beforeAutospacing="1" w:after="100" w:afterAutospacing="1" w:line="36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2.5.5</w:t>
      </w:r>
      <w:r>
        <w:rPr>
          <w:rFonts w:ascii="Times New Roman" w:hAnsi="Times New Roman" w:eastAsia="Times New Roman" w:cs="Times New Roman"/>
          <w:b/>
          <w:bCs/>
          <w:sz w:val="28"/>
          <w:szCs w:val="28"/>
        </w:rPr>
        <w:tab/>
      </w:r>
      <w:r>
        <w:rPr>
          <w:rFonts w:ascii="Times New Roman" w:hAnsi="Times New Roman" w:eastAsia="Times New Roman" w:cs="Times New Roman"/>
          <w:b/>
          <w:bCs/>
          <w:sz w:val="28"/>
          <w:szCs w:val="28"/>
        </w:rPr>
        <w:t>The Way Forward: Harmonizing Standards with Practice</w:t>
      </w:r>
    </w:p>
    <w:p w14:paraId="19F13867">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To ensure safe drinking water nationwide, Nigeria must harmonize its regulatory standards with practical implementation. This includes:</w:t>
      </w:r>
    </w:p>
    <w:p w14:paraId="7032C83D">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Strengthening coordination between SON, NAFDAC, and local health departments</w:t>
      </w:r>
    </w:p>
    <w:p w14:paraId="106F4CD6">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Adopting </w:t>
      </w:r>
      <w:r>
        <w:rPr>
          <w:rFonts w:ascii="Times New Roman" w:hAnsi="Times New Roman" w:eastAsia="Times New Roman" w:cs="Times New Roman"/>
          <w:bCs/>
          <w:sz w:val="28"/>
          <w:szCs w:val="28"/>
        </w:rPr>
        <w:t>community-based monitoring systems</w:t>
      </w:r>
    </w:p>
    <w:p w14:paraId="3BF509EC">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Promoting </w:t>
      </w:r>
      <w:r>
        <w:rPr>
          <w:rFonts w:ascii="Times New Roman" w:hAnsi="Times New Roman" w:eastAsia="Times New Roman" w:cs="Times New Roman"/>
          <w:bCs/>
          <w:sz w:val="28"/>
          <w:szCs w:val="28"/>
        </w:rPr>
        <w:t>certification and licensing of all water providers</w:t>
      </w:r>
    </w:p>
    <w:p w14:paraId="02B4DC5D">
      <w:pPr>
        <w:numPr>
          <w:ilvl w:val="0"/>
          <w:numId w:val="6"/>
        </w:num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Encouraging </w:t>
      </w:r>
      <w:r>
        <w:rPr>
          <w:rFonts w:ascii="Times New Roman" w:hAnsi="Times New Roman" w:eastAsia="Times New Roman" w:cs="Times New Roman"/>
          <w:bCs/>
          <w:sz w:val="28"/>
          <w:szCs w:val="28"/>
        </w:rPr>
        <w:t>investment in water infrastructure and technology</w:t>
      </w:r>
    </w:p>
    <w:p w14:paraId="1FC27A31">
      <w:pPr>
        <w:spacing w:before="100" w:beforeAutospacing="1" w:after="100" w:afterAutospacing="1"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Such steps will help align national standards with global safety practices and ensure public health protection (Yahaya et al., 2024).</w:t>
      </w:r>
    </w:p>
    <w:p w14:paraId="1E3AE538">
      <w:pPr>
        <w:spacing w:before="100" w:beforeAutospacing="1" w:after="100" w:afterAutospacing="1" w:line="36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2.6</w:t>
      </w: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Previous Studies on Water Quality Assessment</w:t>
      </w:r>
    </w:p>
    <w:p w14:paraId="24A01C0C">
      <w:pPr>
        <w:spacing w:line="360" w:lineRule="auto"/>
        <w:jc w:val="both"/>
        <w:rPr>
          <w:rFonts w:ascii="Times New Roman" w:hAnsi="Times New Roman" w:cs="Times New Roman"/>
          <w:sz w:val="28"/>
          <w:szCs w:val="28"/>
        </w:rPr>
      </w:pPr>
      <w:r>
        <w:rPr>
          <w:rFonts w:ascii="Times New Roman" w:hAnsi="Times New Roman" w:cs="Times New Roman"/>
          <w:sz w:val="28"/>
          <w:szCs w:val="28"/>
        </w:rPr>
        <w:t>This section provides a review of empirical studies on the physicochemical and bacteriological quality of drinking water in Nigeria and beyond.</w:t>
      </w:r>
    </w:p>
    <w:p w14:paraId="2861A93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2.6.1</w:t>
      </w:r>
      <w:r>
        <w:rPr>
          <w:rFonts w:ascii="Times New Roman" w:hAnsi="Times New Roman" w:cs="Times New Roman"/>
          <w:b/>
          <w:bCs/>
          <w:sz w:val="28"/>
          <w:szCs w:val="28"/>
        </w:rPr>
        <w:tab/>
      </w:r>
      <w:r>
        <w:rPr>
          <w:rFonts w:ascii="Times New Roman" w:hAnsi="Times New Roman" w:cs="Times New Roman"/>
          <w:b/>
          <w:bCs/>
          <w:sz w:val="28"/>
          <w:szCs w:val="28"/>
        </w:rPr>
        <w:t>Studies on Microbiological Quality of Drinking Water</w:t>
      </w:r>
    </w:p>
    <w:p w14:paraId="66C118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Several studies in Nigeria have highlighted the widespread presence of </w:t>
      </w:r>
      <w:r>
        <w:rPr>
          <w:rFonts w:ascii="Times New Roman" w:hAnsi="Times New Roman" w:cs="Times New Roman"/>
          <w:bCs/>
          <w:sz w:val="28"/>
          <w:szCs w:val="28"/>
        </w:rPr>
        <w:t xml:space="preserve">fecal coliforms, particularly </w:t>
      </w:r>
      <w:r>
        <w:rPr>
          <w:rFonts w:ascii="Times New Roman" w:hAnsi="Times New Roman" w:cs="Times New Roman"/>
          <w:bCs/>
          <w:i/>
          <w:iCs/>
          <w:sz w:val="28"/>
          <w:szCs w:val="28"/>
        </w:rPr>
        <w:t>Escherichia coli</w:t>
      </w:r>
      <w:r>
        <w:rPr>
          <w:rFonts w:ascii="Times New Roman" w:hAnsi="Times New Roman" w:cs="Times New Roman"/>
          <w:sz w:val="28"/>
          <w:szCs w:val="28"/>
        </w:rPr>
        <w:t xml:space="preserve">, in drinking water sources such as wells, boreholes, streams, and sachet water. Adeleye et al. (2022) assessed the microbial load in various domestic water sources in southwestern Nigeria and reported that over </w:t>
      </w:r>
      <w:r>
        <w:rPr>
          <w:rFonts w:ascii="Times New Roman" w:hAnsi="Times New Roman" w:cs="Times New Roman"/>
          <w:bCs/>
          <w:sz w:val="28"/>
          <w:szCs w:val="28"/>
        </w:rPr>
        <w:t>60%</w:t>
      </w:r>
      <w:r>
        <w:rPr>
          <w:rFonts w:ascii="Times New Roman" w:hAnsi="Times New Roman" w:cs="Times New Roman"/>
          <w:sz w:val="28"/>
          <w:szCs w:val="28"/>
        </w:rPr>
        <w:t xml:space="preserve"> of samples exceeded WHO’s permissible limits, with </w:t>
      </w:r>
      <w:r>
        <w:rPr>
          <w:rFonts w:ascii="Times New Roman" w:hAnsi="Times New Roman" w:cs="Times New Roman"/>
          <w:i/>
          <w:iCs/>
          <w:sz w:val="28"/>
          <w:szCs w:val="28"/>
        </w:rPr>
        <w:t>E. coli</w:t>
      </w:r>
      <w:r>
        <w:rPr>
          <w:rFonts w:ascii="Times New Roman" w:hAnsi="Times New Roman" w:cs="Times New Roman"/>
          <w:sz w:val="28"/>
          <w:szCs w:val="28"/>
        </w:rPr>
        <w:t xml:space="preserve"> detected in more than </w:t>
      </w:r>
      <w:r>
        <w:rPr>
          <w:rFonts w:ascii="Times New Roman" w:hAnsi="Times New Roman" w:cs="Times New Roman"/>
          <w:bCs/>
          <w:sz w:val="28"/>
          <w:szCs w:val="28"/>
        </w:rPr>
        <w:t>30%</w:t>
      </w:r>
      <w:r>
        <w:rPr>
          <w:rFonts w:ascii="Times New Roman" w:hAnsi="Times New Roman" w:cs="Times New Roman"/>
          <w:sz w:val="28"/>
          <w:szCs w:val="28"/>
        </w:rPr>
        <w:t>. Their findings suggest widespread fecal contamination, attributed to poor sanitation practices and proximity of water points to latrines.</w:t>
      </w:r>
    </w:p>
    <w:p w14:paraId="57E6F2B4">
      <w:pPr>
        <w:spacing w:line="360" w:lineRule="auto"/>
        <w:jc w:val="both"/>
        <w:rPr>
          <w:rFonts w:ascii="Times New Roman" w:hAnsi="Times New Roman" w:cs="Times New Roman"/>
          <w:sz w:val="28"/>
          <w:szCs w:val="28"/>
        </w:rPr>
      </w:pPr>
      <w:r>
        <w:rPr>
          <w:rFonts w:ascii="Times New Roman" w:hAnsi="Times New Roman" w:cs="Times New Roman"/>
          <w:sz w:val="28"/>
          <w:szCs w:val="28"/>
        </w:rPr>
        <w:t>Similarly, Ibrahim and Usman (2023) studied water samples from urban and rural communities in North-Central Nigeria and found that sachet water, often considered safe, harbored coliforms due to poor packaging practices and storage. These results support WHO’s (2021) assertion that microbial contamination is the most critical risk in drinking water.</w:t>
      </w:r>
    </w:p>
    <w:p w14:paraId="4A5EC9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2.6.2</w:t>
      </w:r>
      <w:r>
        <w:rPr>
          <w:rFonts w:ascii="Times New Roman" w:hAnsi="Times New Roman" w:cs="Times New Roman"/>
          <w:b/>
          <w:bCs/>
          <w:sz w:val="28"/>
          <w:szCs w:val="28"/>
        </w:rPr>
        <w:tab/>
      </w:r>
      <w:r>
        <w:rPr>
          <w:rFonts w:ascii="Times New Roman" w:hAnsi="Times New Roman" w:cs="Times New Roman"/>
          <w:b/>
          <w:bCs/>
          <w:sz w:val="28"/>
          <w:szCs w:val="28"/>
        </w:rPr>
        <w:t>Studies on Physicochemical Quality Parameters</w:t>
      </w:r>
    </w:p>
    <w:p w14:paraId="544D396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Numerous studies have assessed physicochemical parameters of drinking water across Nigeria. Olowolafe et al. (2021) evaluated borehole and well water in Ilorin and found that over 50% of samples had </w:t>
      </w:r>
      <w:r>
        <w:rPr>
          <w:rFonts w:ascii="Times New Roman" w:hAnsi="Times New Roman" w:cs="Times New Roman"/>
          <w:bCs/>
          <w:sz w:val="28"/>
          <w:szCs w:val="28"/>
        </w:rPr>
        <w:t>TDS levels exceeding 500 mg/L</w:t>
      </w:r>
      <w:r>
        <w:rPr>
          <w:rFonts w:ascii="Times New Roman" w:hAnsi="Times New Roman" w:cs="Times New Roman"/>
          <w:sz w:val="28"/>
          <w:szCs w:val="28"/>
        </w:rPr>
        <w:t xml:space="preserve">, and 25% showed </w:t>
      </w:r>
      <w:r>
        <w:rPr>
          <w:rFonts w:ascii="Times New Roman" w:hAnsi="Times New Roman" w:cs="Times New Roman"/>
          <w:bCs/>
          <w:sz w:val="28"/>
          <w:szCs w:val="28"/>
        </w:rPr>
        <w:t>pH values below 6.5</w:t>
      </w:r>
      <w:r>
        <w:rPr>
          <w:rFonts w:ascii="Times New Roman" w:hAnsi="Times New Roman" w:cs="Times New Roman"/>
          <w:sz w:val="28"/>
          <w:szCs w:val="28"/>
        </w:rPr>
        <w:t xml:space="preserve">, suggesting the water was acidic and potentially corrosive. Elevated </w:t>
      </w:r>
      <w:r>
        <w:rPr>
          <w:rFonts w:ascii="Times New Roman" w:hAnsi="Times New Roman" w:cs="Times New Roman"/>
          <w:bCs/>
          <w:sz w:val="28"/>
          <w:szCs w:val="28"/>
        </w:rPr>
        <w:t>iron</w:t>
      </w:r>
      <w:r>
        <w:rPr>
          <w:rFonts w:ascii="Times New Roman" w:hAnsi="Times New Roman" w:cs="Times New Roman"/>
          <w:sz w:val="28"/>
          <w:szCs w:val="28"/>
        </w:rPr>
        <w:t xml:space="preserve"> and </w:t>
      </w:r>
      <w:r>
        <w:rPr>
          <w:rFonts w:ascii="Times New Roman" w:hAnsi="Times New Roman" w:cs="Times New Roman"/>
          <w:bCs/>
          <w:sz w:val="28"/>
          <w:szCs w:val="28"/>
        </w:rPr>
        <w:t>manganese</w:t>
      </w:r>
      <w:r>
        <w:rPr>
          <w:rFonts w:ascii="Times New Roman" w:hAnsi="Times New Roman" w:cs="Times New Roman"/>
          <w:sz w:val="28"/>
          <w:szCs w:val="28"/>
        </w:rPr>
        <w:t xml:space="preserve"> levels were also common in aquifers, raising concerns about long-term exposure.</w:t>
      </w:r>
    </w:p>
    <w:p w14:paraId="33B4E3F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Okonkwo et al. (2023) analyzed sachet water from markets in eastern Nigeria and discovered that while turbidity and pH often met SON standards, parameters such as </w:t>
      </w:r>
      <w:r>
        <w:rPr>
          <w:rFonts w:ascii="Times New Roman" w:hAnsi="Times New Roman" w:cs="Times New Roman"/>
          <w:bCs/>
          <w:sz w:val="28"/>
          <w:szCs w:val="28"/>
        </w:rPr>
        <w:t>electrical conductivity</w:t>
      </w:r>
      <w:r>
        <w:rPr>
          <w:rFonts w:ascii="Times New Roman" w:hAnsi="Times New Roman" w:cs="Times New Roman"/>
          <w:sz w:val="28"/>
          <w:szCs w:val="28"/>
        </w:rPr>
        <w:t xml:space="preserve"> and </w:t>
      </w:r>
      <w:r>
        <w:rPr>
          <w:rFonts w:ascii="Times New Roman" w:hAnsi="Times New Roman" w:cs="Times New Roman"/>
          <w:bCs/>
          <w:sz w:val="28"/>
          <w:szCs w:val="28"/>
        </w:rPr>
        <w:t>hardness</w:t>
      </w:r>
      <w:r>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14:paraId="445FA38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2.6.3</w:t>
      </w:r>
      <w:r>
        <w:rPr>
          <w:rFonts w:ascii="Times New Roman" w:hAnsi="Times New Roman" w:cs="Times New Roman"/>
          <w:b/>
          <w:bCs/>
          <w:sz w:val="28"/>
          <w:szCs w:val="28"/>
        </w:rPr>
        <w:tab/>
      </w:r>
      <w:r>
        <w:rPr>
          <w:rFonts w:ascii="Times New Roman" w:hAnsi="Times New Roman" w:cs="Times New Roman"/>
          <w:b/>
          <w:bCs/>
          <w:sz w:val="28"/>
          <w:szCs w:val="28"/>
        </w:rPr>
        <w:t>Regional Comparisons and Trends</w:t>
      </w:r>
    </w:p>
    <w:p w14:paraId="2C713AED">
      <w:pPr>
        <w:spacing w:line="360" w:lineRule="auto"/>
        <w:jc w:val="both"/>
        <w:rPr>
          <w:rFonts w:ascii="Times New Roman" w:hAnsi="Times New Roman" w:cs="Times New Roman"/>
          <w:sz w:val="28"/>
          <w:szCs w:val="28"/>
        </w:rPr>
      </w:pPr>
      <w:r>
        <w:rPr>
          <w:rFonts w:ascii="Times New Roman" w:hAnsi="Times New Roman" w:cs="Times New Roman"/>
          <w:sz w:val="28"/>
          <w:szCs w:val="28"/>
        </w:rPr>
        <w:t>A comparative study by Yahaya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14:paraId="72C789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Chukwudi et al. (2025) conducted a meta-analysis of 20 studies on Nigerian water quality and concluded that </w:t>
      </w:r>
      <w:r>
        <w:rPr>
          <w:rFonts w:ascii="Times New Roman" w:hAnsi="Times New Roman" w:cs="Times New Roman"/>
          <w:bCs/>
          <w:sz w:val="28"/>
          <w:szCs w:val="28"/>
        </w:rPr>
        <w:t>70–80%</w:t>
      </w:r>
      <w:r>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14:paraId="3DC1052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2.6.4</w:t>
      </w:r>
      <w:r>
        <w:rPr>
          <w:rFonts w:ascii="Times New Roman" w:hAnsi="Times New Roman" w:cs="Times New Roman"/>
          <w:b/>
          <w:bCs/>
          <w:sz w:val="28"/>
          <w:szCs w:val="28"/>
        </w:rPr>
        <w:tab/>
      </w:r>
      <w:r>
        <w:rPr>
          <w:rFonts w:ascii="Times New Roman" w:hAnsi="Times New Roman" w:cs="Times New Roman"/>
          <w:b/>
          <w:bCs/>
          <w:sz w:val="28"/>
          <w:szCs w:val="28"/>
        </w:rPr>
        <w:t>Relevance to the Present Study</w:t>
      </w:r>
    </w:p>
    <w:p w14:paraId="1133983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Pr>
          <w:rFonts w:ascii="Times New Roman" w:hAnsi="Times New Roman" w:cs="Times New Roman"/>
          <w:bCs/>
          <w:sz w:val="28"/>
          <w:szCs w:val="28"/>
        </w:rPr>
        <w:t>inadequate treatment, weak regulatory enforcement, and infrastructural decay</w:t>
      </w:r>
      <w:r>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14:paraId="28C29BE7"/>
    <w:p w14:paraId="674BA706">
      <w:pPr>
        <w:spacing w:after="160" w:line="259" w:lineRule="auto"/>
        <w:rPr>
          <w:rFonts w:ascii="Times New Roman" w:hAnsi="Times New Roman" w:cs="Times New Roman" w:eastAsiaTheme="majorEastAsia"/>
          <w:b/>
          <w:bCs/>
          <w:sz w:val="28"/>
          <w:szCs w:val="28"/>
        </w:rPr>
      </w:pPr>
      <w:r>
        <w:rPr>
          <w:rFonts w:ascii="Times New Roman" w:hAnsi="Times New Roman" w:cs="Times New Roman"/>
        </w:rPr>
        <w:br w:type="page"/>
      </w:r>
    </w:p>
    <w:p w14:paraId="5745627B">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CHAPTER THREE</w:t>
      </w:r>
    </w:p>
    <w:p w14:paraId="68EA6748">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MATERIALS AND METHODS</w:t>
      </w:r>
    </w:p>
    <w:p w14:paraId="64FEE778">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3.1</w:t>
      </w:r>
      <w:r>
        <w:rPr>
          <w:rFonts w:ascii="Times New Roman" w:hAnsi="Times New Roman" w:cs="Times New Roman"/>
          <w:color w:val="auto"/>
          <w:sz w:val="28"/>
          <w:szCs w:val="28"/>
        </w:rPr>
        <w:tab/>
      </w:r>
      <w:r>
        <w:rPr>
          <w:rFonts w:ascii="Times New Roman" w:hAnsi="Times New Roman" w:cs="Times New Roman"/>
          <w:color w:val="auto"/>
          <w:sz w:val="28"/>
          <w:szCs w:val="28"/>
        </w:rPr>
        <w:t>Study Area</w:t>
      </w:r>
    </w:p>
    <w:p w14:paraId="2A251F8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14:paraId="17963E90">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3.2</w:t>
      </w:r>
      <w:r>
        <w:rPr>
          <w:rFonts w:ascii="Times New Roman" w:hAnsi="Times New Roman" w:cs="Times New Roman"/>
          <w:color w:val="auto"/>
          <w:sz w:val="28"/>
          <w:szCs w:val="28"/>
        </w:rPr>
        <w:tab/>
      </w:r>
      <w:r>
        <w:rPr>
          <w:rFonts w:ascii="Times New Roman" w:hAnsi="Times New Roman" w:cs="Times New Roman"/>
          <w:color w:val="auto"/>
          <w:sz w:val="28"/>
          <w:szCs w:val="28"/>
        </w:rPr>
        <w:t>Sample Collection</w:t>
      </w:r>
    </w:p>
    <w:p w14:paraId="36FEFF2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borehole water samples were randomly collected from three (3) different water borehole water in selected area for the study; Yakuba, Elekoyangan and Agbede.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this study were designated as A, B, C.</w:t>
      </w:r>
    </w:p>
    <w:p w14:paraId="732734ED">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Microbiological Analyses </w:t>
      </w:r>
    </w:p>
    <w:p w14:paraId="0882CC4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Microbial assessment of the borehole water samples was conducted using methods previously described by Okafor </w:t>
      </w:r>
      <w:r>
        <w:rPr>
          <w:rFonts w:ascii="Times New Roman" w:hAnsi="Times New Roman" w:cs="Times New Roman"/>
          <w:i/>
          <w:iCs/>
          <w:sz w:val="28"/>
          <w:szCs w:val="28"/>
        </w:rPr>
        <w:t>et al.</w:t>
      </w:r>
      <w:r>
        <w:rPr>
          <w:rFonts w:ascii="Times New Roman" w:hAnsi="Times New Roman" w:cs="Times New Roman"/>
          <w:sz w:val="28"/>
          <w:szCs w:val="28"/>
        </w:rPr>
        <w:t xml:space="preserve"> (2023). </w:t>
      </w:r>
    </w:p>
    <w:p w14:paraId="7794C0A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bacteriological analysis of the samples was carried out using a combination of total bacterial count (TBC) and most probable number (MPN) technique. The water samples were serially diluted into sevenfold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using distilled water. Subsequently, 1 mL of the diluted water sample (10</w:t>
      </w:r>
      <w:r>
        <w:rPr>
          <w:rFonts w:ascii="Times New Roman" w:hAnsi="Times New Roman" w:cs="Times New Roman"/>
          <w:sz w:val="28"/>
          <w:szCs w:val="28"/>
          <w:vertAlign w:val="superscript"/>
        </w:rPr>
        <w:t>-5</w:t>
      </w:r>
      <w:r>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14:paraId="3A97813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14:paraId="6B74892C">
      <w:pPr>
        <w:pStyle w:val="4"/>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3.3.1</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The Presumptive Test </w:t>
      </w:r>
    </w:p>
    <w:p w14:paraId="1A5D0FC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coliform count was determined using the three-tube assay of the MPN technique, with the MacConkey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14:paraId="1D508057">
      <w:pPr>
        <w:pStyle w:val="4"/>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3.3.2</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The Confirmed Test </w:t>
      </w:r>
    </w:p>
    <w:p w14:paraId="2D682E2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14:paraId="2EC6589C">
      <w:pPr>
        <w:pStyle w:val="4"/>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3.3.3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The Completed Test </w:t>
      </w:r>
    </w:p>
    <w:p w14:paraId="1D46AF5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14:paraId="2A7EA553">
      <w:pPr>
        <w:pStyle w:val="3"/>
        <w:spacing w:line="360" w:lineRule="auto"/>
        <w:rPr>
          <w:rFonts w:ascii="Times New Roman" w:hAnsi="Times New Roman" w:cs="Times New Roman"/>
          <w:color w:val="auto"/>
          <w:sz w:val="28"/>
          <w:szCs w:val="28"/>
        </w:rPr>
      </w:pPr>
      <w:bookmarkStart w:id="0" w:name="_Toc109025352"/>
      <w:bookmarkStart w:id="1" w:name="_Toc84222895"/>
      <w:r>
        <w:rPr>
          <w:rFonts w:ascii="Times New Roman" w:hAnsi="Times New Roman" w:cs="Times New Roman"/>
          <w:color w:val="auto"/>
          <w:sz w:val="28"/>
          <w:szCs w:val="28"/>
        </w:rPr>
        <w:t>3.4</w:t>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Isolation of Microorganisms</w:t>
      </w:r>
      <w:bookmarkEnd w:id="0"/>
    </w:p>
    <w:bookmarkEnd w:id="1"/>
    <w:p w14:paraId="3DB1C9D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cs="Times New Roman"/>
          <w:sz w:val="28"/>
          <w:szCs w:val="28"/>
          <w:vertAlign w:val="superscript"/>
        </w:rPr>
        <w:t>o</w:t>
      </w:r>
      <w:r>
        <w:rPr>
          <w:rFonts w:ascii="Times New Roman" w:hAnsi="Times New Roman" w:cs="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cs="Times New Roman"/>
          <w:sz w:val="28"/>
          <w:szCs w:val="28"/>
          <w:vertAlign w:val="superscript"/>
        </w:rPr>
        <w:t>o</w:t>
      </w:r>
      <w:r>
        <w:rPr>
          <w:rFonts w:ascii="Times New Roman" w:hAnsi="Times New Roman" w:cs="Times New Roman"/>
          <w:sz w:val="28"/>
          <w:szCs w:val="28"/>
        </w:rPr>
        <w:t>C and stored in the refrigerator at 4</w:t>
      </w:r>
      <w:r>
        <w:rPr>
          <w:rFonts w:ascii="Times New Roman" w:hAnsi="Times New Roman" w:cs="Times New Roman"/>
          <w:sz w:val="28"/>
          <w:szCs w:val="28"/>
          <w:vertAlign w:val="superscript"/>
        </w:rPr>
        <w:t>o</w:t>
      </w:r>
      <w:r>
        <w:rPr>
          <w:rFonts w:ascii="Times New Roman" w:hAnsi="Times New Roman" w:cs="Times New Roman"/>
          <w:sz w:val="28"/>
          <w:szCs w:val="28"/>
        </w:rPr>
        <w:t>C. The stock cultures were to serve as a source of reference whenever tests would be carried out on the isolates.</w:t>
      </w:r>
    </w:p>
    <w:p w14:paraId="4EE6F2A9">
      <w:pPr>
        <w:pStyle w:val="3"/>
        <w:spacing w:before="0" w:line="360" w:lineRule="auto"/>
        <w:rPr>
          <w:rFonts w:ascii="Times New Roman" w:hAnsi="Times New Roman" w:cs="Times New Roman"/>
          <w:color w:val="auto"/>
          <w:sz w:val="28"/>
          <w:szCs w:val="28"/>
        </w:rPr>
      </w:pPr>
      <w:bookmarkStart w:id="2" w:name="_Toc109025353"/>
      <w:r>
        <w:rPr>
          <w:rFonts w:ascii="Times New Roman" w:hAnsi="Times New Roman" w:cs="Times New Roman"/>
          <w:color w:val="auto"/>
          <w:sz w:val="28"/>
          <w:szCs w:val="28"/>
        </w:rPr>
        <w:t>3.5</w:t>
      </w:r>
      <w:r>
        <w:rPr>
          <w:rFonts w:ascii="Times New Roman" w:hAnsi="Times New Roman" w:cs="Times New Roman"/>
          <w:color w:val="auto"/>
          <w:sz w:val="28"/>
          <w:szCs w:val="28"/>
        </w:rPr>
        <w:tab/>
      </w:r>
      <w:r>
        <w:rPr>
          <w:rFonts w:ascii="Times New Roman" w:hAnsi="Times New Roman" w:cs="Times New Roman"/>
          <w:color w:val="auto"/>
          <w:sz w:val="28"/>
          <w:szCs w:val="28"/>
        </w:rPr>
        <w:t>Characteristics of Microbial Isolates</w:t>
      </w:r>
      <w:bookmarkEnd w:id="2"/>
    </w:p>
    <w:p w14:paraId="529A89D3">
      <w:pPr>
        <w:pStyle w:val="4"/>
        <w:spacing w:before="0" w:line="360" w:lineRule="auto"/>
        <w:rPr>
          <w:rFonts w:ascii="Times New Roman" w:hAnsi="Times New Roman" w:cs="Times New Roman"/>
          <w:color w:val="auto"/>
          <w:sz w:val="28"/>
          <w:szCs w:val="28"/>
        </w:rPr>
      </w:pPr>
      <w:bookmarkStart w:id="3" w:name="_Toc109025354"/>
      <w:r>
        <w:rPr>
          <w:rFonts w:ascii="Times New Roman" w:hAnsi="Times New Roman" w:cs="Times New Roman"/>
          <w:color w:val="auto"/>
          <w:sz w:val="28"/>
          <w:szCs w:val="28"/>
        </w:rPr>
        <w:t>3.5.1</w:t>
      </w:r>
      <w:r>
        <w:rPr>
          <w:rFonts w:ascii="Times New Roman" w:hAnsi="Times New Roman" w:cs="Times New Roman"/>
          <w:color w:val="auto"/>
          <w:sz w:val="28"/>
          <w:szCs w:val="28"/>
        </w:rPr>
        <w:tab/>
      </w:r>
      <w:r>
        <w:rPr>
          <w:rFonts w:ascii="Times New Roman" w:hAnsi="Times New Roman" w:cs="Times New Roman"/>
          <w:color w:val="auto"/>
          <w:sz w:val="28"/>
          <w:szCs w:val="28"/>
        </w:rPr>
        <w:t>Bacterial Characterization of Isolates</w:t>
      </w:r>
      <w:bookmarkEnd w:id="3"/>
    </w:p>
    <w:p w14:paraId="60E8369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4A96C627">
      <w:pPr>
        <w:pStyle w:val="4"/>
        <w:spacing w:before="0" w:line="360" w:lineRule="auto"/>
        <w:rPr>
          <w:rFonts w:ascii="Times New Roman" w:hAnsi="Times New Roman" w:cs="Times New Roman"/>
          <w:color w:val="auto"/>
          <w:sz w:val="28"/>
          <w:szCs w:val="28"/>
        </w:rPr>
      </w:pPr>
      <w:bookmarkStart w:id="4" w:name="_Toc109025355"/>
      <w:r>
        <w:rPr>
          <w:rFonts w:ascii="Times New Roman" w:hAnsi="Times New Roman" w:cs="Times New Roman"/>
          <w:color w:val="auto"/>
          <w:sz w:val="28"/>
          <w:szCs w:val="28"/>
        </w:rPr>
        <w:t>3.5.2</w:t>
      </w:r>
      <w:bookmarkStart w:id="5" w:name="_Toc84222896"/>
      <w:r>
        <w:rPr>
          <w:rFonts w:ascii="Times New Roman" w:hAnsi="Times New Roman" w:cs="Times New Roman"/>
          <w:color w:val="auto"/>
          <w:sz w:val="28"/>
          <w:szCs w:val="28"/>
        </w:rPr>
        <w:tab/>
      </w:r>
      <w:r>
        <w:rPr>
          <w:rFonts w:ascii="Times New Roman" w:hAnsi="Times New Roman" w:cs="Times New Roman"/>
          <w:color w:val="auto"/>
          <w:sz w:val="28"/>
          <w:szCs w:val="28"/>
        </w:rPr>
        <w:t>Gram Staining</w:t>
      </w:r>
      <w:bookmarkEnd w:id="4"/>
      <w:bookmarkEnd w:id="5"/>
    </w:p>
    <w:p w14:paraId="4DD9045B">
      <w:pPr>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Pr>
          <w:rFonts w:ascii="Times New Roman" w:hAnsi="Times New Roman" w:cs="Times New Roman"/>
          <w:color w:val="000000"/>
          <w:sz w:val="28"/>
          <w:szCs w:val="28"/>
        </w:rPr>
        <w:t>A thin smear of each of the pure 24 hours old culture was prepared on clean grease-free slide, fixed by passing over gentle flame.</w:t>
      </w:r>
    </w:p>
    <w:p w14:paraId="7ED4669C">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The smear was flooded by crystal violet solution for 1 minute and rinsed with water.  The smear was again flooded with Lugol’s iodine for 30- 60 seconds and rinsed with water, decolorized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14:paraId="579EF4F7">
      <w:pPr>
        <w:pStyle w:val="3"/>
        <w:spacing w:before="0" w:line="360" w:lineRule="auto"/>
        <w:rPr>
          <w:rFonts w:ascii="Times New Roman" w:hAnsi="Times New Roman" w:cs="Times New Roman"/>
          <w:color w:val="auto"/>
          <w:sz w:val="28"/>
          <w:szCs w:val="28"/>
        </w:rPr>
      </w:pPr>
      <w:bookmarkStart w:id="6" w:name="_Toc109025356"/>
      <w:bookmarkStart w:id="7" w:name="_Toc84222897"/>
      <w:r>
        <w:rPr>
          <w:rFonts w:ascii="Times New Roman" w:hAnsi="Times New Roman" w:cs="Times New Roman"/>
          <w:color w:val="auto"/>
          <w:sz w:val="28"/>
          <w:szCs w:val="28"/>
        </w:rPr>
        <w:t>3.6</w:t>
      </w:r>
      <w:r>
        <w:rPr>
          <w:rFonts w:ascii="Times New Roman" w:hAnsi="Times New Roman" w:cs="Times New Roman"/>
          <w:color w:val="auto"/>
          <w:sz w:val="28"/>
          <w:szCs w:val="28"/>
        </w:rPr>
        <w:tab/>
      </w:r>
      <w:r>
        <w:rPr>
          <w:rFonts w:ascii="Times New Roman" w:hAnsi="Times New Roman" w:cs="Times New Roman"/>
          <w:color w:val="auto"/>
          <w:sz w:val="28"/>
          <w:szCs w:val="28"/>
        </w:rPr>
        <w:t>Biochemical Test</w:t>
      </w:r>
      <w:bookmarkEnd w:id="6"/>
      <w:bookmarkEnd w:id="7"/>
    </w:p>
    <w:p w14:paraId="708C320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Differents bacterial isolates were carried out on the basis of the result of four tests; Indole, Methyl red, Voges Proskauer, Catalse, Coagulase, Oxidase, Citrate utilization, Urease and Sugar fermentation with their standard methods.</w:t>
      </w:r>
    </w:p>
    <w:p w14:paraId="679F0F02">
      <w:pPr>
        <w:pStyle w:val="4"/>
        <w:spacing w:before="0" w:line="360" w:lineRule="auto"/>
        <w:rPr>
          <w:rFonts w:ascii="Times New Roman" w:hAnsi="Times New Roman" w:cs="Times New Roman"/>
          <w:color w:val="auto"/>
          <w:sz w:val="28"/>
          <w:szCs w:val="28"/>
        </w:rPr>
      </w:pPr>
      <w:bookmarkStart w:id="8" w:name="_Toc84222898"/>
      <w:bookmarkStart w:id="9" w:name="_Toc109025357"/>
      <w:r>
        <w:rPr>
          <w:rFonts w:ascii="Times New Roman" w:hAnsi="Times New Roman" w:cs="Times New Roman"/>
          <w:color w:val="auto"/>
          <w:sz w:val="28"/>
          <w:szCs w:val="28"/>
        </w:rPr>
        <w:t>3.6.1</w:t>
      </w:r>
      <w:r>
        <w:rPr>
          <w:rFonts w:ascii="Times New Roman" w:hAnsi="Times New Roman" w:cs="Times New Roman"/>
          <w:color w:val="auto"/>
          <w:sz w:val="28"/>
          <w:szCs w:val="28"/>
        </w:rPr>
        <w:tab/>
      </w:r>
      <w:r>
        <w:rPr>
          <w:rFonts w:ascii="Times New Roman" w:hAnsi="Times New Roman" w:cs="Times New Roman"/>
          <w:color w:val="auto"/>
          <w:sz w:val="28"/>
          <w:szCs w:val="28"/>
        </w:rPr>
        <w:t>Indole Test</w:t>
      </w:r>
      <w:bookmarkEnd w:id="8"/>
      <w:bookmarkEnd w:id="9"/>
    </w:p>
    <w:p w14:paraId="6C1F9DB8">
      <w:pPr>
        <w:spacing w:after="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hAnsi="Times New Roman" w:eastAsia="Times New Roman" w:cs="Times New Roman"/>
          <w:sz w:val="28"/>
          <w:szCs w:val="28"/>
          <w:vertAlign w:val="superscript"/>
        </w:rPr>
        <w:t>o</w:t>
      </w:r>
      <w:r>
        <w:rPr>
          <w:rFonts w:ascii="Times New Roman" w:hAnsi="Times New Roman" w:eastAsia="Times New Roman" w:cs="Times New Roman"/>
          <w:color w:val="000000"/>
          <w:sz w:val="28"/>
          <w:szCs w:val="28"/>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0" w:name="_Toc84222899"/>
    </w:p>
    <w:p w14:paraId="70493978">
      <w:pPr>
        <w:pStyle w:val="4"/>
        <w:spacing w:line="360" w:lineRule="auto"/>
        <w:rPr>
          <w:rFonts w:ascii="Times New Roman" w:hAnsi="Times New Roman" w:cs="Times New Roman"/>
          <w:color w:val="auto"/>
          <w:sz w:val="28"/>
          <w:szCs w:val="28"/>
        </w:rPr>
      </w:pPr>
      <w:bookmarkStart w:id="11" w:name="_Toc109025358"/>
      <w:r>
        <w:rPr>
          <w:rFonts w:ascii="Times New Roman" w:hAnsi="Times New Roman" w:cs="Times New Roman"/>
          <w:color w:val="auto"/>
          <w:sz w:val="28"/>
          <w:szCs w:val="28"/>
        </w:rPr>
        <w:t>3.6.2</w:t>
      </w:r>
      <w:r>
        <w:rPr>
          <w:rFonts w:ascii="Times New Roman" w:hAnsi="Times New Roman" w:cs="Times New Roman"/>
          <w:color w:val="auto"/>
          <w:sz w:val="28"/>
          <w:szCs w:val="28"/>
        </w:rPr>
        <w:tab/>
      </w:r>
      <w:r>
        <w:rPr>
          <w:rFonts w:ascii="Times New Roman" w:hAnsi="Times New Roman" w:cs="Times New Roman"/>
          <w:color w:val="auto"/>
          <w:sz w:val="28"/>
          <w:szCs w:val="28"/>
        </w:rPr>
        <w:t>Methylred Test</w:t>
      </w:r>
      <w:bookmarkEnd w:id="10"/>
      <w:bookmarkEnd w:id="11"/>
      <w:bookmarkStart w:id="12" w:name="_Toc82388610"/>
      <w:bookmarkStart w:id="13" w:name="_Toc84222900"/>
    </w:p>
    <w:p w14:paraId="3B175842">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Pr>
          <w:rFonts w:ascii="Times New Roman" w:hAnsi="Times New Roman" w:eastAsia="Times New Roman" w:cs="Times New Roman"/>
          <w:color w:val="000000"/>
          <w:sz w:val="28"/>
          <w:szCs w:val="28"/>
          <w:vertAlign w:val="superscript"/>
        </w:rPr>
        <w:t>o</w:t>
      </w:r>
      <w:r>
        <w:rPr>
          <w:rFonts w:ascii="Times New Roman" w:hAnsi="Times New Roman" w:eastAsia="Times New Roman" w:cs="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p w14:paraId="4C4D37D5">
      <w:pPr>
        <w:pStyle w:val="4"/>
        <w:spacing w:before="0" w:line="360" w:lineRule="auto"/>
        <w:rPr>
          <w:rFonts w:ascii="Times New Roman" w:hAnsi="Times New Roman" w:cs="Times New Roman"/>
          <w:color w:val="auto"/>
          <w:sz w:val="28"/>
          <w:szCs w:val="28"/>
        </w:rPr>
      </w:pPr>
      <w:bookmarkStart w:id="14" w:name="_Toc109025359"/>
      <w:r>
        <w:rPr>
          <w:rFonts w:ascii="Times New Roman" w:hAnsi="Times New Roman" w:cs="Times New Roman"/>
          <w:color w:val="auto"/>
          <w:sz w:val="28"/>
          <w:szCs w:val="28"/>
        </w:rPr>
        <w:t>3.6.3</w:t>
      </w:r>
      <w:r>
        <w:rPr>
          <w:rFonts w:ascii="Times New Roman" w:hAnsi="Times New Roman" w:cs="Times New Roman"/>
          <w:color w:val="auto"/>
          <w:sz w:val="28"/>
          <w:szCs w:val="28"/>
        </w:rPr>
        <w:tab/>
      </w:r>
      <w:r>
        <w:rPr>
          <w:rFonts w:ascii="Times New Roman" w:hAnsi="Times New Roman" w:cs="Times New Roman"/>
          <w:color w:val="auto"/>
          <w:sz w:val="28"/>
          <w:szCs w:val="28"/>
        </w:rPr>
        <w:t>Catalase Test</w:t>
      </w:r>
      <w:bookmarkEnd w:id="12"/>
      <w:bookmarkEnd w:id="13"/>
      <w:bookmarkEnd w:id="14"/>
    </w:p>
    <w:p w14:paraId="65CDBB19">
      <w:pPr>
        <w:spacing w:after="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Catalase test was done according to the procedure described by Ahmed </w:t>
      </w:r>
      <w:r>
        <w:rPr>
          <w:rFonts w:ascii="Times New Roman" w:hAnsi="Times New Roman" w:eastAsia="Times New Roman" w:cs="Times New Roman"/>
          <w:i/>
          <w:iCs/>
          <w:color w:val="000000"/>
          <w:sz w:val="28"/>
          <w:szCs w:val="28"/>
        </w:rPr>
        <w:t>et al</w:t>
      </w:r>
      <w:r>
        <w:rPr>
          <w:rFonts w:ascii="Times New Roman" w:hAnsi="Times New Roman" w:eastAsia="Times New Roman" w:cs="Times New Roman"/>
          <w:color w:val="000000"/>
          <w:sz w:val="28"/>
          <w:szCs w:val="28"/>
        </w:rPr>
        <w:t xml:space="preserve">. (2017) to determine aerobic and anaerobic bacteria and it was important in differentiating morphologically similar Enterococcus </w:t>
      </w:r>
      <w:r>
        <w:rPr>
          <w:rFonts w:ascii="Times New Roman" w:hAnsi="Times New Roman" w:eastAsia="Times New Roman" w:cs="Times New Roman"/>
          <w:i/>
          <w:iCs/>
          <w:color w:val="000000"/>
          <w:sz w:val="28"/>
          <w:szCs w:val="28"/>
        </w:rPr>
        <w:t xml:space="preserve">Staphylococcus (catalase positive) </w:t>
      </w:r>
      <w:r>
        <w:rPr>
          <w:rFonts w:ascii="Times New Roman" w:hAnsi="Times New Roman" w:eastAsia="Times New Roman" w:cs="Times New Roman"/>
          <w:color w:val="000000"/>
          <w:sz w:val="28"/>
          <w:szCs w:val="28"/>
        </w:rPr>
        <w:t xml:space="preserve">and </w:t>
      </w:r>
      <w:r>
        <w:rPr>
          <w:rFonts w:ascii="Times New Roman" w:hAnsi="Times New Roman" w:eastAsia="Times New Roman" w:cs="Times New Roman"/>
          <w:i/>
          <w:iCs/>
          <w:color w:val="000000"/>
          <w:sz w:val="28"/>
          <w:szCs w:val="28"/>
        </w:rPr>
        <w:t xml:space="preserve">Streptococcus </w:t>
      </w:r>
      <w:r>
        <w:rPr>
          <w:rFonts w:ascii="Times New Roman" w:hAnsi="Times New Roman" w:eastAsia="Times New Roman" w:cs="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3142E75D">
      <w:pPr>
        <w:pStyle w:val="4"/>
        <w:spacing w:before="0" w:line="360" w:lineRule="auto"/>
        <w:rPr>
          <w:rFonts w:ascii="Times New Roman" w:hAnsi="Times New Roman" w:eastAsia="Calibri" w:cs="Times New Roman"/>
          <w:color w:val="auto"/>
          <w:sz w:val="28"/>
          <w:szCs w:val="28"/>
        </w:rPr>
      </w:pPr>
      <w:bookmarkStart w:id="15" w:name="_Toc49215409"/>
      <w:bookmarkStart w:id="16" w:name="_Toc84222902"/>
      <w:bookmarkStart w:id="17" w:name="_Toc82388613"/>
      <w:bookmarkStart w:id="18" w:name="_Toc109025361"/>
      <w:r>
        <w:rPr>
          <w:rFonts w:ascii="Times New Roman" w:hAnsi="Times New Roman" w:eastAsia="Calibri" w:cs="Times New Roman"/>
          <w:color w:val="auto"/>
          <w:sz w:val="28"/>
          <w:szCs w:val="28"/>
        </w:rPr>
        <w:t>3.6.4</w:t>
      </w:r>
      <w:r>
        <w:rPr>
          <w:rFonts w:ascii="Times New Roman" w:hAnsi="Times New Roman" w:eastAsia="Calibri" w:cs="Times New Roman"/>
          <w:color w:val="auto"/>
          <w:sz w:val="28"/>
          <w:szCs w:val="28"/>
        </w:rPr>
        <w:tab/>
      </w:r>
      <w:r>
        <w:rPr>
          <w:rFonts w:ascii="Times New Roman" w:hAnsi="Times New Roman" w:eastAsia="Calibri" w:cs="Times New Roman"/>
          <w:color w:val="auto"/>
          <w:sz w:val="28"/>
          <w:szCs w:val="28"/>
        </w:rPr>
        <w:t>Oxidase Test</w:t>
      </w:r>
      <w:bookmarkEnd w:id="15"/>
      <w:bookmarkEnd w:id="16"/>
      <w:bookmarkEnd w:id="17"/>
      <w:bookmarkEnd w:id="18"/>
    </w:p>
    <w:p w14:paraId="4C2B151C">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This test was performed as previously described by Ahmed </w:t>
      </w:r>
      <w:r>
        <w:rPr>
          <w:rFonts w:ascii="Times New Roman" w:hAnsi="Times New Roman" w:eastAsia="Times New Roman" w:cs="Times New Roman"/>
          <w:i/>
          <w:iCs/>
          <w:color w:val="000000"/>
          <w:sz w:val="28"/>
          <w:szCs w:val="28"/>
        </w:rPr>
        <w:t>et al</w:t>
      </w:r>
      <w:r>
        <w:rPr>
          <w:rFonts w:ascii="Times New Roman" w:hAnsi="Times New Roman" w:eastAsia="Times New Roman" w:cs="Times New Roman"/>
          <w:color w:val="000000"/>
          <w:sz w:val="28"/>
          <w:szCs w:val="28"/>
        </w:rPr>
        <w:t>. (2017). The test was used to identify bacteria that produce cytochrome oxidase, an enzyme of the bacterial electron transport chain. A filter paper was soaked in 1% kovacs oxidase reagents and dried. A single 35 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14:paraId="11D3D189">
      <w:pPr>
        <w:pStyle w:val="4"/>
        <w:spacing w:before="0" w:line="360" w:lineRule="auto"/>
        <w:rPr>
          <w:rFonts w:ascii="Times New Roman" w:hAnsi="Times New Roman" w:cs="Times New Roman"/>
          <w:color w:val="auto"/>
          <w:sz w:val="28"/>
          <w:szCs w:val="28"/>
        </w:rPr>
      </w:pPr>
      <w:bookmarkStart w:id="19" w:name="_Toc84222903"/>
      <w:bookmarkStart w:id="20" w:name="_Toc109025362"/>
      <w:r>
        <w:rPr>
          <w:rFonts w:ascii="Times New Roman" w:hAnsi="Times New Roman" w:cs="Times New Roman"/>
          <w:color w:val="auto"/>
          <w:sz w:val="28"/>
          <w:szCs w:val="28"/>
        </w:rPr>
        <w:t>3.6.5</w:t>
      </w:r>
      <w:r>
        <w:rPr>
          <w:rFonts w:ascii="Times New Roman" w:hAnsi="Times New Roman" w:cs="Times New Roman"/>
          <w:color w:val="auto"/>
          <w:sz w:val="28"/>
          <w:szCs w:val="28"/>
        </w:rPr>
        <w:tab/>
      </w:r>
      <w:r>
        <w:rPr>
          <w:rFonts w:ascii="Times New Roman" w:hAnsi="Times New Roman" w:cs="Times New Roman"/>
          <w:color w:val="auto"/>
          <w:sz w:val="28"/>
          <w:szCs w:val="28"/>
        </w:rPr>
        <w:t>Citrate Test</w:t>
      </w:r>
      <w:bookmarkEnd w:id="19"/>
      <w:bookmarkEnd w:id="20"/>
    </w:p>
    <w:p w14:paraId="626AC3D3">
      <w:pPr>
        <w:spacing w:after="0"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xml:space="preserve">This test was performed according to procedure described by </w:t>
      </w:r>
      <w:r>
        <w:rPr>
          <w:rFonts w:ascii="Times New Roman" w:hAnsi="Times New Roman" w:eastAsia="Times New Roman" w:cs="Times New Roman"/>
          <w:color w:val="222222"/>
          <w:sz w:val="28"/>
          <w:szCs w:val="28"/>
        </w:rPr>
        <w:t xml:space="preserve">Aligwekwe (2018) </w:t>
      </w:r>
      <w:r>
        <w:rPr>
          <w:rFonts w:ascii="Times New Roman" w:hAnsi="Times New Roman" w:eastAsia="Times New Roman" w:cs="Times New Roman"/>
          <w:color w:val="000000"/>
          <w:sz w:val="28"/>
          <w:szCs w:val="28"/>
        </w:rPr>
        <w:t>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14:paraId="1B0CE0D0">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3.7</w:t>
      </w:r>
      <w:r>
        <w:rPr>
          <w:rFonts w:ascii="Times New Roman" w:hAnsi="Times New Roman" w:cs="Times New Roman"/>
          <w:color w:val="auto"/>
          <w:sz w:val="28"/>
          <w:szCs w:val="28"/>
        </w:rPr>
        <w:tab/>
      </w:r>
      <w:r>
        <w:rPr>
          <w:rFonts w:ascii="Times New Roman" w:hAnsi="Times New Roman" w:cs="Times New Roman"/>
          <w:color w:val="auto"/>
          <w:sz w:val="28"/>
          <w:szCs w:val="28"/>
        </w:rPr>
        <w:t>Physicochemical Analyses</w:t>
      </w:r>
    </w:p>
    <w:p w14:paraId="2BE73AF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Physicochemical parameters as pH, turbidity, electrical conductivity, total hardness, total dissolved solids, total alkalinity and chloride contents were determined using the previous methods of Okafor </w:t>
      </w:r>
      <w:r>
        <w:rPr>
          <w:rFonts w:ascii="Times New Roman" w:hAnsi="Times New Roman" w:cs="Times New Roman"/>
          <w:i/>
          <w:iCs/>
          <w:sz w:val="28"/>
          <w:szCs w:val="28"/>
        </w:rPr>
        <w:t>et al.</w:t>
      </w:r>
      <w:r>
        <w:rPr>
          <w:rFonts w:ascii="Times New Roman" w:hAnsi="Times New Roman" w:cs="Times New Roman"/>
          <w:sz w:val="28"/>
          <w:szCs w:val="28"/>
        </w:rPr>
        <w:t xml:space="preserve"> (2022).</w:t>
      </w:r>
    </w:p>
    <w:p w14:paraId="42A64183">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6BEBC8B6">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CHAPTER FOUR</w:t>
      </w:r>
    </w:p>
    <w:p w14:paraId="5766FDA4">
      <w:pPr>
        <w:pStyle w:val="2"/>
        <w:spacing w:before="0" w:line="360" w:lineRule="auto"/>
        <w:jc w:val="center"/>
        <w:rPr>
          <w:rFonts w:ascii="Times New Roman" w:hAnsi="Times New Roman" w:cs="Times New Roman"/>
          <w:color w:val="auto"/>
        </w:rPr>
      </w:pPr>
      <w:r>
        <w:rPr>
          <w:rFonts w:ascii="Times New Roman" w:hAnsi="Times New Roman" w:cs="Times New Roman"/>
          <w:color w:val="auto"/>
        </w:rPr>
        <w:t>RESULTS</w:t>
      </w:r>
    </w:p>
    <w:p w14:paraId="43E9D58A">
      <w:pPr>
        <w:pStyle w:val="3"/>
        <w:spacing w:before="0" w:line="360" w:lineRule="auto"/>
        <w:rPr>
          <w:rFonts w:ascii="Times New Roman" w:hAnsi="Times New Roman" w:cs="Times New Roman"/>
          <w:color w:val="auto"/>
          <w:sz w:val="28"/>
          <w:szCs w:val="28"/>
        </w:rPr>
      </w:pPr>
      <w:bookmarkStart w:id="21" w:name="_Toc109025368"/>
      <w:r>
        <w:rPr>
          <w:rFonts w:ascii="Times New Roman" w:hAnsi="Times New Roman" w:cs="Times New Roman"/>
          <w:color w:val="auto"/>
          <w:sz w:val="28"/>
          <w:szCs w:val="28"/>
        </w:rPr>
        <w:t>4.1</w:t>
      </w:r>
      <w:r>
        <w:rPr>
          <w:rFonts w:ascii="Times New Roman" w:hAnsi="Times New Roman" w:cs="Times New Roman"/>
          <w:color w:val="auto"/>
          <w:sz w:val="28"/>
          <w:szCs w:val="28"/>
        </w:rPr>
        <w:tab/>
      </w:r>
      <w:r>
        <w:rPr>
          <w:rFonts w:ascii="Times New Roman" w:hAnsi="Times New Roman" w:cs="Times New Roman"/>
          <w:color w:val="auto"/>
          <w:sz w:val="28"/>
          <w:szCs w:val="28"/>
        </w:rPr>
        <w:t>Total Bacteria Counts (CFU/ml)</w:t>
      </w:r>
      <w:bookmarkEnd w:id="21"/>
    </w:p>
    <w:p w14:paraId="6CFA1132">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total bacterial counts of isolates from the borehole water samples are shown in table 1. The total bacterial count ranges from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respectively. Having Yakuba with higher value of TBC of 3.6x10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while Agbede has the lowest value of 1.9x10</w:t>
      </w:r>
      <w:r>
        <w:rPr>
          <w:rFonts w:ascii="Times New Roman" w:hAnsi="Times New Roman" w:cs="Times New Roman"/>
          <w:sz w:val="28"/>
          <w:szCs w:val="28"/>
          <w:vertAlign w:val="superscript"/>
        </w:rPr>
        <w:t>5</w:t>
      </w:r>
      <w:r>
        <w:rPr>
          <w:rFonts w:ascii="Times New Roman" w:hAnsi="Times New Roman" w:cs="Times New Roman"/>
          <w:sz w:val="28"/>
          <w:szCs w:val="28"/>
        </w:rPr>
        <w:t>.</w:t>
      </w:r>
    </w:p>
    <w:p w14:paraId="00C957E7">
      <w:pPr>
        <w:pStyle w:val="3"/>
        <w:spacing w:before="0" w:line="360" w:lineRule="auto"/>
        <w:rPr>
          <w:rFonts w:ascii="Times New Roman" w:hAnsi="Times New Roman" w:eastAsia="Times New Roman" w:cs="Times New Roman"/>
          <w:color w:val="auto"/>
          <w:sz w:val="28"/>
          <w:szCs w:val="28"/>
        </w:rPr>
      </w:pPr>
      <w:bookmarkStart w:id="22" w:name="_Toc109025369"/>
      <w:r>
        <w:rPr>
          <w:rFonts w:ascii="Times New Roman" w:hAnsi="Times New Roman" w:eastAsia="Times New Roman" w:cs="Times New Roman"/>
          <w:color w:val="auto"/>
          <w:sz w:val="28"/>
          <w:szCs w:val="28"/>
        </w:rPr>
        <w:t>4.2</w:t>
      </w:r>
      <w:r>
        <w:rPr>
          <w:rFonts w:ascii="Times New Roman" w:hAnsi="Times New Roman" w:eastAsia="Times New Roman" w:cs="Times New Roman"/>
          <w:color w:val="auto"/>
          <w:sz w:val="28"/>
          <w:szCs w:val="28"/>
        </w:rPr>
        <w:tab/>
      </w:r>
      <w:bookmarkEnd w:id="22"/>
      <w:r>
        <w:rPr>
          <w:rFonts w:ascii="Times New Roman" w:hAnsi="Times New Roman" w:eastAsia="Times New Roman" w:cs="Times New Roman"/>
          <w:color w:val="auto"/>
          <w:sz w:val="28"/>
          <w:szCs w:val="28"/>
        </w:rPr>
        <w:t>Most Probable Number</w:t>
      </w:r>
    </w:p>
    <w:p w14:paraId="7C78867B">
      <w:pPr>
        <w:spacing w:after="0" w:line="360" w:lineRule="auto"/>
        <w:ind w:firstLine="720"/>
        <w:jc w:val="both"/>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Table 2 shows the MPN index on </w:t>
      </w:r>
      <w:r>
        <w:rPr>
          <w:rFonts w:ascii="Times New Roman" w:hAnsi="Times New Roman" w:cs="Times New Roman"/>
          <w:sz w:val="28"/>
          <w:szCs w:val="28"/>
        </w:rPr>
        <w:t xml:space="preserve">for all each water sample respectively. Which has the lowest range of 170 to the highest of </w:t>
      </w:r>
      <w:r>
        <w:rPr>
          <w:rFonts w:ascii="Times New Roman" w:hAnsi="Times New Roman" w:cs="Times New Roman"/>
          <w:sz w:val="28"/>
          <w:szCs w:val="28"/>
          <w:u w:val="single"/>
        </w:rPr>
        <w:t>&gt;</w:t>
      </w:r>
      <w:r>
        <w:rPr>
          <w:rFonts w:ascii="Times New Roman" w:hAnsi="Times New Roman" w:cs="Times New Roman"/>
          <w:sz w:val="28"/>
          <w:szCs w:val="28"/>
        </w:rPr>
        <w:t xml:space="preserve">1600, with sample C (Agbede) having the least value of 170 while sample A and B (Elekoyangan and Yakuba) had the highest value of </w:t>
      </w:r>
      <w:r>
        <w:rPr>
          <w:rFonts w:ascii="Times New Roman" w:hAnsi="Times New Roman" w:cs="Times New Roman"/>
          <w:sz w:val="28"/>
          <w:szCs w:val="28"/>
          <w:u w:val="single"/>
        </w:rPr>
        <w:t>&gt;</w:t>
      </w:r>
      <w:r>
        <w:rPr>
          <w:rFonts w:ascii="Times New Roman" w:hAnsi="Times New Roman" w:cs="Times New Roman"/>
          <w:sz w:val="28"/>
          <w:szCs w:val="28"/>
        </w:rPr>
        <w:t>1600.</w:t>
      </w:r>
    </w:p>
    <w:p w14:paraId="55E3958A">
      <w:pPr>
        <w:pStyle w:val="3"/>
        <w:spacing w:before="0" w:line="360" w:lineRule="auto"/>
        <w:rPr>
          <w:rFonts w:ascii="Times New Roman" w:hAnsi="Times New Roman" w:cs="Times New Roman"/>
          <w:color w:val="auto"/>
          <w:sz w:val="28"/>
          <w:szCs w:val="28"/>
        </w:rPr>
      </w:pPr>
      <w:bookmarkStart w:id="23" w:name="_Toc109025370"/>
      <w:r>
        <w:rPr>
          <w:rFonts w:ascii="Times New Roman" w:hAnsi="Times New Roman" w:cs="Times New Roman"/>
          <w:color w:val="auto"/>
          <w:sz w:val="28"/>
          <w:szCs w:val="28"/>
        </w:rPr>
        <w:t>4.3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Colonial Morphological Characteristics </w:t>
      </w:r>
    </w:p>
    <w:p w14:paraId="079198E9">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Table 3 shows the various colonial morphological features on different isolates.</w:t>
      </w:r>
    </w:p>
    <w:p w14:paraId="661CFC4E">
      <w:pPr>
        <w:pStyle w:val="3"/>
        <w:spacing w:before="0" w:line="360" w:lineRule="auto"/>
        <w:rPr>
          <w:rFonts w:ascii="Times New Roman" w:hAnsi="Times New Roman" w:eastAsia="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Biochemical </w:t>
      </w:r>
      <w:bookmarkEnd w:id="23"/>
      <w:r>
        <w:rPr>
          <w:rFonts w:ascii="Times New Roman" w:hAnsi="Times New Roman" w:cs="Times New Roman"/>
          <w:color w:val="auto"/>
          <w:sz w:val="28"/>
          <w:szCs w:val="28"/>
        </w:rPr>
        <w:t>Characterization and Gram Staining Reaction</w:t>
      </w:r>
    </w:p>
    <w:p w14:paraId="247D9E8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Table 4 shows the various biochemical test carried out on different isolates ranging from citrate to citrate and others as shown in the table.</w:t>
      </w:r>
    </w:p>
    <w:p w14:paraId="41B63793">
      <w:pPr>
        <w:pStyle w:val="3"/>
        <w:spacing w:before="0" w:line="360" w:lineRule="auto"/>
        <w:rPr>
          <w:rFonts w:ascii="Times New Roman" w:hAnsi="Times New Roman" w:eastAsia="Times New Roman" w:cs="Times New Roman"/>
          <w:color w:val="auto"/>
          <w:sz w:val="28"/>
          <w:szCs w:val="28"/>
        </w:rPr>
      </w:pPr>
      <w:bookmarkStart w:id="24" w:name="_Toc109025371"/>
      <w:r>
        <w:rPr>
          <w:rFonts w:ascii="Times New Roman" w:hAnsi="Times New Roman" w:eastAsia="Times New Roman" w:cs="Times New Roman"/>
          <w:color w:val="auto"/>
          <w:sz w:val="28"/>
          <w:szCs w:val="28"/>
        </w:rPr>
        <w:t>4.5</w:t>
      </w:r>
      <w:r>
        <w:rPr>
          <w:rFonts w:ascii="Times New Roman" w:hAnsi="Times New Roman" w:eastAsia="Times New Roman" w:cs="Times New Roman"/>
          <w:color w:val="auto"/>
          <w:sz w:val="28"/>
          <w:szCs w:val="28"/>
        </w:rPr>
        <w:tab/>
      </w:r>
      <w:r>
        <w:rPr>
          <w:rFonts w:ascii="Times New Roman" w:hAnsi="Times New Roman" w:eastAsia="Times New Roman" w:cs="Times New Roman"/>
          <w:color w:val="auto"/>
          <w:sz w:val="28"/>
          <w:szCs w:val="28"/>
        </w:rPr>
        <w:t>Physicochemical Parameters of Water Samples</w:t>
      </w:r>
      <w:bookmarkEnd w:id="24"/>
    </w:p>
    <w:p w14:paraId="06019544">
      <w:pPr>
        <w:spacing w:after="0" w:line="360" w:lineRule="auto"/>
        <w:ind w:firstLine="7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Table 5 shows the physicochemical parameters of water from selected school area. </w:t>
      </w:r>
    </w:p>
    <w:p w14:paraId="1ACA4033">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474521FC">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The Total Bacteria Count (CFU/ml)</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0"/>
        <w:gridCol w:w="4436"/>
      </w:tblGrid>
      <w:tr w14:paraId="65BC96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788" w:type="dxa"/>
            <w:tcBorders>
              <w:top w:val="single" w:color="auto" w:sz="4" w:space="0"/>
              <w:bottom w:val="single" w:color="auto" w:sz="4" w:space="0"/>
            </w:tcBorders>
          </w:tcPr>
          <w:p w14:paraId="4A9C8C53">
            <w:pPr>
              <w:spacing w:line="360" w:lineRule="auto"/>
              <w:rPr>
                <w:rFonts w:ascii="Times New Roman" w:hAnsi="Times New Roman" w:cs="Times New Roman"/>
                <w:b/>
                <w:bCs/>
                <w:sz w:val="28"/>
                <w:szCs w:val="28"/>
              </w:rPr>
            </w:pPr>
            <w:r>
              <w:rPr>
                <w:rFonts w:ascii="Times New Roman" w:hAnsi="Times New Roman" w:cs="Times New Roman"/>
                <w:b/>
                <w:bCs/>
                <w:sz w:val="28"/>
                <w:szCs w:val="28"/>
              </w:rPr>
              <w:t>Samples</w:t>
            </w:r>
          </w:p>
        </w:tc>
        <w:tc>
          <w:tcPr>
            <w:tcW w:w="4788" w:type="dxa"/>
            <w:tcBorders>
              <w:top w:val="single" w:color="auto" w:sz="4" w:space="0"/>
              <w:bottom w:val="single" w:color="auto" w:sz="4" w:space="0"/>
            </w:tcBorders>
          </w:tcPr>
          <w:p w14:paraId="115BE7E9">
            <w:pPr>
              <w:spacing w:line="360" w:lineRule="auto"/>
              <w:rPr>
                <w:rFonts w:ascii="Times New Roman" w:hAnsi="Times New Roman" w:cs="Times New Roman"/>
                <w:b/>
                <w:bCs/>
                <w:sz w:val="28"/>
                <w:szCs w:val="28"/>
              </w:rPr>
            </w:pPr>
            <w:r>
              <w:rPr>
                <w:rFonts w:ascii="Times New Roman" w:hAnsi="Times New Roman" w:cs="Times New Roman"/>
                <w:b/>
                <w:bCs/>
                <w:sz w:val="28"/>
                <w:szCs w:val="28"/>
              </w:rPr>
              <w:t>TBC (CFU/ml)</w:t>
            </w:r>
          </w:p>
        </w:tc>
      </w:tr>
      <w:tr w14:paraId="2C1C06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788" w:type="dxa"/>
            <w:tcBorders>
              <w:top w:val="single" w:color="auto" w:sz="4" w:space="0"/>
            </w:tcBorders>
          </w:tcPr>
          <w:p w14:paraId="0698653B">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4788" w:type="dxa"/>
            <w:tcBorders>
              <w:top w:val="single" w:color="auto" w:sz="4" w:space="0"/>
            </w:tcBorders>
          </w:tcPr>
          <w:p w14:paraId="4A619050">
            <w:pPr>
              <w:spacing w:line="360" w:lineRule="auto"/>
              <w:rPr>
                <w:rFonts w:ascii="Times New Roman" w:hAnsi="Times New Roman" w:cs="Times New Roman"/>
                <w:sz w:val="28"/>
                <w:szCs w:val="28"/>
              </w:rPr>
            </w:pPr>
            <w:r>
              <w:rPr>
                <w:rFonts w:ascii="Times New Roman" w:hAnsi="Times New Roman" w:cs="Times New Roman"/>
                <w:sz w:val="28"/>
                <w:szCs w:val="28"/>
              </w:rPr>
              <w:t>3.6x10</w:t>
            </w:r>
            <w:r>
              <w:rPr>
                <w:rFonts w:ascii="Times New Roman" w:hAnsi="Times New Roman" w:cs="Times New Roman"/>
                <w:sz w:val="28"/>
                <w:szCs w:val="28"/>
                <w:vertAlign w:val="superscript"/>
              </w:rPr>
              <w:t>5</w:t>
            </w:r>
          </w:p>
        </w:tc>
      </w:tr>
      <w:tr w14:paraId="723AD0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788" w:type="dxa"/>
          </w:tcPr>
          <w:p w14:paraId="5840B48C">
            <w:pPr>
              <w:spacing w:line="360" w:lineRule="auto"/>
              <w:rPr>
                <w:rFonts w:ascii="Times New Roman" w:hAnsi="Times New Roman" w:cs="Times New Roman"/>
                <w:sz w:val="28"/>
                <w:szCs w:val="28"/>
              </w:rPr>
            </w:pPr>
            <w:r>
              <w:rPr>
                <w:rFonts w:ascii="Times New Roman" w:hAnsi="Times New Roman" w:cs="Times New Roman"/>
                <w:sz w:val="28"/>
                <w:szCs w:val="28"/>
              </w:rPr>
              <w:t>B</w:t>
            </w:r>
          </w:p>
        </w:tc>
        <w:tc>
          <w:tcPr>
            <w:tcW w:w="4788" w:type="dxa"/>
          </w:tcPr>
          <w:p w14:paraId="3A6A0B70">
            <w:pPr>
              <w:spacing w:line="360" w:lineRule="auto"/>
              <w:rPr>
                <w:rFonts w:ascii="Times New Roman" w:hAnsi="Times New Roman" w:cs="Times New Roman"/>
                <w:sz w:val="28"/>
                <w:szCs w:val="28"/>
              </w:rPr>
            </w:pPr>
            <w:r>
              <w:rPr>
                <w:rFonts w:ascii="Times New Roman" w:hAnsi="Times New Roman" w:cs="Times New Roman"/>
                <w:sz w:val="28"/>
                <w:szCs w:val="28"/>
              </w:rPr>
              <w:t>3.2x10</w:t>
            </w:r>
            <w:r>
              <w:rPr>
                <w:rFonts w:ascii="Times New Roman" w:hAnsi="Times New Roman" w:cs="Times New Roman"/>
                <w:sz w:val="28"/>
                <w:szCs w:val="28"/>
                <w:vertAlign w:val="superscript"/>
              </w:rPr>
              <w:t>5</w:t>
            </w:r>
          </w:p>
        </w:tc>
      </w:tr>
      <w:tr w14:paraId="30069F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788" w:type="dxa"/>
          </w:tcPr>
          <w:p w14:paraId="10030AD7">
            <w:pPr>
              <w:spacing w:line="360" w:lineRule="auto"/>
              <w:rPr>
                <w:rFonts w:ascii="Times New Roman" w:hAnsi="Times New Roman" w:cs="Times New Roman"/>
                <w:sz w:val="28"/>
                <w:szCs w:val="28"/>
              </w:rPr>
            </w:pPr>
            <w:r>
              <w:rPr>
                <w:rFonts w:ascii="Times New Roman" w:hAnsi="Times New Roman" w:cs="Times New Roman"/>
                <w:sz w:val="28"/>
                <w:szCs w:val="28"/>
              </w:rPr>
              <w:t>C</w:t>
            </w:r>
          </w:p>
        </w:tc>
        <w:tc>
          <w:tcPr>
            <w:tcW w:w="4788" w:type="dxa"/>
          </w:tcPr>
          <w:p w14:paraId="4C38194B">
            <w:pPr>
              <w:spacing w:line="360" w:lineRule="auto"/>
              <w:rPr>
                <w:rFonts w:ascii="Times New Roman" w:hAnsi="Times New Roman" w:cs="Times New Roman"/>
                <w:sz w:val="28"/>
                <w:szCs w:val="28"/>
              </w:rPr>
            </w:pPr>
            <w:r>
              <w:rPr>
                <w:rFonts w:ascii="Times New Roman" w:hAnsi="Times New Roman" w:cs="Times New Roman"/>
                <w:sz w:val="28"/>
                <w:szCs w:val="28"/>
              </w:rPr>
              <w:t>1.9x10</w:t>
            </w:r>
            <w:r>
              <w:rPr>
                <w:rFonts w:ascii="Times New Roman" w:hAnsi="Times New Roman" w:cs="Times New Roman"/>
                <w:sz w:val="28"/>
                <w:szCs w:val="28"/>
                <w:vertAlign w:val="superscript"/>
              </w:rPr>
              <w:t>5</w:t>
            </w:r>
          </w:p>
        </w:tc>
      </w:tr>
    </w:tbl>
    <w:p w14:paraId="1B35DB03">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14:paraId="57401676">
      <w:pPr>
        <w:pStyle w:val="7"/>
        <w:keepNext/>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2</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MPN Value of the Water Analyzed (100cfu/ml)</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1"/>
        <w:gridCol w:w="1752"/>
        <w:gridCol w:w="1763"/>
        <w:gridCol w:w="1763"/>
        <w:gridCol w:w="1767"/>
      </w:tblGrid>
      <w:tr w14:paraId="3B3DF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915" w:type="dxa"/>
            <w:tcBorders>
              <w:top w:val="single" w:color="auto" w:sz="4" w:space="0"/>
              <w:bottom w:val="single" w:color="auto" w:sz="4" w:space="0"/>
            </w:tcBorders>
          </w:tcPr>
          <w:p w14:paraId="60F24F6D">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Samples</w:t>
            </w:r>
          </w:p>
        </w:tc>
        <w:tc>
          <w:tcPr>
            <w:tcW w:w="1915" w:type="dxa"/>
            <w:tcBorders>
              <w:top w:val="single" w:color="auto" w:sz="4" w:space="0"/>
              <w:bottom w:val="single" w:color="auto" w:sz="4" w:space="0"/>
            </w:tcBorders>
          </w:tcPr>
          <w:p w14:paraId="043F6D19">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10ml</w:t>
            </w:r>
          </w:p>
        </w:tc>
        <w:tc>
          <w:tcPr>
            <w:tcW w:w="1915" w:type="dxa"/>
            <w:tcBorders>
              <w:top w:val="single" w:color="auto" w:sz="4" w:space="0"/>
              <w:bottom w:val="single" w:color="auto" w:sz="4" w:space="0"/>
            </w:tcBorders>
          </w:tcPr>
          <w:p w14:paraId="60CEAC9D">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1.0ml</w:t>
            </w:r>
          </w:p>
        </w:tc>
        <w:tc>
          <w:tcPr>
            <w:tcW w:w="1915" w:type="dxa"/>
            <w:tcBorders>
              <w:top w:val="single" w:color="auto" w:sz="4" w:space="0"/>
              <w:bottom w:val="single" w:color="auto" w:sz="4" w:space="0"/>
            </w:tcBorders>
          </w:tcPr>
          <w:p w14:paraId="5D142F18">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0.1ml</w:t>
            </w:r>
          </w:p>
        </w:tc>
        <w:tc>
          <w:tcPr>
            <w:tcW w:w="1916" w:type="dxa"/>
            <w:tcBorders>
              <w:top w:val="single" w:color="auto" w:sz="4" w:space="0"/>
              <w:bottom w:val="single" w:color="auto" w:sz="4" w:space="0"/>
            </w:tcBorders>
          </w:tcPr>
          <w:p w14:paraId="34E99F15">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MPN Index</w:t>
            </w:r>
          </w:p>
        </w:tc>
      </w:tr>
      <w:tr w14:paraId="655241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915" w:type="dxa"/>
            <w:tcBorders>
              <w:top w:val="single" w:color="auto" w:sz="4" w:space="0"/>
            </w:tcBorders>
          </w:tcPr>
          <w:p w14:paraId="3DAC9145">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A</w:t>
            </w:r>
          </w:p>
        </w:tc>
        <w:tc>
          <w:tcPr>
            <w:tcW w:w="1915" w:type="dxa"/>
            <w:tcBorders>
              <w:top w:val="single" w:color="auto" w:sz="4" w:space="0"/>
            </w:tcBorders>
          </w:tcPr>
          <w:p w14:paraId="6986E553">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Borders>
              <w:top w:val="single" w:color="auto" w:sz="4" w:space="0"/>
            </w:tcBorders>
          </w:tcPr>
          <w:p w14:paraId="387B15BA">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Borders>
              <w:top w:val="single" w:color="auto" w:sz="4" w:space="0"/>
            </w:tcBorders>
          </w:tcPr>
          <w:p w14:paraId="0077B2AE">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6" w:type="dxa"/>
            <w:tcBorders>
              <w:top w:val="single" w:color="auto" w:sz="4" w:space="0"/>
            </w:tcBorders>
          </w:tcPr>
          <w:p w14:paraId="61EE22C9">
            <w:pPr>
              <w:pStyle w:val="7"/>
              <w:spacing w:line="360" w:lineRule="auto"/>
              <w:rPr>
                <w:rFonts w:ascii="Times New Roman" w:hAnsi="Times New Roman" w:cs="Times New Roman"/>
                <w:b w:val="0"/>
                <w:bCs w:val="0"/>
                <w:color w:val="auto"/>
                <w:sz w:val="28"/>
                <w:szCs w:val="28"/>
                <w:u w:val="single"/>
              </w:rPr>
            </w:pPr>
            <w:r>
              <w:rPr>
                <w:rFonts w:ascii="Times New Roman" w:hAnsi="Times New Roman" w:cs="Times New Roman"/>
                <w:b w:val="0"/>
                <w:bCs w:val="0"/>
                <w:color w:val="auto"/>
                <w:sz w:val="28"/>
                <w:szCs w:val="28"/>
                <w:u w:val="single"/>
              </w:rPr>
              <w:t xml:space="preserve">&gt; </w:t>
            </w:r>
            <w:r>
              <w:rPr>
                <w:rFonts w:ascii="Times New Roman" w:hAnsi="Times New Roman" w:cs="Times New Roman"/>
                <w:b w:val="0"/>
                <w:bCs w:val="0"/>
                <w:color w:val="auto"/>
                <w:sz w:val="28"/>
                <w:szCs w:val="28"/>
              </w:rPr>
              <w:t>1600</w:t>
            </w:r>
          </w:p>
        </w:tc>
      </w:tr>
      <w:tr w14:paraId="5631E1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915" w:type="dxa"/>
          </w:tcPr>
          <w:p w14:paraId="472489A0">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B</w:t>
            </w:r>
          </w:p>
        </w:tc>
        <w:tc>
          <w:tcPr>
            <w:tcW w:w="1915" w:type="dxa"/>
          </w:tcPr>
          <w:p w14:paraId="41AE2172">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14:paraId="5F1B5888">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14:paraId="480618C3">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6" w:type="dxa"/>
          </w:tcPr>
          <w:p w14:paraId="41867834">
            <w:pPr>
              <w:pStyle w:val="7"/>
              <w:spacing w:line="360" w:lineRule="auto"/>
              <w:rPr>
                <w:rFonts w:ascii="Times New Roman" w:hAnsi="Times New Roman" w:cs="Times New Roman"/>
                <w:b w:val="0"/>
                <w:bCs w:val="0"/>
                <w:color w:val="auto"/>
                <w:sz w:val="28"/>
                <w:szCs w:val="28"/>
                <w:u w:val="single"/>
              </w:rPr>
            </w:pPr>
            <w:r>
              <w:rPr>
                <w:rFonts w:ascii="Times New Roman" w:hAnsi="Times New Roman" w:cs="Times New Roman"/>
                <w:b w:val="0"/>
                <w:bCs w:val="0"/>
                <w:color w:val="auto"/>
                <w:sz w:val="28"/>
                <w:szCs w:val="28"/>
                <w:u w:val="single"/>
              </w:rPr>
              <w:t xml:space="preserve">&gt; </w:t>
            </w:r>
            <w:r>
              <w:rPr>
                <w:rFonts w:ascii="Times New Roman" w:hAnsi="Times New Roman" w:cs="Times New Roman"/>
                <w:b w:val="0"/>
                <w:bCs w:val="0"/>
                <w:color w:val="auto"/>
                <w:sz w:val="28"/>
                <w:szCs w:val="28"/>
              </w:rPr>
              <w:t>1600</w:t>
            </w:r>
          </w:p>
        </w:tc>
      </w:tr>
      <w:tr w14:paraId="4C861D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915" w:type="dxa"/>
          </w:tcPr>
          <w:p w14:paraId="57B45290">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C</w:t>
            </w:r>
          </w:p>
        </w:tc>
        <w:tc>
          <w:tcPr>
            <w:tcW w:w="1915" w:type="dxa"/>
          </w:tcPr>
          <w:p w14:paraId="51F88B0D">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14:paraId="5CAC770C">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2</w:t>
            </w:r>
          </w:p>
        </w:tc>
        <w:tc>
          <w:tcPr>
            <w:tcW w:w="1915" w:type="dxa"/>
          </w:tcPr>
          <w:p w14:paraId="51C4802B">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4</w:t>
            </w:r>
          </w:p>
        </w:tc>
        <w:tc>
          <w:tcPr>
            <w:tcW w:w="1916" w:type="dxa"/>
          </w:tcPr>
          <w:p w14:paraId="0E3273E4">
            <w:pPr>
              <w:pStyle w:val="7"/>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170</w:t>
            </w:r>
          </w:p>
        </w:tc>
      </w:tr>
    </w:tbl>
    <w:p w14:paraId="5891CB28">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14:paraId="07919684">
      <w:pPr>
        <w:spacing w:line="360" w:lineRule="auto"/>
        <w:rPr>
          <w:rFonts w:ascii="Times New Roman" w:hAnsi="Times New Roman" w:cs="Times New Roman"/>
          <w:b/>
          <w:bCs/>
          <w:sz w:val="28"/>
          <w:szCs w:val="28"/>
        </w:rPr>
      </w:pPr>
      <w:r>
        <w:rPr>
          <w:rFonts w:ascii="Times New Roman" w:hAnsi="Times New Roman" w:cs="Times New Roman"/>
          <w:sz w:val="28"/>
          <w:szCs w:val="28"/>
        </w:rPr>
        <w:br w:type="page"/>
      </w:r>
    </w:p>
    <w:p w14:paraId="0B4589E5">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3</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Colonial Morphological Characteristics of the Bacteria Isolates</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5"/>
        <w:gridCol w:w="1342"/>
        <w:gridCol w:w="1305"/>
        <w:gridCol w:w="1441"/>
        <w:gridCol w:w="2062"/>
        <w:gridCol w:w="1371"/>
      </w:tblGrid>
      <w:tr w14:paraId="38EB3E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409" w:type="dxa"/>
            <w:tcBorders>
              <w:top w:val="single" w:color="auto" w:sz="4" w:space="0"/>
              <w:bottom w:val="single" w:color="auto" w:sz="4" w:space="0"/>
            </w:tcBorders>
          </w:tcPr>
          <w:p w14:paraId="2BAEB41B">
            <w:pPr>
              <w:spacing w:line="360" w:lineRule="auto"/>
              <w:rPr>
                <w:rFonts w:ascii="Times New Roman" w:hAnsi="Times New Roman" w:cs="Times New Roman"/>
                <w:b/>
                <w:bCs/>
                <w:sz w:val="28"/>
                <w:szCs w:val="28"/>
              </w:rPr>
            </w:pPr>
            <w:r>
              <w:rPr>
                <w:rFonts w:ascii="Times New Roman" w:hAnsi="Times New Roman" w:cs="Times New Roman"/>
                <w:b/>
                <w:bCs/>
                <w:sz w:val="28"/>
                <w:szCs w:val="28"/>
              </w:rPr>
              <w:t>Isolates</w:t>
            </w:r>
          </w:p>
        </w:tc>
        <w:tc>
          <w:tcPr>
            <w:tcW w:w="1413" w:type="dxa"/>
            <w:tcBorders>
              <w:top w:val="single" w:color="auto" w:sz="4" w:space="0"/>
              <w:bottom w:val="single" w:color="auto" w:sz="4" w:space="0"/>
            </w:tcBorders>
          </w:tcPr>
          <w:p w14:paraId="2AF855F3">
            <w:pPr>
              <w:spacing w:line="360" w:lineRule="auto"/>
              <w:rPr>
                <w:rFonts w:ascii="Times New Roman" w:hAnsi="Times New Roman" w:cs="Times New Roman"/>
                <w:b/>
                <w:bCs/>
                <w:sz w:val="28"/>
                <w:szCs w:val="28"/>
              </w:rPr>
            </w:pPr>
            <w:r>
              <w:rPr>
                <w:rFonts w:ascii="Times New Roman" w:hAnsi="Times New Roman" w:cs="Times New Roman"/>
                <w:b/>
                <w:bCs/>
                <w:sz w:val="28"/>
                <w:szCs w:val="28"/>
              </w:rPr>
              <w:t>Shape</w:t>
            </w:r>
          </w:p>
        </w:tc>
        <w:tc>
          <w:tcPr>
            <w:tcW w:w="1172" w:type="dxa"/>
            <w:tcBorders>
              <w:top w:val="single" w:color="auto" w:sz="4" w:space="0"/>
              <w:bottom w:val="single" w:color="auto" w:sz="4" w:space="0"/>
            </w:tcBorders>
          </w:tcPr>
          <w:p w14:paraId="6DE0CF3F">
            <w:pPr>
              <w:spacing w:line="360" w:lineRule="auto"/>
              <w:rPr>
                <w:rFonts w:ascii="Times New Roman" w:hAnsi="Times New Roman" w:cs="Times New Roman"/>
                <w:b/>
                <w:bCs/>
                <w:sz w:val="28"/>
                <w:szCs w:val="28"/>
              </w:rPr>
            </w:pPr>
            <w:r>
              <w:rPr>
                <w:rFonts w:ascii="Times New Roman" w:hAnsi="Times New Roman" w:cs="Times New Roman"/>
                <w:b/>
                <w:bCs/>
                <w:sz w:val="28"/>
                <w:szCs w:val="28"/>
              </w:rPr>
              <w:t>Margin</w:t>
            </w:r>
          </w:p>
        </w:tc>
        <w:tc>
          <w:tcPr>
            <w:tcW w:w="1471" w:type="dxa"/>
            <w:tcBorders>
              <w:top w:val="single" w:color="auto" w:sz="4" w:space="0"/>
              <w:bottom w:val="single" w:color="auto" w:sz="4" w:space="0"/>
            </w:tcBorders>
          </w:tcPr>
          <w:p w14:paraId="506E406C">
            <w:pPr>
              <w:spacing w:line="360" w:lineRule="auto"/>
              <w:rPr>
                <w:rFonts w:ascii="Times New Roman" w:hAnsi="Times New Roman" w:cs="Times New Roman"/>
                <w:b/>
                <w:bCs/>
                <w:sz w:val="28"/>
                <w:szCs w:val="28"/>
              </w:rPr>
            </w:pPr>
            <w:r>
              <w:rPr>
                <w:rFonts w:ascii="Times New Roman" w:hAnsi="Times New Roman" w:cs="Times New Roman"/>
                <w:b/>
                <w:bCs/>
                <w:sz w:val="28"/>
                <w:szCs w:val="28"/>
              </w:rPr>
              <w:t>Elevation</w:t>
            </w:r>
          </w:p>
        </w:tc>
        <w:tc>
          <w:tcPr>
            <w:tcW w:w="2383" w:type="dxa"/>
            <w:tcBorders>
              <w:top w:val="single" w:color="auto" w:sz="4" w:space="0"/>
              <w:bottom w:val="single" w:color="auto" w:sz="4" w:space="0"/>
            </w:tcBorders>
          </w:tcPr>
          <w:p w14:paraId="1BADDF55">
            <w:pPr>
              <w:spacing w:line="360" w:lineRule="auto"/>
              <w:rPr>
                <w:rFonts w:ascii="Times New Roman" w:hAnsi="Times New Roman" w:cs="Times New Roman"/>
                <w:b/>
                <w:bCs/>
                <w:sz w:val="28"/>
                <w:szCs w:val="28"/>
              </w:rPr>
            </w:pPr>
            <w:r>
              <w:rPr>
                <w:rFonts w:ascii="Times New Roman" w:hAnsi="Times New Roman" w:cs="Times New Roman"/>
                <w:b/>
                <w:bCs/>
                <w:sz w:val="28"/>
                <w:szCs w:val="28"/>
              </w:rPr>
              <w:t>Colour</w:t>
            </w:r>
          </w:p>
        </w:tc>
        <w:tc>
          <w:tcPr>
            <w:tcW w:w="1440" w:type="dxa"/>
            <w:tcBorders>
              <w:top w:val="single" w:color="auto" w:sz="4" w:space="0"/>
              <w:bottom w:val="single" w:color="auto" w:sz="4" w:space="0"/>
            </w:tcBorders>
          </w:tcPr>
          <w:p w14:paraId="029532A9">
            <w:pPr>
              <w:spacing w:line="360" w:lineRule="auto"/>
              <w:rPr>
                <w:rFonts w:ascii="Times New Roman" w:hAnsi="Times New Roman" w:cs="Times New Roman"/>
                <w:b/>
                <w:bCs/>
                <w:sz w:val="28"/>
                <w:szCs w:val="28"/>
              </w:rPr>
            </w:pPr>
            <w:r>
              <w:rPr>
                <w:rFonts w:ascii="Times New Roman" w:hAnsi="Times New Roman" w:cs="Times New Roman"/>
                <w:b/>
                <w:bCs/>
                <w:sz w:val="28"/>
                <w:szCs w:val="28"/>
              </w:rPr>
              <w:t>Texture</w:t>
            </w:r>
          </w:p>
        </w:tc>
      </w:tr>
      <w:tr w14:paraId="7E648B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409" w:type="dxa"/>
            <w:tcBorders>
              <w:top w:val="single" w:color="auto" w:sz="4" w:space="0"/>
            </w:tcBorders>
          </w:tcPr>
          <w:p w14:paraId="6B55D262">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413" w:type="dxa"/>
            <w:tcBorders>
              <w:top w:val="single" w:color="auto" w:sz="4" w:space="0"/>
            </w:tcBorders>
          </w:tcPr>
          <w:p w14:paraId="3B90EBCA">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Borders>
              <w:top w:val="single" w:color="auto" w:sz="4" w:space="0"/>
            </w:tcBorders>
          </w:tcPr>
          <w:p w14:paraId="71B8084D">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Borders>
              <w:top w:val="single" w:color="auto" w:sz="4" w:space="0"/>
            </w:tcBorders>
          </w:tcPr>
          <w:p w14:paraId="794153E7">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Borders>
              <w:top w:val="single" w:color="auto" w:sz="4" w:space="0"/>
            </w:tcBorders>
          </w:tcPr>
          <w:p w14:paraId="1CEE2882">
            <w:pPr>
              <w:spacing w:line="360" w:lineRule="auto"/>
              <w:rPr>
                <w:rFonts w:ascii="Times New Roman" w:hAnsi="Times New Roman" w:cs="Times New Roman"/>
                <w:sz w:val="28"/>
                <w:szCs w:val="28"/>
              </w:rPr>
            </w:pPr>
            <w:r>
              <w:rPr>
                <w:rFonts w:ascii="Times New Roman" w:hAnsi="Times New Roman" w:cs="Times New Roman"/>
                <w:sz w:val="28"/>
                <w:szCs w:val="28"/>
              </w:rPr>
              <w:t>Green metallic shine</w:t>
            </w:r>
          </w:p>
        </w:tc>
        <w:tc>
          <w:tcPr>
            <w:tcW w:w="1440" w:type="dxa"/>
            <w:tcBorders>
              <w:top w:val="single" w:color="auto" w:sz="4" w:space="0"/>
            </w:tcBorders>
          </w:tcPr>
          <w:p w14:paraId="6EA7E666">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r w14:paraId="2AB644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409" w:type="dxa"/>
          </w:tcPr>
          <w:p w14:paraId="75FCA26D">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413" w:type="dxa"/>
          </w:tcPr>
          <w:p w14:paraId="37B07EC5">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14:paraId="2F0C1767">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Pr>
          <w:p w14:paraId="124F2C34">
            <w:pPr>
              <w:spacing w:line="360" w:lineRule="auto"/>
              <w:rPr>
                <w:rFonts w:ascii="Times New Roman" w:hAnsi="Times New Roman" w:cs="Times New Roman"/>
                <w:sz w:val="28"/>
                <w:szCs w:val="28"/>
              </w:rPr>
            </w:pPr>
            <w:r>
              <w:rPr>
                <w:rFonts w:ascii="Times New Roman" w:hAnsi="Times New Roman" w:cs="Times New Roman"/>
                <w:sz w:val="28"/>
                <w:szCs w:val="28"/>
              </w:rPr>
              <w:t>Raised</w:t>
            </w:r>
          </w:p>
        </w:tc>
        <w:tc>
          <w:tcPr>
            <w:tcW w:w="2383" w:type="dxa"/>
          </w:tcPr>
          <w:p w14:paraId="147B4217">
            <w:pPr>
              <w:spacing w:line="360" w:lineRule="auto"/>
              <w:rPr>
                <w:rFonts w:ascii="Times New Roman" w:hAnsi="Times New Roman" w:cs="Times New Roman"/>
                <w:sz w:val="28"/>
                <w:szCs w:val="28"/>
              </w:rPr>
            </w:pPr>
            <w:r>
              <w:rPr>
                <w:rFonts w:ascii="Times New Roman" w:hAnsi="Times New Roman" w:cs="Times New Roman"/>
                <w:sz w:val="28"/>
                <w:szCs w:val="28"/>
              </w:rPr>
              <w:t>Creamy</w:t>
            </w:r>
          </w:p>
        </w:tc>
        <w:tc>
          <w:tcPr>
            <w:tcW w:w="1440" w:type="dxa"/>
          </w:tcPr>
          <w:p w14:paraId="41327DD5">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r w14:paraId="75A141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409" w:type="dxa"/>
          </w:tcPr>
          <w:p w14:paraId="13DC568F">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1413" w:type="dxa"/>
          </w:tcPr>
          <w:p w14:paraId="4A8F69F0">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14:paraId="544D7E1A">
            <w:pPr>
              <w:spacing w:line="360" w:lineRule="auto"/>
              <w:rPr>
                <w:rFonts w:ascii="Times New Roman" w:hAnsi="Times New Roman" w:cs="Times New Roman"/>
                <w:sz w:val="28"/>
                <w:szCs w:val="28"/>
              </w:rPr>
            </w:pPr>
            <w:r>
              <w:rPr>
                <w:rFonts w:ascii="Times New Roman" w:hAnsi="Times New Roman" w:cs="Times New Roman"/>
                <w:sz w:val="28"/>
                <w:szCs w:val="28"/>
              </w:rPr>
              <w:t>Unbonate</w:t>
            </w:r>
          </w:p>
        </w:tc>
        <w:tc>
          <w:tcPr>
            <w:tcW w:w="1471" w:type="dxa"/>
          </w:tcPr>
          <w:p w14:paraId="06F1381B">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Pr>
          <w:p w14:paraId="65CAF87C">
            <w:pPr>
              <w:spacing w:line="360" w:lineRule="auto"/>
              <w:rPr>
                <w:rFonts w:ascii="Times New Roman" w:hAnsi="Times New Roman" w:cs="Times New Roman"/>
                <w:sz w:val="28"/>
                <w:szCs w:val="28"/>
              </w:rPr>
            </w:pPr>
            <w:r>
              <w:rPr>
                <w:rFonts w:ascii="Times New Roman" w:hAnsi="Times New Roman" w:cs="Times New Roman"/>
                <w:sz w:val="28"/>
                <w:szCs w:val="28"/>
              </w:rPr>
              <w:t>Dark brown</w:t>
            </w:r>
          </w:p>
        </w:tc>
        <w:tc>
          <w:tcPr>
            <w:tcW w:w="1440" w:type="dxa"/>
          </w:tcPr>
          <w:p w14:paraId="64DFD0BD">
            <w:pPr>
              <w:spacing w:line="360" w:lineRule="auto"/>
              <w:rPr>
                <w:rFonts w:ascii="Times New Roman" w:hAnsi="Times New Roman" w:cs="Times New Roman"/>
                <w:sz w:val="28"/>
                <w:szCs w:val="28"/>
              </w:rPr>
            </w:pPr>
            <w:r>
              <w:rPr>
                <w:rFonts w:ascii="Times New Roman" w:hAnsi="Times New Roman" w:cs="Times New Roman"/>
                <w:sz w:val="28"/>
                <w:szCs w:val="28"/>
              </w:rPr>
              <w:t>Mucoid</w:t>
            </w:r>
          </w:p>
        </w:tc>
      </w:tr>
      <w:tr w14:paraId="75C32F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409" w:type="dxa"/>
          </w:tcPr>
          <w:p w14:paraId="6D91574A">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413" w:type="dxa"/>
          </w:tcPr>
          <w:p w14:paraId="213BA0D8">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14:paraId="18C3E6DC">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Pr>
          <w:p w14:paraId="0A346D1D">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Pr>
          <w:p w14:paraId="58D95EE1">
            <w:pPr>
              <w:spacing w:line="360" w:lineRule="auto"/>
              <w:rPr>
                <w:rFonts w:ascii="Times New Roman" w:hAnsi="Times New Roman" w:cs="Times New Roman"/>
                <w:sz w:val="28"/>
                <w:szCs w:val="28"/>
              </w:rPr>
            </w:pPr>
            <w:r>
              <w:rPr>
                <w:rFonts w:ascii="Times New Roman" w:hAnsi="Times New Roman" w:cs="Times New Roman"/>
                <w:sz w:val="28"/>
                <w:szCs w:val="28"/>
              </w:rPr>
              <w:t>Green metallic shine</w:t>
            </w:r>
          </w:p>
        </w:tc>
        <w:tc>
          <w:tcPr>
            <w:tcW w:w="1440" w:type="dxa"/>
          </w:tcPr>
          <w:p w14:paraId="39D387FD">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bl>
    <w:p w14:paraId="62F88F71">
      <w:pPr>
        <w:pStyle w:val="7"/>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4</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Biochemical Characterization and Gram Staining Reaction</w:t>
      </w:r>
    </w:p>
    <w:tbl>
      <w:tblPr>
        <w:tblStyle w:val="15"/>
        <w:tblW w:w="955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900"/>
        <w:gridCol w:w="810"/>
        <w:gridCol w:w="720"/>
        <w:gridCol w:w="900"/>
        <w:gridCol w:w="990"/>
        <w:gridCol w:w="1260"/>
        <w:gridCol w:w="2790"/>
      </w:tblGrid>
      <w:tr w14:paraId="218007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cantSplit/>
          <w:trHeight w:val="845" w:hRule="atLeast"/>
        </w:trPr>
        <w:tc>
          <w:tcPr>
            <w:tcW w:w="1188" w:type="dxa"/>
            <w:tcBorders>
              <w:top w:val="single" w:color="auto" w:sz="4" w:space="0"/>
              <w:bottom w:val="single" w:color="auto" w:sz="4" w:space="0"/>
            </w:tcBorders>
          </w:tcPr>
          <w:p w14:paraId="37498613">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Isolates  Codes</w:t>
            </w:r>
          </w:p>
        </w:tc>
        <w:tc>
          <w:tcPr>
            <w:tcW w:w="900" w:type="dxa"/>
            <w:tcBorders>
              <w:top w:val="single" w:color="auto" w:sz="4" w:space="0"/>
              <w:bottom w:val="single" w:color="auto" w:sz="4" w:space="0"/>
            </w:tcBorders>
          </w:tcPr>
          <w:p w14:paraId="7DA82DD1">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Cit</w:t>
            </w:r>
          </w:p>
        </w:tc>
        <w:tc>
          <w:tcPr>
            <w:tcW w:w="810" w:type="dxa"/>
            <w:tcBorders>
              <w:top w:val="single" w:color="auto" w:sz="4" w:space="0"/>
              <w:bottom w:val="single" w:color="auto" w:sz="4" w:space="0"/>
            </w:tcBorders>
          </w:tcPr>
          <w:p w14:paraId="44D99ADD">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Oxi</w:t>
            </w:r>
          </w:p>
        </w:tc>
        <w:tc>
          <w:tcPr>
            <w:tcW w:w="720" w:type="dxa"/>
            <w:tcBorders>
              <w:top w:val="single" w:color="auto" w:sz="4" w:space="0"/>
              <w:bottom w:val="single" w:color="auto" w:sz="4" w:space="0"/>
            </w:tcBorders>
          </w:tcPr>
          <w:p w14:paraId="403C5D45">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Cat</w:t>
            </w:r>
          </w:p>
        </w:tc>
        <w:tc>
          <w:tcPr>
            <w:tcW w:w="900" w:type="dxa"/>
            <w:tcBorders>
              <w:top w:val="single" w:color="auto" w:sz="4" w:space="0"/>
              <w:bottom w:val="single" w:color="auto" w:sz="4" w:space="0"/>
            </w:tcBorders>
          </w:tcPr>
          <w:p w14:paraId="634630B4">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Ind</w:t>
            </w:r>
          </w:p>
        </w:tc>
        <w:tc>
          <w:tcPr>
            <w:tcW w:w="990" w:type="dxa"/>
            <w:tcBorders>
              <w:top w:val="single" w:color="auto" w:sz="4" w:space="0"/>
              <w:bottom w:val="single" w:color="auto" w:sz="4" w:space="0"/>
            </w:tcBorders>
          </w:tcPr>
          <w:p w14:paraId="6232B847">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Met</w:t>
            </w:r>
          </w:p>
        </w:tc>
        <w:tc>
          <w:tcPr>
            <w:tcW w:w="1260" w:type="dxa"/>
            <w:tcBorders>
              <w:top w:val="single" w:color="auto" w:sz="4" w:space="0"/>
              <w:bottom w:val="single" w:color="auto" w:sz="4" w:space="0"/>
            </w:tcBorders>
          </w:tcPr>
          <w:p w14:paraId="4F2C1EDB">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Vgp</w:t>
            </w:r>
          </w:p>
        </w:tc>
        <w:tc>
          <w:tcPr>
            <w:tcW w:w="2790" w:type="dxa"/>
            <w:tcBorders>
              <w:top w:val="single" w:color="auto" w:sz="4" w:space="0"/>
              <w:bottom w:val="single" w:color="auto" w:sz="4" w:space="0"/>
            </w:tcBorders>
          </w:tcPr>
          <w:p w14:paraId="17476300">
            <w:pPr>
              <w:pStyle w:val="19"/>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Likely organisms</w:t>
            </w:r>
          </w:p>
        </w:tc>
      </w:tr>
      <w:tr w14:paraId="61177B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1188" w:type="dxa"/>
            <w:tcBorders>
              <w:top w:val="single" w:color="auto" w:sz="4" w:space="0"/>
            </w:tcBorders>
          </w:tcPr>
          <w:p w14:paraId="4FAD97E4">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Borders>
              <w:top w:val="single" w:color="auto" w:sz="4" w:space="0"/>
            </w:tcBorders>
          </w:tcPr>
          <w:p w14:paraId="4614366E">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color="auto" w:sz="4" w:space="0"/>
            </w:tcBorders>
          </w:tcPr>
          <w:p w14:paraId="5BF838CD">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color="auto" w:sz="4" w:space="0"/>
            </w:tcBorders>
          </w:tcPr>
          <w:p w14:paraId="759AAB8B">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Borders>
              <w:top w:val="single" w:color="auto" w:sz="4" w:space="0"/>
            </w:tcBorders>
          </w:tcPr>
          <w:p w14:paraId="64632451">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Borders>
              <w:top w:val="single" w:color="auto" w:sz="4" w:space="0"/>
            </w:tcBorders>
          </w:tcPr>
          <w:p w14:paraId="247C045F">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Borders>
              <w:top w:val="single" w:color="auto" w:sz="4" w:space="0"/>
            </w:tcBorders>
          </w:tcPr>
          <w:p w14:paraId="46189EA7">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Borders>
              <w:top w:val="single" w:color="auto" w:sz="4" w:space="0"/>
            </w:tcBorders>
          </w:tcPr>
          <w:p w14:paraId="2CBCDA4B">
            <w:pPr>
              <w:spacing w:line="360" w:lineRule="auto"/>
              <w:jc w:val="center"/>
              <w:rPr>
                <w:rFonts w:ascii="Times New Roman" w:hAnsi="Times New Roman" w:cs="Times New Roman"/>
                <w:sz w:val="28"/>
                <w:szCs w:val="28"/>
              </w:rPr>
            </w:pPr>
            <w:r>
              <w:rPr>
                <w:rFonts w:ascii="Times New Roman" w:hAnsi="Times New Roman" w:cs="Times New Roman"/>
                <w:i/>
                <w:iCs/>
                <w:sz w:val="28"/>
                <w:szCs w:val="28"/>
              </w:rPr>
              <w:t>E. coli</w:t>
            </w:r>
          </w:p>
        </w:tc>
      </w:tr>
      <w:tr w14:paraId="35E308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402" w:hRule="atLeast"/>
        </w:trPr>
        <w:tc>
          <w:tcPr>
            <w:tcW w:w="1188" w:type="dxa"/>
          </w:tcPr>
          <w:p w14:paraId="05C5DD21">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Pr>
          <w:p w14:paraId="34CCC56E">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14:paraId="09B49AFE">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14:paraId="21F00929">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14:paraId="06DB74DE">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14:paraId="0AE2D812">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14:paraId="03A42692">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14:paraId="6DB2C687">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Shigella sp.</w:t>
            </w:r>
          </w:p>
        </w:tc>
      </w:tr>
      <w:tr w14:paraId="3259D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703" w:hRule="atLeast"/>
        </w:trPr>
        <w:tc>
          <w:tcPr>
            <w:tcW w:w="1188" w:type="dxa"/>
          </w:tcPr>
          <w:p w14:paraId="2004BC02">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00" w:type="dxa"/>
          </w:tcPr>
          <w:p w14:paraId="1C074DDA">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14:paraId="6B41DEE3">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14:paraId="46621F2E">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14:paraId="75F985B4">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14:paraId="3BCD6940">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14:paraId="082FDF1F">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14:paraId="513FE2F6">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Klebsiella sp.</w:t>
            </w:r>
          </w:p>
        </w:tc>
      </w:tr>
      <w:tr w14:paraId="4BE17A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703" w:hRule="atLeast"/>
        </w:trPr>
        <w:tc>
          <w:tcPr>
            <w:tcW w:w="1188" w:type="dxa"/>
          </w:tcPr>
          <w:p w14:paraId="65F5C90D">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00" w:type="dxa"/>
          </w:tcPr>
          <w:p w14:paraId="34901DF8">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14:paraId="14F912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14:paraId="52A2B1C0">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14:paraId="48BF565E">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14:paraId="279418CB">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14:paraId="1CD38444">
            <w:pPr>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14:paraId="2D577F67">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E. coli</w:t>
            </w:r>
          </w:p>
        </w:tc>
      </w:tr>
    </w:tbl>
    <w:p w14:paraId="3DEEAF9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KEY: +-positive, - - negative</w:t>
      </w:r>
    </w:p>
    <w:p w14:paraId="52C8DBF9">
      <w:pPr>
        <w:pStyle w:val="7"/>
        <w:spacing w:line="360" w:lineRule="auto"/>
        <w:rPr>
          <w:rFonts w:ascii="Times New Roman" w:hAnsi="Times New Roman" w:cs="Times New Roman"/>
          <w:color w:val="auto"/>
          <w:sz w:val="28"/>
          <w:szCs w:val="28"/>
        </w:rPr>
      </w:pPr>
    </w:p>
    <w:p w14:paraId="63A1BC5E">
      <w:pPr>
        <w:pStyle w:val="7"/>
        <w:spacing w:line="360" w:lineRule="auto"/>
        <w:rPr>
          <w:rFonts w:ascii="Times New Roman" w:hAnsi="Times New Roman" w:cs="Times New Roman"/>
          <w:color w:val="auto"/>
          <w:sz w:val="28"/>
          <w:szCs w:val="28"/>
        </w:rPr>
      </w:pPr>
    </w:p>
    <w:p w14:paraId="5BE94F96">
      <w:pPr>
        <w:pStyle w:val="7"/>
        <w:spacing w:line="360" w:lineRule="auto"/>
        <w:rPr>
          <w:rFonts w:ascii="Times New Roman" w:hAnsi="Times New Roman" w:cs="Times New Roman"/>
          <w:color w:val="auto"/>
          <w:sz w:val="28"/>
          <w:szCs w:val="28"/>
        </w:rPr>
      </w:pPr>
    </w:p>
    <w:p w14:paraId="5FBB11F4">
      <w:pPr>
        <w:pStyle w:val="7"/>
        <w:spacing w:line="360" w:lineRule="auto"/>
        <w:rPr>
          <w:rFonts w:ascii="Times New Roman" w:hAnsi="Times New Roman" w:cs="Times New Roman" w:eastAsiaTheme="majorEastAsia"/>
          <w:b w:val="0"/>
          <w:bCs w:val="0"/>
          <w:color w:val="auto"/>
          <w:sz w:val="28"/>
          <w:szCs w:val="28"/>
        </w:rPr>
      </w:pPr>
      <w:r>
        <w:rPr>
          <w:rFonts w:ascii="Times New Roman" w:hAnsi="Times New Roman" w:cs="Times New Roman"/>
          <w:color w:val="auto"/>
          <w:sz w:val="28"/>
          <w:szCs w:val="28"/>
        </w:rPr>
        <w:t xml:space="preserve">Table </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5</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Physicochemical Parameters of Water Samples</w:t>
      </w:r>
    </w:p>
    <w:tbl>
      <w:tblPr>
        <w:tblStyle w:val="6"/>
        <w:tblW w:w="863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9"/>
        <w:gridCol w:w="2610"/>
        <w:gridCol w:w="1710"/>
        <w:gridCol w:w="1710"/>
        <w:gridCol w:w="1890"/>
      </w:tblGrid>
      <w:tr w14:paraId="3F358B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719" w:type="dxa"/>
            <w:tcBorders>
              <w:top w:val="single" w:color="auto" w:sz="4" w:space="0"/>
              <w:bottom w:val="single" w:color="auto" w:sz="4" w:space="0"/>
            </w:tcBorders>
            <w:vAlign w:val="center"/>
          </w:tcPr>
          <w:p w14:paraId="0A746824">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S/N</w:t>
            </w:r>
          </w:p>
        </w:tc>
        <w:tc>
          <w:tcPr>
            <w:tcW w:w="2610" w:type="dxa"/>
            <w:tcBorders>
              <w:top w:val="single" w:color="auto" w:sz="4" w:space="0"/>
              <w:bottom w:val="single" w:color="auto" w:sz="4" w:space="0"/>
            </w:tcBorders>
            <w:vAlign w:val="center"/>
          </w:tcPr>
          <w:p w14:paraId="3BEA933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Parameters</w:t>
            </w:r>
          </w:p>
        </w:tc>
        <w:tc>
          <w:tcPr>
            <w:tcW w:w="1710" w:type="dxa"/>
            <w:tcBorders>
              <w:top w:val="single" w:color="auto" w:sz="4" w:space="0"/>
              <w:bottom w:val="single" w:color="auto" w:sz="4" w:space="0"/>
            </w:tcBorders>
          </w:tcPr>
          <w:p w14:paraId="1AFBD9E6">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Yakuba</w:t>
            </w:r>
          </w:p>
        </w:tc>
        <w:tc>
          <w:tcPr>
            <w:tcW w:w="1710" w:type="dxa"/>
            <w:tcBorders>
              <w:top w:val="single" w:color="auto" w:sz="4" w:space="0"/>
              <w:bottom w:val="single" w:color="auto" w:sz="4" w:space="0"/>
            </w:tcBorders>
            <w:vAlign w:val="center"/>
          </w:tcPr>
          <w:p w14:paraId="087FD20C">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Elekoyangan</w:t>
            </w:r>
          </w:p>
        </w:tc>
        <w:tc>
          <w:tcPr>
            <w:tcW w:w="1890" w:type="dxa"/>
            <w:tcBorders>
              <w:top w:val="single" w:color="auto" w:sz="4" w:space="0"/>
              <w:bottom w:val="single" w:color="auto" w:sz="4" w:space="0"/>
            </w:tcBorders>
            <w:vAlign w:val="center"/>
          </w:tcPr>
          <w:p w14:paraId="4A49F228">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Agbede</w:t>
            </w:r>
          </w:p>
        </w:tc>
      </w:tr>
      <w:tr w14:paraId="037C47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719" w:type="dxa"/>
            <w:tcBorders>
              <w:top w:val="single" w:color="auto" w:sz="4" w:space="0"/>
            </w:tcBorders>
            <w:vAlign w:val="center"/>
          </w:tcPr>
          <w:p w14:paraId="6F4421BD">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610" w:type="dxa"/>
            <w:tcBorders>
              <w:top w:val="single" w:color="auto" w:sz="4" w:space="0"/>
            </w:tcBorders>
            <w:vAlign w:val="center"/>
          </w:tcPr>
          <w:p w14:paraId="27F19078">
            <w:pPr>
              <w:spacing w:line="360" w:lineRule="auto"/>
              <w:rPr>
                <w:rFonts w:ascii="Times New Roman" w:hAnsi="Times New Roman" w:cs="Times New Roman"/>
                <w:sz w:val="28"/>
                <w:szCs w:val="28"/>
              </w:rPr>
            </w:pPr>
            <w:r>
              <w:rPr>
                <w:rFonts w:ascii="Times New Roman" w:hAnsi="Times New Roman" w:cs="Times New Roman"/>
                <w:color w:val="000000"/>
                <w:sz w:val="28"/>
                <w:szCs w:val="28"/>
              </w:rPr>
              <w:t>pH</w:t>
            </w:r>
          </w:p>
        </w:tc>
        <w:tc>
          <w:tcPr>
            <w:tcW w:w="1710" w:type="dxa"/>
            <w:tcBorders>
              <w:top w:val="single" w:color="auto" w:sz="4" w:space="0"/>
            </w:tcBorders>
          </w:tcPr>
          <w:p w14:paraId="147B0892">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color="auto" w:sz="4" w:space="0"/>
            </w:tcBorders>
            <w:vAlign w:val="center"/>
          </w:tcPr>
          <w:p w14:paraId="27C8FF37">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color="auto" w:sz="4" w:space="0"/>
            </w:tcBorders>
          </w:tcPr>
          <w:p w14:paraId="2C2FF99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14:paraId="22A534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719" w:type="dxa"/>
            <w:vAlign w:val="center"/>
          </w:tcPr>
          <w:p w14:paraId="00A05D3A">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10" w:type="dxa"/>
            <w:vAlign w:val="center"/>
          </w:tcPr>
          <w:p w14:paraId="5E5B8CE3">
            <w:pPr>
              <w:spacing w:line="360" w:lineRule="auto"/>
              <w:rPr>
                <w:rFonts w:ascii="Times New Roman" w:hAnsi="Times New Roman" w:cs="Times New Roman"/>
                <w:sz w:val="28"/>
                <w:szCs w:val="28"/>
              </w:rPr>
            </w:pPr>
            <w:r>
              <w:rPr>
                <w:rFonts w:ascii="Times New Roman" w:hAnsi="Times New Roman" w:cs="Times New Roman"/>
                <w:color w:val="000000"/>
                <w:sz w:val="28"/>
                <w:szCs w:val="28"/>
              </w:rPr>
              <w:t>Turbidity (NTU)</w:t>
            </w:r>
          </w:p>
        </w:tc>
        <w:tc>
          <w:tcPr>
            <w:tcW w:w="1710" w:type="dxa"/>
          </w:tcPr>
          <w:p w14:paraId="48332971">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14:paraId="749EF4D1">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14:paraId="2B0C729A">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14:paraId="7AB6A0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719" w:type="dxa"/>
            <w:vAlign w:val="center"/>
          </w:tcPr>
          <w:p w14:paraId="41049D07">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3</w:t>
            </w:r>
          </w:p>
        </w:tc>
        <w:tc>
          <w:tcPr>
            <w:tcW w:w="2610" w:type="dxa"/>
            <w:vAlign w:val="center"/>
          </w:tcPr>
          <w:p w14:paraId="393A91CF">
            <w:pPr>
              <w:spacing w:line="360" w:lineRule="auto"/>
              <w:rPr>
                <w:rFonts w:ascii="Times New Roman" w:hAnsi="Times New Roman" w:cs="Times New Roman"/>
                <w:sz w:val="28"/>
                <w:szCs w:val="28"/>
              </w:rPr>
            </w:pPr>
            <w:r>
              <w:rPr>
                <w:rFonts w:ascii="Times New Roman" w:hAnsi="Times New Roman" w:cs="Times New Roman"/>
                <w:color w:val="000000"/>
                <w:sz w:val="28"/>
                <w:szCs w:val="28"/>
              </w:rPr>
              <w:t>Electrical conductivity (µs/cm)</w:t>
            </w:r>
          </w:p>
        </w:tc>
        <w:tc>
          <w:tcPr>
            <w:tcW w:w="1710" w:type="dxa"/>
          </w:tcPr>
          <w:p w14:paraId="14C54397">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14:paraId="38C889FB">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14:paraId="7C6C8B69">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14:paraId="464601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719" w:type="dxa"/>
            <w:vAlign w:val="center"/>
          </w:tcPr>
          <w:p w14:paraId="5907D5F6">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4</w:t>
            </w:r>
          </w:p>
        </w:tc>
        <w:tc>
          <w:tcPr>
            <w:tcW w:w="2610" w:type="dxa"/>
            <w:vAlign w:val="center"/>
          </w:tcPr>
          <w:p w14:paraId="0AD02BC1">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hardness (mg/L)</w:t>
            </w:r>
          </w:p>
        </w:tc>
        <w:tc>
          <w:tcPr>
            <w:tcW w:w="1710" w:type="dxa"/>
          </w:tcPr>
          <w:p w14:paraId="588F9970">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14:paraId="01710994">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14:paraId="2785DC22">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14:paraId="0CBA8A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719" w:type="dxa"/>
            <w:vAlign w:val="center"/>
          </w:tcPr>
          <w:p w14:paraId="674287A0">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2610" w:type="dxa"/>
            <w:vAlign w:val="center"/>
          </w:tcPr>
          <w:p w14:paraId="4CFB5B88">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dissolved solid (mg/L)</w:t>
            </w:r>
          </w:p>
        </w:tc>
        <w:tc>
          <w:tcPr>
            <w:tcW w:w="1710" w:type="dxa"/>
          </w:tcPr>
          <w:p w14:paraId="4C3E89C0">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14:paraId="74EE08C8">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14:paraId="45DD8237">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14:paraId="3A40F7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719" w:type="dxa"/>
            <w:vAlign w:val="center"/>
          </w:tcPr>
          <w:p w14:paraId="0C9F1F6B">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6</w:t>
            </w:r>
          </w:p>
        </w:tc>
        <w:tc>
          <w:tcPr>
            <w:tcW w:w="2610" w:type="dxa"/>
            <w:vAlign w:val="center"/>
          </w:tcPr>
          <w:p w14:paraId="6D7EA611">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alkalinity (mg/L)</w:t>
            </w:r>
          </w:p>
        </w:tc>
        <w:tc>
          <w:tcPr>
            <w:tcW w:w="1710" w:type="dxa"/>
          </w:tcPr>
          <w:p w14:paraId="5C96302A">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14:paraId="12B87392">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14:paraId="7010489C">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14:paraId="436F50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719" w:type="dxa"/>
            <w:vAlign w:val="center"/>
          </w:tcPr>
          <w:p w14:paraId="2E2EBBB1">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7</w:t>
            </w:r>
          </w:p>
        </w:tc>
        <w:tc>
          <w:tcPr>
            <w:tcW w:w="2610" w:type="dxa"/>
            <w:vAlign w:val="center"/>
          </w:tcPr>
          <w:p w14:paraId="5B4EE262">
            <w:pPr>
              <w:spacing w:line="360" w:lineRule="auto"/>
              <w:rPr>
                <w:rFonts w:ascii="Times New Roman" w:hAnsi="Times New Roman" w:cs="Times New Roman"/>
                <w:sz w:val="28"/>
                <w:szCs w:val="28"/>
              </w:rPr>
            </w:pPr>
            <w:r>
              <w:rPr>
                <w:rFonts w:ascii="Times New Roman" w:hAnsi="Times New Roman" w:cs="Times New Roman"/>
                <w:color w:val="000000"/>
                <w:sz w:val="28"/>
                <w:szCs w:val="28"/>
              </w:rPr>
              <w:t>Chloride (mg/L)</w:t>
            </w:r>
          </w:p>
        </w:tc>
        <w:tc>
          <w:tcPr>
            <w:tcW w:w="1710" w:type="dxa"/>
          </w:tcPr>
          <w:p w14:paraId="67A88A8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14:paraId="5F9543CD">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14:paraId="458E85B2">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14:paraId="1DC44C8B">
      <w:pPr>
        <w:pStyle w:val="2"/>
        <w:spacing w:after="200" w:line="360" w:lineRule="auto"/>
        <w:jc w:val="center"/>
        <w:rPr>
          <w:rFonts w:ascii="Times New Roman" w:hAnsi="Times New Roman" w:cs="Times New Roman"/>
          <w:color w:val="auto"/>
        </w:rPr>
      </w:pPr>
    </w:p>
    <w:p w14:paraId="5935F5C2">
      <w:pPr>
        <w:spacing w:line="360" w:lineRule="auto"/>
        <w:rPr>
          <w:rFonts w:ascii="Times New Roman" w:hAnsi="Times New Roman" w:cs="Times New Roman" w:eastAsiaTheme="majorEastAsia"/>
          <w:b/>
          <w:bCs/>
          <w:sz w:val="28"/>
          <w:szCs w:val="28"/>
        </w:rPr>
      </w:pPr>
      <w:r>
        <w:rPr>
          <w:rFonts w:ascii="Times New Roman" w:hAnsi="Times New Roman" w:cs="Times New Roman"/>
          <w:sz w:val="28"/>
          <w:szCs w:val="28"/>
        </w:rPr>
        <w:br w:type="page"/>
      </w:r>
    </w:p>
    <w:p w14:paraId="744514C9">
      <w:pPr>
        <w:pStyle w:val="2"/>
        <w:spacing w:line="360" w:lineRule="auto"/>
        <w:jc w:val="center"/>
        <w:rPr>
          <w:rFonts w:ascii="Times New Roman" w:hAnsi="Times New Roman" w:cs="Times New Roman"/>
          <w:color w:val="auto"/>
        </w:rPr>
      </w:pPr>
      <w:r>
        <w:rPr>
          <w:rFonts w:ascii="Times New Roman" w:hAnsi="Times New Roman" w:cs="Times New Roman"/>
          <w:color w:val="auto"/>
        </w:rPr>
        <w:t>CHAPTER FIVE</w:t>
      </w:r>
    </w:p>
    <w:p w14:paraId="5718B50F">
      <w:pPr>
        <w:pStyle w:val="3"/>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5.1</w:t>
      </w:r>
      <w:r>
        <w:rPr>
          <w:rFonts w:ascii="Times New Roman" w:hAnsi="Times New Roman" w:cs="Times New Roman"/>
          <w:color w:val="auto"/>
          <w:sz w:val="28"/>
          <w:szCs w:val="28"/>
        </w:rPr>
        <w:tab/>
      </w:r>
      <w:r>
        <w:rPr>
          <w:rFonts w:ascii="Times New Roman" w:hAnsi="Times New Roman" w:cs="Times New Roman"/>
          <w:color w:val="auto"/>
          <w:sz w:val="28"/>
          <w:szCs w:val="28"/>
        </w:rPr>
        <w:t>Discussion</w:t>
      </w:r>
    </w:p>
    <w:p w14:paraId="29E294A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total bacterial counts from the water samples in the three borehole water are shown in table 1. The total bacterial count ranges from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cfu/ml, where Sample A had the highest plate count of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cfu/ml and Sample C with the least count of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Borehole water sources also fell short of meet the stipulated requirements for total bacterial count, echoing the findings of Bashir </w:t>
      </w:r>
      <w:r>
        <w:rPr>
          <w:rFonts w:ascii="Times New Roman" w:hAnsi="Times New Roman" w:cs="Times New Roman"/>
          <w:i/>
          <w:iCs/>
          <w:sz w:val="28"/>
          <w:szCs w:val="28"/>
        </w:rPr>
        <w:t>et al.</w:t>
      </w:r>
      <w:r>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WHO’s Coliform Forming Unit requirements. Furthermore, the type and quantity of organisms present in the water samples will determine the health risk poses to consumers upon ingestion.</w:t>
      </w:r>
    </w:p>
    <w:p w14:paraId="370751B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r>
        <w:rPr>
          <w:rFonts w:ascii="Times New Roman" w:hAnsi="Times New Roman" w:cs="Times New Roman"/>
          <w:i/>
          <w:iCs/>
          <w:sz w:val="28"/>
          <w:szCs w:val="28"/>
        </w:rPr>
        <w:t>Escheria coli,</w:t>
      </w:r>
      <w:r>
        <w:rPr>
          <w:rFonts w:ascii="Times New Roman" w:hAnsi="Times New Roman" w:cs="Times New Roman"/>
          <w:sz w:val="28"/>
          <w:szCs w:val="28"/>
        </w:rPr>
        <w:t xml:space="preserve"> </w:t>
      </w:r>
      <w:r>
        <w:rPr>
          <w:rFonts w:ascii="Times New Roman" w:hAnsi="Times New Roman" w:cs="Times New Roman"/>
          <w:i/>
          <w:iCs/>
          <w:sz w:val="28"/>
          <w:szCs w:val="28"/>
        </w:rPr>
        <w:t>Shigella sp</w:t>
      </w:r>
      <w:r>
        <w:rPr>
          <w:rFonts w:ascii="Times New Roman" w:hAnsi="Times New Roman" w:cs="Times New Roman"/>
          <w:sz w:val="28"/>
          <w:szCs w:val="28"/>
        </w:rPr>
        <w:t xml:space="preserve">. and </w:t>
      </w:r>
      <w:r>
        <w:rPr>
          <w:rFonts w:ascii="Times New Roman" w:hAnsi="Times New Roman" w:cs="Times New Roman"/>
          <w:i/>
          <w:iCs/>
          <w:sz w:val="28"/>
          <w:szCs w:val="28"/>
        </w:rPr>
        <w:t>Klebsiella sp.,</w:t>
      </w:r>
      <w:r>
        <w:rPr>
          <w:rFonts w:ascii="Times New Roman" w:hAnsi="Times New Roman" w:cs="Times New Roman"/>
          <w:sz w:val="28"/>
          <w:szCs w:val="28"/>
        </w:rPr>
        <w:t xml:space="preserve"> </w:t>
      </w:r>
      <w:r>
        <w:rPr>
          <w:rFonts w:ascii="Times New Roman" w:hAnsi="Times New Roman" w:cs="Times New Roman"/>
          <w:i/>
          <w:iCs/>
          <w:sz w:val="28"/>
          <w:szCs w:val="28"/>
        </w:rPr>
        <w:t>E. coli</w:t>
      </w:r>
      <w:r>
        <w:rPr>
          <w:rFonts w:ascii="Times New Roman" w:hAnsi="Times New Roman" w:cs="Times New Roman"/>
          <w:sz w:val="28"/>
          <w:szCs w:val="28"/>
        </w:rPr>
        <w:t xml:space="preserve"> and </w:t>
      </w:r>
      <w:r>
        <w:rPr>
          <w:rFonts w:ascii="Times New Roman" w:hAnsi="Times New Roman" w:cs="Times New Roman"/>
          <w:i/>
          <w:iCs/>
          <w:sz w:val="28"/>
          <w:szCs w:val="28"/>
        </w:rPr>
        <w:t>Shigella sp.</w:t>
      </w:r>
      <w:r>
        <w:rPr>
          <w:rFonts w:ascii="Times New Roman" w:hAnsi="Times New Roman" w:cs="Times New Roman"/>
          <w:sz w:val="28"/>
          <w:szCs w:val="28"/>
        </w:rPr>
        <w:t xml:space="preserve"> was the most prevalent, with MPN </w:t>
      </w:r>
      <w:r>
        <w:rPr>
          <w:rFonts w:ascii="Times New Roman" w:hAnsi="Times New Roman" w:cs="Times New Roman"/>
          <w:sz w:val="28"/>
          <w:szCs w:val="28"/>
          <w:u w:val="single"/>
        </w:rPr>
        <w:t>&gt;</w:t>
      </w:r>
      <w:r>
        <w:rPr>
          <w:rFonts w:ascii="Times New Roman" w:hAnsi="Times New Roman" w:cs="Times New Roman"/>
          <w:sz w:val="28"/>
          <w:szCs w:val="28"/>
        </w:rPr>
        <w:t xml:space="preserve">1600/100 ml of water reported in sample A and B, while </w:t>
      </w:r>
      <w:r>
        <w:rPr>
          <w:rFonts w:ascii="Times New Roman" w:hAnsi="Times New Roman" w:cs="Times New Roman"/>
          <w:i/>
          <w:iCs/>
          <w:sz w:val="28"/>
          <w:szCs w:val="28"/>
        </w:rPr>
        <w:t>Klebsiella sp</w:t>
      </w:r>
      <w:r>
        <w:rPr>
          <w:rFonts w:ascii="Times New Roman" w:hAnsi="Times New Roman" w:cs="Times New Roman"/>
          <w:sz w:val="28"/>
          <w:szCs w:val="28"/>
        </w:rPr>
        <w:t xml:space="preserve">. was the least prevalent with MPN 170/100 ml of water reported in samples C. </w:t>
      </w:r>
    </w:p>
    <w:p w14:paraId="511FFA2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physicochemical parameters are shown in table 5, which the necessary physicochemical parameters analyzed reveled the level of water to consumption. The pH values ranged from 5.31 to 6.02; Turbidity values ranges from1.7NTU to 2.2NTU; Electrical Conductivity ranges from 106.1</w:t>
      </w:r>
      <w:r>
        <w:rPr>
          <w:rFonts w:ascii="Times New Roman" w:hAnsi="Times New Roman" w:cs="Times New Roman"/>
          <w:color w:val="000000"/>
          <w:sz w:val="28"/>
          <w:szCs w:val="28"/>
        </w:rPr>
        <w:t xml:space="preserve"> µs/cm</w:t>
      </w:r>
      <w:r>
        <w:rPr>
          <w:rFonts w:ascii="Times New Roman" w:hAnsi="Times New Roman" w:cs="Times New Roman"/>
          <w:sz w:val="28"/>
          <w:szCs w:val="28"/>
        </w:rPr>
        <w:t xml:space="preserve"> to 323</w:t>
      </w:r>
      <w:r>
        <w:rPr>
          <w:rFonts w:ascii="Times New Roman" w:hAnsi="Times New Roman" w:cs="Times New Roman"/>
          <w:color w:val="000000"/>
          <w:sz w:val="28"/>
          <w:szCs w:val="28"/>
        </w:rPr>
        <w:t xml:space="preserve"> µs/cm</w:t>
      </w:r>
      <w:r>
        <w:rPr>
          <w:rFonts w:ascii="Times New Roman" w:hAnsi="Times New Roman" w:cs="Times New Roman"/>
          <w:sz w:val="28"/>
          <w:szCs w:val="28"/>
        </w:rPr>
        <w:t>; Total Hardness values ranged from 90.51 mg/L to 105.34 mg/L; Total Dissolved Solids ranges from 70</w:t>
      </w:r>
      <w:r>
        <w:rPr>
          <w:rFonts w:ascii="Times New Roman" w:hAnsi="Times New Roman" w:cs="Times New Roman"/>
          <w:color w:val="000000"/>
          <w:sz w:val="28"/>
          <w:szCs w:val="28"/>
        </w:rPr>
        <w:t xml:space="preserve"> mg/L to 210mg/L; Total Alkalinity ranges from 69.624mg/L to 86.745mg/L </w:t>
      </w:r>
      <w:r>
        <w:rPr>
          <w:rFonts w:ascii="Times New Roman" w:hAnsi="Times New Roman" w:cs="Times New Roman"/>
          <w:sz w:val="28"/>
          <w:szCs w:val="28"/>
        </w:rPr>
        <w:t xml:space="preserve">and Chloride concentration ranges from 14.63 mg/L to 20.015mg/L ppm across the borehole waters sampled. In contrast to the study by Okafor and Orji, (2022). </w:t>
      </w:r>
    </w:p>
    <w:p w14:paraId="548BC2AF">
      <w:pPr>
        <w:pStyle w:val="3"/>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5.2</w:t>
      </w:r>
      <w:r>
        <w:rPr>
          <w:rFonts w:ascii="Times New Roman" w:hAnsi="Times New Roman" w:cs="Times New Roman"/>
          <w:color w:val="auto"/>
          <w:sz w:val="28"/>
          <w:szCs w:val="28"/>
        </w:rPr>
        <w:tab/>
      </w:r>
      <w:r>
        <w:rPr>
          <w:rFonts w:ascii="Times New Roman" w:hAnsi="Times New Roman" w:cs="Times New Roman"/>
          <w:color w:val="auto"/>
          <w:sz w:val="28"/>
          <w:szCs w:val="28"/>
        </w:rPr>
        <w:t>Conclusion</w:t>
      </w:r>
    </w:p>
    <w:p w14:paraId="0A373AB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successfully identified the presence of microorganisms in borehole waters stored in the selected area. </w:t>
      </w:r>
      <w:r>
        <w:rPr>
          <w:rFonts w:ascii="Times New Roman" w:hAnsi="Times New Roman" w:cs="Times New Roman"/>
          <w:i/>
          <w:iCs/>
          <w:sz w:val="28"/>
          <w:szCs w:val="28"/>
        </w:rPr>
        <w:t xml:space="preserve">E. coli </w:t>
      </w:r>
      <w:r>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14:paraId="068DDF1C">
      <w:pPr>
        <w:pStyle w:val="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5.3</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Recommendation </w:t>
      </w:r>
    </w:p>
    <w:p w14:paraId="26805E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There is a pressing need for improved sanitary conditions not only in the reservoir tanks but also in the water sources within these locations.</w:t>
      </w:r>
    </w:p>
    <w:p w14:paraId="37094E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Proper treatment of the water is highly recommended to be safe from pathogenic bacteria.</w:t>
      </w:r>
    </w:p>
    <w:p w14:paraId="4AE88B70">
      <w:pPr>
        <w:spacing w:line="360" w:lineRule="auto"/>
        <w:rPr>
          <w:rFonts w:ascii="Times New Roman" w:hAnsi="Times New Roman" w:cs="Times New Roman"/>
          <w:sz w:val="28"/>
          <w:szCs w:val="28"/>
        </w:rPr>
      </w:pPr>
    </w:p>
    <w:p w14:paraId="773EDB0A">
      <w:pPr>
        <w:pStyle w:val="2"/>
        <w:spacing w:line="360" w:lineRule="auto"/>
        <w:jc w:val="center"/>
        <w:rPr>
          <w:rFonts w:ascii="Times New Roman" w:hAnsi="Times New Roman" w:cs="Times New Roman"/>
          <w:color w:val="auto"/>
        </w:rPr>
      </w:pPr>
      <w:r>
        <w:rPr>
          <w:rFonts w:ascii="Times New Roman" w:hAnsi="Times New Roman" w:cs="Times New Roman"/>
          <w:color w:val="auto"/>
        </w:rPr>
        <w:t>REFERENCES</w:t>
      </w:r>
    </w:p>
    <w:p w14:paraId="234BA4B9">
      <w:pPr>
        <w:spacing w:line="360" w:lineRule="auto"/>
        <w:jc w:val="both"/>
        <w:rPr>
          <w:rFonts w:ascii="Times New Roman" w:hAnsi="Times New Roman" w:cs="Times New Roman"/>
          <w:sz w:val="28"/>
          <w:szCs w:val="28"/>
        </w:rPr>
      </w:pPr>
    </w:p>
    <w:p w14:paraId="162B335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(2012) Supervision of drilled water well construction, a guide for </w:t>
      </w:r>
      <w:r>
        <w:rPr>
          <w:rFonts w:ascii="Times New Roman" w:hAnsi="Times New Roman" w:cs="Times New Roman"/>
          <w:sz w:val="28"/>
          <w:szCs w:val="28"/>
        </w:rPr>
        <w:tab/>
      </w:r>
      <w:r>
        <w:rPr>
          <w:rFonts w:ascii="Times New Roman" w:hAnsi="Times New Roman" w:cs="Times New Roman"/>
          <w:sz w:val="28"/>
          <w:szCs w:val="28"/>
        </w:rPr>
        <w:t xml:space="preserve">supervisors and project managers, an RWSN publication available at </w:t>
      </w:r>
      <w:r>
        <w:rPr>
          <w:rFonts w:ascii="Times New Roman" w:hAnsi="Times New Roman" w:cs="Times New Roman"/>
          <w:sz w:val="28"/>
          <w:szCs w:val="28"/>
        </w:rPr>
        <w:tab/>
      </w:r>
      <w:r>
        <w:fldChar w:fldCharType="begin"/>
      </w:r>
      <w:r>
        <w:instrText xml:space="preserve"> HYPERLINK "http://www.rwsn.ch" </w:instrText>
      </w:r>
      <w:r>
        <w:fldChar w:fldCharType="separate"/>
      </w:r>
      <w:r>
        <w:rPr>
          <w:rStyle w:val="12"/>
          <w:rFonts w:ascii="Times New Roman" w:hAnsi="Times New Roman" w:cs="Times New Roman"/>
          <w:sz w:val="28"/>
          <w:szCs w:val="28"/>
        </w:rPr>
        <w:t>www.rwsn.ch</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5823A78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D and Olabode, O. (2009). Study of Public and Private Borehole </w:t>
      </w:r>
      <w:r>
        <w:rPr>
          <w:rFonts w:ascii="Times New Roman" w:hAnsi="Times New Roman" w:cs="Times New Roman"/>
          <w:sz w:val="28"/>
          <w:szCs w:val="28"/>
        </w:rPr>
        <w:tab/>
      </w:r>
      <w:r>
        <w:rPr>
          <w:rFonts w:ascii="Times New Roman" w:hAnsi="Times New Roman" w:cs="Times New Roman"/>
          <w:sz w:val="28"/>
          <w:szCs w:val="28"/>
        </w:rPr>
        <w:t xml:space="preserve">Drilling </w:t>
      </w:r>
      <w:r>
        <w:rPr>
          <w:rFonts w:ascii="Times New Roman" w:hAnsi="Times New Roman" w:cs="Times New Roman"/>
          <w:sz w:val="28"/>
          <w:szCs w:val="28"/>
        </w:rPr>
        <w:tab/>
      </w:r>
      <w:r>
        <w:rPr>
          <w:rFonts w:ascii="Times New Roman" w:hAnsi="Times New Roman" w:cs="Times New Roman"/>
          <w:sz w:val="28"/>
          <w:szCs w:val="28"/>
        </w:rPr>
        <w:t xml:space="preserve">in Nigeria </w:t>
      </w:r>
      <w:r>
        <w:rPr>
          <w:rFonts w:ascii="Times New Roman" w:hAnsi="Times New Roman" w:cs="Times New Roman"/>
          <w:sz w:val="28"/>
          <w:szCs w:val="28"/>
        </w:rPr>
        <w:tab/>
      </w:r>
      <w:r>
        <w:fldChar w:fldCharType="begin"/>
      </w:r>
      <w:r>
        <w:instrText xml:space="preserve"> HYPERLINK "https://rwsn.ch/documentation/skatdocumentation.2009-11-%0916.3173940374" </w:instrText>
      </w:r>
      <w:r>
        <w:fldChar w:fldCharType="separate"/>
      </w:r>
      <w:r>
        <w:rPr>
          <w:rStyle w:val="12"/>
          <w:rFonts w:ascii="Times New Roman" w:hAnsi="Times New Roman" w:cs="Times New Roman"/>
          <w:sz w:val="28"/>
          <w:szCs w:val="28"/>
        </w:rPr>
        <w:t>https://rwsn.ch/documentation/skatdocumentation.2009-11-</w:t>
      </w:r>
      <w:r>
        <w:rPr>
          <w:rStyle w:val="12"/>
          <w:rFonts w:ascii="Times New Roman" w:hAnsi="Times New Roman" w:cs="Times New Roman"/>
          <w:sz w:val="28"/>
          <w:szCs w:val="28"/>
        </w:rPr>
        <w:tab/>
      </w:r>
      <w:r>
        <w:rPr>
          <w:rStyle w:val="12"/>
          <w:rFonts w:ascii="Times New Roman" w:hAnsi="Times New Roman" w:cs="Times New Roman"/>
          <w:sz w:val="28"/>
          <w:szCs w:val="28"/>
        </w:rPr>
        <w:t>16.3173940374</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2262C94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D. and Olabode, O. (2008). Hand drilling in Nigeria: Why Kill an </w:t>
      </w:r>
      <w:r>
        <w:rPr>
          <w:rFonts w:ascii="Times New Roman" w:hAnsi="Times New Roman" w:cs="Times New Roman"/>
          <w:sz w:val="28"/>
          <w:szCs w:val="28"/>
        </w:rPr>
        <w:tab/>
      </w:r>
      <w:r>
        <w:rPr>
          <w:rFonts w:ascii="Times New Roman" w:hAnsi="Times New Roman" w:cs="Times New Roman"/>
          <w:sz w:val="28"/>
          <w:szCs w:val="28"/>
        </w:rPr>
        <w:t xml:space="preserve">ant with with a Sledgehammer RWSN/UNICEF Field note </w:t>
      </w:r>
    </w:p>
    <w:p w14:paraId="681615E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Adeleye, T. A., Adebayo, M. O., &amp; Salami, R. K. (2022). </w:t>
      </w:r>
      <w:r>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Pr>
          <w:rFonts w:ascii="Times New Roman" w:hAnsi="Times New Roman" w:cs="Times New Roman"/>
          <w:i/>
          <w:iCs/>
          <w:sz w:val="28"/>
          <w:szCs w:val="28"/>
        </w:rPr>
        <w:t>drinking water quality in selected urban communities</w:t>
      </w:r>
      <w:r>
        <w:rPr>
          <w:rFonts w:ascii="Times New Roman" w:hAnsi="Times New Roman" w:cs="Times New Roman"/>
          <w:sz w:val="28"/>
          <w:szCs w:val="28"/>
        </w:rPr>
        <w:t xml:space="preserve">. Journal of </w:t>
      </w:r>
      <w:r>
        <w:rPr>
          <w:rFonts w:ascii="Times New Roman" w:hAnsi="Times New Roman" w:cs="Times New Roman"/>
          <w:sz w:val="28"/>
          <w:szCs w:val="28"/>
        </w:rPr>
        <w:tab/>
      </w:r>
      <w:r>
        <w:rPr>
          <w:rFonts w:ascii="Times New Roman" w:hAnsi="Times New Roman" w:cs="Times New Roman"/>
          <w:sz w:val="28"/>
          <w:szCs w:val="28"/>
        </w:rPr>
        <w:t>Environmental Health Research, 24(2), 115–123.</w:t>
      </w:r>
    </w:p>
    <w:p w14:paraId="695C46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Ajahi, 2009. Physico-Chemical Analysis of some Groundwater Samples of </w:t>
      </w:r>
      <w:r>
        <w:rPr>
          <w:rFonts w:ascii="Times New Roman" w:hAnsi="Times New Roman" w:cs="Times New Roman"/>
          <w:sz w:val="28"/>
          <w:szCs w:val="28"/>
        </w:rPr>
        <w:tab/>
      </w:r>
      <w:r>
        <w:rPr>
          <w:rFonts w:ascii="Times New Roman" w:hAnsi="Times New Roman" w:cs="Times New Roman"/>
          <w:sz w:val="28"/>
          <w:szCs w:val="28"/>
        </w:rPr>
        <w:t xml:space="preserve">Kotputli Town Jaipur, Rajasthan India. Chemical, Environmental and </w:t>
      </w:r>
      <w:r>
        <w:rPr>
          <w:rFonts w:ascii="Times New Roman" w:hAnsi="Times New Roman" w:cs="Times New Roman"/>
          <w:sz w:val="28"/>
          <w:szCs w:val="28"/>
        </w:rPr>
        <w:tab/>
      </w:r>
      <w:r>
        <w:rPr>
          <w:rFonts w:ascii="Times New Roman" w:hAnsi="Times New Roman" w:cs="Times New Roman"/>
          <w:sz w:val="28"/>
          <w:szCs w:val="28"/>
        </w:rPr>
        <w:t xml:space="preserve">Pharmaceutical Research, 1(2), 111-113. </w:t>
      </w:r>
    </w:p>
    <w:p w14:paraId="65FC6FB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Ajai, 2007. Water Quality Assessments. A guide to use biota, sediments and </w:t>
      </w:r>
      <w:r>
        <w:rPr>
          <w:rFonts w:ascii="Times New Roman" w:hAnsi="Times New Roman" w:cs="Times New Roman"/>
          <w:sz w:val="28"/>
          <w:szCs w:val="28"/>
        </w:rPr>
        <w:tab/>
      </w:r>
      <w:r>
        <w:rPr>
          <w:rFonts w:ascii="Times New Roman" w:hAnsi="Times New Roman" w:cs="Times New Roman"/>
          <w:sz w:val="28"/>
          <w:szCs w:val="28"/>
        </w:rPr>
        <w:t xml:space="preserve">water </w:t>
      </w:r>
      <w:r>
        <w:rPr>
          <w:rFonts w:ascii="Times New Roman" w:hAnsi="Times New Roman" w:cs="Times New Roman"/>
          <w:sz w:val="28"/>
          <w:szCs w:val="28"/>
        </w:rPr>
        <w:tab/>
      </w:r>
      <w:r>
        <w:rPr>
          <w:rFonts w:ascii="Times New Roman" w:hAnsi="Times New Roman" w:cs="Times New Roman"/>
          <w:sz w:val="28"/>
          <w:szCs w:val="28"/>
        </w:rPr>
        <w:t xml:space="preserve">in environmental monitoring (2nd ed.). Cambridge: University </w:t>
      </w:r>
      <w:r>
        <w:rPr>
          <w:rFonts w:ascii="Times New Roman" w:hAnsi="Times New Roman" w:cs="Times New Roman"/>
          <w:sz w:val="28"/>
          <w:szCs w:val="28"/>
        </w:rPr>
        <w:tab/>
      </w:r>
      <w:r>
        <w:rPr>
          <w:rFonts w:ascii="Times New Roman" w:hAnsi="Times New Roman" w:cs="Times New Roman"/>
          <w:sz w:val="28"/>
          <w:szCs w:val="28"/>
        </w:rPr>
        <w:t xml:space="preserve">Press. </w:t>
      </w:r>
      <w:r>
        <w:fldChar w:fldCharType="begin"/>
      </w:r>
      <w:r>
        <w:instrText xml:space="preserve"> HYPERLINK "https://doi.org/10.4324/NOE0419216001" </w:instrText>
      </w:r>
      <w:r>
        <w:fldChar w:fldCharType="separate"/>
      </w:r>
      <w:r>
        <w:rPr>
          <w:rStyle w:val="12"/>
          <w:rFonts w:ascii="Times New Roman" w:hAnsi="Times New Roman" w:cs="Times New Roman"/>
          <w:sz w:val="28"/>
          <w:szCs w:val="28"/>
        </w:rPr>
        <w:t>https://doi.org/10.4324/NOE0419216001</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69CCEC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Alan E. M. And Aftab M. K. (2000). Looking into the Earth: An </w:t>
      </w:r>
      <w:r>
        <w:rPr>
          <w:rFonts w:ascii="Times New Roman" w:hAnsi="Times New Roman" w:cs="Times New Roman"/>
          <w:sz w:val="28"/>
          <w:szCs w:val="28"/>
        </w:rPr>
        <w:tab/>
      </w:r>
      <w:r>
        <w:rPr>
          <w:rFonts w:ascii="Times New Roman" w:hAnsi="Times New Roman" w:cs="Times New Roman"/>
          <w:sz w:val="28"/>
          <w:szCs w:val="28"/>
        </w:rPr>
        <w:t xml:space="preserve">introduction to geological geophysics. </w:t>
      </w:r>
    </w:p>
    <w:p w14:paraId="1325C8B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Anderson, K.E., (1973). Water well handbook. Rollo Missouri water well </w:t>
      </w:r>
      <w:r>
        <w:rPr>
          <w:rFonts w:ascii="Times New Roman" w:hAnsi="Times New Roman" w:cs="Times New Roman"/>
          <w:sz w:val="28"/>
          <w:szCs w:val="28"/>
        </w:rPr>
        <w:tab/>
      </w:r>
      <w:r>
        <w:rPr>
          <w:rFonts w:ascii="Times New Roman" w:hAnsi="Times New Roman" w:cs="Times New Roman"/>
          <w:sz w:val="28"/>
          <w:szCs w:val="28"/>
        </w:rPr>
        <w:t xml:space="preserve">and pump contractor Assoc. lnc. pp 56- 81. </w:t>
      </w:r>
    </w:p>
    <w:p w14:paraId="5579E5B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Baars, (1996), Hydrogeological Characterisation and Modelling of Spring </w:t>
      </w:r>
      <w:r>
        <w:rPr>
          <w:rFonts w:ascii="Times New Roman" w:hAnsi="Times New Roman" w:cs="Times New Roman"/>
          <w:sz w:val="28"/>
          <w:szCs w:val="28"/>
        </w:rPr>
        <w:tab/>
      </w:r>
      <w:r>
        <w:rPr>
          <w:rFonts w:ascii="Times New Roman" w:hAnsi="Times New Roman" w:cs="Times New Roman"/>
          <w:sz w:val="28"/>
          <w:szCs w:val="28"/>
        </w:rPr>
        <w:t xml:space="preserve">Catchments in a Changing Environment. Austrian Journal of Earth </w:t>
      </w:r>
      <w:r>
        <w:rPr>
          <w:rFonts w:ascii="Times New Roman" w:hAnsi="Times New Roman" w:cs="Times New Roman"/>
          <w:sz w:val="28"/>
          <w:szCs w:val="28"/>
        </w:rPr>
        <w:tab/>
      </w:r>
      <w:r>
        <w:rPr>
          <w:rFonts w:ascii="Times New Roman" w:hAnsi="Times New Roman" w:cs="Times New Roman"/>
          <w:sz w:val="28"/>
          <w:szCs w:val="28"/>
        </w:rPr>
        <w:t xml:space="preserve">Sciences Volume 103 Issue 2, p106-117 Vienna. </w:t>
      </w:r>
    </w:p>
    <w:p w14:paraId="69E31D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Bashir, I., Adam, A. S., Yahaya, H. S., Makeri, D., Ntulume, I., Aliero, A. </w:t>
      </w:r>
      <w:r>
        <w:rPr>
          <w:rFonts w:ascii="Times New Roman" w:hAnsi="Times New Roman" w:cs="Times New Roman"/>
          <w:sz w:val="28"/>
          <w:szCs w:val="28"/>
        </w:rPr>
        <w:tab/>
      </w:r>
      <w:r>
        <w:rPr>
          <w:rFonts w:ascii="Times New Roman" w:hAnsi="Times New Roman" w:cs="Times New Roman"/>
          <w:sz w:val="28"/>
          <w:szCs w:val="28"/>
        </w:rPr>
        <w:t xml:space="preserve">A., &amp; </w:t>
      </w:r>
      <w:r>
        <w:rPr>
          <w:rFonts w:ascii="Times New Roman" w:hAnsi="Times New Roman" w:cs="Times New Roman"/>
          <w:sz w:val="28"/>
          <w:szCs w:val="28"/>
        </w:rPr>
        <w:tab/>
      </w:r>
      <w:r>
        <w:rPr>
          <w:rFonts w:ascii="Times New Roman" w:hAnsi="Times New Roman" w:cs="Times New Roman"/>
          <w:sz w:val="28"/>
          <w:szCs w:val="28"/>
        </w:rPr>
        <w:t xml:space="preserve">Afolabi, R. O. (2018). Assessment of bacteriological quality of </w:t>
      </w:r>
      <w:r>
        <w:rPr>
          <w:rFonts w:ascii="Times New Roman" w:hAnsi="Times New Roman" w:cs="Times New Roman"/>
          <w:sz w:val="28"/>
          <w:szCs w:val="28"/>
        </w:rPr>
        <w:tab/>
      </w:r>
      <w:r>
        <w:rPr>
          <w:rFonts w:ascii="Times New Roman" w:hAnsi="Times New Roman" w:cs="Times New Roman"/>
          <w:sz w:val="28"/>
          <w:szCs w:val="28"/>
        </w:rPr>
        <w:t xml:space="preserve">borehole water in Wamakko local government, Sokoto state, Nigeria. </w:t>
      </w:r>
      <w:r>
        <w:rPr>
          <w:rFonts w:ascii="Times New Roman" w:hAnsi="Times New Roman" w:cs="Times New Roman"/>
          <w:sz w:val="28"/>
          <w:szCs w:val="28"/>
        </w:rPr>
        <w:tab/>
      </w:r>
      <w:r>
        <w:rPr>
          <w:rFonts w:ascii="Times New Roman" w:hAnsi="Times New Roman" w:cs="Times New Roman"/>
          <w:i/>
          <w:iCs/>
          <w:sz w:val="28"/>
          <w:szCs w:val="28"/>
        </w:rPr>
        <w:t xml:space="preserve">Novel Research </w:t>
      </w:r>
      <w:r>
        <w:rPr>
          <w:rFonts w:ascii="Times New Roman" w:hAnsi="Times New Roman" w:cs="Times New Roman"/>
          <w:i/>
          <w:iCs/>
          <w:sz w:val="28"/>
          <w:szCs w:val="28"/>
        </w:rPr>
        <w:tab/>
      </w:r>
      <w:r>
        <w:rPr>
          <w:rFonts w:ascii="Times New Roman" w:hAnsi="Times New Roman" w:cs="Times New Roman"/>
          <w:i/>
          <w:iCs/>
          <w:sz w:val="28"/>
          <w:szCs w:val="28"/>
        </w:rPr>
        <w:t>in Microbiology Journal</w:t>
      </w:r>
      <w:r>
        <w:rPr>
          <w:rFonts w:ascii="Times New Roman" w:hAnsi="Times New Roman" w:cs="Times New Roman"/>
          <w:sz w:val="28"/>
          <w:szCs w:val="28"/>
        </w:rPr>
        <w:t>, 2(6):175–184.</w:t>
      </w:r>
    </w:p>
    <w:p w14:paraId="7BF1FF29">
      <w:pPr>
        <w:spacing w:line="360" w:lineRule="auto"/>
        <w:jc w:val="both"/>
        <w:rPr>
          <w:rFonts w:ascii="Times New Roman" w:hAnsi="Times New Roman" w:cs="Times New Roman"/>
          <w:sz w:val="28"/>
          <w:szCs w:val="28"/>
        </w:rPr>
      </w:pPr>
      <w:r>
        <w:rPr>
          <w:rFonts w:ascii="Times New Roman" w:hAnsi="Times New Roman" w:cs="Times New Roman"/>
          <w:sz w:val="28"/>
          <w:szCs w:val="28"/>
        </w:rPr>
        <w:t>Benger, R.D. (2001). Depth of investigation of a generalised collinear 4-</w:t>
      </w:r>
      <w:r>
        <w:rPr>
          <w:rFonts w:ascii="Times New Roman" w:hAnsi="Times New Roman" w:cs="Times New Roman"/>
          <w:sz w:val="28"/>
          <w:szCs w:val="28"/>
        </w:rPr>
        <w:tab/>
      </w:r>
      <w:r>
        <w:rPr>
          <w:rFonts w:ascii="Times New Roman" w:hAnsi="Times New Roman" w:cs="Times New Roman"/>
          <w:sz w:val="28"/>
          <w:szCs w:val="28"/>
        </w:rPr>
        <w:t xml:space="preserve">Electrode array. Geophysics, 54, 1031 – 1037. </w:t>
      </w:r>
    </w:p>
    <w:p w14:paraId="376A72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Brainstein, J. (2007). Trading the Rain, Should the World’s fresh water </w:t>
      </w:r>
      <w:r>
        <w:rPr>
          <w:rFonts w:ascii="Times New Roman" w:hAnsi="Times New Roman" w:cs="Times New Roman"/>
          <w:sz w:val="28"/>
          <w:szCs w:val="28"/>
        </w:rPr>
        <w:tab/>
      </w:r>
      <w:r>
        <w:rPr>
          <w:rFonts w:ascii="Times New Roman" w:hAnsi="Times New Roman" w:cs="Times New Roman"/>
          <w:sz w:val="28"/>
          <w:szCs w:val="28"/>
        </w:rPr>
        <w:t xml:space="preserve">resources be an international traded commodity? </w:t>
      </w:r>
    </w:p>
    <w:p w14:paraId="0EDC79E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British Standard Specification For Water Well Casing. 1985. BS879. </w:t>
      </w:r>
      <w:r>
        <w:rPr>
          <w:rFonts w:ascii="Times New Roman" w:hAnsi="Times New Roman" w:cs="Times New Roman"/>
          <w:sz w:val="28"/>
          <w:szCs w:val="28"/>
        </w:rPr>
        <w:tab/>
      </w:r>
      <w:r>
        <w:rPr>
          <w:rFonts w:ascii="Times New Roman" w:hAnsi="Times New Roman" w:cs="Times New Roman"/>
          <w:sz w:val="28"/>
          <w:szCs w:val="28"/>
        </w:rPr>
        <w:t xml:space="preserve">Published by the British Standard Institution. Pp 8-150 </w:t>
      </w:r>
    </w:p>
    <w:p w14:paraId="42B9F7B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Chukwudi, C. N., Eze, B. U., &amp; Ubah, P. E. (2025). </w:t>
      </w:r>
      <w:r>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Pr>
          <w:rFonts w:ascii="Times New Roman" w:hAnsi="Times New Roman" w:cs="Times New Roman"/>
          <w:i/>
          <w:iCs/>
          <w:sz w:val="28"/>
          <w:szCs w:val="28"/>
        </w:rPr>
        <w:t>southeastern Nigeria</w:t>
      </w:r>
      <w:r>
        <w:rPr>
          <w:rFonts w:ascii="Times New Roman" w:hAnsi="Times New Roman" w:cs="Times New Roman"/>
          <w:sz w:val="28"/>
          <w:szCs w:val="28"/>
        </w:rPr>
        <w:t>. African Journal of Water Science, 17(1), 45–56.</w:t>
      </w:r>
    </w:p>
    <w:p w14:paraId="643A587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Chukwurah, 1992. Hydrogeophysical Evaluation of the Groundwater </w:t>
      </w:r>
      <w:r>
        <w:rPr>
          <w:rFonts w:ascii="Times New Roman" w:hAnsi="Times New Roman" w:cs="Times New Roman"/>
          <w:sz w:val="28"/>
          <w:szCs w:val="28"/>
        </w:rPr>
        <w:tab/>
      </w:r>
      <w:r>
        <w:rPr>
          <w:rFonts w:ascii="Times New Roman" w:hAnsi="Times New Roman" w:cs="Times New Roman"/>
          <w:sz w:val="28"/>
          <w:szCs w:val="28"/>
        </w:rPr>
        <w:t xml:space="preserve">Potential of </w:t>
      </w:r>
      <w:r>
        <w:rPr>
          <w:rFonts w:ascii="Times New Roman" w:hAnsi="Times New Roman" w:cs="Times New Roman"/>
          <w:sz w:val="28"/>
          <w:szCs w:val="28"/>
        </w:rPr>
        <w:tab/>
      </w:r>
      <w:r>
        <w:rPr>
          <w:rFonts w:ascii="Times New Roman" w:hAnsi="Times New Roman" w:cs="Times New Roman"/>
          <w:sz w:val="28"/>
          <w:szCs w:val="28"/>
        </w:rPr>
        <w:t xml:space="preserve">AfeBabalola University Ado Ekiti, South-western </w:t>
      </w:r>
      <w:r>
        <w:rPr>
          <w:rFonts w:ascii="Times New Roman" w:hAnsi="Times New Roman" w:cs="Times New Roman"/>
          <w:sz w:val="28"/>
          <w:szCs w:val="28"/>
        </w:rPr>
        <w:tab/>
      </w:r>
      <w:r>
        <w:rPr>
          <w:rFonts w:ascii="Times New Roman" w:hAnsi="Times New Roman" w:cs="Times New Roman"/>
          <w:sz w:val="28"/>
          <w:szCs w:val="28"/>
        </w:rPr>
        <w:t xml:space="preserve">Nigeria. Journal of Emerging trends in Engineering and Applied </w:t>
      </w:r>
      <w:r>
        <w:rPr>
          <w:rFonts w:ascii="Times New Roman" w:hAnsi="Times New Roman" w:cs="Times New Roman"/>
          <w:sz w:val="28"/>
          <w:szCs w:val="28"/>
        </w:rPr>
        <w:tab/>
      </w:r>
      <w:r>
        <w:rPr>
          <w:rFonts w:ascii="Times New Roman" w:hAnsi="Times New Roman" w:cs="Times New Roman"/>
          <w:sz w:val="28"/>
          <w:szCs w:val="28"/>
        </w:rPr>
        <w:t xml:space="preserve">Sciences, Vol 4 Issue 1 p77 </w:t>
      </w:r>
    </w:p>
    <w:p w14:paraId="21DE2B6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Driscoll, F. G., 1986. Groundwater and well. 2nd Edition. St. Paul </w:t>
      </w:r>
      <w:r>
        <w:rPr>
          <w:rFonts w:ascii="Times New Roman" w:hAnsi="Times New Roman" w:cs="Times New Roman"/>
          <w:sz w:val="28"/>
          <w:szCs w:val="28"/>
        </w:rPr>
        <w:tab/>
      </w:r>
      <w:r>
        <w:rPr>
          <w:rFonts w:ascii="Times New Roman" w:hAnsi="Times New Roman" w:cs="Times New Roman"/>
          <w:sz w:val="28"/>
          <w:szCs w:val="28"/>
        </w:rPr>
        <w:t xml:space="preserve">Minnesota, U.K. </w:t>
      </w:r>
      <w:r>
        <w:rPr>
          <w:rFonts w:ascii="Times New Roman" w:hAnsi="Times New Roman" w:cs="Times New Roman"/>
          <w:sz w:val="28"/>
          <w:szCs w:val="28"/>
        </w:rPr>
        <w:tab/>
      </w:r>
      <w:r>
        <w:rPr>
          <w:rFonts w:ascii="Times New Roman" w:hAnsi="Times New Roman" w:cs="Times New Roman"/>
          <w:sz w:val="28"/>
          <w:szCs w:val="28"/>
        </w:rPr>
        <w:t xml:space="preserve">pp 6-24. </w:t>
      </w:r>
    </w:p>
    <w:p w14:paraId="6818843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 O.M; Hall S &amp;Galadima A (2004): Groundwater Exploration, </w:t>
      </w:r>
      <w:r>
        <w:rPr>
          <w:rFonts w:ascii="Times New Roman" w:hAnsi="Times New Roman" w:cs="Times New Roman"/>
          <w:sz w:val="28"/>
          <w:szCs w:val="28"/>
        </w:rPr>
        <w:tab/>
      </w:r>
      <w:r>
        <w:rPr>
          <w:rFonts w:ascii="Times New Roman" w:hAnsi="Times New Roman" w:cs="Times New Roman"/>
          <w:sz w:val="28"/>
          <w:szCs w:val="28"/>
        </w:rPr>
        <w:t xml:space="preserve">Development and Management in Nigeria. A Country Paper presented </w:t>
      </w:r>
      <w:r>
        <w:rPr>
          <w:rFonts w:ascii="Times New Roman" w:hAnsi="Times New Roman" w:cs="Times New Roman"/>
          <w:sz w:val="28"/>
          <w:szCs w:val="28"/>
        </w:rPr>
        <w:tab/>
      </w:r>
      <w:r>
        <w:rPr>
          <w:rFonts w:ascii="Times New Roman" w:hAnsi="Times New Roman" w:cs="Times New Roman"/>
          <w:sz w:val="28"/>
          <w:szCs w:val="28"/>
        </w:rPr>
        <w:t xml:space="preserve">at the </w:t>
      </w:r>
      <w:r>
        <w:rPr>
          <w:rFonts w:ascii="Times New Roman" w:hAnsi="Times New Roman" w:cs="Times New Roman"/>
          <w:sz w:val="28"/>
          <w:szCs w:val="28"/>
        </w:rPr>
        <w:tab/>
      </w:r>
      <w:r>
        <w:rPr>
          <w:rFonts w:ascii="Times New Roman" w:hAnsi="Times New Roman" w:cs="Times New Roman"/>
          <w:sz w:val="28"/>
          <w:szCs w:val="28"/>
        </w:rPr>
        <w:t xml:space="preserve">International Conference and Exhibition on Groundwater, AU </w:t>
      </w:r>
      <w:r>
        <w:rPr>
          <w:rFonts w:ascii="Times New Roman" w:hAnsi="Times New Roman" w:cs="Times New Roman"/>
          <w:sz w:val="28"/>
          <w:szCs w:val="28"/>
        </w:rPr>
        <w:tab/>
      </w:r>
      <w:r>
        <w:rPr>
          <w:rFonts w:ascii="Times New Roman" w:hAnsi="Times New Roman" w:cs="Times New Roman"/>
          <w:sz w:val="28"/>
          <w:szCs w:val="28"/>
        </w:rPr>
        <w:t xml:space="preserve">House Addis Ababa Ethiopia. Pp 4-5. </w:t>
      </w:r>
    </w:p>
    <w:p w14:paraId="3C3224C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M. (2008). Difficult Groundwater Terrains of Nigeria in relation to </w:t>
      </w:r>
      <w:r>
        <w:rPr>
          <w:rFonts w:ascii="Times New Roman" w:hAnsi="Times New Roman" w:cs="Times New Roman"/>
          <w:sz w:val="28"/>
          <w:szCs w:val="28"/>
        </w:rPr>
        <w:tab/>
      </w:r>
      <w:r>
        <w:rPr>
          <w:rFonts w:ascii="Times New Roman" w:hAnsi="Times New Roman" w:cs="Times New Roman"/>
          <w:sz w:val="28"/>
          <w:szCs w:val="28"/>
        </w:rPr>
        <w:t xml:space="preserve">Drilling Cost, A paper presented at the stakeholders workshop for </w:t>
      </w:r>
      <w:r>
        <w:rPr>
          <w:rFonts w:ascii="Times New Roman" w:hAnsi="Times New Roman" w:cs="Times New Roman"/>
          <w:sz w:val="28"/>
          <w:szCs w:val="28"/>
        </w:rPr>
        <w:tab/>
      </w:r>
      <w:r>
        <w:rPr>
          <w:rFonts w:ascii="Times New Roman" w:hAnsi="Times New Roman" w:cs="Times New Roman"/>
          <w:sz w:val="28"/>
          <w:szCs w:val="28"/>
        </w:rPr>
        <w:t xml:space="preserve">developing Term of Reference for the study of Public and Private </w:t>
      </w:r>
      <w:r>
        <w:rPr>
          <w:rFonts w:ascii="Times New Roman" w:hAnsi="Times New Roman" w:cs="Times New Roman"/>
          <w:sz w:val="28"/>
          <w:szCs w:val="28"/>
        </w:rPr>
        <w:tab/>
      </w:r>
      <w:r>
        <w:rPr>
          <w:rFonts w:ascii="Times New Roman" w:hAnsi="Times New Roman" w:cs="Times New Roman"/>
          <w:sz w:val="28"/>
          <w:szCs w:val="28"/>
        </w:rPr>
        <w:t xml:space="preserve">Borehole Drilling in Nigeria. </w:t>
      </w:r>
    </w:p>
    <w:p w14:paraId="001C9ED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M. and Olabode O. (2012). A critical Review of Hand pump </w:t>
      </w:r>
      <w:r>
        <w:rPr>
          <w:rFonts w:ascii="Times New Roman" w:hAnsi="Times New Roman" w:cs="Times New Roman"/>
          <w:sz w:val="28"/>
          <w:szCs w:val="28"/>
        </w:rPr>
        <w:tab/>
      </w:r>
      <w:r>
        <w:rPr>
          <w:rFonts w:ascii="Times New Roman" w:hAnsi="Times New Roman" w:cs="Times New Roman"/>
          <w:sz w:val="28"/>
          <w:szCs w:val="28"/>
        </w:rPr>
        <w:t xml:space="preserve">Utilization for Rural Water Supply: Case studies from part of Nigeria. </w:t>
      </w:r>
      <w:r>
        <w:rPr>
          <w:rFonts w:ascii="Times New Roman" w:hAnsi="Times New Roman" w:cs="Times New Roman"/>
          <w:sz w:val="28"/>
          <w:szCs w:val="28"/>
        </w:rPr>
        <w:tab/>
      </w:r>
      <w:r>
        <w:rPr>
          <w:rFonts w:ascii="Times New Roman" w:hAnsi="Times New Roman" w:cs="Times New Roman"/>
          <w:sz w:val="28"/>
          <w:szCs w:val="28"/>
        </w:rPr>
        <w:t xml:space="preserve">Water Resources (2012)22, Journal of the Nigerian Association of </w:t>
      </w:r>
      <w:r>
        <w:rPr>
          <w:rFonts w:ascii="Times New Roman" w:hAnsi="Times New Roman" w:cs="Times New Roman"/>
          <w:sz w:val="28"/>
          <w:szCs w:val="28"/>
        </w:rPr>
        <w:tab/>
      </w:r>
      <w:r>
        <w:rPr>
          <w:rFonts w:ascii="Times New Roman" w:hAnsi="Times New Roman" w:cs="Times New Roman"/>
          <w:sz w:val="28"/>
          <w:szCs w:val="28"/>
        </w:rPr>
        <w:t xml:space="preserve">Hydro geologist. Pp.51-59. </w:t>
      </w:r>
    </w:p>
    <w:p w14:paraId="32CD28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Elijah, E.U. (2023). Bacteriological assessment of pipe-borne, borehole, and </w:t>
      </w:r>
      <w:r>
        <w:rPr>
          <w:rFonts w:ascii="Times New Roman" w:hAnsi="Times New Roman" w:cs="Times New Roman"/>
          <w:sz w:val="28"/>
          <w:szCs w:val="28"/>
        </w:rPr>
        <w:tab/>
      </w:r>
      <w:r>
        <w:rPr>
          <w:rFonts w:ascii="Times New Roman" w:hAnsi="Times New Roman" w:cs="Times New Roman"/>
          <w:sz w:val="28"/>
          <w:szCs w:val="28"/>
        </w:rPr>
        <w:t xml:space="preserve">well water sources available to students in Nasarawa State University </w:t>
      </w:r>
      <w:r>
        <w:rPr>
          <w:rFonts w:ascii="Times New Roman" w:hAnsi="Times New Roman" w:cs="Times New Roman"/>
          <w:sz w:val="28"/>
          <w:szCs w:val="28"/>
        </w:rPr>
        <w:tab/>
      </w:r>
      <w:r>
        <w:rPr>
          <w:rFonts w:ascii="Times New Roman" w:hAnsi="Times New Roman" w:cs="Times New Roman"/>
          <w:sz w:val="28"/>
          <w:szCs w:val="28"/>
        </w:rPr>
        <w:t xml:space="preserve">Keffi, Nasarawa State, Nigeria. </w:t>
      </w:r>
      <w:r>
        <w:rPr>
          <w:rFonts w:ascii="Times New Roman" w:hAnsi="Times New Roman" w:cs="Times New Roman"/>
          <w:i/>
          <w:iCs/>
          <w:sz w:val="28"/>
          <w:szCs w:val="28"/>
        </w:rPr>
        <w:t xml:space="preserve">Journal of Environment and </w:t>
      </w:r>
      <w:r>
        <w:rPr>
          <w:rFonts w:ascii="Times New Roman" w:hAnsi="Times New Roman" w:cs="Times New Roman"/>
          <w:i/>
          <w:iCs/>
          <w:sz w:val="28"/>
          <w:szCs w:val="28"/>
        </w:rPr>
        <w:tab/>
      </w:r>
      <w:r>
        <w:rPr>
          <w:rFonts w:ascii="Times New Roman" w:hAnsi="Times New Roman" w:cs="Times New Roman"/>
          <w:i/>
          <w:iCs/>
          <w:sz w:val="28"/>
          <w:szCs w:val="28"/>
        </w:rPr>
        <w:t>Sustainability,</w:t>
      </w:r>
      <w:r>
        <w:rPr>
          <w:rFonts w:ascii="Times New Roman" w:hAnsi="Times New Roman" w:cs="Times New Roman"/>
          <w:color w:val="000000"/>
          <w:sz w:val="28"/>
          <w:szCs w:val="28"/>
        </w:rPr>
        <w:t xml:space="preserve"> </w:t>
      </w:r>
      <w:r>
        <w:rPr>
          <w:rFonts w:ascii="Times New Roman" w:hAnsi="Times New Roman" w:cs="Times New Roman"/>
          <w:sz w:val="28"/>
          <w:szCs w:val="28"/>
        </w:rPr>
        <w:t>7(2):111-121.</w:t>
      </w:r>
    </w:p>
    <w:p w14:paraId="44238EE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Ibrahim, M. Y., &amp; Usman, A. K. (2023). </w:t>
      </w:r>
      <w:r>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Pr>
          <w:rFonts w:ascii="Times New Roman" w:hAnsi="Times New Roman" w:cs="Times New Roman"/>
          <w:i/>
          <w:iCs/>
          <w:sz w:val="28"/>
          <w:szCs w:val="28"/>
        </w:rPr>
        <w:t>review of microbial risks in Nigeria’s drinking water</w:t>
      </w:r>
      <w:r>
        <w:rPr>
          <w:rFonts w:ascii="Times New Roman" w:hAnsi="Times New Roman" w:cs="Times New Roman"/>
          <w:sz w:val="28"/>
          <w:szCs w:val="28"/>
        </w:rPr>
        <w:t xml:space="preserve">. Nigerian </w:t>
      </w:r>
      <w:r>
        <w:rPr>
          <w:rFonts w:ascii="Times New Roman" w:hAnsi="Times New Roman" w:cs="Times New Roman"/>
          <w:sz w:val="28"/>
          <w:szCs w:val="28"/>
        </w:rPr>
        <w:tab/>
      </w:r>
      <w:r>
        <w:rPr>
          <w:rFonts w:ascii="Times New Roman" w:hAnsi="Times New Roman" w:cs="Times New Roman"/>
          <w:sz w:val="28"/>
          <w:szCs w:val="28"/>
        </w:rPr>
        <w:t>Journal of Public Health, 12(4), 233–241.</w:t>
      </w:r>
    </w:p>
    <w:p w14:paraId="1CE836A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Kunle, 2010.Geophysical Investigation of foundation failure of a leaning </w:t>
      </w:r>
      <w:r>
        <w:rPr>
          <w:rFonts w:ascii="Times New Roman" w:hAnsi="Times New Roman" w:cs="Times New Roman"/>
          <w:sz w:val="28"/>
          <w:szCs w:val="28"/>
        </w:rPr>
        <w:tab/>
      </w:r>
      <w:r>
        <w:rPr>
          <w:rFonts w:ascii="Times New Roman" w:hAnsi="Times New Roman" w:cs="Times New Roman"/>
          <w:sz w:val="28"/>
          <w:szCs w:val="28"/>
        </w:rPr>
        <w:t xml:space="preserve">Superstructure in z 110-116.d. (2006). Draft Report on IBP Rural </w:t>
      </w:r>
      <w:r>
        <w:rPr>
          <w:rFonts w:ascii="Times New Roman" w:hAnsi="Times New Roman" w:cs="Times New Roman"/>
          <w:sz w:val="28"/>
          <w:szCs w:val="28"/>
        </w:rPr>
        <w:tab/>
      </w:r>
      <w:r>
        <w:rPr>
          <w:rFonts w:ascii="Times New Roman" w:hAnsi="Times New Roman" w:cs="Times New Roman"/>
          <w:sz w:val="28"/>
          <w:szCs w:val="28"/>
        </w:rPr>
        <w:t xml:space="preserve">Water Supply. Pp 13-19. Sands, T. B. 2002. Building Stability and </w:t>
      </w:r>
      <w:r>
        <w:rPr>
          <w:rFonts w:ascii="Times New Roman" w:hAnsi="Times New Roman" w:cs="Times New Roman"/>
          <w:sz w:val="28"/>
          <w:szCs w:val="28"/>
        </w:rPr>
        <w:tab/>
      </w:r>
      <w:r>
        <w:rPr>
          <w:rFonts w:ascii="Times New Roman" w:hAnsi="Times New Roman" w:cs="Times New Roman"/>
          <w:sz w:val="28"/>
          <w:szCs w:val="28"/>
        </w:rPr>
        <w:t>Tree Growth in</w:t>
      </w:r>
      <w:r>
        <w:rPr>
          <w:rFonts w:ascii="Times New Roman" w:hAnsi="Times New Roman" w:cs="Times New Roman"/>
          <w:sz w:val="28"/>
          <w:szCs w:val="28"/>
        </w:rPr>
        <w:tab/>
      </w:r>
      <w:r>
        <w:rPr>
          <w:rFonts w:ascii="Times New Roman" w:hAnsi="Times New Roman" w:cs="Times New Roman"/>
          <w:sz w:val="28"/>
          <w:szCs w:val="28"/>
        </w:rPr>
        <w:t xml:space="preserve">Swelling London Clay; Implications for pile </w:t>
      </w:r>
      <w:r>
        <w:rPr>
          <w:rFonts w:ascii="Times New Roman" w:hAnsi="Times New Roman" w:cs="Times New Roman"/>
          <w:sz w:val="28"/>
          <w:szCs w:val="28"/>
        </w:rPr>
        <w:tab/>
      </w:r>
      <w:r>
        <w:rPr>
          <w:rFonts w:ascii="Times New Roman" w:hAnsi="Times New Roman" w:cs="Times New Roman"/>
          <w:sz w:val="28"/>
          <w:szCs w:val="28"/>
        </w:rPr>
        <w:t xml:space="preserve">foundation design. Pp 8-15. Available online at </w:t>
      </w:r>
      <w:r>
        <w:fldChar w:fldCharType="begin"/>
      </w:r>
      <w:r>
        <w:instrText xml:space="preserve"> HYPERLINK "http://www.agu.org" </w:instrText>
      </w:r>
      <w:r>
        <w:fldChar w:fldCharType="separate"/>
      </w:r>
      <w:r>
        <w:rPr>
          <w:rStyle w:val="12"/>
          <w:rFonts w:ascii="Times New Roman" w:hAnsi="Times New Roman" w:cs="Times New Roman"/>
          <w:sz w:val="28"/>
          <w:szCs w:val="28"/>
        </w:rPr>
        <w:t>www.agu.org</w:t>
      </w:r>
      <w:r>
        <w:rPr>
          <w:rStyle w:val="12"/>
          <w:rFonts w:ascii="Times New Roman" w:hAnsi="Times New Roman" w:cs="Times New Roman"/>
          <w:sz w:val="28"/>
          <w:szCs w:val="28"/>
        </w:rPr>
        <w:fldChar w:fldCharType="end"/>
      </w:r>
      <w:r>
        <w:rPr>
          <w:rFonts w:ascii="Times New Roman" w:hAnsi="Times New Roman" w:cs="Times New Roman"/>
          <w:sz w:val="28"/>
          <w:szCs w:val="28"/>
        </w:rPr>
        <w:t xml:space="preserve">. </w:t>
      </w:r>
    </w:p>
    <w:p w14:paraId="3B0631F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Offodile, M.E., 2002. Groundwater Study and Development in Nigeria, 2nd </w:t>
      </w:r>
      <w:r>
        <w:rPr>
          <w:rFonts w:ascii="Times New Roman" w:hAnsi="Times New Roman" w:cs="Times New Roman"/>
          <w:sz w:val="28"/>
          <w:szCs w:val="28"/>
        </w:rPr>
        <w:tab/>
      </w:r>
      <w:r>
        <w:rPr>
          <w:rFonts w:ascii="Times New Roman" w:hAnsi="Times New Roman" w:cs="Times New Roman"/>
          <w:sz w:val="28"/>
          <w:szCs w:val="28"/>
        </w:rPr>
        <w:t xml:space="preserve">Edition. Published by Mecon geology and engineering services ltd, </w:t>
      </w:r>
      <w:r>
        <w:rPr>
          <w:rFonts w:ascii="Times New Roman" w:hAnsi="Times New Roman" w:cs="Times New Roman"/>
          <w:sz w:val="28"/>
          <w:szCs w:val="28"/>
        </w:rPr>
        <w:tab/>
      </w:r>
      <w:r>
        <w:rPr>
          <w:rFonts w:ascii="Times New Roman" w:hAnsi="Times New Roman" w:cs="Times New Roman"/>
          <w:sz w:val="28"/>
          <w:szCs w:val="28"/>
        </w:rPr>
        <w:t xml:space="preserve">Jos, Nigeria, pp 239-244 </w:t>
      </w:r>
    </w:p>
    <w:p w14:paraId="1B2729A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Ojo, J.S., Olorunfemi, M.O. and Falebita, D.E, An Appraisal of the Geologic </w:t>
      </w:r>
      <w:r>
        <w:rPr>
          <w:rFonts w:ascii="Times New Roman" w:hAnsi="Times New Roman" w:cs="Times New Roman"/>
          <w:sz w:val="28"/>
          <w:szCs w:val="28"/>
        </w:rPr>
        <w:tab/>
      </w:r>
      <w:r>
        <w:rPr>
          <w:rFonts w:ascii="Times New Roman" w:hAnsi="Times New Roman" w:cs="Times New Roman"/>
          <w:sz w:val="28"/>
          <w:szCs w:val="28"/>
        </w:rPr>
        <w:t xml:space="preserve">Structure beneath the Ikogosi Warm Spring in South- Western Nigeria </w:t>
      </w:r>
      <w:r>
        <w:rPr>
          <w:rFonts w:ascii="Times New Roman" w:hAnsi="Times New Roman" w:cs="Times New Roman"/>
          <w:sz w:val="28"/>
          <w:szCs w:val="28"/>
        </w:rPr>
        <w:tab/>
      </w:r>
      <w:r>
        <w:rPr>
          <w:rFonts w:ascii="Times New Roman" w:hAnsi="Times New Roman" w:cs="Times New Roman"/>
          <w:sz w:val="28"/>
          <w:szCs w:val="28"/>
        </w:rPr>
        <w:t xml:space="preserve">Using Integrated Surface Geophysical Methods. Earth Sciences </w:t>
      </w:r>
      <w:r>
        <w:rPr>
          <w:rFonts w:ascii="Times New Roman" w:hAnsi="Times New Roman" w:cs="Times New Roman"/>
          <w:sz w:val="28"/>
          <w:szCs w:val="28"/>
        </w:rPr>
        <w:tab/>
      </w:r>
      <w:r>
        <w:rPr>
          <w:rFonts w:ascii="Times New Roman" w:hAnsi="Times New Roman" w:cs="Times New Roman"/>
          <w:sz w:val="28"/>
          <w:szCs w:val="28"/>
        </w:rPr>
        <w:t xml:space="preserve">Research Journal. </w:t>
      </w:r>
      <w:r>
        <w:rPr>
          <w:rFonts w:ascii="Times New Roman" w:hAnsi="Times New Roman" w:cs="Times New Roman"/>
          <w:sz w:val="28"/>
          <w:szCs w:val="28"/>
        </w:rPr>
        <w:tab/>
      </w:r>
      <w:r>
        <w:rPr>
          <w:rFonts w:ascii="Times New Roman" w:hAnsi="Times New Roman" w:cs="Times New Roman"/>
          <w:sz w:val="28"/>
          <w:szCs w:val="28"/>
        </w:rPr>
        <w:t xml:space="preserve">2011, 15(1):27-34. </w:t>
      </w:r>
    </w:p>
    <w:p w14:paraId="7A6CA7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Orji M.U., Umeh S.O. and Onuorah S.C. (2022). Effects of </w:t>
      </w:r>
      <w:r>
        <w:rPr>
          <w:rFonts w:ascii="Times New Roman" w:hAnsi="Times New Roman" w:cs="Times New Roman"/>
          <w:sz w:val="28"/>
          <w:szCs w:val="28"/>
        </w:rPr>
        <w:tab/>
      </w:r>
      <w:r>
        <w:rPr>
          <w:rFonts w:ascii="Times New Roman" w:hAnsi="Times New Roman" w:cs="Times New Roman"/>
          <w:sz w:val="28"/>
          <w:szCs w:val="28"/>
        </w:rPr>
        <w:t xml:space="preserve">Effluents’ Discharge from Some Paint Industries on Soil’s </w:t>
      </w:r>
      <w:r>
        <w:rPr>
          <w:rFonts w:ascii="Times New Roman" w:hAnsi="Times New Roman" w:cs="Times New Roman"/>
          <w:sz w:val="28"/>
          <w:szCs w:val="28"/>
        </w:rPr>
        <w:tab/>
      </w:r>
      <w:r>
        <w:rPr>
          <w:rFonts w:ascii="Times New Roman" w:hAnsi="Times New Roman" w:cs="Times New Roman"/>
          <w:sz w:val="28"/>
          <w:szCs w:val="28"/>
        </w:rPr>
        <w:t xml:space="preserve">Physicochemical Properties and Bioattenuation of Polluted Soil. </w:t>
      </w:r>
      <w:r>
        <w:rPr>
          <w:rFonts w:ascii="Times New Roman" w:hAnsi="Times New Roman" w:cs="Times New Roman"/>
          <w:sz w:val="28"/>
          <w:szCs w:val="28"/>
        </w:rPr>
        <w:tab/>
      </w:r>
      <w:r>
        <w:rPr>
          <w:rFonts w:ascii="Times New Roman" w:hAnsi="Times New Roman" w:cs="Times New Roman"/>
          <w:i/>
          <w:iCs/>
          <w:sz w:val="28"/>
          <w:szCs w:val="28"/>
        </w:rPr>
        <w:t xml:space="preserve">Industrial and Domestic Waste </w:t>
      </w:r>
      <w:r>
        <w:rPr>
          <w:rFonts w:ascii="Times New Roman" w:hAnsi="Times New Roman" w:cs="Times New Roman"/>
          <w:i/>
          <w:iCs/>
          <w:sz w:val="28"/>
          <w:szCs w:val="28"/>
        </w:rPr>
        <w:tab/>
      </w:r>
      <w:r>
        <w:rPr>
          <w:rFonts w:ascii="Times New Roman" w:hAnsi="Times New Roman" w:cs="Times New Roman"/>
          <w:i/>
          <w:iCs/>
          <w:sz w:val="28"/>
          <w:szCs w:val="28"/>
        </w:rPr>
        <w:t xml:space="preserve">Management, </w:t>
      </w:r>
      <w:r>
        <w:rPr>
          <w:rFonts w:ascii="Times New Roman" w:hAnsi="Times New Roman" w:cs="Times New Roman"/>
          <w:sz w:val="28"/>
          <w:szCs w:val="28"/>
        </w:rPr>
        <w:t>2:46–60.</w:t>
      </w:r>
    </w:p>
    <w:p w14:paraId="7AE55A2E">
      <w:pPr>
        <w:tabs>
          <w:tab w:val="left" w:pos="720"/>
        </w:tabs>
        <w:spacing w:after="0" w:line="360" w:lineRule="auto"/>
        <w:jc w:val="both"/>
        <w:rPr>
          <w:rFonts w:ascii="Times New Roman" w:hAnsi="Times New Roman" w:cs="Times New Roman"/>
          <w:sz w:val="28"/>
          <w:szCs w:val="28"/>
        </w:rPr>
      </w:pPr>
    </w:p>
    <w:p w14:paraId="4D786A70">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and Orji, M.U. (2022). Assessment of Paint-Pigment </w:t>
      </w:r>
      <w:r>
        <w:rPr>
          <w:rFonts w:ascii="Times New Roman" w:hAnsi="Times New Roman" w:cs="Times New Roman"/>
          <w:sz w:val="28"/>
          <w:szCs w:val="28"/>
        </w:rPr>
        <w:tab/>
      </w:r>
      <w:r>
        <w:rPr>
          <w:rFonts w:ascii="Times New Roman" w:hAnsi="Times New Roman" w:cs="Times New Roman"/>
          <w:sz w:val="28"/>
          <w:szCs w:val="28"/>
        </w:rPr>
        <w:t>Degrading Microorganisms from Paint Industries Effluent-</w:t>
      </w:r>
      <w:r>
        <w:rPr>
          <w:rFonts w:ascii="Times New Roman" w:hAnsi="Times New Roman" w:cs="Times New Roman"/>
          <w:sz w:val="28"/>
          <w:szCs w:val="28"/>
        </w:rPr>
        <w:tab/>
      </w:r>
      <w:r>
        <w:rPr>
          <w:rFonts w:ascii="Times New Roman" w:hAnsi="Times New Roman" w:cs="Times New Roman"/>
          <w:sz w:val="28"/>
          <w:szCs w:val="28"/>
        </w:rPr>
        <w:t xml:space="preserve">Contaminated Sites in Aba, South-East Nigeria. </w:t>
      </w:r>
      <w:r>
        <w:rPr>
          <w:rFonts w:ascii="Times New Roman" w:hAnsi="Times New Roman" w:cs="Times New Roman"/>
          <w:i/>
          <w:iCs/>
          <w:sz w:val="28"/>
          <w:szCs w:val="28"/>
        </w:rPr>
        <w:t xml:space="preserve">Journal of Applied </w:t>
      </w:r>
      <w:r>
        <w:rPr>
          <w:rFonts w:ascii="Times New Roman" w:hAnsi="Times New Roman" w:cs="Times New Roman"/>
          <w:i/>
          <w:iCs/>
          <w:sz w:val="28"/>
          <w:szCs w:val="28"/>
        </w:rPr>
        <w:tab/>
      </w:r>
      <w:r>
        <w:rPr>
          <w:rFonts w:ascii="Times New Roman" w:hAnsi="Times New Roman" w:cs="Times New Roman"/>
          <w:i/>
          <w:iCs/>
          <w:sz w:val="28"/>
          <w:szCs w:val="28"/>
        </w:rPr>
        <w:t>Chemical Science International</w:t>
      </w:r>
      <w:r>
        <w:rPr>
          <w:rFonts w:ascii="Times New Roman" w:hAnsi="Times New Roman" w:cs="Times New Roman"/>
          <w:sz w:val="28"/>
          <w:szCs w:val="28"/>
        </w:rPr>
        <w:t>, 3:32–45.</w:t>
      </w:r>
    </w:p>
    <w:p w14:paraId="0AB456F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Anastasia, O.N. and Dike, U.N. (2023). Microbiological </w:t>
      </w:r>
      <w:r>
        <w:rPr>
          <w:rFonts w:ascii="Times New Roman" w:hAnsi="Times New Roman" w:cs="Times New Roman"/>
          <w:sz w:val="28"/>
          <w:szCs w:val="28"/>
        </w:rPr>
        <w:tab/>
      </w:r>
      <w:r>
        <w:rPr>
          <w:rFonts w:ascii="Times New Roman" w:hAnsi="Times New Roman" w:cs="Times New Roman"/>
          <w:sz w:val="28"/>
          <w:szCs w:val="28"/>
        </w:rPr>
        <w:t xml:space="preserve">Quality and </w:t>
      </w:r>
      <w:r>
        <w:rPr>
          <w:rFonts w:ascii="Times New Roman" w:hAnsi="Times New Roman" w:cs="Times New Roman"/>
          <w:sz w:val="28"/>
          <w:szCs w:val="28"/>
        </w:rPr>
        <w:tab/>
      </w:r>
      <w:r>
        <w:rPr>
          <w:rFonts w:ascii="Times New Roman" w:hAnsi="Times New Roman" w:cs="Times New Roman"/>
          <w:sz w:val="28"/>
          <w:szCs w:val="28"/>
        </w:rPr>
        <w:t xml:space="preserve">Physico-chemical Properties of Bore-Hole Water from </w:t>
      </w:r>
      <w:r>
        <w:rPr>
          <w:rFonts w:ascii="Times New Roman" w:hAnsi="Times New Roman" w:cs="Times New Roman"/>
          <w:sz w:val="28"/>
          <w:szCs w:val="28"/>
        </w:rPr>
        <w:tab/>
      </w:r>
      <w:r>
        <w:rPr>
          <w:rFonts w:ascii="Times New Roman" w:hAnsi="Times New Roman" w:cs="Times New Roman"/>
          <w:sz w:val="28"/>
          <w:szCs w:val="28"/>
        </w:rPr>
        <w:t xml:space="preserve">Stored Water Tanks in Selected Hostels in Ifite-Awka, Nigeria. </w:t>
      </w:r>
      <w:r>
        <w:rPr>
          <w:rFonts w:ascii="Times New Roman" w:hAnsi="Times New Roman" w:cs="Times New Roman"/>
          <w:sz w:val="28"/>
          <w:szCs w:val="28"/>
        </w:rPr>
        <w:tab/>
      </w:r>
      <w:r>
        <w:rPr>
          <w:rFonts w:ascii="Times New Roman" w:hAnsi="Times New Roman" w:cs="Times New Roman"/>
          <w:i/>
          <w:iCs/>
          <w:sz w:val="28"/>
          <w:szCs w:val="28"/>
        </w:rPr>
        <w:t>Tropical Aquatic and Soil Pollution,</w:t>
      </w:r>
      <w:r>
        <w:rPr>
          <w:rFonts w:ascii="Times New Roman" w:hAnsi="Times New Roman" w:cs="Times New Roman"/>
          <w:sz w:val="28"/>
          <w:szCs w:val="28"/>
        </w:rPr>
        <w:t xml:space="preserve"> 3(2):144‒152.</w:t>
      </w:r>
    </w:p>
    <w:p w14:paraId="0647650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Okonkwo, J. A., Ezeaku, P. I., &amp; Madu, C. E. (2023). </w:t>
      </w:r>
      <w:r>
        <w:rPr>
          <w:rFonts w:ascii="Times New Roman" w:hAnsi="Times New Roman" w:cs="Times New Roman"/>
          <w:i/>
          <w:iCs/>
          <w:sz w:val="28"/>
          <w:szCs w:val="28"/>
        </w:rPr>
        <w:t xml:space="preserve">Microbial </w:t>
      </w:r>
      <w:r>
        <w:rPr>
          <w:rFonts w:ascii="Times New Roman" w:hAnsi="Times New Roman" w:cs="Times New Roman"/>
          <w:i/>
          <w:iCs/>
          <w:sz w:val="28"/>
          <w:szCs w:val="28"/>
        </w:rPr>
        <w:tab/>
      </w:r>
      <w:r>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Pr>
          <w:rFonts w:ascii="Times New Roman" w:hAnsi="Times New Roman" w:cs="Times New Roman"/>
          <w:i/>
          <w:iCs/>
          <w:sz w:val="28"/>
          <w:szCs w:val="28"/>
        </w:rPr>
        <w:t>Nigeria</w:t>
      </w:r>
      <w:r>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Pr>
          <w:rFonts w:ascii="Times New Roman" w:hAnsi="Times New Roman" w:cs="Times New Roman"/>
          <w:sz w:val="28"/>
          <w:szCs w:val="28"/>
        </w:rPr>
        <w:t>27(1), 51–60.</w:t>
      </w:r>
    </w:p>
    <w:p w14:paraId="4D35253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Olabode O.T. and Rim fat N.Z. (2001): Strategies for improved access to </w:t>
      </w:r>
      <w:r>
        <w:rPr>
          <w:rFonts w:ascii="Times New Roman" w:hAnsi="Times New Roman" w:cs="Times New Roman"/>
          <w:sz w:val="28"/>
          <w:szCs w:val="28"/>
        </w:rPr>
        <w:tab/>
      </w:r>
      <w:r>
        <w:rPr>
          <w:rFonts w:ascii="Times New Roman" w:hAnsi="Times New Roman" w:cs="Times New Roman"/>
          <w:sz w:val="28"/>
          <w:szCs w:val="28"/>
        </w:rPr>
        <w:t xml:space="preserve">water </w:t>
      </w:r>
      <w:r>
        <w:rPr>
          <w:rFonts w:ascii="Times New Roman" w:hAnsi="Times New Roman" w:cs="Times New Roman"/>
          <w:sz w:val="28"/>
          <w:szCs w:val="28"/>
        </w:rPr>
        <w:tab/>
      </w:r>
      <w:r>
        <w:rPr>
          <w:rFonts w:ascii="Times New Roman" w:hAnsi="Times New Roman" w:cs="Times New Roman"/>
          <w:sz w:val="28"/>
          <w:szCs w:val="28"/>
        </w:rPr>
        <w:t xml:space="preserve">supply in rural areas. A paper presented at the 2nd National </w:t>
      </w:r>
      <w:r>
        <w:rPr>
          <w:rFonts w:ascii="Times New Roman" w:hAnsi="Times New Roman" w:cs="Times New Roman"/>
          <w:sz w:val="28"/>
          <w:szCs w:val="28"/>
        </w:rPr>
        <w:tab/>
      </w:r>
      <w:r>
        <w:rPr>
          <w:rFonts w:ascii="Times New Roman" w:hAnsi="Times New Roman" w:cs="Times New Roman"/>
          <w:sz w:val="28"/>
          <w:szCs w:val="28"/>
        </w:rPr>
        <w:t xml:space="preserve">Engineering </w:t>
      </w:r>
      <w:r>
        <w:rPr>
          <w:rFonts w:ascii="Times New Roman" w:hAnsi="Times New Roman" w:cs="Times New Roman"/>
          <w:sz w:val="28"/>
          <w:szCs w:val="28"/>
        </w:rPr>
        <w:tab/>
      </w:r>
      <w:r>
        <w:rPr>
          <w:rFonts w:ascii="Times New Roman" w:hAnsi="Times New Roman" w:cs="Times New Roman"/>
          <w:sz w:val="28"/>
          <w:szCs w:val="28"/>
        </w:rPr>
        <w:t xml:space="preserve">Conference 2001, Federal Polytechnic, and Bauchi JMP </w:t>
      </w:r>
      <w:r>
        <w:rPr>
          <w:rFonts w:ascii="Times New Roman" w:hAnsi="Times New Roman" w:cs="Times New Roman"/>
          <w:sz w:val="28"/>
          <w:szCs w:val="28"/>
        </w:rPr>
        <w:tab/>
      </w:r>
      <w:r>
        <w:rPr>
          <w:rFonts w:ascii="Times New Roman" w:hAnsi="Times New Roman" w:cs="Times New Roman"/>
          <w:sz w:val="28"/>
          <w:szCs w:val="28"/>
        </w:rPr>
        <w:t xml:space="preserve">(2012) Progress on Drinking Water and Sanitation: 2012 Update, </w:t>
      </w:r>
      <w:r>
        <w:rPr>
          <w:rFonts w:ascii="Times New Roman" w:hAnsi="Times New Roman" w:cs="Times New Roman"/>
          <w:sz w:val="28"/>
          <w:szCs w:val="28"/>
        </w:rPr>
        <w:tab/>
      </w:r>
      <w:r>
        <w:rPr>
          <w:rFonts w:ascii="Times New Roman" w:hAnsi="Times New Roman" w:cs="Times New Roman"/>
          <w:sz w:val="28"/>
          <w:szCs w:val="28"/>
        </w:rPr>
        <w:t xml:space="preserve">UNICEF/World Health </w:t>
      </w:r>
      <w:r>
        <w:rPr>
          <w:rFonts w:ascii="Times New Roman" w:hAnsi="Times New Roman" w:cs="Times New Roman"/>
          <w:sz w:val="28"/>
          <w:szCs w:val="28"/>
        </w:rPr>
        <w:tab/>
      </w:r>
      <w:r>
        <w:rPr>
          <w:rFonts w:ascii="Times New Roman" w:hAnsi="Times New Roman" w:cs="Times New Roman"/>
          <w:sz w:val="28"/>
          <w:szCs w:val="28"/>
        </w:rPr>
        <w:t xml:space="preserve">Organization, Available on </w:t>
      </w:r>
      <w:r>
        <w:rPr>
          <w:rFonts w:ascii="Times New Roman" w:hAnsi="Times New Roman" w:cs="Times New Roman"/>
          <w:sz w:val="28"/>
          <w:szCs w:val="28"/>
        </w:rPr>
        <w:tab/>
      </w:r>
      <w:r>
        <w:rPr>
          <w:rFonts w:ascii="Times New Roman" w:hAnsi="Times New Roman" w:cs="Times New Roman"/>
          <w:sz w:val="28"/>
          <w:szCs w:val="28"/>
        </w:rPr>
        <w:t xml:space="preserve">http://www.wssinfo.org Thesis, Dept. of Geography, University of </w:t>
      </w:r>
      <w:r>
        <w:rPr>
          <w:rFonts w:ascii="Times New Roman" w:hAnsi="Times New Roman" w:cs="Times New Roman"/>
          <w:sz w:val="28"/>
          <w:szCs w:val="28"/>
        </w:rPr>
        <w:tab/>
      </w:r>
      <w:r>
        <w:rPr>
          <w:rFonts w:ascii="Times New Roman" w:hAnsi="Times New Roman" w:cs="Times New Roman"/>
          <w:sz w:val="28"/>
          <w:szCs w:val="28"/>
        </w:rPr>
        <w:t xml:space="preserve">Nigeria, Nsukka. </w:t>
      </w:r>
    </w:p>
    <w:p w14:paraId="3A3F8C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Oladipo, A. A., Oluyemi, E. A., Tubosun, I. A., Fasisi, M. K. and Ibitoye, F. </w:t>
      </w:r>
      <w:r>
        <w:rPr>
          <w:rFonts w:ascii="Times New Roman" w:hAnsi="Times New Roman" w:cs="Times New Roman"/>
          <w:sz w:val="28"/>
          <w:szCs w:val="28"/>
        </w:rPr>
        <w:tab/>
      </w:r>
      <w:r>
        <w:rPr>
          <w:rFonts w:ascii="Times New Roman" w:hAnsi="Times New Roman" w:cs="Times New Roman"/>
          <w:sz w:val="28"/>
          <w:szCs w:val="28"/>
        </w:rPr>
        <w:t xml:space="preserve">I, Chemical Examination of Ikogosi Warm Spring in South Western </w:t>
      </w:r>
      <w:r>
        <w:rPr>
          <w:rFonts w:ascii="Times New Roman" w:hAnsi="Times New Roman" w:cs="Times New Roman"/>
          <w:sz w:val="28"/>
          <w:szCs w:val="28"/>
        </w:rPr>
        <w:tab/>
      </w:r>
      <w:r>
        <w:rPr>
          <w:rFonts w:ascii="Times New Roman" w:hAnsi="Times New Roman" w:cs="Times New Roman"/>
          <w:sz w:val="28"/>
          <w:szCs w:val="28"/>
        </w:rPr>
        <w:t xml:space="preserve">Nigeria. Journal of Applied Sciences, 2005, 5 (1): 75-79 </w:t>
      </w:r>
    </w:p>
    <w:p w14:paraId="1EBF976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Olasehinde, P. I., 1999. An integrated Geologic and Geophysical </w:t>
      </w:r>
      <w:r>
        <w:rPr>
          <w:rFonts w:ascii="Times New Roman" w:hAnsi="Times New Roman" w:cs="Times New Roman"/>
          <w:sz w:val="28"/>
          <w:szCs w:val="28"/>
        </w:rPr>
        <w:tab/>
      </w:r>
      <w:r>
        <w:rPr>
          <w:rFonts w:ascii="Times New Roman" w:hAnsi="Times New Roman" w:cs="Times New Roman"/>
          <w:sz w:val="28"/>
          <w:szCs w:val="28"/>
        </w:rPr>
        <w:t xml:space="preserve">Exploration </w:t>
      </w:r>
      <w:r>
        <w:rPr>
          <w:rFonts w:ascii="Times New Roman" w:hAnsi="Times New Roman" w:cs="Times New Roman"/>
          <w:sz w:val="28"/>
          <w:szCs w:val="28"/>
        </w:rPr>
        <w:tab/>
      </w:r>
      <w:r>
        <w:rPr>
          <w:rFonts w:ascii="Times New Roman" w:hAnsi="Times New Roman" w:cs="Times New Roman"/>
          <w:sz w:val="28"/>
          <w:szCs w:val="28"/>
        </w:rPr>
        <w:t xml:space="preserve">Technique for Groundwater in the Basement Complex </w:t>
      </w:r>
      <w:r>
        <w:rPr>
          <w:rFonts w:ascii="Times New Roman" w:hAnsi="Times New Roman" w:cs="Times New Roman"/>
          <w:sz w:val="28"/>
          <w:szCs w:val="28"/>
        </w:rPr>
        <w:tab/>
      </w:r>
      <w:r>
        <w:rPr>
          <w:rFonts w:ascii="Times New Roman" w:hAnsi="Times New Roman" w:cs="Times New Roman"/>
          <w:sz w:val="28"/>
          <w:szCs w:val="28"/>
        </w:rPr>
        <w:t xml:space="preserve">'Ierrain of West Central part of Nigeria. Water Resources, Vol.l0, </w:t>
      </w:r>
      <w:r>
        <w:rPr>
          <w:rFonts w:ascii="Times New Roman" w:hAnsi="Times New Roman" w:cs="Times New Roman"/>
          <w:sz w:val="28"/>
          <w:szCs w:val="28"/>
        </w:rPr>
        <w:tab/>
      </w:r>
      <w:r>
        <w:rPr>
          <w:rFonts w:ascii="Times New Roman" w:hAnsi="Times New Roman" w:cs="Times New Roman"/>
          <w:sz w:val="28"/>
          <w:szCs w:val="28"/>
        </w:rPr>
        <w:t xml:space="preserve">pp46-49 </w:t>
      </w:r>
    </w:p>
    <w:p w14:paraId="244801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Olasehinde, P.L and Amadi, A. N. A Review of Borehole </w:t>
      </w:r>
      <w:r>
        <w:rPr>
          <w:rFonts w:ascii="Times New Roman" w:hAnsi="Times New Roman" w:cs="Times New Roman"/>
          <w:sz w:val="28"/>
          <w:szCs w:val="28"/>
        </w:rPr>
        <w:tab/>
      </w:r>
      <w:r>
        <w:rPr>
          <w:rFonts w:ascii="Times New Roman" w:hAnsi="Times New Roman" w:cs="Times New Roman"/>
          <w:sz w:val="28"/>
          <w:szCs w:val="28"/>
        </w:rPr>
        <w:t xml:space="preserve">Construction,Development and Maintenance Techniques </w:t>
      </w:r>
      <w:r>
        <w:rPr>
          <w:rFonts w:ascii="Times New Roman" w:hAnsi="Times New Roman" w:cs="Times New Roman"/>
          <w:sz w:val="28"/>
          <w:szCs w:val="28"/>
        </w:rPr>
        <w:tab/>
      </w:r>
      <w:r>
        <w:rPr>
          <w:rFonts w:ascii="Times New Roman" w:hAnsi="Times New Roman" w:cs="Times New Roman"/>
          <w:sz w:val="28"/>
          <w:szCs w:val="28"/>
        </w:rPr>
        <w:t xml:space="preserve">Around </w:t>
      </w:r>
      <w:r>
        <w:rPr>
          <w:rFonts w:ascii="Times New Roman" w:hAnsi="Times New Roman" w:cs="Times New Roman"/>
          <w:sz w:val="28"/>
          <w:szCs w:val="28"/>
        </w:rPr>
        <w:tab/>
      </w:r>
      <w:r>
        <w:rPr>
          <w:rFonts w:ascii="Times New Roman" w:hAnsi="Times New Roman" w:cs="Times New Roman"/>
          <w:sz w:val="28"/>
          <w:szCs w:val="28"/>
        </w:rPr>
        <w:t xml:space="preserve">Owerri and </w:t>
      </w:r>
      <w:r>
        <w:rPr>
          <w:rFonts w:ascii="Times New Roman" w:hAnsi="Times New Roman" w:cs="Times New Roman"/>
          <w:sz w:val="28"/>
          <w:szCs w:val="28"/>
        </w:rPr>
        <w:tab/>
      </w:r>
      <w:r>
        <w:rPr>
          <w:rFonts w:ascii="Times New Roman" w:hAnsi="Times New Roman" w:cs="Times New Roman"/>
          <w:sz w:val="28"/>
          <w:szCs w:val="28"/>
        </w:rPr>
        <w:t xml:space="preserve">its Environs, Southeastern Nigeria. Journal of science, </w:t>
      </w:r>
      <w:r>
        <w:rPr>
          <w:rFonts w:ascii="Times New Roman" w:hAnsi="Times New Roman" w:cs="Times New Roman"/>
          <w:sz w:val="28"/>
          <w:szCs w:val="28"/>
        </w:rPr>
        <w:tab/>
      </w:r>
      <w:r>
        <w:rPr>
          <w:rFonts w:ascii="Times New Roman" w:hAnsi="Times New Roman" w:cs="Times New Roman"/>
          <w:sz w:val="28"/>
          <w:szCs w:val="28"/>
        </w:rPr>
        <w:t xml:space="preserve">education and technology, vol. 2 Number 1. Issued April 2009 pp 311. </w:t>
      </w:r>
    </w:p>
    <w:p w14:paraId="00C0C23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Olayinka A. I. and Weller A. 1997. The inversion of geoelectrical data for </w:t>
      </w:r>
      <w:r>
        <w:rPr>
          <w:rFonts w:ascii="Times New Roman" w:hAnsi="Times New Roman" w:cs="Times New Roman"/>
          <w:sz w:val="28"/>
          <w:szCs w:val="28"/>
        </w:rPr>
        <w:tab/>
      </w:r>
      <w:r>
        <w:rPr>
          <w:rFonts w:ascii="Times New Roman" w:hAnsi="Times New Roman" w:cs="Times New Roman"/>
          <w:sz w:val="28"/>
          <w:szCs w:val="28"/>
        </w:rPr>
        <w:t xml:space="preserve">hydrogeological applications in crystalline basement areas of Nigeria. </w:t>
      </w:r>
      <w:r>
        <w:rPr>
          <w:rFonts w:ascii="Times New Roman" w:hAnsi="Times New Roman" w:cs="Times New Roman"/>
          <w:sz w:val="28"/>
          <w:szCs w:val="28"/>
        </w:rPr>
        <w:tab/>
      </w:r>
      <w:r>
        <w:rPr>
          <w:rFonts w:ascii="Times New Roman" w:hAnsi="Times New Roman" w:cs="Times New Roman"/>
          <w:sz w:val="28"/>
          <w:szCs w:val="28"/>
        </w:rPr>
        <w:t xml:space="preserve">Journal of Applied Geosciences, Vol. 37, Issue 2, June 1997, pp 103 – </w:t>
      </w:r>
      <w:r>
        <w:rPr>
          <w:rFonts w:ascii="Times New Roman" w:hAnsi="Times New Roman" w:cs="Times New Roman"/>
          <w:sz w:val="28"/>
          <w:szCs w:val="28"/>
        </w:rPr>
        <w:tab/>
      </w:r>
      <w:r>
        <w:rPr>
          <w:rFonts w:ascii="Times New Roman" w:hAnsi="Times New Roman" w:cs="Times New Roman"/>
          <w:sz w:val="28"/>
          <w:szCs w:val="28"/>
        </w:rPr>
        <w:t xml:space="preserve">105. </w:t>
      </w:r>
    </w:p>
    <w:p w14:paraId="0AE3D6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Olayinka AI, Olorunfemi MO (1992). Determination of geoelectrical </w:t>
      </w:r>
      <w:r>
        <w:rPr>
          <w:rFonts w:ascii="Times New Roman" w:hAnsi="Times New Roman" w:cs="Times New Roman"/>
          <w:sz w:val="28"/>
          <w:szCs w:val="28"/>
        </w:rPr>
        <w:tab/>
      </w:r>
      <w:r>
        <w:rPr>
          <w:rFonts w:ascii="Times New Roman" w:hAnsi="Times New Roman" w:cs="Times New Roman"/>
          <w:sz w:val="28"/>
          <w:szCs w:val="28"/>
        </w:rPr>
        <w:t xml:space="preserve">Characteristic in Okene Area and implication for boreholes setting. J. </w:t>
      </w:r>
      <w:r>
        <w:rPr>
          <w:rFonts w:ascii="Times New Roman" w:hAnsi="Times New Roman" w:cs="Times New Roman"/>
          <w:sz w:val="28"/>
          <w:szCs w:val="28"/>
        </w:rPr>
        <w:tab/>
      </w:r>
      <w:r>
        <w:rPr>
          <w:rFonts w:ascii="Times New Roman" w:hAnsi="Times New Roman" w:cs="Times New Roman"/>
          <w:sz w:val="28"/>
          <w:szCs w:val="28"/>
        </w:rPr>
        <w:t>Min. Geol., 28: 403 - 412.</w:t>
      </w:r>
    </w:p>
    <w:p w14:paraId="75B70ADC">
      <w:pPr>
        <w:spacing w:line="360" w:lineRule="auto"/>
        <w:rPr>
          <w:rFonts w:ascii="Times New Roman" w:hAnsi="Times New Roman" w:cs="Times New Roman"/>
          <w:sz w:val="28"/>
          <w:szCs w:val="28"/>
        </w:rPr>
      </w:pPr>
      <w:r>
        <w:rPr>
          <w:rFonts w:ascii="Times New Roman" w:hAnsi="Times New Roman" w:cs="Times New Roman"/>
          <w:sz w:val="28"/>
          <w:szCs w:val="28"/>
        </w:rPr>
        <w:t xml:space="preserve">Olowolafe, E. A., Ogunleye, S. O., &amp; Bello, M. T. (2021). </w:t>
      </w:r>
      <w:r>
        <w:rPr>
          <w:rFonts w:ascii="Times New Roman" w:hAnsi="Times New Roman" w:cs="Times New Roman"/>
          <w:i/>
          <w:iCs/>
          <w:sz w:val="28"/>
          <w:szCs w:val="28"/>
        </w:rPr>
        <w:t xml:space="preserve">Physico-chemical </w:t>
      </w:r>
      <w:r>
        <w:rPr>
          <w:rFonts w:ascii="Times New Roman" w:hAnsi="Times New Roman" w:cs="Times New Roman"/>
          <w:i/>
          <w:iCs/>
          <w:sz w:val="28"/>
          <w:szCs w:val="28"/>
        </w:rPr>
        <w:tab/>
      </w:r>
      <w:r>
        <w:rPr>
          <w:rFonts w:ascii="Times New Roman" w:hAnsi="Times New Roman" w:cs="Times New Roman"/>
          <w:i/>
          <w:iCs/>
          <w:sz w:val="28"/>
          <w:szCs w:val="28"/>
        </w:rPr>
        <w:t>and microbial analysis of well water in rural areas of Kwara State</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Journal of Water and Health, 19(3), 320–329.</w:t>
      </w:r>
    </w:p>
    <w:p w14:paraId="607FF98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SON. (2020). </w:t>
      </w:r>
      <w:r>
        <w:rPr>
          <w:rFonts w:ascii="Times New Roman" w:hAnsi="Times New Roman" w:cs="Times New Roman"/>
          <w:i/>
          <w:iCs/>
          <w:sz w:val="28"/>
          <w:szCs w:val="28"/>
        </w:rPr>
        <w:t>Nigerian Standard for Drinking Water Quality</w:t>
      </w:r>
      <w:r>
        <w:rPr>
          <w:rFonts w:ascii="Times New Roman" w:hAnsi="Times New Roman" w:cs="Times New Roman"/>
          <w:sz w:val="28"/>
          <w:szCs w:val="28"/>
        </w:rPr>
        <w:t xml:space="preserve">. Standard </w:t>
      </w:r>
      <w:r>
        <w:rPr>
          <w:rFonts w:ascii="Times New Roman" w:hAnsi="Times New Roman" w:cs="Times New Roman"/>
          <w:sz w:val="28"/>
          <w:szCs w:val="28"/>
        </w:rPr>
        <w:tab/>
      </w:r>
      <w:r>
        <w:rPr>
          <w:rFonts w:ascii="Times New Roman" w:hAnsi="Times New Roman" w:cs="Times New Roman"/>
          <w:sz w:val="28"/>
          <w:szCs w:val="28"/>
        </w:rPr>
        <w:t>Organization of Nigeria.</w:t>
      </w:r>
    </w:p>
    <w:p w14:paraId="1712E13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Usman, A. B. (2023). </w:t>
      </w:r>
      <w:r>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Pr>
          <w:rFonts w:ascii="Times New Roman" w:hAnsi="Times New Roman" w:cs="Times New Roman"/>
          <w:i/>
          <w:iCs/>
          <w:sz w:val="28"/>
          <w:szCs w:val="28"/>
        </w:rPr>
        <w:t>water in Ilorin metropolis</w:t>
      </w:r>
      <w:r>
        <w:rPr>
          <w:rFonts w:ascii="Times New Roman" w:hAnsi="Times New Roman" w:cs="Times New Roman"/>
          <w:sz w:val="28"/>
          <w:szCs w:val="28"/>
        </w:rPr>
        <w:t>. Ilorin Journal of Science, 11(2), 78–86.</w:t>
      </w:r>
    </w:p>
    <w:p w14:paraId="5CF4C3A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WHO. (2021). </w:t>
      </w:r>
      <w:r>
        <w:rPr>
          <w:rFonts w:ascii="Times New Roman" w:hAnsi="Times New Roman" w:cs="Times New Roman"/>
          <w:i/>
          <w:iCs/>
          <w:sz w:val="28"/>
          <w:szCs w:val="28"/>
        </w:rPr>
        <w:t>Guidelines for drinking-water quality</w:t>
      </w:r>
      <w:r>
        <w:rPr>
          <w:rFonts w:ascii="Times New Roman" w:hAnsi="Times New Roman" w:cs="Times New Roman"/>
          <w:sz w:val="28"/>
          <w:szCs w:val="28"/>
        </w:rPr>
        <w:t xml:space="preserve"> (4th ed.). World Health </w:t>
      </w:r>
      <w:r>
        <w:rPr>
          <w:rFonts w:ascii="Times New Roman" w:hAnsi="Times New Roman" w:cs="Times New Roman"/>
          <w:sz w:val="28"/>
          <w:szCs w:val="28"/>
        </w:rPr>
        <w:tab/>
      </w:r>
      <w:r>
        <w:rPr>
          <w:rFonts w:ascii="Times New Roman" w:hAnsi="Times New Roman" w:cs="Times New Roman"/>
          <w:sz w:val="28"/>
          <w:szCs w:val="28"/>
        </w:rPr>
        <w:t xml:space="preserve">Organization. </w:t>
      </w:r>
      <w:r>
        <w:rPr>
          <w:rFonts w:ascii="Times New Roman" w:hAnsi="Times New Roman" w:cs="Times New Roman"/>
          <w:sz w:val="28"/>
          <w:szCs w:val="28"/>
        </w:rPr>
        <w:tab/>
      </w:r>
      <w:r>
        <w:fldChar w:fldCharType="begin"/>
      </w:r>
      <w:r>
        <w:instrText xml:space="preserve"> HYPERLINK "https://www.who.int/publications/i/item/9789241549950" \t "_new" </w:instrText>
      </w:r>
      <w:r>
        <w:fldChar w:fldCharType="separate"/>
      </w:r>
      <w:r>
        <w:rPr>
          <w:rStyle w:val="12"/>
          <w:rFonts w:ascii="Times New Roman" w:hAnsi="Times New Roman" w:cs="Times New Roman"/>
          <w:sz w:val="28"/>
          <w:szCs w:val="28"/>
        </w:rPr>
        <w:t>https://www.who.int/publications/i/item/9789241549950</w:t>
      </w:r>
      <w:r>
        <w:rPr>
          <w:rStyle w:val="12"/>
          <w:rFonts w:ascii="Times New Roman" w:hAnsi="Times New Roman" w:cs="Times New Roman"/>
          <w:sz w:val="28"/>
          <w:szCs w:val="28"/>
        </w:rPr>
        <w:fldChar w:fldCharType="end"/>
      </w:r>
    </w:p>
    <w:p w14:paraId="2246A3B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Yahaya, H. A., Musa, K. M., &amp; Salihu, B. A. (2024). </w:t>
      </w:r>
      <w:r>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Pr>
          <w:rFonts w:ascii="Times New Roman" w:hAnsi="Times New Roman" w:cs="Times New Roman"/>
          <w:i/>
          <w:iCs/>
          <w:sz w:val="28"/>
          <w:szCs w:val="28"/>
        </w:rPr>
        <w:t>water supply and health implications in Northern Nigeria</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International Journal of Environmental Studies, 16(2), 98–110.</w:t>
      </w:r>
    </w:p>
    <w:p w14:paraId="7EE886B9">
      <w:pPr>
        <w:spacing w:line="360" w:lineRule="auto"/>
      </w:pPr>
    </w:p>
    <w:sectPr>
      <w:pgSz w:w="11520" w:h="1512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Bookman Old Style">
    <w:altName w:val="苹方-简"/>
    <w:panose1 w:val="02050604050505020204"/>
    <w:charset w:val="00"/>
    <w:family w:val="roman"/>
    <w:pitch w:val="default"/>
    <w:sig w:usb0="00000000" w:usb1="00000000" w:usb2="00000000" w:usb3="00000000" w:csb0="0000009F"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Hiragino Sans GB">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408265"/>
      <w:docPartObj>
        <w:docPartGallery w:val="AutoText"/>
      </w:docPartObj>
    </w:sdtPr>
    <w:sdtContent>
      <w:p w14:paraId="63E08C61">
        <w:pPr>
          <w:pStyle w:val="10"/>
          <w:jc w:val="center"/>
        </w:pPr>
        <w:r>
          <w:fldChar w:fldCharType="begin"/>
        </w:r>
        <w:r>
          <w:instrText xml:space="preserve"> PAGE   \* MERGEFORMAT </w:instrText>
        </w:r>
        <w:r>
          <w:fldChar w:fldCharType="separate"/>
        </w:r>
        <w:r>
          <w:t>vi</w:t>
        </w:r>
        <w:r>
          <w:fldChar w:fldCharType="end"/>
        </w:r>
      </w:p>
    </w:sdtContent>
  </w:sdt>
  <w:p w14:paraId="0131DB16">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029CC"/>
    <w:multiLevelType w:val="multilevel"/>
    <w:tmpl w:val="191029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374569F"/>
    <w:multiLevelType w:val="multilevel"/>
    <w:tmpl w:val="237456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F421B29"/>
    <w:multiLevelType w:val="multilevel"/>
    <w:tmpl w:val="3F421B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1AB54AB"/>
    <w:multiLevelType w:val="multilevel"/>
    <w:tmpl w:val="51AB54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D6A7820"/>
    <w:multiLevelType w:val="multilevel"/>
    <w:tmpl w:val="5D6A78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BFB1363"/>
    <w:multiLevelType w:val="multilevel"/>
    <w:tmpl w:val="7BFB13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1"/>
    <w:rsid w:val="00026C9F"/>
    <w:rsid w:val="0003097F"/>
    <w:rsid w:val="0013410D"/>
    <w:rsid w:val="001C556C"/>
    <w:rsid w:val="002068B1"/>
    <w:rsid w:val="002675A7"/>
    <w:rsid w:val="00277382"/>
    <w:rsid w:val="002D0E05"/>
    <w:rsid w:val="00310E00"/>
    <w:rsid w:val="003A37E1"/>
    <w:rsid w:val="003F7E0F"/>
    <w:rsid w:val="005062D1"/>
    <w:rsid w:val="00593374"/>
    <w:rsid w:val="00700E3A"/>
    <w:rsid w:val="00841C48"/>
    <w:rsid w:val="008639EA"/>
    <w:rsid w:val="008643A2"/>
    <w:rsid w:val="008A09BC"/>
    <w:rsid w:val="008E7455"/>
    <w:rsid w:val="009E3FE4"/>
    <w:rsid w:val="00A21E81"/>
    <w:rsid w:val="00BB1967"/>
    <w:rsid w:val="00E221CC"/>
    <w:rsid w:val="00E305FC"/>
    <w:rsid w:val="00E567CB"/>
    <w:rsid w:val="00EA72E0"/>
    <w:rsid w:val="00FC24AE"/>
    <w:rsid w:val="77F75143"/>
    <w:rsid w:val="B7E98B75"/>
    <w:rsid w:val="DD7DCC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7"/>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18"/>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pPr>
      <w:spacing w:line="240" w:lineRule="auto"/>
    </w:pPr>
    <w:rPr>
      <w:b/>
      <w:bCs/>
      <w:color w:val="5B9BD5" w:themeColor="accent1"/>
      <w:sz w:val="18"/>
      <w:szCs w:val="18"/>
      <w14:textFill>
        <w14:solidFill>
          <w14:schemeClr w14:val="accent1"/>
        </w14:solidFill>
      </w14:textFill>
    </w:rPr>
  </w:style>
  <w:style w:type="character" w:styleId="8">
    <w:name w:val="Emphasis"/>
    <w:basedOn w:val="5"/>
    <w:qFormat/>
    <w:uiPriority w:val="20"/>
    <w:rPr>
      <w:i/>
      <w:iCs/>
    </w:rPr>
  </w:style>
  <w:style w:type="character" w:styleId="9">
    <w:name w:val="FollowedHyperlink"/>
    <w:basedOn w:val="5"/>
    <w:semiHidden/>
    <w:unhideWhenUsed/>
    <w:uiPriority w:val="99"/>
    <w:rPr>
      <w:color w:val="954F72" w:themeColor="followedHyperlink"/>
      <w:u w:val="single"/>
      <w14:textFill>
        <w14:solidFill>
          <w14:schemeClr w14:val="folHlink"/>
        </w14:solidFill>
      </w14:textFill>
    </w:rPr>
  </w:style>
  <w:style w:type="paragraph" w:styleId="10">
    <w:name w:val="footer"/>
    <w:basedOn w:val="1"/>
    <w:link w:val="20"/>
    <w:unhideWhenUsed/>
    <w:qFormat/>
    <w:uiPriority w:val="99"/>
    <w:pPr>
      <w:tabs>
        <w:tab w:val="center" w:pos="4513"/>
        <w:tab w:val="right" w:pos="9026"/>
      </w:tabs>
      <w:spacing w:after="0" w:line="240" w:lineRule="auto"/>
    </w:pPr>
  </w:style>
  <w:style w:type="paragraph" w:styleId="11">
    <w:name w:val="header"/>
    <w:basedOn w:val="1"/>
    <w:link w:val="21"/>
    <w:unhideWhenUsed/>
    <w:qFormat/>
    <w:uiPriority w:val="99"/>
    <w:pPr>
      <w:tabs>
        <w:tab w:val="center" w:pos="4680"/>
        <w:tab w:val="right" w:pos="9360"/>
      </w:tabs>
      <w:spacing w:after="0" w:line="240" w:lineRule="auto"/>
    </w:pPr>
  </w:style>
  <w:style w:type="character" w:styleId="12">
    <w:name w:val="Hyperlink"/>
    <w:basedOn w:val="5"/>
    <w:unhideWhenUsed/>
    <w:uiPriority w:val="99"/>
    <w:rPr>
      <w:color w:val="0563C1" w:themeColor="hyperlink"/>
      <w:u w:val="single"/>
      <w14:textFill>
        <w14:solidFill>
          <w14:schemeClr w14:val="hlink"/>
        </w14:solidFill>
      </w14:textFill>
    </w:r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5"/>
    <w:qFormat/>
    <w:uiPriority w:val="22"/>
    <w:rPr>
      <w:b/>
      <w:bCs/>
    </w:rPr>
  </w:style>
  <w:style w:type="table" w:styleId="15">
    <w:name w:val="Table Grid"/>
    <w:basedOn w:val="6"/>
    <w:qFormat/>
    <w:uiPriority w:val="39"/>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ing 1 Char"/>
    <w:basedOn w:val="5"/>
    <w:link w:val="2"/>
    <w:qFormat/>
    <w:uiPriority w:val="9"/>
    <w:rPr>
      <w:rFonts w:asciiTheme="majorHAnsi" w:hAnsiTheme="majorHAnsi" w:eastAsiaTheme="majorEastAsia" w:cstheme="majorBidi"/>
      <w:b/>
      <w:bCs/>
      <w:color w:val="2E75B6" w:themeColor="accent1" w:themeShade="BF"/>
      <w:sz w:val="28"/>
      <w:szCs w:val="28"/>
      <w:lang w:val="en-US"/>
    </w:rPr>
  </w:style>
  <w:style w:type="character" w:customStyle="1" w:styleId="17">
    <w:name w:val="Heading 2 Char"/>
    <w:basedOn w:val="5"/>
    <w:link w:val="3"/>
    <w:uiPriority w:val="9"/>
    <w:rPr>
      <w:rFonts w:asciiTheme="majorHAnsi" w:hAnsiTheme="majorHAnsi" w:eastAsiaTheme="majorEastAsia" w:cstheme="majorBidi"/>
      <w:b/>
      <w:bCs/>
      <w:color w:val="5B9BD5" w:themeColor="accent1"/>
      <w:sz w:val="26"/>
      <w:szCs w:val="26"/>
      <w:lang w:val="en-US"/>
      <w14:textFill>
        <w14:solidFill>
          <w14:schemeClr w14:val="accent1"/>
        </w14:solidFill>
      </w14:textFill>
    </w:rPr>
  </w:style>
  <w:style w:type="character" w:customStyle="1" w:styleId="18">
    <w:name w:val="Heading 3 Char"/>
    <w:basedOn w:val="5"/>
    <w:link w:val="4"/>
    <w:uiPriority w:val="9"/>
    <w:rPr>
      <w:rFonts w:asciiTheme="majorHAnsi" w:hAnsiTheme="majorHAnsi" w:eastAsiaTheme="majorEastAsia" w:cstheme="majorBidi"/>
      <w:b/>
      <w:bCs/>
      <w:color w:val="5B9BD5" w:themeColor="accent1"/>
      <w:lang w:val="en-US"/>
      <w14:textFill>
        <w14:solidFill>
          <w14:schemeClr w14:val="accent1"/>
        </w14:solidFill>
      </w14:textFill>
    </w:rPr>
  </w:style>
  <w:style w:type="paragraph" w:styleId="19">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20">
    <w:name w:val="Footer Char"/>
    <w:basedOn w:val="5"/>
    <w:link w:val="10"/>
    <w:uiPriority w:val="99"/>
    <w:rPr>
      <w:lang w:val="en-US"/>
    </w:rPr>
  </w:style>
  <w:style w:type="character" w:customStyle="1" w:styleId="21">
    <w:name w:val="Header Char"/>
    <w:basedOn w:val="5"/>
    <w:link w:val="11"/>
    <w:qFormat/>
    <w:uiPriority w:val="99"/>
    <w:rPr>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9188</Words>
  <Characters>52373</Characters>
  <Lines>436</Lines>
  <Paragraphs>122</Paragraphs>
  <TotalTime>1004</TotalTime>
  <ScaleCrop>false</ScaleCrop>
  <LinksUpToDate>false</LinksUpToDate>
  <CharactersWithSpaces>61439</CharactersWithSpaces>
  <Application>WPS Office_6.14.0.8716_F1E327BC-269C-435d-A152-05C5408002CA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2025-07-07T17:46:00Z</dcterms:created>
  <dc:creator>user</dc:creator>
  <cp:lastModifiedBy>mac</cp:lastModifiedBy>
  <dcterms:modified xsi:type="dcterms:W3CDTF">2025-09-23T11:32:12Z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1033-6.14.0.8716</vt:lpwstr>
  </property>
  <property fmtid="{D5CDD505-2E9C-101B-9397-08002B2CF9AE}" pid="3" name="ICV">
    <vt:lpwstr>5A2B5988E13BAAA46676D2686481524E_42</vt:lpwstr>
  </property>
</Properties>
</file>