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0FA" w:rsidRDefault="00B865C3" w:rsidP="00B560FA">
      <w:pPr>
        <w:jc w:val="center"/>
        <w:rPr>
          <w:rFonts w:ascii="Times New Roman" w:hAnsi="Times New Roman"/>
          <w:sz w:val="28"/>
          <w:szCs w:val="28"/>
        </w:rPr>
      </w:pPr>
      <w:r>
        <w:rPr>
          <w:rFonts w:ascii="Times New Roman" w:hAnsi="Times New Roman"/>
          <w:sz w:val="28"/>
          <w:szCs w:val="28"/>
        </w:rPr>
        <w:t xml:space="preserve">  </w:t>
      </w:r>
    </w:p>
    <w:p w:rsidR="00B560FA" w:rsidRPr="00242E69" w:rsidRDefault="00B560FA" w:rsidP="00B560FA">
      <w:pPr>
        <w:jc w:val="center"/>
        <w:rPr>
          <w:rFonts w:ascii="Times New Roman" w:hAnsi="Times New Roman" w:cs="Times New Roman"/>
          <w:b/>
          <w:sz w:val="28"/>
          <w:szCs w:val="28"/>
        </w:rPr>
      </w:pPr>
      <w:r w:rsidRPr="00242E69">
        <w:rPr>
          <w:rFonts w:ascii="Times New Roman" w:hAnsi="Times New Roman"/>
          <w:b/>
          <w:sz w:val="28"/>
          <w:szCs w:val="28"/>
        </w:rPr>
        <w:t>ANALIYSIS OF CAFFEIN CONTENT IN SOME ENERGY DRINKS CONSUMED IN ILORIN KWARA STATE</w:t>
      </w:r>
    </w:p>
    <w:p w:rsidR="00B560FA" w:rsidRDefault="00B560FA" w:rsidP="00B560FA">
      <w:pPr>
        <w:jc w:val="center"/>
        <w:rPr>
          <w:rFonts w:ascii="Times New Roman" w:hAnsi="Times New Roman"/>
          <w:sz w:val="28"/>
          <w:szCs w:val="28"/>
        </w:rPr>
      </w:pPr>
    </w:p>
    <w:p w:rsidR="00B560FA" w:rsidRPr="00242E69" w:rsidRDefault="00B560FA" w:rsidP="00B560FA">
      <w:pPr>
        <w:jc w:val="center"/>
        <w:rPr>
          <w:rFonts w:ascii="Times New Roman" w:hAnsi="Times New Roman"/>
          <w:b/>
          <w:bCs/>
          <w:sz w:val="32"/>
          <w:szCs w:val="32"/>
        </w:rPr>
      </w:pPr>
      <w:r w:rsidRPr="006A2B68">
        <w:rPr>
          <w:rFonts w:ascii="Times New Roman" w:hAnsi="Times New Roman"/>
          <w:b/>
          <w:bCs/>
          <w:sz w:val="32"/>
          <w:szCs w:val="32"/>
        </w:rPr>
        <w:t>BY</w:t>
      </w:r>
    </w:p>
    <w:p w:rsidR="00B560FA" w:rsidRPr="00242E69" w:rsidRDefault="00B560FA" w:rsidP="00B560FA">
      <w:pPr>
        <w:rPr>
          <w:rFonts w:ascii="Times New Roman" w:hAnsi="Times New Roman" w:cs="Times New Roman"/>
          <w:b/>
          <w:sz w:val="28"/>
          <w:szCs w:val="28"/>
        </w:rPr>
      </w:pPr>
    </w:p>
    <w:p w:rsidR="00B560FA" w:rsidRPr="00242E69" w:rsidRDefault="00B560FA" w:rsidP="00B560FA">
      <w:pPr>
        <w:jc w:val="center"/>
        <w:rPr>
          <w:rFonts w:ascii="Times New Roman" w:hAnsi="Times New Roman" w:cs="Times New Roman"/>
          <w:b/>
          <w:color w:val="333333"/>
          <w:sz w:val="28"/>
          <w:szCs w:val="28"/>
          <w:shd w:val="clear" w:color="auto" w:fill="FFFFFF"/>
        </w:rPr>
      </w:pPr>
      <w:r w:rsidRPr="00242E69">
        <w:rPr>
          <w:rFonts w:ascii="Times New Roman" w:hAnsi="Times New Roman" w:cs="Times New Roman"/>
          <w:b/>
          <w:color w:val="333333"/>
          <w:sz w:val="28"/>
          <w:szCs w:val="28"/>
          <w:shd w:val="clear" w:color="auto" w:fill="FFFFFF"/>
        </w:rPr>
        <w:t>MUHAMMADTAOFIK AMIRAH MOSUNMOLA</w:t>
      </w:r>
    </w:p>
    <w:p w:rsidR="00B560FA" w:rsidRDefault="00B560FA" w:rsidP="00B560FA">
      <w:pPr>
        <w:jc w:val="center"/>
        <w:rPr>
          <w:rFonts w:ascii="Times New Roman" w:hAnsi="Times New Roman"/>
          <w:b/>
          <w:bCs/>
          <w:sz w:val="32"/>
          <w:szCs w:val="32"/>
        </w:rPr>
      </w:pPr>
      <w:r>
        <w:rPr>
          <w:rFonts w:ascii="Times New Roman" w:hAnsi="Times New Roman"/>
          <w:b/>
          <w:bCs/>
          <w:sz w:val="32"/>
          <w:szCs w:val="32"/>
        </w:rPr>
        <w:t>ND/23/SLT/PT/0026</w:t>
      </w:r>
    </w:p>
    <w:p w:rsidR="00B560FA" w:rsidRDefault="00B560FA" w:rsidP="00B560FA">
      <w:pPr>
        <w:jc w:val="center"/>
        <w:rPr>
          <w:rFonts w:ascii="Times New Roman" w:hAnsi="Times New Roman"/>
          <w:b/>
          <w:bCs/>
          <w:sz w:val="32"/>
          <w:szCs w:val="32"/>
        </w:rPr>
      </w:pPr>
    </w:p>
    <w:p w:rsidR="00B560FA" w:rsidRDefault="00B560FA" w:rsidP="00B560FA">
      <w:pPr>
        <w:jc w:val="center"/>
        <w:rPr>
          <w:rFonts w:ascii="Times New Roman" w:hAnsi="Times New Roman"/>
          <w:sz w:val="32"/>
          <w:szCs w:val="32"/>
        </w:rPr>
      </w:pPr>
      <w:r>
        <w:rPr>
          <w:rFonts w:ascii="Times New Roman" w:hAnsi="Times New Roman"/>
          <w:sz w:val="32"/>
          <w:szCs w:val="32"/>
        </w:rPr>
        <w:t>SUBMITTED TO THE DEPARTMENT OF SCIENCE LABORATORY TECHNOLOGY (CHEMISTRY / BIOCHEMISTRY UNIT)</w:t>
      </w:r>
    </w:p>
    <w:p w:rsidR="00B560FA" w:rsidRDefault="00B560FA" w:rsidP="00B560FA">
      <w:pPr>
        <w:jc w:val="center"/>
        <w:rPr>
          <w:rFonts w:ascii="Times New Roman" w:hAnsi="Times New Roman"/>
          <w:sz w:val="32"/>
          <w:szCs w:val="32"/>
        </w:rPr>
      </w:pPr>
      <w:r>
        <w:rPr>
          <w:rFonts w:ascii="Times New Roman" w:hAnsi="Times New Roman"/>
          <w:sz w:val="32"/>
          <w:szCs w:val="32"/>
        </w:rPr>
        <w:t>INSSTITUTE OF APPLIED SCIENCE (IAS), KWARA STATE POLYTECHNIC, ILORIN</w:t>
      </w:r>
    </w:p>
    <w:p w:rsidR="00B560FA" w:rsidRDefault="00B560FA" w:rsidP="00B560FA">
      <w:pPr>
        <w:jc w:val="center"/>
        <w:rPr>
          <w:rFonts w:ascii="Times New Roman" w:hAnsi="Times New Roman"/>
          <w:sz w:val="32"/>
          <w:szCs w:val="32"/>
        </w:rPr>
      </w:pPr>
      <w:r>
        <w:rPr>
          <w:rFonts w:ascii="Times New Roman" w:hAnsi="Times New Roman"/>
          <w:sz w:val="32"/>
          <w:szCs w:val="32"/>
        </w:rPr>
        <w:t>IN PARTIAL FULFILLMENT OF THE REQUIREMENTS FOR THE AWARD OF NATIONAL DIPLOMA (ND) IN SCIENCE LABORATORY TECHNOLOGY</w:t>
      </w:r>
    </w:p>
    <w:p w:rsidR="00B560FA" w:rsidRDefault="00B560FA" w:rsidP="00B560FA">
      <w:pPr>
        <w:jc w:val="right"/>
        <w:rPr>
          <w:rFonts w:ascii="Times New Roman" w:hAnsi="Times New Roman"/>
          <w:sz w:val="32"/>
          <w:szCs w:val="32"/>
        </w:rPr>
      </w:pPr>
    </w:p>
    <w:p w:rsidR="00B560FA" w:rsidRDefault="00B560FA" w:rsidP="00B560FA">
      <w:pPr>
        <w:ind w:left="6480" w:firstLine="720"/>
        <w:rPr>
          <w:rFonts w:ascii="Times New Roman" w:hAnsi="Times New Roman"/>
          <w:sz w:val="32"/>
          <w:szCs w:val="32"/>
        </w:rPr>
      </w:pPr>
      <w:r>
        <w:rPr>
          <w:rFonts w:ascii="Times New Roman" w:hAnsi="Times New Roman"/>
          <w:sz w:val="32"/>
          <w:szCs w:val="32"/>
        </w:rPr>
        <w:t>JULY, 2025</w:t>
      </w:r>
    </w:p>
    <w:p w:rsidR="00B560FA" w:rsidRDefault="00B560FA" w:rsidP="00B560FA">
      <w:pPr>
        <w:ind w:left="6480" w:firstLine="720"/>
        <w:rPr>
          <w:rFonts w:ascii="Times New Roman" w:hAnsi="Times New Roman"/>
          <w:sz w:val="32"/>
          <w:szCs w:val="32"/>
        </w:rPr>
      </w:pPr>
    </w:p>
    <w:p w:rsidR="00B560FA" w:rsidRDefault="00B560FA" w:rsidP="00B560FA">
      <w:pPr>
        <w:ind w:left="6480" w:firstLine="720"/>
        <w:rPr>
          <w:rFonts w:ascii="Times New Roman" w:hAnsi="Times New Roman"/>
          <w:sz w:val="32"/>
          <w:szCs w:val="32"/>
        </w:rPr>
      </w:pPr>
    </w:p>
    <w:p w:rsidR="00B560FA" w:rsidRDefault="00B560FA" w:rsidP="00B560FA">
      <w:pPr>
        <w:ind w:left="6480" w:firstLine="720"/>
        <w:rPr>
          <w:rFonts w:ascii="Times New Roman" w:hAnsi="Times New Roman"/>
          <w:sz w:val="32"/>
          <w:szCs w:val="32"/>
        </w:rPr>
      </w:pPr>
    </w:p>
    <w:p w:rsidR="00B560FA" w:rsidRDefault="00B560FA" w:rsidP="00B560FA">
      <w:pPr>
        <w:ind w:left="6480" w:firstLine="720"/>
        <w:rPr>
          <w:rFonts w:ascii="Times New Roman" w:hAnsi="Times New Roman"/>
          <w:sz w:val="32"/>
          <w:szCs w:val="32"/>
        </w:rPr>
      </w:pPr>
    </w:p>
    <w:p w:rsidR="00B560FA" w:rsidRDefault="00B560FA" w:rsidP="00B560FA">
      <w:pPr>
        <w:ind w:left="6480" w:firstLine="720"/>
        <w:rPr>
          <w:rFonts w:ascii="Times New Roman" w:hAnsi="Times New Roman"/>
          <w:sz w:val="32"/>
          <w:szCs w:val="32"/>
        </w:rPr>
      </w:pPr>
    </w:p>
    <w:p w:rsidR="00B560FA" w:rsidRDefault="00B560FA" w:rsidP="00B560FA">
      <w:pPr>
        <w:ind w:left="6480" w:firstLine="720"/>
        <w:rPr>
          <w:rFonts w:ascii="Times New Roman" w:hAnsi="Times New Roman"/>
          <w:sz w:val="32"/>
          <w:szCs w:val="32"/>
        </w:rPr>
      </w:pPr>
    </w:p>
    <w:p w:rsidR="00B560FA" w:rsidRDefault="00B560FA" w:rsidP="00B560FA">
      <w:pPr>
        <w:ind w:left="6480" w:firstLine="720"/>
        <w:rPr>
          <w:rFonts w:ascii="Times New Roman" w:hAnsi="Times New Roman"/>
          <w:sz w:val="32"/>
          <w:szCs w:val="32"/>
        </w:rPr>
      </w:pPr>
    </w:p>
    <w:p w:rsidR="00B865C3" w:rsidRDefault="00B865C3" w:rsidP="00B560FA">
      <w:pPr>
        <w:jc w:val="center"/>
        <w:rPr>
          <w:rFonts w:ascii="Times New Roman" w:hAnsi="Times New Roman"/>
          <w:b/>
          <w:bCs/>
          <w:sz w:val="28"/>
          <w:szCs w:val="28"/>
        </w:rPr>
      </w:pPr>
    </w:p>
    <w:p w:rsidR="00B865C3" w:rsidRDefault="00B865C3" w:rsidP="00B560FA">
      <w:pPr>
        <w:jc w:val="center"/>
        <w:rPr>
          <w:rFonts w:ascii="Times New Roman" w:hAnsi="Times New Roman"/>
          <w:b/>
          <w:bCs/>
          <w:sz w:val="28"/>
          <w:szCs w:val="28"/>
        </w:rPr>
      </w:pPr>
      <w:r>
        <w:rPr>
          <w:rFonts w:ascii="Times New Roman" w:hAnsi="Times New Roman"/>
          <w:b/>
          <w:bCs/>
          <w:noProof/>
          <w:sz w:val="28"/>
          <w:szCs w:val="28"/>
        </w:rPr>
        <w:drawing>
          <wp:inline distT="0" distB="0" distL="0" distR="0">
            <wp:extent cx="4438650" cy="6448425"/>
            <wp:effectExtent l="19050" t="0" r="0" b="0"/>
            <wp:docPr id="2" name="Picture 1" descr="C:\Users\HP\Documents\afusat ooo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cuments\afusat oooo.jpeg"/>
                    <pic:cNvPicPr>
                      <a:picLocks noChangeAspect="1" noChangeArrowheads="1"/>
                    </pic:cNvPicPr>
                  </pic:nvPicPr>
                  <pic:blipFill>
                    <a:blip r:embed="rId7"/>
                    <a:srcRect/>
                    <a:stretch>
                      <a:fillRect/>
                    </a:stretch>
                  </pic:blipFill>
                  <pic:spPr bwMode="auto">
                    <a:xfrm>
                      <a:off x="0" y="0"/>
                      <a:ext cx="4438650" cy="6448425"/>
                    </a:xfrm>
                    <a:prstGeom prst="rect">
                      <a:avLst/>
                    </a:prstGeom>
                    <a:noFill/>
                    <a:ln w="9525">
                      <a:noFill/>
                      <a:miter lim="800000"/>
                      <a:headEnd/>
                      <a:tailEnd/>
                    </a:ln>
                  </pic:spPr>
                </pic:pic>
              </a:graphicData>
            </a:graphic>
          </wp:inline>
        </w:drawing>
      </w:r>
    </w:p>
    <w:p w:rsidR="00B865C3" w:rsidRDefault="00B865C3" w:rsidP="00B560FA">
      <w:pPr>
        <w:jc w:val="center"/>
        <w:rPr>
          <w:rFonts w:ascii="Times New Roman" w:hAnsi="Times New Roman"/>
          <w:b/>
          <w:bCs/>
          <w:sz w:val="28"/>
          <w:szCs w:val="28"/>
        </w:rPr>
      </w:pPr>
    </w:p>
    <w:p w:rsidR="00B865C3" w:rsidRDefault="00B865C3" w:rsidP="00B560FA">
      <w:pPr>
        <w:jc w:val="center"/>
        <w:rPr>
          <w:rFonts w:ascii="Times New Roman" w:hAnsi="Times New Roman"/>
          <w:b/>
          <w:bCs/>
          <w:sz w:val="28"/>
          <w:szCs w:val="28"/>
        </w:rPr>
      </w:pPr>
    </w:p>
    <w:p w:rsidR="00B865C3" w:rsidRDefault="00B865C3" w:rsidP="00B560FA">
      <w:pPr>
        <w:jc w:val="center"/>
        <w:rPr>
          <w:rFonts w:ascii="Times New Roman" w:hAnsi="Times New Roman"/>
          <w:b/>
          <w:bCs/>
          <w:sz w:val="28"/>
          <w:szCs w:val="28"/>
        </w:rPr>
      </w:pPr>
    </w:p>
    <w:p w:rsidR="00B865C3" w:rsidRDefault="00B865C3" w:rsidP="00B560FA">
      <w:pPr>
        <w:jc w:val="center"/>
        <w:rPr>
          <w:rFonts w:ascii="Times New Roman" w:hAnsi="Times New Roman"/>
          <w:b/>
          <w:bCs/>
          <w:sz w:val="28"/>
          <w:szCs w:val="28"/>
        </w:rPr>
      </w:pPr>
    </w:p>
    <w:p w:rsidR="00B560FA" w:rsidRPr="00B72D67" w:rsidRDefault="00B560FA" w:rsidP="00B560FA">
      <w:pPr>
        <w:spacing w:after="0"/>
        <w:jc w:val="center"/>
        <w:rPr>
          <w:rFonts w:ascii="Times New Roman" w:hAnsi="Times New Roman"/>
          <w:b/>
          <w:bCs/>
          <w:sz w:val="28"/>
          <w:szCs w:val="28"/>
        </w:rPr>
      </w:pPr>
      <w:r w:rsidRPr="00B72D67">
        <w:rPr>
          <w:rFonts w:ascii="Times New Roman" w:hAnsi="Times New Roman"/>
          <w:b/>
          <w:bCs/>
          <w:sz w:val="28"/>
          <w:szCs w:val="28"/>
        </w:rPr>
        <w:lastRenderedPageBreak/>
        <w:t>DEDICATION</w:t>
      </w:r>
    </w:p>
    <w:p w:rsidR="00B560FA" w:rsidRPr="00BA05EE" w:rsidRDefault="00B560FA" w:rsidP="00B560FA">
      <w:pPr>
        <w:spacing w:after="0"/>
        <w:rPr>
          <w:rFonts w:ascii="Times New Roman" w:hAnsi="Times New Roman"/>
          <w:b/>
          <w:bCs/>
          <w:sz w:val="24"/>
          <w:szCs w:val="24"/>
        </w:rPr>
      </w:pPr>
    </w:p>
    <w:p w:rsidR="00B560FA" w:rsidRPr="00DF564A" w:rsidRDefault="00B560FA" w:rsidP="00B560FA">
      <w:pPr>
        <w:jc w:val="both"/>
        <w:rPr>
          <w:rFonts w:ascii="Times New Roman" w:hAnsi="Times New Roman"/>
          <w:sz w:val="24"/>
          <w:szCs w:val="24"/>
        </w:rPr>
      </w:pPr>
      <w:r>
        <w:rPr>
          <w:rFonts w:ascii="Times New Roman" w:hAnsi="Times New Roman"/>
          <w:sz w:val="24"/>
          <w:szCs w:val="24"/>
        </w:rPr>
        <w:t>This project is dedicated Almighty God, who has seen me through it all. Also, to my lovely parents and to my lovely brothers for their love and support, am very grateful for everything.</w:t>
      </w:r>
    </w:p>
    <w:p w:rsidR="00B560FA" w:rsidRDefault="00B560FA" w:rsidP="00B560FA">
      <w:pPr>
        <w:spacing w:after="0" w:line="240" w:lineRule="auto"/>
        <w:rPr>
          <w:rFonts w:ascii="Times New Roman" w:hAnsi="Times New Roman"/>
          <w:sz w:val="24"/>
          <w:szCs w:val="24"/>
        </w:rPr>
      </w:pPr>
      <w:r>
        <w:rPr>
          <w:rFonts w:ascii="Times New Roman" w:hAnsi="Times New Roman"/>
          <w:sz w:val="24"/>
          <w:szCs w:val="24"/>
        </w:rPr>
        <w:br w:type="page"/>
      </w:r>
    </w:p>
    <w:p w:rsidR="00B560FA" w:rsidRPr="00B72D67" w:rsidRDefault="00B560FA" w:rsidP="00B560FA">
      <w:pPr>
        <w:jc w:val="center"/>
        <w:rPr>
          <w:rFonts w:ascii="Times New Roman" w:hAnsi="Times New Roman"/>
          <w:b/>
          <w:bCs/>
          <w:sz w:val="28"/>
          <w:szCs w:val="28"/>
        </w:rPr>
      </w:pPr>
      <w:r w:rsidRPr="00B72D67">
        <w:rPr>
          <w:rFonts w:ascii="Times New Roman" w:hAnsi="Times New Roman"/>
          <w:b/>
          <w:bCs/>
          <w:sz w:val="28"/>
          <w:szCs w:val="28"/>
        </w:rPr>
        <w:lastRenderedPageBreak/>
        <w:t xml:space="preserve">ACKNOWLEDGEMENT </w:t>
      </w:r>
    </w:p>
    <w:p w:rsidR="00B560FA" w:rsidRDefault="00B560FA" w:rsidP="00B560FA">
      <w:pPr>
        <w:jc w:val="both"/>
        <w:rPr>
          <w:rFonts w:ascii="Times New Roman" w:hAnsi="Times New Roman"/>
          <w:sz w:val="24"/>
          <w:szCs w:val="24"/>
        </w:rPr>
      </w:pPr>
      <w:r>
        <w:rPr>
          <w:rFonts w:ascii="Times New Roman" w:hAnsi="Times New Roman"/>
          <w:sz w:val="24"/>
          <w:szCs w:val="24"/>
        </w:rPr>
        <w:t>My profound gratitude goes to Almighty God for the privilege given to me to complete this project work, who has been helping me from the beginning of my education.</w:t>
      </w:r>
    </w:p>
    <w:p w:rsidR="00B560FA" w:rsidRDefault="00B560FA" w:rsidP="00B560FA">
      <w:pPr>
        <w:jc w:val="both"/>
        <w:rPr>
          <w:rFonts w:ascii="Times New Roman" w:hAnsi="Times New Roman"/>
          <w:sz w:val="24"/>
          <w:szCs w:val="24"/>
        </w:rPr>
      </w:pPr>
      <w:r>
        <w:rPr>
          <w:rFonts w:ascii="Times New Roman" w:hAnsi="Times New Roman"/>
          <w:sz w:val="24"/>
          <w:szCs w:val="24"/>
        </w:rPr>
        <w:t>My special gratitude goes to my ever kindness and loving supervisor in person of Dr.Wasiu, for his advice, moral support and word of encouragement to the successful of this project. May Almighty God continue to preserve, guide and shower His blessings on you.</w:t>
      </w:r>
    </w:p>
    <w:p w:rsidR="00B560FA" w:rsidRDefault="00B560FA" w:rsidP="00B560FA">
      <w:pPr>
        <w:jc w:val="both"/>
        <w:rPr>
          <w:rFonts w:ascii="Times New Roman" w:hAnsi="Times New Roman"/>
          <w:sz w:val="24"/>
          <w:szCs w:val="24"/>
        </w:rPr>
      </w:pPr>
      <w:r>
        <w:rPr>
          <w:rFonts w:ascii="Times New Roman" w:hAnsi="Times New Roman"/>
          <w:sz w:val="24"/>
          <w:szCs w:val="24"/>
        </w:rPr>
        <w:t>My special appreciation goes to my beloved parents and brothers for being my supporter, without them I have no power to be here today. I thank them for been there for me in term of needs, encouragement, moral support, spiritually and financially. May God enrich them and grant them long life and prosperity.</w:t>
      </w:r>
    </w:p>
    <w:p w:rsidR="00B560FA" w:rsidRPr="00C440CC" w:rsidRDefault="00B560FA" w:rsidP="00B560FA">
      <w:pPr>
        <w:jc w:val="both"/>
        <w:rPr>
          <w:rFonts w:ascii="Times New Roman" w:hAnsi="Times New Roman"/>
          <w:sz w:val="24"/>
          <w:szCs w:val="24"/>
        </w:rPr>
      </w:pPr>
      <w:r>
        <w:rPr>
          <w:rFonts w:ascii="Times New Roman" w:hAnsi="Times New Roman"/>
          <w:sz w:val="24"/>
          <w:szCs w:val="24"/>
        </w:rPr>
        <w:t>My profound gratitude also goes to my friends and course mates who have been supporting me in all ways to make this project work a success. May Almighty God reward you (amen). Love you all.</w:t>
      </w:r>
    </w:p>
    <w:p w:rsidR="00B560FA" w:rsidRDefault="00B560FA" w:rsidP="00976E89">
      <w:pPr>
        <w:pStyle w:val="Heading1"/>
        <w:spacing w:before="0"/>
        <w:ind w:left="0" w:right="833"/>
        <w:rPr>
          <w:sz w:val="24"/>
          <w:szCs w:val="24"/>
        </w:rPr>
      </w:pPr>
    </w:p>
    <w:p w:rsidR="00B560FA" w:rsidRDefault="00B560FA" w:rsidP="00FD02FB">
      <w:pPr>
        <w:pStyle w:val="Heading1"/>
        <w:spacing w:before="0"/>
        <w:ind w:left="0" w:right="833"/>
        <w:jc w:val="left"/>
        <w:rPr>
          <w:sz w:val="24"/>
          <w:szCs w:val="24"/>
        </w:rPr>
      </w:pPr>
    </w:p>
    <w:p w:rsidR="00B560FA" w:rsidRDefault="00B560FA" w:rsidP="00976E89">
      <w:pPr>
        <w:pStyle w:val="Heading1"/>
        <w:spacing w:before="0"/>
        <w:ind w:left="0" w:right="833"/>
        <w:rPr>
          <w:sz w:val="24"/>
          <w:szCs w:val="24"/>
        </w:rPr>
      </w:pPr>
    </w:p>
    <w:p w:rsidR="00FD02FB" w:rsidRDefault="00FD02FB" w:rsidP="00976E89">
      <w:pPr>
        <w:pStyle w:val="Heading1"/>
        <w:spacing w:before="0"/>
        <w:ind w:left="0" w:right="833"/>
        <w:rPr>
          <w:sz w:val="24"/>
          <w:szCs w:val="24"/>
        </w:rPr>
      </w:pPr>
    </w:p>
    <w:p w:rsidR="00FD02FB" w:rsidRDefault="00FD02FB" w:rsidP="00FD02FB">
      <w:pPr>
        <w:pStyle w:val="TOCHeading"/>
        <w:jc w:val="center"/>
      </w:pPr>
    </w:p>
    <w:p w:rsidR="00FD02FB" w:rsidRDefault="00FD02FB" w:rsidP="00FD02FB">
      <w:pPr>
        <w:pStyle w:val="TOCHeading"/>
        <w:jc w:val="center"/>
      </w:pPr>
    </w:p>
    <w:p w:rsidR="00FD02FB" w:rsidRDefault="00FD02FB" w:rsidP="00FD02FB">
      <w:pPr>
        <w:pStyle w:val="TOCHeading"/>
        <w:jc w:val="center"/>
      </w:pPr>
    </w:p>
    <w:p w:rsidR="00FD02FB" w:rsidRDefault="00FD02FB" w:rsidP="00FD02FB">
      <w:pPr>
        <w:pStyle w:val="TOCHeading"/>
        <w:jc w:val="center"/>
      </w:pPr>
    </w:p>
    <w:p w:rsidR="00FD02FB" w:rsidRDefault="00FD02FB" w:rsidP="00FD02FB">
      <w:pPr>
        <w:pStyle w:val="TOCHeading"/>
        <w:jc w:val="center"/>
      </w:pPr>
    </w:p>
    <w:p w:rsidR="00FD02FB" w:rsidRDefault="00FD02FB" w:rsidP="00FD02FB">
      <w:pPr>
        <w:pStyle w:val="TOCHeading"/>
        <w:jc w:val="center"/>
      </w:pPr>
    </w:p>
    <w:p w:rsidR="00FD02FB" w:rsidRDefault="00FD02FB" w:rsidP="00FD02FB">
      <w:pPr>
        <w:pStyle w:val="TOCHeading"/>
        <w:jc w:val="center"/>
      </w:pPr>
    </w:p>
    <w:p w:rsidR="00FD02FB" w:rsidRDefault="00FD02FB" w:rsidP="00FD02FB">
      <w:pPr>
        <w:pStyle w:val="TOCHeading"/>
        <w:jc w:val="center"/>
      </w:pPr>
    </w:p>
    <w:p w:rsidR="00FD02FB" w:rsidRDefault="00FD02FB" w:rsidP="00FD02FB">
      <w:pPr>
        <w:pStyle w:val="TOCHeading"/>
        <w:jc w:val="center"/>
      </w:pPr>
    </w:p>
    <w:p w:rsidR="00FD02FB" w:rsidRDefault="00FD02FB" w:rsidP="00FD02FB">
      <w:pPr>
        <w:pStyle w:val="TOCHeading"/>
        <w:jc w:val="center"/>
      </w:pPr>
    </w:p>
    <w:p w:rsidR="00FD02FB" w:rsidRDefault="00FD02FB" w:rsidP="00FD02FB">
      <w:pPr>
        <w:pStyle w:val="TOCHeading"/>
        <w:jc w:val="center"/>
      </w:pPr>
    </w:p>
    <w:p w:rsidR="00FD02FB" w:rsidRDefault="00FD02FB" w:rsidP="00FD02FB">
      <w:pPr>
        <w:pStyle w:val="TOCHeading"/>
        <w:jc w:val="center"/>
      </w:pPr>
    </w:p>
    <w:p w:rsidR="00FD02FB" w:rsidRDefault="00FD02FB" w:rsidP="00FD02FB">
      <w:pPr>
        <w:pStyle w:val="TOCHeading"/>
        <w:jc w:val="center"/>
      </w:pPr>
    </w:p>
    <w:p w:rsidR="00FD02FB" w:rsidRDefault="00FD02FB" w:rsidP="00FD02FB">
      <w:pPr>
        <w:pStyle w:val="TOCHeading"/>
        <w:jc w:val="center"/>
      </w:pPr>
    </w:p>
    <w:p w:rsidR="00FD02FB" w:rsidRDefault="00FD02FB" w:rsidP="00FD02FB">
      <w:pPr>
        <w:pStyle w:val="TOCHeading"/>
        <w:jc w:val="center"/>
      </w:pPr>
    </w:p>
    <w:p w:rsidR="00FD02FB" w:rsidRDefault="00FD02FB" w:rsidP="00FD02FB">
      <w:pPr>
        <w:pStyle w:val="TOCHeading"/>
        <w:jc w:val="center"/>
      </w:pPr>
    </w:p>
    <w:p w:rsidR="00FD02FB" w:rsidRDefault="00FD02FB" w:rsidP="00FD02FB">
      <w:pPr>
        <w:pStyle w:val="TOCHeading"/>
        <w:jc w:val="center"/>
      </w:pPr>
      <w:r>
        <w:t>CONTENTS</w:t>
      </w:r>
    </w:p>
    <w:p w:rsidR="00FD02FB" w:rsidRDefault="00A665CF" w:rsidP="00FD02FB">
      <w:pPr>
        <w:pStyle w:val="TOC1"/>
        <w:tabs>
          <w:tab w:val="right" w:leader="dot" w:pos="9350"/>
        </w:tabs>
        <w:rPr>
          <w:noProof/>
        </w:rPr>
      </w:pPr>
      <w:r w:rsidRPr="00A665CF">
        <w:fldChar w:fldCharType="begin"/>
      </w:r>
      <w:r w:rsidR="00FD02FB">
        <w:instrText xml:space="preserve"> TOC \o "1-3" \h \z \u </w:instrText>
      </w:r>
      <w:r w:rsidRPr="00A665CF">
        <w:fldChar w:fldCharType="separate"/>
      </w:r>
      <w:hyperlink w:anchor="_Toc182670324" w:history="1">
        <w:r w:rsidR="00FD02FB" w:rsidRPr="00ED5786">
          <w:rPr>
            <w:rStyle w:val="Hyperlink"/>
            <w:noProof/>
          </w:rPr>
          <w:t>Abstract</w:t>
        </w:r>
        <w:r w:rsidR="00FD02FB">
          <w:rPr>
            <w:noProof/>
            <w:webHidden/>
          </w:rPr>
          <w:tab/>
        </w:r>
        <w:r>
          <w:rPr>
            <w:noProof/>
            <w:webHidden/>
          </w:rPr>
          <w:fldChar w:fldCharType="begin"/>
        </w:r>
        <w:r w:rsidR="00FD02FB">
          <w:rPr>
            <w:noProof/>
            <w:webHidden/>
          </w:rPr>
          <w:instrText xml:space="preserve"> PAGEREF _Toc182670324 \h </w:instrText>
        </w:r>
        <w:r>
          <w:rPr>
            <w:noProof/>
            <w:webHidden/>
          </w:rPr>
        </w:r>
        <w:r>
          <w:rPr>
            <w:noProof/>
            <w:webHidden/>
          </w:rPr>
          <w:fldChar w:fldCharType="separate"/>
        </w:r>
        <w:r w:rsidR="00FD02FB">
          <w:rPr>
            <w:noProof/>
            <w:webHidden/>
          </w:rPr>
          <w:t>2</w:t>
        </w:r>
        <w:r>
          <w:rPr>
            <w:noProof/>
            <w:webHidden/>
          </w:rPr>
          <w:fldChar w:fldCharType="end"/>
        </w:r>
      </w:hyperlink>
    </w:p>
    <w:p w:rsidR="00FD02FB" w:rsidRDefault="00A665CF" w:rsidP="00FD02FB">
      <w:pPr>
        <w:pStyle w:val="TOC2"/>
        <w:tabs>
          <w:tab w:val="right" w:leader="dot" w:pos="9350"/>
        </w:tabs>
        <w:rPr>
          <w:noProof/>
        </w:rPr>
      </w:pPr>
      <w:hyperlink w:anchor="_Toc182670325" w:history="1">
        <w:r w:rsidR="00FD02FB" w:rsidRPr="00ED5786">
          <w:rPr>
            <w:rStyle w:val="Hyperlink"/>
            <w:noProof/>
          </w:rPr>
          <w:t>CHAPTER ONE</w:t>
        </w:r>
        <w:r w:rsidR="00FD02FB">
          <w:rPr>
            <w:noProof/>
            <w:webHidden/>
          </w:rPr>
          <w:tab/>
        </w:r>
        <w:r>
          <w:rPr>
            <w:noProof/>
            <w:webHidden/>
          </w:rPr>
          <w:fldChar w:fldCharType="begin"/>
        </w:r>
        <w:r w:rsidR="00FD02FB">
          <w:rPr>
            <w:noProof/>
            <w:webHidden/>
          </w:rPr>
          <w:instrText xml:space="preserve"> PAGEREF _Toc182670325 \h </w:instrText>
        </w:r>
        <w:r>
          <w:rPr>
            <w:noProof/>
            <w:webHidden/>
          </w:rPr>
        </w:r>
        <w:r>
          <w:rPr>
            <w:noProof/>
            <w:webHidden/>
          </w:rPr>
          <w:fldChar w:fldCharType="separate"/>
        </w:r>
        <w:r w:rsidR="00FD02FB">
          <w:rPr>
            <w:noProof/>
            <w:webHidden/>
          </w:rPr>
          <w:t>3</w:t>
        </w:r>
        <w:r>
          <w:rPr>
            <w:noProof/>
            <w:webHidden/>
          </w:rPr>
          <w:fldChar w:fldCharType="end"/>
        </w:r>
      </w:hyperlink>
    </w:p>
    <w:p w:rsidR="00FD02FB" w:rsidRDefault="00A665CF" w:rsidP="00FD02FB">
      <w:pPr>
        <w:pStyle w:val="TOC1"/>
        <w:tabs>
          <w:tab w:val="right" w:leader="dot" w:pos="9350"/>
        </w:tabs>
        <w:rPr>
          <w:noProof/>
        </w:rPr>
      </w:pPr>
      <w:hyperlink w:anchor="_Toc182670326" w:history="1">
        <w:r w:rsidR="00FD02FB" w:rsidRPr="00ED5786">
          <w:rPr>
            <w:rStyle w:val="Hyperlink"/>
            <w:noProof/>
          </w:rPr>
          <w:t>1.0 Introduction</w:t>
        </w:r>
        <w:r w:rsidR="00FD02FB">
          <w:rPr>
            <w:noProof/>
            <w:webHidden/>
          </w:rPr>
          <w:tab/>
        </w:r>
        <w:r>
          <w:rPr>
            <w:noProof/>
            <w:webHidden/>
          </w:rPr>
          <w:fldChar w:fldCharType="begin"/>
        </w:r>
        <w:r w:rsidR="00FD02FB">
          <w:rPr>
            <w:noProof/>
            <w:webHidden/>
          </w:rPr>
          <w:instrText xml:space="preserve"> PAGEREF _Toc182670326 \h </w:instrText>
        </w:r>
        <w:r>
          <w:rPr>
            <w:noProof/>
            <w:webHidden/>
          </w:rPr>
        </w:r>
        <w:r>
          <w:rPr>
            <w:noProof/>
            <w:webHidden/>
          </w:rPr>
          <w:fldChar w:fldCharType="separate"/>
        </w:r>
        <w:r w:rsidR="00FD02FB">
          <w:rPr>
            <w:noProof/>
            <w:webHidden/>
          </w:rPr>
          <w:t>3</w:t>
        </w:r>
        <w:r>
          <w:rPr>
            <w:noProof/>
            <w:webHidden/>
          </w:rPr>
          <w:fldChar w:fldCharType="end"/>
        </w:r>
      </w:hyperlink>
    </w:p>
    <w:p w:rsidR="00FD02FB" w:rsidRDefault="00A665CF" w:rsidP="00FD02FB">
      <w:pPr>
        <w:pStyle w:val="TOC1"/>
        <w:tabs>
          <w:tab w:val="right" w:leader="dot" w:pos="9350"/>
        </w:tabs>
        <w:rPr>
          <w:noProof/>
        </w:rPr>
      </w:pPr>
      <w:hyperlink w:anchor="_Toc182670327" w:history="1">
        <w:r w:rsidR="00FD02FB" w:rsidRPr="00ED5786">
          <w:rPr>
            <w:rStyle w:val="Hyperlink"/>
            <w:noProof/>
          </w:rPr>
          <w:t>1.1 Justification of the study</w:t>
        </w:r>
        <w:r w:rsidR="00FD02FB">
          <w:rPr>
            <w:noProof/>
            <w:webHidden/>
          </w:rPr>
          <w:tab/>
        </w:r>
        <w:r>
          <w:rPr>
            <w:noProof/>
            <w:webHidden/>
          </w:rPr>
          <w:fldChar w:fldCharType="begin"/>
        </w:r>
        <w:r w:rsidR="00FD02FB">
          <w:rPr>
            <w:noProof/>
            <w:webHidden/>
          </w:rPr>
          <w:instrText xml:space="preserve"> PAGEREF _Toc182670327 \h </w:instrText>
        </w:r>
        <w:r>
          <w:rPr>
            <w:noProof/>
            <w:webHidden/>
          </w:rPr>
        </w:r>
        <w:r>
          <w:rPr>
            <w:noProof/>
            <w:webHidden/>
          </w:rPr>
          <w:fldChar w:fldCharType="separate"/>
        </w:r>
        <w:r w:rsidR="00FD02FB">
          <w:rPr>
            <w:noProof/>
            <w:webHidden/>
          </w:rPr>
          <w:t>4</w:t>
        </w:r>
        <w:r>
          <w:rPr>
            <w:noProof/>
            <w:webHidden/>
          </w:rPr>
          <w:fldChar w:fldCharType="end"/>
        </w:r>
      </w:hyperlink>
    </w:p>
    <w:p w:rsidR="00FD02FB" w:rsidRDefault="00A665CF" w:rsidP="00FD02FB">
      <w:pPr>
        <w:pStyle w:val="TOC1"/>
        <w:tabs>
          <w:tab w:val="right" w:leader="dot" w:pos="9350"/>
        </w:tabs>
        <w:rPr>
          <w:noProof/>
        </w:rPr>
      </w:pPr>
      <w:hyperlink w:anchor="_Toc182670328" w:history="1">
        <w:r w:rsidR="00FD02FB" w:rsidRPr="00ED5786">
          <w:rPr>
            <w:rStyle w:val="Hyperlink"/>
            <w:noProof/>
          </w:rPr>
          <w:t>1.2 Aims and Objective of the study</w:t>
        </w:r>
        <w:r w:rsidR="00FD02FB">
          <w:rPr>
            <w:noProof/>
            <w:webHidden/>
          </w:rPr>
          <w:tab/>
        </w:r>
        <w:r>
          <w:rPr>
            <w:noProof/>
            <w:webHidden/>
          </w:rPr>
          <w:fldChar w:fldCharType="begin"/>
        </w:r>
        <w:r w:rsidR="00FD02FB">
          <w:rPr>
            <w:noProof/>
            <w:webHidden/>
          </w:rPr>
          <w:instrText xml:space="preserve"> PAGEREF _Toc182670328 \h </w:instrText>
        </w:r>
        <w:r>
          <w:rPr>
            <w:noProof/>
            <w:webHidden/>
          </w:rPr>
        </w:r>
        <w:r>
          <w:rPr>
            <w:noProof/>
            <w:webHidden/>
          </w:rPr>
          <w:fldChar w:fldCharType="separate"/>
        </w:r>
        <w:r w:rsidR="00FD02FB">
          <w:rPr>
            <w:noProof/>
            <w:webHidden/>
          </w:rPr>
          <w:t>4</w:t>
        </w:r>
        <w:r>
          <w:rPr>
            <w:noProof/>
            <w:webHidden/>
          </w:rPr>
          <w:fldChar w:fldCharType="end"/>
        </w:r>
      </w:hyperlink>
    </w:p>
    <w:p w:rsidR="00FD02FB" w:rsidRDefault="00A665CF" w:rsidP="00FD02FB">
      <w:pPr>
        <w:pStyle w:val="TOC1"/>
        <w:tabs>
          <w:tab w:val="right" w:leader="dot" w:pos="9350"/>
        </w:tabs>
        <w:rPr>
          <w:noProof/>
        </w:rPr>
      </w:pPr>
      <w:hyperlink w:anchor="_Toc182670329" w:history="1">
        <w:r w:rsidR="00FD02FB" w:rsidRPr="00ED5786">
          <w:rPr>
            <w:rStyle w:val="Hyperlink"/>
            <w:noProof/>
          </w:rPr>
          <w:t>1.3 Significance of the study</w:t>
        </w:r>
        <w:r w:rsidR="00FD02FB">
          <w:rPr>
            <w:noProof/>
            <w:webHidden/>
          </w:rPr>
          <w:tab/>
        </w:r>
        <w:r>
          <w:rPr>
            <w:noProof/>
            <w:webHidden/>
          </w:rPr>
          <w:fldChar w:fldCharType="begin"/>
        </w:r>
        <w:r w:rsidR="00FD02FB">
          <w:rPr>
            <w:noProof/>
            <w:webHidden/>
          </w:rPr>
          <w:instrText xml:space="preserve"> PAGEREF _Toc182670329 \h </w:instrText>
        </w:r>
        <w:r>
          <w:rPr>
            <w:noProof/>
            <w:webHidden/>
          </w:rPr>
        </w:r>
        <w:r>
          <w:rPr>
            <w:noProof/>
            <w:webHidden/>
          </w:rPr>
          <w:fldChar w:fldCharType="separate"/>
        </w:r>
        <w:r w:rsidR="00FD02FB">
          <w:rPr>
            <w:noProof/>
            <w:webHidden/>
          </w:rPr>
          <w:t>5</w:t>
        </w:r>
        <w:r>
          <w:rPr>
            <w:noProof/>
            <w:webHidden/>
          </w:rPr>
          <w:fldChar w:fldCharType="end"/>
        </w:r>
      </w:hyperlink>
    </w:p>
    <w:p w:rsidR="00FD02FB" w:rsidRDefault="00A665CF" w:rsidP="00FD02FB">
      <w:pPr>
        <w:pStyle w:val="TOC2"/>
        <w:tabs>
          <w:tab w:val="right" w:leader="dot" w:pos="9350"/>
        </w:tabs>
        <w:rPr>
          <w:noProof/>
        </w:rPr>
      </w:pPr>
      <w:hyperlink w:anchor="_Toc182670330" w:history="1">
        <w:r w:rsidR="00FD02FB" w:rsidRPr="00ED5786">
          <w:rPr>
            <w:rStyle w:val="Hyperlink"/>
            <w:noProof/>
          </w:rPr>
          <w:t>CHAPTER TWO</w:t>
        </w:r>
        <w:r w:rsidR="00FD02FB">
          <w:rPr>
            <w:noProof/>
            <w:webHidden/>
          </w:rPr>
          <w:tab/>
        </w:r>
        <w:r>
          <w:rPr>
            <w:noProof/>
            <w:webHidden/>
          </w:rPr>
          <w:fldChar w:fldCharType="begin"/>
        </w:r>
        <w:r w:rsidR="00FD02FB">
          <w:rPr>
            <w:noProof/>
            <w:webHidden/>
          </w:rPr>
          <w:instrText xml:space="preserve"> PAGEREF _Toc182670330 \h </w:instrText>
        </w:r>
        <w:r>
          <w:rPr>
            <w:noProof/>
            <w:webHidden/>
          </w:rPr>
        </w:r>
        <w:r>
          <w:rPr>
            <w:noProof/>
            <w:webHidden/>
          </w:rPr>
          <w:fldChar w:fldCharType="separate"/>
        </w:r>
        <w:r w:rsidR="00FD02FB">
          <w:rPr>
            <w:noProof/>
            <w:webHidden/>
          </w:rPr>
          <w:t>6</w:t>
        </w:r>
        <w:r>
          <w:rPr>
            <w:noProof/>
            <w:webHidden/>
          </w:rPr>
          <w:fldChar w:fldCharType="end"/>
        </w:r>
      </w:hyperlink>
    </w:p>
    <w:p w:rsidR="00FD02FB" w:rsidRDefault="00A665CF" w:rsidP="00FD02FB">
      <w:pPr>
        <w:pStyle w:val="TOC1"/>
        <w:tabs>
          <w:tab w:val="right" w:leader="dot" w:pos="9350"/>
        </w:tabs>
        <w:rPr>
          <w:noProof/>
        </w:rPr>
      </w:pPr>
      <w:hyperlink w:anchor="_Toc182670331" w:history="1">
        <w:r w:rsidR="00FD02FB" w:rsidRPr="00ED5786">
          <w:rPr>
            <w:rStyle w:val="Hyperlink"/>
            <w:noProof/>
          </w:rPr>
          <w:t>2.0 Literature review</w:t>
        </w:r>
        <w:r w:rsidR="00FD02FB">
          <w:rPr>
            <w:noProof/>
            <w:webHidden/>
          </w:rPr>
          <w:tab/>
        </w:r>
        <w:r>
          <w:rPr>
            <w:noProof/>
            <w:webHidden/>
          </w:rPr>
          <w:fldChar w:fldCharType="begin"/>
        </w:r>
        <w:r w:rsidR="00FD02FB">
          <w:rPr>
            <w:noProof/>
            <w:webHidden/>
          </w:rPr>
          <w:instrText xml:space="preserve"> PAGEREF _Toc182670331 \h </w:instrText>
        </w:r>
        <w:r>
          <w:rPr>
            <w:noProof/>
            <w:webHidden/>
          </w:rPr>
        </w:r>
        <w:r>
          <w:rPr>
            <w:noProof/>
            <w:webHidden/>
          </w:rPr>
          <w:fldChar w:fldCharType="separate"/>
        </w:r>
        <w:r w:rsidR="00FD02FB">
          <w:rPr>
            <w:noProof/>
            <w:webHidden/>
          </w:rPr>
          <w:t>6</w:t>
        </w:r>
        <w:r>
          <w:rPr>
            <w:noProof/>
            <w:webHidden/>
          </w:rPr>
          <w:fldChar w:fldCharType="end"/>
        </w:r>
      </w:hyperlink>
    </w:p>
    <w:p w:rsidR="00FD02FB" w:rsidRDefault="00A665CF" w:rsidP="00FD02FB">
      <w:pPr>
        <w:pStyle w:val="TOC1"/>
        <w:tabs>
          <w:tab w:val="right" w:leader="dot" w:pos="9350"/>
        </w:tabs>
        <w:rPr>
          <w:noProof/>
        </w:rPr>
      </w:pPr>
      <w:hyperlink w:anchor="_Toc182670332" w:history="1">
        <w:r w:rsidR="00FD02FB" w:rsidRPr="00ED5786">
          <w:rPr>
            <w:rStyle w:val="Hyperlink"/>
            <w:noProof/>
          </w:rPr>
          <w:t>2.1 Caffeine</w:t>
        </w:r>
        <w:r w:rsidR="00FD02FB">
          <w:rPr>
            <w:noProof/>
            <w:webHidden/>
          </w:rPr>
          <w:tab/>
        </w:r>
        <w:r>
          <w:rPr>
            <w:noProof/>
            <w:webHidden/>
          </w:rPr>
          <w:fldChar w:fldCharType="begin"/>
        </w:r>
        <w:r w:rsidR="00FD02FB">
          <w:rPr>
            <w:noProof/>
            <w:webHidden/>
          </w:rPr>
          <w:instrText xml:space="preserve"> PAGEREF _Toc182670332 \h </w:instrText>
        </w:r>
        <w:r>
          <w:rPr>
            <w:noProof/>
            <w:webHidden/>
          </w:rPr>
        </w:r>
        <w:r>
          <w:rPr>
            <w:noProof/>
            <w:webHidden/>
          </w:rPr>
          <w:fldChar w:fldCharType="separate"/>
        </w:r>
        <w:r w:rsidR="00FD02FB">
          <w:rPr>
            <w:noProof/>
            <w:webHidden/>
          </w:rPr>
          <w:t>6</w:t>
        </w:r>
        <w:r>
          <w:rPr>
            <w:noProof/>
            <w:webHidden/>
          </w:rPr>
          <w:fldChar w:fldCharType="end"/>
        </w:r>
      </w:hyperlink>
    </w:p>
    <w:p w:rsidR="00FD02FB" w:rsidRDefault="00A665CF" w:rsidP="00FD02FB">
      <w:pPr>
        <w:pStyle w:val="TOC1"/>
        <w:tabs>
          <w:tab w:val="right" w:leader="dot" w:pos="9350"/>
        </w:tabs>
        <w:rPr>
          <w:noProof/>
        </w:rPr>
      </w:pPr>
      <w:hyperlink w:anchor="_Toc182670333" w:history="1">
        <w:r w:rsidR="00FD02FB" w:rsidRPr="00ED5786">
          <w:rPr>
            <w:rStyle w:val="Hyperlink"/>
            <w:noProof/>
          </w:rPr>
          <w:t>2.2 Absorption and Metabolism of Caffeine</w:t>
        </w:r>
        <w:r w:rsidR="00FD02FB">
          <w:rPr>
            <w:noProof/>
            <w:webHidden/>
          </w:rPr>
          <w:tab/>
        </w:r>
        <w:r>
          <w:rPr>
            <w:noProof/>
            <w:webHidden/>
          </w:rPr>
          <w:fldChar w:fldCharType="begin"/>
        </w:r>
        <w:r w:rsidR="00FD02FB">
          <w:rPr>
            <w:noProof/>
            <w:webHidden/>
          </w:rPr>
          <w:instrText xml:space="preserve"> PAGEREF _Toc182670333 \h </w:instrText>
        </w:r>
        <w:r>
          <w:rPr>
            <w:noProof/>
            <w:webHidden/>
          </w:rPr>
        </w:r>
        <w:r>
          <w:rPr>
            <w:noProof/>
            <w:webHidden/>
          </w:rPr>
          <w:fldChar w:fldCharType="separate"/>
        </w:r>
        <w:r w:rsidR="00FD02FB">
          <w:rPr>
            <w:noProof/>
            <w:webHidden/>
          </w:rPr>
          <w:t>7</w:t>
        </w:r>
        <w:r>
          <w:rPr>
            <w:noProof/>
            <w:webHidden/>
          </w:rPr>
          <w:fldChar w:fldCharType="end"/>
        </w:r>
      </w:hyperlink>
    </w:p>
    <w:p w:rsidR="00FD02FB" w:rsidRDefault="00A665CF" w:rsidP="00FD02FB">
      <w:pPr>
        <w:pStyle w:val="TOC1"/>
        <w:tabs>
          <w:tab w:val="right" w:leader="dot" w:pos="9350"/>
        </w:tabs>
        <w:rPr>
          <w:noProof/>
        </w:rPr>
      </w:pPr>
      <w:hyperlink w:anchor="_Toc182670334" w:history="1">
        <w:r w:rsidR="00FD02FB" w:rsidRPr="00ED5786">
          <w:rPr>
            <w:rStyle w:val="Hyperlink"/>
            <w:noProof/>
          </w:rPr>
          <w:t>2.3 Beneficial Effects of Caffeine</w:t>
        </w:r>
        <w:r w:rsidR="00FD02FB">
          <w:rPr>
            <w:noProof/>
            <w:webHidden/>
          </w:rPr>
          <w:tab/>
        </w:r>
        <w:r>
          <w:rPr>
            <w:noProof/>
            <w:webHidden/>
          </w:rPr>
          <w:fldChar w:fldCharType="begin"/>
        </w:r>
        <w:r w:rsidR="00FD02FB">
          <w:rPr>
            <w:noProof/>
            <w:webHidden/>
          </w:rPr>
          <w:instrText xml:space="preserve"> PAGEREF _Toc182670334 \h </w:instrText>
        </w:r>
        <w:r>
          <w:rPr>
            <w:noProof/>
            <w:webHidden/>
          </w:rPr>
        </w:r>
        <w:r>
          <w:rPr>
            <w:noProof/>
            <w:webHidden/>
          </w:rPr>
          <w:fldChar w:fldCharType="separate"/>
        </w:r>
        <w:r w:rsidR="00FD02FB">
          <w:rPr>
            <w:noProof/>
            <w:webHidden/>
          </w:rPr>
          <w:t>8</w:t>
        </w:r>
        <w:r>
          <w:rPr>
            <w:noProof/>
            <w:webHidden/>
          </w:rPr>
          <w:fldChar w:fldCharType="end"/>
        </w:r>
      </w:hyperlink>
    </w:p>
    <w:p w:rsidR="00FD02FB" w:rsidRDefault="00A665CF" w:rsidP="00FD02FB">
      <w:pPr>
        <w:pStyle w:val="TOC1"/>
        <w:tabs>
          <w:tab w:val="right" w:leader="dot" w:pos="9350"/>
        </w:tabs>
        <w:rPr>
          <w:noProof/>
        </w:rPr>
      </w:pPr>
      <w:hyperlink w:anchor="_Toc182670335" w:history="1">
        <w:r w:rsidR="00FD02FB" w:rsidRPr="00ED5786">
          <w:rPr>
            <w:rStyle w:val="Hyperlink"/>
            <w:noProof/>
          </w:rPr>
          <w:t>2.4 Toxic Effects of Caffeine</w:t>
        </w:r>
        <w:r w:rsidR="00FD02FB">
          <w:rPr>
            <w:noProof/>
            <w:webHidden/>
          </w:rPr>
          <w:tab/>
        </w:r>
        <w:r>
          <w:rPr>
            <w:noProof/>
            <w:webHidden/>
          </w:rPr>
          <w:fldChar w:fldCharType="begin"/>
        </w:r>
        <w:r w:rsidR="00FD02FB">
          <w:rPr>
            <w:noProof/>
            <w:webHidden/>
          </w:rPr>
          <w:instrText xml:space="preserve"> PAGEREF _Toc182670335 \h </w:instrText>
        </w:r>
        <w:r>
          <w:rPr>
            <w:noProof/>
            <w:webHidden/>
          </w:rPr>
        </w:r>
        <w:r>
          <w:rPr>
            <w:noProof/>
            <w:webHidden/>
          </w:rPr>
          <w:fldChar w:fldCharType="separate"/>
        </w:r>
        <w:r w:rsidR="00FD02FB">
          <w:rPr>
            <w:noProof/>
            <w:webHidden/>
          </w:rPr>
          <w:t>9</w:t>
        </w:r>
        <w:r>
          <w:rPr>
            <w:noProof/>
            <w:webHidden/>
          </w:rPr>
          <w:fldChar w:fldCharType="end"/>
        </w:r>
      </w:hyperlink>
    </w:p>
    <w:p w:rsidR="00FD02FB" w:rsidRDefault="00A665CF" w:rsidP="00FD02FB">
      <w:pPr>
        <w:pStyle w:val="TOC1"/>
        <w:tabs>
          <w:tab w:val="right" w:leader="dot" w:pos="9350"/>
        </w:tabs>
        <w:rPr>
          <w:noProof/>
        </w:rPr>
      </w:pPr>
      <w:hyperlink w:anchor="_Toc182670336" w:history="1">
        <w:r w:rsidR="00FD02FB" w:rsidRPr="00ED5786">
          <w:rPr>
            <w:rStyle w:val="Hyperlink"/>
            <w:noProof/>
          </w:rPr>
          <w:t>2.5 Green Tea Leaf (</w:t>
        </w:r>
        <w:r w:rsidR="00FD02FB" w:rsidRPr="001731D2">
          <w:rPr>
            <w:rStyle w:val="Hyperlink"/>
            <w:i/>
            <w:noProof/>
          </w:rPr>
          <w:t>Camellia sinensis</w:t>
        </w:r>
        <w:r w:rsidR="00FD02FB" w:rsidRPr="00ED5786">
          <w:rPr>
            <w:rStyle w:val="Hyperlink"/>
            <w:noProof/>
          </w:rPr>
          <w:t>)</w:t>
        </w:r>
        <w:r w:rsidR="00FD02FB">
          <w:rPr>
            <w:noProof/>
            <w:webHidden/>
          </w:rPr>
          <w:tab/>
        </w:r>
        <w:r>
          <w:rPr>
            <w:noProof/>
            <w:webHidden/>
          </w:rPr>
          <w:fldChar w:fldCharType="begin"/>
        </w:r>
        <w:r w:rsidR="00FD02FB">
          <w:rPr>
            <w:noProof/>
            <w:webHidden/>
          </w:rPr>
          <w:instrText xml:space="preserve"> PAGEREF _Toc182670336 \h </w:instrText>
        </w:r>
        <w:r>
          <w:rPr>
            <w:noProof/>
            <w:webHidden/>
          </w:rPr>
        </w:r>
        <w:r>
          <w:rPr>
            <w:noProof/>
            <w:webHidden/>
          </w:rPr>
          <w:fldChar w:fldCharType="separate"/>
        </w:r>
        <w:r w:rsidR="00FD02FB">
          <w:rPr>
            <w:noProof/>
            <w:webHidden/>
          </w:rPr>
          <w:t>9</w:t>
        </w:r>
        <w:r>
          <w:rPr>
            <w:noProof/>
            <w:webHidden/>
          </w:rPr>
          <w:fldChar w:fldCharType="end"/>
        </w:r>
      </w:hyperlink>
    </w:p>
    <w:p w:rsidR="00FD02FB" w:rsidRDefault="00A665CF" w:rsidP="00FD02FB">
      <w:pPr>
        <w:pStyle w:val="TOC1"/>
        <w:tabs>
          <w:tab w:val="right" w:leader="dot" w:pos="9350"/>
        </w:tabs>
        <w:rPr>
          <w:noProof/>
        </w:rPr>
      </w:pPr>
      <w:hyperlink w:anchor="_Toc182670337" w:history="1">
        <w:r w:rsidR="00FD02FB" w:rsidRPr="00ED5786">
          <w:rPr>
            <w:rStyle w:val="Hyperlink"/>
            <w:noProof/>
          </w:rPr>
          <w:t>2.6 Coffee</w:t>
        </w:r>
        <w:r w:rsidR="00FD02FB">
          <w:rPr>
            <w:noProof/>
            <w:webHidden/>
          </w:rPr>
          <w:tab/>
        </w:r>
        <w:r>
          <w:rPr>
            <w:noProof/>
            <w:webHidden/>
          </w:rPr>
          <w:fldChar w:fldCharType="begin"/>
        </w:r>
        <w:r w:rsidR="00FD02FB">
          <w:rPr>
            <w:noProof/>
            <w:webHidden/>
          </w:rPr>
          <w:instrText xml:space="preserve"> PAGEREF _Toc182670337 \h </w:instrText>
        </w:r>
        <w:r>
          <w:rPr>
            <w:noProof/>
            <w:webHidden/>
          </w:rPr>
        </w:r>
        <w:r>
          <w:rPr>
            <w:noProof/>
            <w:webHidden/>
          </w:rPr>
          <w:fldChar w:fldCharType="separate"/>
        </w:r>
        <w:r w:rsidR="00FD02FB">
          <w:rPr>
            <w:noProof/>
            <w:webHidden/>
          </w:rPr>
          <w:t>11</w:t>
        </w:r>
        <w:r>
          <w:rPr>
            <w:noProof/>
            <w:webHidden/>
          </w:rPr>
          <w:fldChar w:fldCharType="end"/>
        </w:r>
      </w:hyperlink>
    </w:p>
    <w:p w:rsidR="00FD02FB" w:rsidRDefault="00A665CF" w:rsidP="00FD02FB">
      <w:pPr>
        <w:pStyle w:val="TOC1"/>
        <w:tabs>
          <w:tab w:val="right" w:leader="dot" w:pos="9350"/>
        </w:tabs>
        <w:rPr>
          <w:noProof/>
        </w:rPr>
      </w:pPr>
      <w:hyperlink w:anchor="_Toc182670338" w:history="1">
        <w:r w:rsidR="00FD02FB" w:rsidRPr="00ED5786">
          <w:rPr>
            <w:rStyle w:val="Hyperlink"/>
            <w:noProof/>
          </w:rPr>
          <w:t>2.7 Other Brands of Tea</w:t>
        </w:r>
        <w:r w:rsidR="00FD02FB">
          <w:rPr>
            <w:noProof/>
            <w:webHidden/>
          </w:rPr>
          <w:tab/>
        </w:r>
        <w:r>
          <w:rPr>
            <w:noProof/>
            <w:webHidden/>
          </w:rPr>
          <w:fldChar w:fldCharType="begin"/>
        </w:r>
        <w:r w:rsidR="00FD02FB">
          <w:rPr>
            <w:noProof/>
            <w:webHidden/>
          </w:rPr>
          <w:instrText xml:space="preserve"> PAGEREF _Toc182670338 \h </w:instrText>
        </w:r>
        <w:r>
          <w:rPr>
            <w:noProof/>
            <w:webHidden/>
          </w:rPr>
        </w:r>
        <w:r>
          <w:rPr>
            <w:noProof/>
            <w:webHidden/>
          </w:rPr>
          <w:fldChar w:fldCharType="separate"/>
        </w:r>
        <w:r w:rsidR="00FD02FB">
          <w:rPr>
            <w:noProof/>
            <w:webHidden/>
          </w:rPr>
          <w:t>12</w:t>
        </w:r>
        <w:r>
          <w:rPr>
            <w:noProof/>
            <w:webHidden/>
          </w:rPr>
          <w:fldChar w:fldCharType="end"/>
        </w:r>
      </w:hyperlink>
    </w:p>
    <w:p w:rsidR="00FD02FB" w:rsidRDefault="00A665CF" w:rsidP="00FD02FB">
      <w:pPr>
        <w:pStyle w:val="TOC2"/>
        <w:tabs>
          <w:tab w:val="right" w:leader="dot" w:pos="9350"/>
        </w:tabs>
        <w:rPr>
          <w:noProof/>
        </w:rPr>
      </w:pPr>
      <w:hyperlink w:anchor="_Toc182670339" w:history="1">
        <w:r w:rsidR="00FD02FB" w:rsidRPr="00ED5786">
          <w:rPr>
            <w:rStyle w:val="Hyperlink"/>
            <w:noProof/>
          </w:rPr>
          <w:t>CHAPTER THREE</w:t>
        </w:r>
        <w:r w:rsidR="00FD02FB">
          <w:rPr>
            <w:noProof/>
            <w:webHidden/>
          </w:rPr>
          <w:tab/>
        </w:r>
        <w:r>
          <w:rPr>
            <w:noProof/>
            <w:webHidden/>
          </w:rPr>
          <w:fldChar w:fldCharType="begin"/>
        </w:r>
        <w:r w:rsidR="00FD02FB">
          <w:rPr>
            <w:noProof/>
            <w:webHidden/>
          </w:rPr>
          <w:instrText xml:space="preserve"> PAGEREF _Toc182670339 \h </w:instrText>
        </w:r>
        <w:r>
          <w:rPr>
            <w:noProof/>
            <w:webHidden/>
          </w:rPr>
        </w:r>
        <w:r>
          <w:rPr>
            <w:noProof/>
            <w:webHidden/>
          </w:rPr>
          <w:fldChar w:fldCharType="separate"/>
        </w:r>
        <w:r w:rsidR="00FD02FB">
          <w:rPr>
            <w:noProof/>
            <w:webHidden/>
          </w:rPr>
          <w:t>13</w:t>
        </w:r>
        <w:r>
          <w:rPr>
            <w:noProof/>
            <w:webHidden/>
          </w:rPr>
          <w:fldChar w:fldCharType="end"/>
        </w:r>
      </w:hyperlink>
    </w:p>
    <w:p w:rsidR="00FD02FB" w:rsidRDefault="00A665CF" w:rsidP="00FD02FB">
      <w:pPr>
        <w:pStyle w:val="TOC1"/>
        <w:tabs>
          <w:tab w:val="right" w:leader="dot" w:pos="9350"/>
        </w:tabs>
        <w:rPr>
          <w:noProof/>
        </w:rPr>
      </w:pPr>
      <w:hyperlink w:anchor="_Toc182670340" w:history="1">
        <w:r w:rsidR="00FD02FB" w:rsidRPr="00ED5786">
          <w:rPr>
            <w:rStyle w:val="Hyperlink"/>
            <w:noProof/>
          </w:rPr>
          <w:t>3.0 Material and Methods</w:t>
        </w:r>
        <w:r w:rsidR="00FD02FB">
          <w:rPr>
            <w:noProof/>
            <w:webHidden/>
          </w:rPr>
          <w:tab/>
        </w:r>
        <w:r>
          <w:rPr>
            <w:noProof/>
            <w:webHidden/>
          </w:rPr>
          <w:fldChar w:fldCharType="begin"/>
        </w:r>
        <w:r w:rsidR="00FD02FB">
          <w:rPr>
            <w:noProof/>
            <w:webHidden/>
          </w:rPr>
          <w:instrText xml:space="preserve"> PAGEREF _Toc182670340 \h </w:instrText>
        </w:r>
        <w:r>
          <w:rPr>
            <w:noProof/>
            <w:webHidden/>
          </w:rPr>
        </w:r>
        <w:r>
          <w:rPr>
            <w:noProof/>
            <w:webHidden/>
          </w:rPr>
          <w:fldChar w:fldCharType="separate"/>
        </w:r>
        <w:r w:rsidR="00FD02FB">
          <w:rPr>
            <w:noProof/>
            <w:webHidden/>
          </w:rPr>
          <w:t>13</w:t>
        </w:r>
        <w:r>
          <w:rPr>
            <w:noProof/>
            <w:webHidden/>
          </w:rPr>
          <w:fldChar w:fldCharType="end"/>
        </w:r>
      </w:hyperlink>
    </w:p>
    <w:p w:rsidR="00FD02FB" w:rsidRDefault="00A665CF" w:rsidP="00FD02FB">
      <w:pPr>
        <w:pStyle w:val="TOC1"/>
        <w:tabs>
          <w:tab w:val="right" w:leader="dot" w:pos="9350"/>
        </w:tabs>
        <w:rPr>
          <w:noProof/>
        </w:rPr>
      </w:pPr>
      <w:hyperlink w:anchor="_Toc182670341" w:history="1">
        <w:r w:rsidR="00FD02FB" w:rsidRPr="00ED5786">
          <w:rPr>
            <w:rStyle w:val="Hyperlink"/>
            <w:noProof/>
          </w:rPr>
          <w:t>3.1 Materials</w:t>
        </w:r>
        <w:r w:rsidR="00FD02FB">
          <w:rPr>
            <w:noProof/>
            <w:webHidden/>
          </w:rPr>
          <w:tab/>
        </w:r>
        <w:r>
          <w:rPr>
            <w:noProof/>
            <w:webHidden/>
          </w:rPr>
          <w:fldChar w:fldCharType="begin"/>
        </w:r>
        <w:r w:rsidR="00FD02FB">
          <w:rPr>
            <w:noProof/>
            <w:webHidden/>
          </w:rPr>
          <w:instrText xml:space="preserve"> PAGEREF _Toc182670341 \h </w:instrText>
        </w:r>
        <w:r>
          <w:rPr>
            <w:noProof/>
            <w:webHidden/>
          </w:rPr>
        </w:r>
        <w:r>
          <w:rPr>
            <w:noProof/>
            <w:webHidden/>
          </w:rPr>
          <w:fldChar w:fldCharType="separate"/>
        </w:r>
        <w:r w:rsidR="00FD02FB">
          <w:rPr>
            <w:noProof/>
            <w:webHidden/>
          </w:rPr>
          <w:t>13</w:t>
        </w:r>
        <w:r>
          <w:rPr>
            <w:noProof/>
            <w:webHidden/>
          </w:rPr>
          <w:fldChar w:fldCharType="end"/>
        </w:r>
      </w:hyperlink>
    </w:p>
    <w:p w:rsidR="00FD02FB" w:rsidRDefault="00A665CF" w:rsidP="00FD02FB">
      <w:pPr>
        <w:pStyle w:val="TOC1"/>
        <w:tabs>
          <w:tab w:val="right" w:leader="dot" w:pos="9350"/>
        </w:tabs>
        <w:rPr>
          <w:noProof/>
        </w:rPr>
      </w:pPr>
      <w:hyperlink w:anchor="_Toc182670342" w:history="1">
        <w:r w:rsidR="00FD02FB" w:rsidRPr="00ED5786">
          <w:rPr>
            <w:rStyle w:val="Hyperlink"/>
            <w:noProof/>
          </w:rPr>
          <w:t>3.2 Methods</w:t>
        </w:r>
        <w:r w:rsidR="00FD02FB">
          <w:rPr>
            <w:noProof/>
            <w:webHidden/>
          </w:rPr>
          <w:tab/>
        </w:r>
        <w:r>
          <w:rPr>
            <w:noProof/>
            <w:webHidden/>
          </w:rPr>
          <w:fldChar w:fldCharType="begin"/>
        </w:r>
        <w:r w:rsidR="00FD02FB">
          <w:rPr>
            <w:noProof/>
            <w:webHidden/>
          </w:rPr>
          <w:instrText xml:space="preserve"> PAGEREF _Toc182670342 \h </w:instrText>
        </w:r>
        <w:r>
          <w:rPr>
            <w:noProof/>
            <w:webHidden/>
          </w:rPr>
        </w:r>
        <w:r>
          <w:rPr>
            <w:noProof/>
            <w:webHidden/>
          </w:rPr>
          <w:fldChar w:fldCharType="separate"/>
        </w:r>
        <w:r w:rsidR="00FD02FB">
          <w:rPr>
            <w:noProof/>
            <w:webHidden/>
          </w:rPr>
          <w:t>13</w:t>
        </w:r>
        <w:r>
          <w:rPr>
            <w:noProof/>
            <w:webHidden/>
          </w:rPr>
          <w:fldChar w:fldCharType="end"/>
        </w:r>
      </w:hyperlink>
    </w:p>
    <w:p w:rsidR="00FD02FB" w:rsidRDefault="00A665CF" w:rsidP="00FD02FB">
      <w:pPr>
        <w:pStyle w:val="TOC1"/>
        <w:tabs>
          <w:tab w:val="right" w:leader="dot" w:pos="9350"/>
        </w:tabs>
        <w:rPr>
          <w:noProof/>
        </w:rPr>
      </w:pPr>
      <w:hyperlink w:anchor="_Toc182670343" w:history="1">
        <w:r w:rsidR="00FD02FB" w:rsidRPr="00ED5786">
          <w:rPr>
            <w:rStyle w:val="Hyperlink"/>
            <w:noProof/>
          </w:rPr>
          <w:t>3.2.1 Extraction of caffeine</w:t>
        </w:r>
        <w:r w:rsidR="00FD02FB">
          <w:rPr>
            <w:noProof/>
            <w:webHidden/>
          </w:rPr>
          <w:tab/>
        </w:r>
        <w:r>
          <w:rPr>
            <w:noProof/>
            <w:webHidden/>
          </w:rPr>
          <w:fldChar w:fldCharType="begin"/>
        </w:r>
        <w:r w:rsidR="00FD02FB">
          <w:rPr>
            <w:noProof/>
            <w:webHidden/>
          </w:rPr>
          <w:instrText xml:space="preserve"> PAGEREF _Toc182670343 \h </w:instrText>
        </w:r>
        <w:r>
          <w:rPr>
            <w:noProof/>
            <w:webHidden/>
          </w:rPr>
        </w:r>
        <w:r>
          <w:rPr>
            <w:noProof/>
            <w:webHidden/>
          </w:rPr>
          <w:fldChar w:fldCharType="separate"/>
        </w:r>
        <w:r w:rsidR="00FD02FB">
          <w:rPr>
            <w:noProof/>
            <w:webHidden/>
          </w:rPr>
          <w:t>13</w:t>
        </w:r>
        <w:r>
          <w:rPr>
            <w:noProof/>
            <w:webHidden/>
          </w:rPr>
          <w:fldChar w:fldCharType="end"/>
        </w:r>
      </w:hyperlink>
    </w:p>
    <w:p w:rsidR="00FD02FB" w:rsidRDefault="00A665CF" w:rsidP="00FD02FB">
      <w:pPr>
        <w:pStyle w:val="TOC1"/>
        <w:tabs>
          <w:tab w:val="right" w:leader="dot" w:pos="9350"/>
        </w:tabs>
        <w:rPr>
          <w:noProof/>
        </w:rPr>
      </w:pPr>
      <w:hyperlink w:anchor="_Toc182670344" w:history="1">
        <w:r w:rsidR="00FD02FB" w:rsidRPr="00ED5786">
          <w:rPr>
            <w:rStyle w:val="Hyperlink"/>
            <w:noProof/>
          </w:rPr>
          <w:t>3.2.2 Spectrophotometric determination of caffeine</w:t>
        </w:r>
        <w:r w:rsidR="00FD02FB">
          <w:rPr>
            <w:noProof/>
            <w:webHidden/>
          </w:rPr>
          <w:tab/>
        </w:r>
        <w:r>
          <w:rPr>
            <w:noProof/>
            <w:webHidden/>
          </w:rPr>
          <w:fldChar w:fldCharType="begin"/>
        </w:r>
        <w:r w:rsidR="00FD02FB">
          <w:rPr>
            <w:noProof/>
            <w:webHidden/>
          </w:rPr>
          <w:instrText xml:space="preserve"> PAGEREF _Toc182670344 \h </w:instrText>
        </w:r>
        <w:r>
          <w:rPr>
            <w:noProof/>
            <w:webHidden/>
          </w:rPr>
        </w:r>
        <w:r>
          <w:rPr>
            <w:noProof/>
            <w:webHidden/>
          </w:rPr>
          <w:fldChar w:fldCharType="separate"/>
        </w:r>
        <w:r w:rsidR="00FD02FB">
          <w:rPr>
            <w:noProof/>
            <w:webHidden/>
          </w:rPr>
          <w:t>14</w:t>
        </w:r>
        <w:r>
          <w:rPr>
            <w:noProof/>
            <w:webHidden/>
          </w:rPr>
          <w:fldChar w:fldCharType="end"/>
        </w:r>
      </w:hyperlink>
    </w:p>
    <w:p w:rsidR="00FD02FB" w:rsidRDefault="00A665CF" w:rsidP="00FD02FB">
      <w:pPr>
        <w:pStyle w:val="TOC2"/>
        <w:tabs>
          <w:tab w:val="right" w:leader="dot" w:pos="9350"/>
        </w:tabs>
        <w:rPr>
          <w:noProof/>
        </w:rPr>
      </w:pPr>
      <w:hyperlink w:anchor="_Toc182670345" w:history="1">
        <w:r w:rsidR="00FD02FB" w:rsidRPr="00ED5786">
          <w:rPr>
            <w:rStyle w:val="Hyperlink"/>
            <w:noProof/>
          </w:rPr>
          <w:t>CHAPTER FOUR</w:t>
        </w:r>
        <w:r w:rsidR="00FD02FB">
          <w:rPr>
            <w:noProof/>
            <w:webHidden/>
          </w:rPr>
          <w:tab/>
        </w:r>
        <w:r>
          <w:rPr>
            <w:noProof/>
            <w:webHidden/>
          </w:rPr>
          <w:fldChar w:fldCharType="begin"/>
        </w:r>
        <w:r w:rsidR="00FD02FB">
          <w:rPr>
            <w:noProof/>
            <w:webHidden/>
          </w:rPr>
          <w:instrText xml:space="preserve"> PAGEREF _Toc182670345 \h </w:instrText>
        </w:r>
        <w:r>
          <w:rPr>
            <w:noProof/>
            <w:webHidden/>
          </w:rPr>
        </w:r>
        <w:r>
          <w:rPr>
            <w:noProof/>
            <w:webHidden/>
          </w:rPr>
          <w:fldChar w:fldCharType="separate"/>
        </w:r>
        <w:r w:rsidR="00FD02FB">
          <w:rPr>
            <w:noProof/>
            <w:webHidden/>
          </w:rPr>
          <w:t>15</w:t>
        </w:r>
        <w:r>
          <w:rPr>
            <w:noProof/>
            <w:webHidden/>
          </w:rPr>
          <w:fldChar w:fldCharType="end"/>
        </w:r>
      </w:hyperlink>
    </w:p>
    <w:p w:rsidR="00FD02FB" w:rsidRDefault="00A665CF" w:rsidP="00FD02FB">
      <w:pPr>
        <w:pStyle w:val="TOC1"/>
        <w:tabs>
          <w:tab w:val="right" w:leader="dot" w:pos="9350"/>
        </w:tabs>
        <w:rPr>
          <w:noProof/>
        </w:rPr>
      </w:pPr>
      <w:hyperlink w:anchor="_Toc182670346" w:history="1">
        <w:r w:rsidR="00FD02FB" w:rsidRPr="00ED5786">
          <w:rPr>
            <w:rStyle w:val="Hyperlink"/>
            <w:noProof/>
          </w:rPr>
          <w:t>4.0 RESULTS</w:t>
        </w:r>
        <w:r w:rsidR="00FD02FB">
          <w:rPr>
            <w:noProof/>
            <w:webHidden/>
          </w:rPr>
          <w:tab/>
        </w:r>
        <w:r>
          <w:rPr>
            <w:noProof/>
            <w:webHidden/>
          </w:rPr>
          <w:fldChar w:fldCharType="begin"/>
        </w:r>
        <w:r w:rsidR="00FD02FB">
          <w:rPr>
            <w:noProof/>
            <w:webHidden/>
          </w:rPr>
          <w:instrText xml:space="preserve"> PAGEREF _Toc182670346 \h </w:instrText>
        </w:r>
        <w:r>
          <w:rPr>
            <w:noProof/>
            <w:webHidden/>
          </w:rPr>
        </w:r>
        <w:r>
          <w:rPr>
            <w:noProof/>
            <w:webHidden/>
          </w:rPr>
          <w:fldChar w:fldCharType="separate"/>
        </w:r>
        <w:r w:rsidR="00FD02FB">
          <w:rPr>
            <w:noProof/>
            <w:webHidden/>
          </w:rPr>
          <w:t>15</w:t>
        </w:r>
        <w:r>
          <w:rPr>
            <w:noProof/>
            <w:webHidden/>
          </w:rPr>
          <w:fldChar w:fldCharType="end"/>
        </w:r>
      </w:hyperlink>
    </w:p>
    <w:p w:rsidR="00FD02FB" w:rsidRDefault="00A665CF" w:rsidP="00FD02FB">
      <w:pPr>
        <w:pStyle w:val="TOC1"/>
        <w:tabs>
          <w:tab w:val="right" w:leader="dot" w:pos="9350"/>
        </w:tabs>
        <w:rPr>
          <w:noProof/>
        </w:rPr>
      </w:pPr>
      <w:hyperlink w:anchor="_Toc182670347" w:history="1">
        <w:r w:rsidR="00FD02FB" w:rsidRPr="00ED5786">
          <w:rPr>
            <w:rStyle w:val="Hyperlink"/>
            <w:noProof/>
          </w:rPr>
          <w:t>4.1 Quantification of tea brands</w:t>
        </w:r>
        <w:r w:rsidR="00FD02FB">
          <w:rPr>
            <w:noProof/>
            <w:webHidden/>
          </w:rPr>
          <w:tab/>
        </w:r>
        <w:r>
          <w:rPr>
            <w:noProof/>
            <w:webHidden/>
          </w:rPr>
          <w:fldChar w:fldCharType="begin"/>
        </w:r>
        <w:r w:rsidR="00FD02FB">
          <w:rPr>
            <w:noProof/>
            <w:webHidden/>
          </w:rPr>
          <w:instrText xml:space="preserve"> PAGEREF _Toc182670347 \h </w:instrText>
        </w:r>
        <w:r>
          <w:rPr>
            <w:noProof/>
            <w:webHidden/>
          </w:rPr>
        </w:r>
        <w:r>
          <w:rPr>
            <w:noProof/>
            <w:webHidden/>
          </w:rPr>
          <w:fldChar w:fldCharType="separate"/>
        </w:r>
        <w:r w:rsidR="00FD02FB">
          <w:rPr>
            <w:noProof/>
            <w:webHidden/>
          </w:rPr>
          <w:t>15</w:t>
        </w:r>
        <w:r>
          <w:rPr>
            <w:noProof/>
            <w:webHidden/>
          </w:rPr>
          <w:fldChar w:fldCharType="end"/>
        </w:r>
      </w:hyperlink>
    </w:p>
    <w:p w:rsidR="00FD02FB" w:rsidRDefault="00A665CF" w:rsidP="00FD02FB">
      <w:pPr>
        <w:pStyle w:val="TOC2"/>
        <w:tabs>
          <w:tab w:val="right" w:leader="dot" w:pos="9350"/>
        </w:tabs>
        <w:rPr>
          <w:noProof/>
        </w:rPr>
      </w:pPr>
      <w:hyperlink w:anchor="_Toc182670348" w:history="1">
        <w:r w:rsidR="00FD02FB" w:rsidRPr="00ED5786">
          <w:rPr>
            <w:rStyle w:val="Hyperlink"/>
            <w:noProof/>
          </w:rPr>
          <w:t>CHAPTER FIVE</w:t>
        </w:r>
        <w:r w:rsidR="00FD02FB">
          <w:rPr>
            <w:noProof/>
            <w:webHidden/>
          </w:rPr>
          <w:tab/>
        </w:r>
        <w:r>
          <w:rPr>
            <w:noProof/>
            <w:webHidden/>
          </w:rPr>
          <w:fldChar w:fldCharType="begin"/>
        </w:r>
        <w:r w:rsidR="00FD02FB">
          <w:rPr>
            <w:noProof/>
            <w:webHidden/>
          </w:rPr>
          <w:instrText xml:space="preserve"> PAGEREF _Toc182670348 \h </w:instrText>
        </w:r>
        <w:r>
          <w:rPr>
            <w:noProof/>
            <w:webHidden/>
          </w:rPr>
        </w:r>
        <w:r>
          <w:rPr>
            <w:noProof/>
            <w:webHidden/>
          </w:rPr>
          <w:fldChar w:fldCharType="separate"/>
        </w:r>
        <w:r w:rsidR="00FD02FB">
          <w:rPr>
            <w:noProof/>
            <w:webHidden/>
          </w:rPr>
          <w:t>16</w:t>
        </w:r>
        <w:r>
          <w:rPr>
            <w:noProof/>
            <w:webHidden/>
          </w:rPr>
          <w:fldChar w:fldCharType="end"/>
        </w:r>
      </w:hyperlink>
    </w:p>
    <w:p w:rsidR="00FD02FB" w:rsidRDefault="00A665CF" w:rsidP="00FD02FB">
      <w:pPr>
        <w:pStyle w:val="TOC1"/>
        <w:tabs>
          <w:tab w:val="right" w:leader="dot" w:pos="9350"/>
        </w:tabs>
        <w:rPr>
          <w:noProof/>
        </w:rPr>
      </w:pPr>
      <w:hyperlink w:anchor="_Toc182670349" w:history="1">
        <w:r w:rsidR="00FD02FB" w:rsidRPr="00ED5786">
          <w:rPr>
            <w:rStyle w:val="Hyperlink"/>
            <w:noProof/>
          </w:rPr>
          <w:t>5.0 DISCUSSION AND CONCLUSION</w:t>
        </w:r>
        <w:r w:rsidR="00FD02FB">
          <w:rPr>
            <w:noProof/>
            <w:webHidden/>
          </w:rPr>
          <w:tab/>
        </w:r>
        <w:r>
          <w:rPr>
            <w:noProof/>
            <w:webHidden/>
          </w:rPr>
          <w:fldChar w:fldCharType="begin"/>
        </w:r>
        <w:r w:rsidR="00FD02FB">
          <w:rPr>
            <w:noProof/>
            <w:webHidden/>
          </w:rPr>
          <w:instrText xml:space="preserve"> PAGEREF _Toc182670349 \h </w:instrText>
        </w:r>
        <w:r>
          <w:rPr>
            <w:noProof/>
            <w:webHidden/>
          </w:rPr>
        </w:r>
        <w:r>
          <w:rPr>
            <w:noProof/>
            <w:webHidden/>
          </w:rPr>
          <w:fldChar w:fldCharType="separate"/>
        </w:r>
        <w:r w:rsidR="00FD02FB">
          <w:rPr>
            <w:noProof/>
            <w:webHidden/>
          </w:rPr>
          <w:t>16</w:t>
        </w:r>
        <w:r>
          <w:rPr>
            <w:noProof/>
            <w:webHidden/>
          </w:rPr>
          <w:fldChar w:fldCharType="end"/>
        </w:r>
      </w:hyperlink>
    </w:p>
    <w:p w:rsidR="00FD02FB" w:rsidRDefault="00A665CF" w:rsidP="00FD02FB">
      <w:pPr>
        <w:pStyle w:val="TOC1"/>
        <w:tabs>
          <w:tab w:val="right" w:leader="dot" w:pos="9350"/>
        </w:tabs>
        <w:rPr>
          <w:noProof/>
        </w:rPr>
      </w:pPr>
      <w:hyperlink w:anchor="_Toc182670350" w:history="1">
        <w:r w:rsidR="00FD02FB" w:rsidRPr="00ED5786">
          <w:rPr>
            <w:rStyle w:val="Hyperlink"/>
            <w:noProof/>
          </w:rPr>
          <w:t>5.1 Discussion</w:t>
        </w:r>
        <w:r w:rsidR="00FD02FB">
          <w:rPr>
            <w:noProof/>
            <w:webHidden/>
          </w:rPr>
          <w:tab/>
        </w:r>
        <w:r>
          <w:rPr>
            <w:noProof/>
            <w:webHidden/>
          </w:rPr>
          <w:fldChar w:fldCharType="begin"/>
        </w:r>
        <w:r w:rsidR="00FD02FB">
          <w:rPr>
            <w:noProof/>
            <w:webHidden/>
          </w:rPr>
          <w:instrText xml:space="preserve"> PAGEREF _Toc182670350 \h </w:instrText>
        </w:r>
        <w:r>
          <w:rPr>
            <w:noProof/>
            <w:webHidden/>
          </w:rPr>
        </w:r>
        <w:r>
          <w:rPr>
            <w:noProof/>
            <w:webHidden/>
          </w:rPr>
          <w:fldChar w:fldCharType="separate"/>
        </w:r>
        <w:r w:rsidR="00FD02FB">
          <w:rPr>
            <w:noProof/>
            <w:webHidden/>
          </w:rPr>
          <w:t>16</w:t>
        </w:r>
        <w:r>
          <w:rPr>
            <w:noProof/>
            <w:webHidden/>
          </w:rPr>
          <w:fldChar w:fldCharType="end"/>
        </w:r>
      </w:hyperlink>
    </w:p>
    <w:p w:rsidR="00FD02FB" w:rsidRDefault="00A665CF" w:rsidP="00FD02FB">
      <w:pPr>
        <w:pStyle w:val="TOC1"/>
        <w:tabs>
          <w:tab w:val="right" w:leader="dot" w:pos="9350"/>
        </w:tabs>
        <w:rPr>
          <w:noProof/>
        </w:rPr>
      </w:pPr>
      <w:hyperlink w:anchor="_Toc182670351" w:history="1">
        <w:r w:rsidR="00FD02FB" w:rsidRPr="00ED5786">
          <w:rPr>
            <w:rStyle w:val="Hyperlink"/>
            <w:noProof/>
          </w:rPr>
          <w:t>5.2 Conclusion</w:t>
        </w:r>
        <w:r w:rsidR="00FD02FB">
          <w:rPr>
            <w:noProof/>
            <w:webHidden/>
          </w:rPr>
          <w:tab/>
        </w:r>
        <w:r>
          <w:rPr>
            <w:noProof/>
            <w:webHidden/>
          </w:rPr>
          <w:fldChar w:fldCharType="begin"/>
        </w:r>
        <w:r w:rsidR="00FD02FB">
          <w:rPr>
            <w:noProof/>
            <w:webHidden/>
          </w:rPr>
          <w:instrText xml:space="preserve"> PAGEREF _Toc182670351 \h </w:instrText>
        </w:r>
        <w:r>
          <w:rPr>
            <w:noProof/>
            <w:webHidden/>
          </w:rPr>
        </w:r>
        <w:r>
          <w:rPr>
            <w:noProof/>
            <w:webHidden/>
          </w:rPr>
          <w:fldChar w:fldCharType="separate"/>
        </w:r>
        <w:r w:rsidR="00FD02FB">
          <w:rPr>
            <w:noProof/>
            <w:webHidden/>
          </w:rPr>
          <w:t>17</w:t>
        </w:r>
        <w:r>
          <w:rPr>
            <w:noProof/>
            <w:webHidden/>
          </w:rPr>
          <w:fldChar w:fldCharType="end"/>
        </w:r>
      </w:hyperlink>
    </w:p>
    <w:p w:rsidR="00FD02FB" w:rsidRDefault="00A665CF" w:rsidP="00FD02FB">
      <w:pPr>
        <w:pStyle w:val="TOC1"/>
        <w:tabs>
          <w:tab w:val="right" w:leader="dot" w:pos="9350"/>
        </w:tabs>
        <w:rPr>
          <w:noProof/>
        </w:rPr>
      </w:pPr>
      <w:hyperlink w:anchor="_Toc182670352" w:history="1">
        <w:r w:rsidR="00FD02FB" w:rsidRPr="00ED5786">
          <w:rPr>
            <w:rStyle w:val="Hyperlink"/>
            <w:noProof/>
          </w:rPr>
          <w:t>5.3 Recommendation</w:t>
        </w:r>
        <w:r w:rsidR="00FD02FB">
          <w:rPr>
            <w:noProof/>
            <w:webHidden/>
          </w:rPr>
          <w:tab/>
        </w:r>
        <w:r>
          <w:rPr>
            <w:noProof/>
            <w:webHidden/>
          </w:rPr>
          <w:fldChar w:fldCharType="begin"/>
        </w:r>
        <w:r w:rsidR="00FD02FB">
          <w:rPr>
            <w:noProof/>
            <w:webHidden/>
          </w:rPr>
          <w:instrText xml:space="preserve"> PAGEREF _Toc182670352 \h </w:instrText>
        </w:r>
        <w:r>
          <w:rPr>
            <w:noProof/>
            <w:webHidden/>
          </w:rPr>
        </w:r>
        <w:r>
          <w:rPr>
            <w:noProof/>
            <w:webHidden/>
          </w:rPr>
          <w:fldChar w:fldCharType="separate"/>
        </w:r>
        <w:r w:rsidR="00FD02FB">
          <w:rPr>
            <w:noProof/>
            <w:webHidden/>
          </w:rPr>
          <w:t>17</w:t>
        </w:r>
        <w:r>
          <w:rPr>
            <w:noProof/>
            <w:webHidden/>
          </w:rPr>
          <w:fldChar w:fldCharType="end"/>
        </w:r>
      </w:hyperlink>
    </w:p>
    <w:p w:rsidR="00FD02FB" w:rsidRDefault="00A665CF" w:rsidP="00FD02FB">
      <w:pPr>
        <w:pStyle w:val="TOC1"/>
        <w:tabs>
          <w:tab w:val="right" w:leader="dot" w:pos="9350"/>
        </w:tabs>
        <w:rPr>
          <w:noProof/>
        </w:rPr>
      </w:pPr>
      <w:hyperlink w:anchor="_Toc182670353" w:history="1">
        <w:r w:rsidR="00FD02FB" w:rsidRPr="00ED5786">
          <w:rPr>
            <w:rStyle w:val="Hyperlink"/>
            <w:noProof/>
          </w:rPr>
          <w:t>REFERENCES</w:t>
        </w:r>
        <w:r w:rsidR="00FD02FB">
          <w:rPr>
            <w:noProof/>
            <w:webHidden/>
          </w:rPr>
          <w:tab/>
        </w:r>
        <w:r>
          <w:rPr>
            <w:noProof/>
            <w:webHidden/>
          </w:rPr>
          <w:fldChar w:fldCharType="begin"/>
        </w:r>
        <w:r w:rsidR="00FD02FB">
          <w:rPr>
            <w:noProof/>
            <w:webHidden/>
          </w:rPr>
          <w:instrText xml:space="preserve"> PAGEREF _Toc182670353 \h </w:instrText>
        </w:r>
        <w:r>
          <w:rPr>
            <w:noProof/>
            <w:webHidden/>
          </w:rPr>
        </w:r>
        <w:r>
          <w:rPr>
            <w:noProof/>
            <w:webHidden/>
          </w:rPr>
          <w:fldChar w:fldCharType="separate"/>
        </w:r>
        <w:r w:rsidR="00FD02FB">
          <w:rPr>
            <w:noProof/>
            <w:webHidden/>
          </w:rPr>
          <w:t>19</w:t>
        </w:r>
        <w:r>
          <w:rPr>
            <w:noProof/>
            <w:webHidden/>
          </w:rPr>
          <w:fldChar w:fldCharType="end"/>
        </w:r>
      </w:hyperlink>
    </w:p>
    <w:p w:rsidR="00FD02FB" w:rsidRDefault="00A665CF" w:rsidP="00FD02FB">
      <w:r>
        <w:rPr>
          <w:b/>
          <w:bCs/>
          <w:noProof/>
        </w:rPr>
        <w:fldChar w:fldCharType="end"/>
      </w:r>
    </w:p>
    <w:p w:rsidR="00FD02FB" w:rsidRDefault="00FD02FB" w:rsidP="00FD02FB">
      <w:pPr>
        <w:spacing w:line="480" w:lineRule="auto"/>
        <w:jc w:val="both"/>
        <w:rPr>
          <w:rFonts w:ascii="Times New Roman" w:hAnsi="Times New Roman"/>
          <w:sz w:val="24"/>
          <w:szCs w:val="24"/>
        </w:rPr>
      </w:pPr>
    </w:p>
    <w:p w:rsidR="00FD02FB" w:rsidRDefault="00FD02FB" w:rsidP="00FD02FB">
      <w:pPr>
        <w:spacing w:line="480" w:lineRule="auto"/>
        <w:jc w:val="both"/>
        <w:rPr>
          <w:rFonts w:ascii="Times New Roman" w:hAnsi="Times New Roman"/>
          <w:sz w:val="24"/>
          <w:szCs w:val="24"/>
        </w:rPr>
      </w:pPr>
    </w:p>
    <w:p w:rsidR="00FD02FB" w:rsidRDefault="00FD02FB" w:rsidP="00FD02FB">
      <w:pPr>
        <w:spacing w:line="480" w:lineRule="auto"/>
        <w:jc w:val="both"/>
        <w:rPr>
          <w:rFonts w:ascii="Times New Roman" w:hAnsi="Times New Roman"/>
          <w:sz w:val="24"/>
          <w:szCs w:val="24"/>
        </w:rPr>
      </w:pPr>
    </w:p>
    <w:p w:rsidR="00FD02FB" w:rsidRDefault="00FD02FB" w:rsidP="00FD02FB">
      <w:pPr>
        <w:spacing w:line="480" w:lineRule="auto"/>
        <w:jc w:val="both"/>
        <w:rPr>
          <w:rFonts w:ascii="Times New Roman" w:hAnsi="Times New Roman"/>
          <w:sz w:val="24"/>
          <w:szCs w:val="24"/>
        </w:rPr>
      </w:pPr>
    </w:p>
    <w:p w:rsidR="00FD02FB" w:rsidRDefault="00FD02FB" w:rsidP="00FD02FB">
      <w:pPr>
        <w:spacing w:line="480" w:lineRule="auto"/>
        <w:jc w:val="both"/>
        <w:rPr>
          <w:rFonts w:ascii="Times New Roman" w:hAnsi="Times New Roman"/>
          <w:sz w:val="24"/>
          <w:szCs w:val="24"/>
        </w:rPr>
      </w:pPr>
    </w:p>
    <w:p w:rsidR="00FD02FB" w:rsidRDefault="00FD02FB" w:rsidP="00FD02FB">
      <w:pPr>
        <w:spacing w:line="480" w:lineRule="auto"/>
        <w:jc w:val="both"/>
        <w:rPr>
          <w:rFonts w:ascii="Times New Roman" w:hAnsi="Times New Roman"/>
          <w:sz w:val="24"/>
          <w:szCs w:val="24"/>
        </w:rPr>
      </w:pPr>
    </w:p>
    <w:p w:rsidR="00FD02FB" w:rsidRDefault="00FD02FB" w:rsidP="00FD02FB">
      <w:pPr>
        <w:spacing w:line="480" w:lineRule="auto"/>
        <w:jc w:val="both"/>
        <w:rPr>
          <w:rFonts w:ascii="Times New Roman" w:hAnsi="Times New Roman"/>
          <w:sz w:val="24"/>
          <w:szCs w:val="24"/>
        </w:rPr>
      </w:pPr>
    </w:p>
    <w:p w:rsidR="00FD02FB" w:rsidRDefault="00FD02FB" w:rsidP="00FD02FB">
      <w:pPr>
        <w:spacing w:line="480" w:lineRule="auto"/>
        <w:jc w:val="both"/>
        <w:rPr>
          <w:rFonts w:ascii="Times New Roman" w:hAnsi="Times New Roman"/>
          <w:sz w:val="24"/>
          <w:szCs w:val="24"/>
        </w:rPr>
      </w:pPr>
    </w:p>
    <w:p w:rsidR="00FD02FB" w:rsidRDefault="00FD02FB" w:rsidP="00FD02FB">
      <w:pPr>
        <w:spacing w:line="480" w:lineRule="auto"/>
        <w:jc w:val="both"/>
        <w:rPr>
          <w:rFonts w:ascii="Times New Roman" w:hAnsi="Times New Roman"/>
          <w:sz w:val="24"/>
          <w:szCs w:val="24"/>
        </w:rPr>
      </w:pPr>
    </w:p>
    <w:p w:rsidR="00FD02FB" w:rsidRDefault="00FD02FB" w:rsidP="00FD02FB">
      <w:pPr>
        <w:spacing w:line="480" w:lineRule="auto"/>
        <w:jc w:val="both"/>
        <w:rPr>
          <w:rFonts w:ascii="Times New Roman" w:hAnsi="Times New Roman"/>
          <w:sz w:val="24"/>
          <w:szCs w:val="24"/>
        </w:rPr>
      </w:pPr>
    </w:p>
    <w:p w:rsidR="00FD02FB" w:rsidRDefault="00FD02FB" w:rsidP="00FD02FB">
      <w:pPr>
        <w:spacing w:line="480" w:lineRule="auto"/>
        <w:jc w:val="both"/>
        <w:rPr>
          <w:rFonts w:ascii="Times New Roman" w:hAnsi="Times New Roman"/>
          <w:sz w:val="24"/>
          <w:szCs w:val="24"/>
        </w:rPr>
      </w:pPr>
    </w:p>
    <w:p w:rsidR="00FD02FB" w:rsidRPr="001C0E53" w:rsidRDefault="00FD02FB" w:rsidP="00FD02FB">
      <w:pPr>
        <w:spacing w:line="480" w:lineRule="auto"/>
        <w:jc w:val="both"/>
        <w:rPr>
          <w:rFonts w:ascii="Times New Roman" w:hAnsi="Times New Roman"/>
          <w:sz w:val="24"/>
          <w:szCs w:val="24"/>
        </w:rPr>
      </w:pPr>
    </w:p>
    <w:p w:rsidR="00FD02FB" w:rsidRPr="00FD02FB" w:rsidRDefault="00FD02FB" w:rsidP="00FD02FB">
      <w:pPr>
        <w:pStyle w:val="Heading1"/>
        <w:rPr>
          <w:i/>
        </w:rPr>
      </w:pPr>
      <w:bookmarkStart w:id="0" w:name="_Toc182670324"/>
      <w:r w:rsidRPr="00FD02FB">
        <w:rPr>
          <w:i/>
        </w:rPr>
        <w:t>Abstract</w:t>
      </w:r>
      <w:bookmarkEnd w:id="0"/>
    </w:p>
    <w:p w:rsidR="00FD02FB" w:rsidRPr="00FD02FB" w:rsidRDefault="00FD02FB" w:rsidP="00FD02FB">
      <w:pPr>
        <w:spacing w:line="480" w:lineRule="auto"/>
        <w:jc w:val="both"/>
        <w:rPr>
          <w:rFonts w:ascii="Times New Roman" w:hAnsi="Times New Roman"/>
          <w:i/>
          <w:sz w:val="24"/>
          <w:szCs w:val="24"/>
        </w:rPr>
      </w:pPr>
      <w:r w:rsidRPr="00FD02FB">
        <w:rPr>
          <w:rFonts w:ascii="Times New Roman" w:hAnsi="Times New Roman"/>
          <w:i/>
          <w:sz w:val="24"/>
          <w:szCs w:val="24"/>
        </w:rPr>
        <w:t xml:space="preserve">Caffeine is one of the most commonly use substance found in green seed coffee, green tea (Camellia sinensis) and other tea brand. Caffeine-containing products have been consumed for hundreds of years for their pleasant flavor and stimulating effects. The aim of this study is to determine the concentration of caffeine in some commonly consumed tea in Taraba state. Each tea sample was introduced into a 250ml beaker containing water and was boiled with the addition of Calcium trioxocarbonate to evaporate tannins. The solution was allowed to cool after filtration after which liquid to liquid extraction was done. Two layers of the solution was formed when tetra chloromethane was introduced into the solution. The caffeine moves into the tetrachloride phase since it is more soluble in carbon tetrachloride than water. Caffeine concentration present in Richmond tea, Lipton tea, Nape tea, Joko tea, and Top tea were calculated and showed values of 0.33, 0.32, 0.24, 0.33 and 1.01 in mg/ml. Top tea has the highest caffeine content, followed by Richmond tea and Joko tea. The least is Nape tea. The concentration of caffeine in top tea is the highest as a result, it would be the highest central nervous system stimulant among the other sample tested. This implies it could have a damaging effects among consumers, therefore, consumers’ consumption of the beverage is to be minimized. Caffeine sometimes can cause negative health effect in some individuals, therefore quantities of caffeine need to be shown on the label for the interest of those consuming them. </w:t>
      </w:r>
    </w:p>
    <w:p w:rsidR="00FD02FB" w:rsidRPr="00FD02FB" w:rsidRDefault="00FD02FB" w:rsidP="00FD02FB">
      <w:pPr>
        <w:spacing w:line="480" w:lineRule="auto"/>
        <w:jc w:val="both"/>
        <w:rPr>
          <w:rFonts w:ascii="Times New Roman" w:hAnsi="Times New Roman"/>
          <w:i/>
          <w:sz w:val="24"/>
          <w:szCs w:val="24"/>
        </w:rPr>
      </w:pPr>
    </w:p>
    <w:p w:rsidR="00FD02FB" w:rsidRPr="00FD02FB" w:rsidRDefault="00FD02FB" w:rsidP="00976E89">
      <w:pPr>
        <w:pStyle w:val="Heading1"/>
        <w:spacing w:before="0"/>
        <w:ind w:left="0" w:right="833"/>
        <w:rPr>
          <w:i/>
          <w:sz w:val="24"/>
          <w:szCs w:val="24"/>
        </w:rPr>
      </w:pPr>
    </w:p>
    <w:p w:rsidR="00B560FA" w:rsidRPr="00FD02FB" w:rsidRDefault="00B560FA" w:rsidP="00976E89">
      <w:pPr>
        <w:pStyle w:val="Heading1"/>
        <w:spacing w:before="0"/>
        <w:ind w:left="0" w:right="833"/>
        <w:rPr>
          <w:i/>
          <w:sz w:val="24"/>
          <w:szCs w:val="24"/>
        </w:rPr>
      </w:pPr>
    </w:p>
    <w:p w:rsidR="00B560FA" w:rsidRPr="00FD02FB" w:rsidRDefault="00B560FA" w:rsidP="00976E89">
      <w:pPr>
        <w:pStyle w:val="Heading1"/>
        <w:spacing w:before="0"/>
        <w:ind w:left="0" w:right="833"/>
        <w:rPr>
          <w:i/>
          <w:sz w:val="24"/>
          <w:szCs w:val="24"/>
        </w:rPr>
      </w:pPr>
    </w:p>
    <w:p w:rsidR="00B560FA" w:rsidRPr="00FD02FB" w:rsidRDefault="00B560FA" w:rsidP="00976E89">
      <w:pPr>
        <w:pStyle w:val="Heading1"/>
        <w:spacing w:before="0"/>
        <w:ind w:left="0" w:right="833"/>
        <w:rPr>
          <w:i/>
          <w:sz w:val="24"/>
          <w:szCs w:val="24"/>
        </w:rPr>
      </w:pPr>
    </w:p>
    <w:p w:rsidR="00B560FA" w:rsidRPr="00FD02FB" w:rsidRDefault="00B560FA" w:rsidP="00976E89">
      <w:pPr>
        <w:pStyle w:val="Heading1"/>
        <w:spacing w:before="0"/>
        <w:ind w:left="0" w:right="833"/>
        <w:rPr>
          <w:i/>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B560FA" w:rsidRDefault="00B560FA" w:rsidP="00976E89">
      <w:pPr>
        <w:pStyle w:val="Heading1"/>
        <w:spacing w:before="0"/>
        <w:ind w:left="0" w:right="833"/>
        <w:rPr>
          <w:sz w:val="24"/>
          <w:szCs w:val="24"/>
        </w:rPr>
      </w:pPr>
    </w:p>
    <w:p w:rsidR="00EC5628" w:rsidRPr="00511B0F" w:rsidRDefault="00EC5628" w:rsidP="00976E89">
      <w:pPr>
        <w:pStyle w:val="Heading1"/>
        <w:spacing w:before="0"/>
        <w:ind w:left="0" w:right="833"/>
        <w:rPr>
          <w:sz w:val="24"/>
          <w:szCs w:val="24"/>
        </w:rPr>
      </w:pPr>
      <w:r w:rsidRPr="00511B0F">
        <w:rPr>
          <w:sz w:val="24"/>
          <w:szCs w:val="24"/>
        </w:rPr>
        <w:t>CHAPTER</w:t>
      </w:r>
      <w:r w:rsidR="00B560FA">
        <w:rPr>
          <w:sz w:val="24"/>
          <w:szCs w:val="24"/>
        </w:rPr>
        <w:t xml:space="preserve"> </w:t>
      </w:r>
      <w:r w:rsidRPr="00511B0F">
        <w:rPr>
          <w:spacing w:val="-5"/>
          <w:sz w:val="24"/>
          <w:szCs w:val="24"/>
        </w:rPr>
        <w:t>ONE</w:t>
      </w:r>
    </w:p>
    <w:p w:rsidR="00EC5628" w:rsidRPr="00511B0F" w:rsidRDefault="00EC5628" w:rsidP="00976E89">
      <w:pPr>
        <w:pStyle w:val="BodyText"/>
        <w:jc w:val="both"/>
        <w:rPr>
          <w:b/>
        </w:rPr>
      </w:pPr>
    </w:p>
    <w:p w:rsidR="00EC5628" w:rsidRPr="00511B0F" w:rsidRDefault="00F037E2" w:rsidP="00976E89">
      <w:pPr>
        <w:pStyle w:val="Heading2"/>
        <w:tabs>
          <w:tab w:val="left" w:pos="1096"/>
          <w:tab w:val="left" w:pos="1097"/>
        </w:tabs>
        <w:ind w:left="0"/>
        <w:jc w:val="both"/>
      </w:pPr>
      <w:bookmarkStart w:id="1" w:name="_TOC_250078"/>
      <w:bookmarkEnd w:id="1"/>
      <w:r w:rsidRPr="00511B0F">
        <w:rPr>
          <w:spacing w:val="-2"/>
        </w:rPr>
        <w:t>1.1</w:t>
      </w:r>
      <w:r w:rsidRPr="00511B0F">
        <w:rPr>
          <w:spacing w:val="-2"/>
        </w:rPr>
        <w:tab/>
      </w:r>
      <w:r w:rsidR="00EC5628" w:rsidRPr="00511B0F">
        <w:rPr>
          <w:spacing w:val="-2"/>
        </w:rPr>
        <w:t>INTRODUCTION</w:t>
      </w:r>
    </w:p>
    <w:p w:rsidR="00EC5628" w:rsidRPr="00511B0F" w:rsidRDefault="00EC5628" w:rsidP="00976E89">
      <w:pPr>
        <w:pStyle w:val="BodyText"/>
        <w:jc w:val="both"/>
        <w:rPr>
          <w:b/>
        </w:rPr>
      </w:pPr>
    </w:p>
    <w:p w:rsidR="00EC5628" w:rsidRPr="00511B0F" w:rsidRDefault="00EC5628" w:rsidP="00AD406B">
      <w:pPr>
        <w:pStyle w:val="BodyText"/>
        <w:spacing w:line="480" w:lineRule="auto"/>
        <w:ind w:right="815"/>
        <w:jc w:val="both"/>
      </w:pPr>
      <w:r w:rsidRPr="00511B0F">
        <w:t>Energy drinks refer to beverages that contain large doses of caffeine and other legal stimulants such as taurine, carbohydrates, glucuronolactone, inositol, niacin, panthenol,and β-complex vitamins whichareconsidered as sourceofenergy(Attilaand Çakir, 2009). The consumption ofreadily available energydrinks has increased significantly with young adults forming the largest part of the consumers. History of energy drink dates back to1987 when Red Bull was introduced in Austria. It became more popular in the 1990s following its introduction to the United States. Since then the sale of this drink has increased exponentially. In 2006, the energy drink market grew by 80% (Foran</w:t>
      </w:r>
      <w:r w:rsidRPr="00511B0F">
        <w:rPr>
          <w:i/>
        </w:rPr>
        <w:t xml:space="preserve">et al., </w:t>
      </w:r>
      <w:r w:rsidRPr="00511B0F">
        <w:t>2011). This is because manufactures claim the drinks can boost energy levels as well as physical endurance, improve concentration and reaction speed (Van den Eynde</w:t>
      </w:r>
      <w:r w:rsidRPr="00511B0F">
        <w:rPr>
          <w:i/>
        </w:rPr>
        <w:t xml:space="preserve">et al., </w:t>
      </w:r>
      <w:r w:rsidRPr="00511B0F">
        <w:rPr>
          <w:spacing w:val="-2"/>
        </w:rPr>
        <w:t>2008).</w:t>
      </w:r>
    </w:p>
    <w:p w:rsidR="00EC5628" w:rsidRPr="00511B0F" w:rsidRDefault="00EC5628" w:rsidP="00976E89">
      <w:pPr>
        <w:pStyle w:val="BodyText"/>
        <w:spacing w:line="480" w:lineRule="auto"/>
        <w:ind w:right="816"/>
        <w:jc w:val="both"/>
      </w:pPr>
      <w:r w:rsidRPr="00511B0F">
        <w:t xml:space="preserve">In recent years, a number of different energy drinks have been introduced in the Nigerian </w:t>
      </w:r>
      <w:r w:rsidRPr="00511B0F">
        <w:lastRenderedPageBreak/>
        <w:t>market to provide an energy boost or as dietary supplements. These drinks are marketed specifically to children and young adults. These products have been used for various reasons. A survey conducted among college students shows that 67% of students admitted using energydrinks to cope with insufficient sleep, 65% mentioned increasing energyand 54% use it for fun at parties; 50% for studying or completing a major course project, 45% used it while driving a car for a long period of time and 17% for treating hangover (Malinauskas</w:t>
      </w:r>
      <w:r w:rsidRPr="00511B0F">
        <w:rPr>
          <w:i/>
        </w:rPr>
        <w:t xml:space="preserve">et al., </w:t>
      </w:r>
      <w:r w:rsidRPr="00511B0F">
        <w:t xml:space="preserve">2007). These products have also been used to reduce the depressor effect of alcohol or even to gain social status (Ferreira </w:t>
      </w:r>
      <w:r w:rsidRPr="00511B0F">
        <w:rPr>
          <w:i/>
        </w:rPr>
        <w:t xml:space="preserve">et al., </w:t>
      </w:r>
      <w:r w:rsidRPr="00511B0F">
        <w:t>2004; Kaminer, 2010).</w:t>
      </w:r>
    </w:p>
    <w:p w:rsidR="00EC5628" w:rsidRPr="00511B0F" w:rsidRDefault="00EC5628" w:rsidP="00976E89">
      <w:pPr>
        <w:pStyle w:val="BodyText"/>
        <w:spacing w:line="480" w:lineRule="auto"/>
        <w:ind w:right="811"/>
        <w:jc w:val="both"/>
      </w:pPr>
      <w:r w:rsidRPr="00511B0F">
        <w:t>Many energy drinks are promoted as being nutraceutical foods, boosting health, energy, or otherwise having sought-after benefits. There is some concern among health professionals that these beverages, and the drinking behaviours of the targeted consumers, may in fact have adverse health consequences. The most commonly reported adverse effects include insomnia, nervousness, headache, and tachycardia (Clauson</w:t>
      </w:r>
      <w:r w:rsidRPr="00511B0F">
        <w:rPr>
          <w:i/>
        </w:rPr>
        <w:t xml:space="preserve">etal., </w:t>
      </w:r>
      <w:r w:rsidRPr="00511B0F">
        <w:t>2008). Inarecent study, heavy consumption of energy drinks was attributed to new onset seizures in four patients (Iyadurai and Chung, 2007) and hospitalization of individuals with pre-existing mental illness (Chelben</w:t>
      </w:r>
      <w:r w:rsidRPr="00511B0F">
        <w:rPr>
          <w:i/>
        </w:rPr>
        <w:t xml:space="preserve">et al., </w:t>
      </w:r>
      <w:r w:rsidRPr="00511B0F">
        <w:t>2008).</w:t>
      </w:r>
    </w:p>
    <w:p w:rsidR="00EC5628" w:rsidRPr="00511B0F" w:rsidRDefault="00F037E2" w:rsidP="00976E89">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b/>
          <w:bCs/>
          <w:color w:val="auto"/>
        </w:rPr>
      </w:pPr>
      <w:bookmarkStart w:id="2" w:name="_TOC_250077"/>
      <w:r w:rsidRPr="00511B0F">
        <w:rPr>
          <w:rFonts w:ascii="Times New Roman" w:hAnsi="Times New Roman" w:cs="Times New Roman"/>
          <w:b/>
          <w:bCs/>
          <w:color w:val="auto"/>
        </w:rPr>
        <w:t xml:space="preserve">1.2   </w:t>
      </w:r>
      <w:r w:rsidR="00EC5628" w:rsidRPr="00511B0F">
        <w:rPr>
          <w:rFonts w:ascii="Times New Roman" w:hAnsi="Times New Roman" w:cs="Times New Roman"/>
          <w:b/>
          <w:bCs/>
          <w:color w:val="auto"/>
        </w:rPr>
        <w:t>Energy</w:t>
      </w:r>
      <w:bookmarkEnd w:id="2"/>
      <w:r w:rsidR="00EC5628" w:rsidRPr="00511B0F">
        <w:rPr>
          <w:rFonts w:ascii="Times New Roman" w:hAnsi="Times New Roman" w:cs="Times New Roman"/>
          <w:b/>
          <w:bCs/>
          <w:color w:val="auto"/>
          <w:spacing w:val="-2"/>
        </w:rPr>
        <w:t>Drinks</w:t>
      </w:r>
    </w:p>
    <w:p w:rsidR="00EC5628" w:rsidRPr="00511B0F" w:rsidRDefault="00EC5628" w:rsidP="00976E89">
      <w:pPr>
        <w:pStyle w:val="BodyText"/>
        <w:jc w:val="both"/>
        <w:rPr>
          <w:b/>
        </w:rPr>
      </w:pPr>
    </w:p>
    <w:p w:rsidR="00EC5628" w:rsidRPr="00511B0F" w:rsidRDefault="00EC5628" w:rsidP="00976E89">
      <w:pPr>
        <w:pStyle w:val="BodyText"/>
        <w:spacing w:line="480" w:lineRule="auto"/>
        <w:ind w:right="817"/>
        <w:jc w:val="both"/>
      </w:pPr>
      <w:r w:rsidRPr="00511B0F">
        <w:t>Energy drinks first appeared in Europe and Asia in the 1960s in response to consumer demand for a dietary supplement that would result in increased energy (Reissig</w:t>
      </w:r>
      <w:r w:rsidRPr="00511B0F">
        <w:rPr>
          <w:i/>
        </w:rPr>
        <w:t xml:space="preserve">et al., </w:t>
      </w:r>
      <w:r w:rsidRPr="00511B0F">
        <w:t xml:space="preserve">2008). In 1962, a Japanese company, Taisho Pharmaceuticals, launched Lipovitan D, one of the very first energy drinks, which is still dominating the Japanese market. Since the 1960s, the energy drink market has grown into a </w:t>
      </w:r>
      <w:r w:rsidR="00F037E2" w:rsidRPr="00511B0F">
        <w:t>multibillion-dollar</w:t>
      </w:r>
      <w:r w:rsidRPr="00511B0F">
        <w:t xml:space="preserve"> business which has beenreportedasbeingthe fastest growingsegment in the beverage industry.Energydrinks have established a viable position in </w:t>
      </w:r>
      <w:r w:rsidRPr="00511B0F">
        <w:lastRenderedPageBreak/>
        <w:t>the beverage market as evidenced by their commonplace consumption in the morning, afternoon, and night, not only by the general consumer, but those of age 18 to 34 in particular (Lal, 2007).</w:t>
      </w:r>
    </w:p>
    <w:p w:rsidR="00EC5628" w:rsidRPr="00511B0F" w:rsidRDefault="00EC5628" w:rsidP="00976E89">
      <w:pPr>
        <w:pStyle w:val="BodyText"/>
        <w:spacing w:line="480" w:lineRule="auto"/>
        <w:ind w:right="823"/>
        <w:jc w:val="both"/>
      </w:pPr>
      <w:r w:rsidRPr="00511B0F">
        <w:t xml:space="preserve">The popularity of energy drinks and the growth in their consumption among adolescents and young adults have brought worries regarding general health and </w:t>
      </w:r>
      <w:r w:rsidR="00F037E2" w:rsidRPr="00511B0F">
        <w:t>wellbeing</w:t>
      </w:r>
      <w:r w:rsidRPr="00511B0F">
        <w:t xml:space="preserve"> of these consumers. Adolescents and young adults are often uninformed about the content ofenergy drink (Rath, 2012).</w:t>
      </w:r>
    </w:p>
    <w:p w:rsidR="00EC5628" w:rsidRPr="00511B0F" w:rsidRDefault="00EC5628" w:rsidP="00976E89">
      <w:pPr>
        <w:spacing w:after="0" w:line="480" w:lineRule="auto"/>
        <w:jc w:val="both"/>
        <w:rPr>
          <w:rFonts w:ascii="Times New Roman" w:hAnsi="Times New Roman" w:cs="Times New Roman"/>
          <w:sz w:val="24"/>
          <w:szCs w:val="24"/>
        </w:rPr>
        <w:sectPr w:rsidR="00EC5628" w:rsidRPr="00511B0F">
          <w:footerReference w:type="default" r:id="rId8"/>
          <w:pgSz w:w="12240" w:h="15840"/>
          <w:pgMar w:top="1360" w:right="620" w:bottom="1200" w:left="1640" w:header="0" w:footer="1012" w:gutter="0"/>
          <w:cols w:space="720"/>
        </w:sectPr>
      </w:pPr>
    </w:p>
    <w:p w:rsidR="00EC5628" w:rsidRPr="00511B0F" w:rsidRDefault="00EC5628" w:rsidP="00976E89">
      <w:pPr>
        <w:pStyle w:val="Heading3"/>
        <w:keepNext w:val="0"/>
        <w:keepLines w:val="0"/>
        <w:widowControl w:val="0"/>
        <w:numPr>
          <w:ilvl w:val="1"/>
          <w:numId w:val="8"/>
        </w:numPr>
        <w:tabs>
          <w:tab w:val="left" w:pos="1097"/>
        </w:tabs>
        <w:autoSpaceDE w:val="0"/>
        <w:autoSpaceDN w:val="0"/>
        <w:spacing w:before="0" w:line="240" w:lineRule="auto"/>
        <w:jc w:val="both"/>
        <w:rPr>
          <w:rFonts w:ascii="Times New Roman" w:hAnsi="Times New Roman" w:cs="Times New Roman"/>
          <w:b/>
          <w:bCs/>
          <w:color w:val="auto"/>
        </w:rPr>
      </w:pPr>
      <w:bookmarkStart w:id="3" w:name="_TOC_250076"/>
      <w:r w:rsidRPr="00511B0F">
        <w:rPr>
          <w:rFonts w:ascii="Times New Roman" w:hAnsi="Times New Roman" w:cs="Times New Roman"/>
          <w:b/>
          <w:bCs/>
          <w:color w:val="auto"/>
        </w:rPr>
        <w:lastRenderedPageBreak/>
        <w:t>ContentsofEnergy</w:t>
      </w:r>
      <w:bookmarkEnd w:id="3"/>
      <w:r w:rsidRPr="00511B0F">
        <w:rPr>
          <w:rFonts w:ascii="Times New Roman" w:hAnsi="Times New Roman" w:cs="Times New Roman"/>
          <w:b/>
          <w:bCs/>
          <w:color w:val="auto"/>
          <w:spacing w:val="-2"/>
        </w:rPr>
        <w:t>Drinks</w:t>
      </w:r>
    </w:p>
    <w:p w:rsidR="00EC5628" w:rsidRPr="00511B0F" w:rsidRDefault="00EC5628" w:rsidP="00976E89">
      <w:pPr>
        <w:pStyle w:val="BodyText"/>
        <w:jc w:val="both"/>
        <w:rPr>
          <w:b/>
        </w:rPr>
      </w:pPr>
    </w:p>
    <w:p w:rsidR="00F037E2" w:rsidRPr="00511B0F" w:rsidRDefault="00EC5628" w:rsidP="00976E89">
      <w:pPr>
        <w:pStyle w:val="BodyText"/>
        <w:spacing w:line="480" w:lineRule="auto"/>
        <w:ind w:right="812"/>
        <w:jc w:val="both"/>
      </w:pPr>
      <w:r w:rsidRPr="00511B0F">
        <w:t xml:space="preserve">There are hundreds of energy drinks available in the market, many share very similar ingredient profiles. Most of these energy drinks consist mainly of caffeine, Taurine, Guarana, Ginseng, B vitamins, Ginko Biloba, L-carntine, sugars, Antioxidants, Glucuronolactone, Yerba Mate, Creatine, Acai Berry, Milk Thistle, L-theanine, Inositoland artificial sweetners (Babu </w:t>
      </w:r>
      <w:r w:rsidRPr="00511B0F">
        <w:rPr>
          <w:i/>
        </w:rPr>
        <w:t xml:space="preserve">et al., </w:t>
      </w:r>
      <w:r w:rsidRPr="00511B0F">
        <w:t>2008).</w:t>
      </w:r>
      <w:bookmarkStart w:id="4" w:name="_TOC_250075"/>
      <w:bookmarkEnd w:id="4"/>
    </w:p>
    <w:p w:rsidR="00EC5628" w:rsidRPr="00511B0F" w:rsidRDefault="00F037E2" w:rsidP="00976E89">
      <w:pPr>
        <w:pStyle w:val="BodyText"/>
        <w:spacing w:line="480" w:lineRule="auto"/>
        <w:ind w:right="812"/>
        <w:jc w:val="both"/>
        <w:rPr>
          <w:b/>
          <w:bCs/>
        </w:rPr>
      </w:pPr>
      <w:r w:rsidRPr="00511B0F">
        <w:rPr>
          <w:b/>
          <w:bCs/>
        </w:rPr>
        <w:t xml:space="preserve">1.3.1 </w:t>
      </w:r>
      <w:r w:rsidR="00EC5628" w:rsidRPr="00511B0F">
        <w:rPr>
          <w:b/>
          <w:bCs/>
          <w:spacing w:val="-2"/>
        </w:rPr>
        <w:t>Caffeine</w:t>
      </w:r>
    </w:p>
    <w:p w:rsidR="00EC5628" w:rsidRPr="00511B0F" w:rsidRDefault="00EC5628" w:rsidP="00976E89">
      <w:pPr>
        <w:pStyle w:val="BodyText"/>
        <w:spacing w:line="480" w:lineRule="auto"/>
        <w:ind w:right="810"/>
        <w:jc w:val="both"/>
      </w:pPr>
      <w:r w:rsidRPr="00511B0F">
        <w:t>Caffeine is probably the most frequently ingested pharmacologically active substance inthe world. It is one ofthe main ingredients of stimulant drinks and it is also present in tea, coffeeand other beverages and foods. Caffeine is extracted fromtheraw fruit ofover sixty species of coffee plants (coffea Arabica), all part of the methylxanthine family. The dimethylxanthine derivatives, theophylline and theobromine, are also found in a varietyof plants. It is also extracted from tea, kola nuts, and cocoa. The average total intake of caffeine in the Republic of Ireland and the UK is estimated to be 214 and 278 mg per person per day, respectively (FSPB, 2010). Data from the consumption survey, based on weekly intake, indicates that among stimulant drink consumers, the average daily caffeine intake from stimulant drinks alone would be approximately 35 mg, rising to about 90 mg among the highest consumers (FSPB, 2010). This does not appear excessive. However, whenthe consumptionofstimulant drinks ina single sessionwas investigated, the average caffeine consumed was approximately 240 mg (3 cans), rising to about 640 mg (8 cans) among the highest consumers (FSPB, 2010). Such large intake levels among the highest consumers are a cause of concern, particularly in relation to the known potential acute healtheffects of caffeine suchas tachycardia, increases in blood pressure and dehydration,</w:t>
      </w:r>
    </w:p>
    <w:p w:rsidR="00EC5628" w:rsidRPr="00511B0F" w:rsidRDefault="00EC5628" w:rsidP="00976E89">
      <w:pPr>
        <w:spacing w:after="0" w:line="480" w:lineRule="auto"/>
        <w:jc w:val="both"/>
        <w:rPr>
          <w:rFonts w:ascii="Times New Roman" w:hAnsi="Times New Roman" w:cs="Times New Roman"/>
          <w:sz w:val="24"/>
          <w:szCs w:val="24"/>
        </w:rPr>
        <w:sectPr w:rsidR="00EC5628" w:rsidRPr="00511B0F">
          <w:pgSz w:w="12240" w:h="15840"/>
          <w:pgMar w:top="1360" w:right="620" w:bottom="1200" w:left="1640" w:header="0" w:footer="1012" w:gutter="0"/>
          <w:cols w:space="720"/>
        </w:sectPr>
      </w:pPr>
    </w:p>
    <w:p w:rsidR="00F037E2" w:rsidRPr="00511B0F" w:rsidRDefault="00EC5628" w:rsidP="00976E89">
      <w:pPr>
        <w:pStyle w:val="BodyText"/>
        <w:spacing w:line="480" w:lineRule="auto"/>
        <w:ind w:right="815"/>
        <w:jc w:val="both"/>
      </w:pPr>
      <w:r w:rsidRPr="00511B0F">
        <w:lastRenderedPageBreak/>
        <w:t>as well as behavioural and cognitive effects. The health effects of chronic or habitual caffeine consumption remain uncertain.</w:t>
      </w:r>
      <w:bookmarkStart w:id="5" w:name="_TOC_250074"/>
      <w:bookmarkEnd w:id="5"/>
    </w:p>
    <w:p w:rsidR="00EC5628" w:rsidRPr="00511B0F" w:rsidRDefault="00F037E2" w:rsidP="00976E89">
      <w:pPr>
        <w:pStyle w:val="BodyText"/>
        <w:spacing w:line="480" w:lineRule="auto"/>
        <w:ind w:right="815"/>
        <w:jc w:val="both"/>
        <w:rPr>
          <w:b/>
          <w:bCs/>
        </w:rPr>
      </w:pPr>
      <w:r w:rsidRPr="00511B0F">
        <w:rPr>
          <w:b/>
          <w:bCs/>
        </w:rPr>
        <w:t xml:space="preserve">1.3.2 </w:t>
      </w:r>
      <w:r w:rsidR="00EC5628" w:rsidRPr="00511B0F">
        <w:rPr>
          <w:b/>
          <w:bCs/>
          <w:spacing w:val="-2"/>
        </w:rPr>
        <w:t>Taurine</w:t>
      </w:r>
    </w:p>
    <w:p w:rsidR="00544465" w:rsidRPr="00511B0F" w:rsidRDefault="00EC5628" w:rsidP="00976E89">
      <w:pPr>
        <w:pStyle w:val="BodyText"/>
        <w:spacing w:line="480" w:lineRule="auto"/>
        <w:ind w:right="813"/>
        <w:jc w:val="both"/>
      </w:pPr>
      <w:r w:rsidRPr="00511B0F">
        <w:t>Taurine (2-aminoethyl sulfonic acid) is a sulfur containing amino acid that is the most abundant amino acid found naturally in our bodies, primarily in the retina and skeletaland cardiac muscletissue(Timbrell</w:t>
      </w:r>
      <w:r w:rsidRPr="00511B0F">
        <w:rPr>
          <w:i/>
        </w:rPr>
        <w:t xml:space="preserve">etal., </w:t>
      </w:r>
      <w:r w:rsidRPr="00511B0F">
        <w:t>1995;Imagawa</w:t>
      </w:r>
      <w:r w:rsidRPr="00511B0F">
        <w:rPr>
          <w:i/>
        </w:rPr>
        <w:t xml:space="preserve">etal., </w:t>
      </w:r>
      <w:r w:rsidRPr="00511B0F">
        <w:t>2009).Taurine isderived from the metabolism of methionine and cysteine (Huxtable, 1992; Stipanuk, 2004). It is also present in common food items such as meat and fish. The data on stimulant drink intake among stimulant drink consumers indicate that average dailytaurine intake fromstimulant drinks was approximately 0.4 g, increasing to about 1 g among the highest consumers (FSPB, 2010). The most taurine consumed from stimulant drinks in a single session was averaged at approximately3 g, rising to about 8 gbythe highest consumers (FSPB, 2010). Stimulant drink intakeat the maximumlevelofintakeprovidestaurine far inexcessofthat from other foods or beverages in the diet. Data available indicate no evidence of adverse effects of taurine at such intakes and in a recent report the EU Scientific Committee for Food (SCF) was unable to conclude that the ‗</w:t>
      </w:r>
      <w:r w:rsidRPr="00511B0F">
        <w:rPr>
          <w:i/>
        </w:rPr>
        <w:t>safety-in-use</w:t>
      </w:r>
      <w:r w:rsidRPr="00511B0F">
        <w:t>‘ of taurine in the concentration range reported for stimulant drinks has been adequately established (EU SCF, 1983).</w:t>
      </w:r>
      <w:bookmarkStart w:id="6" w:name="_TOC_250073"/>
      <w:bookmarkEnd w:id="6"/>
    </w:p>
    <w:p w:rsidR="00EC5628" w:rsidRPr="00511B0F" w:rsidRDefault="00544465" w:rsidP="00976E89">
      <w:pPr>
        <w:pStyle w:val="BodyText"/>
        <w:spacing w:line="480" w:lineRule="auto"/>
        <w:ind w:right="813"/>
        <w:jc w:val="both"/>
        <w:rPr>
          <w:b/>
          <w:bCs/>
        </w:rPr>
      </w:pPr>
      <w:r w:rsidRPr="00511B0F">
        <w:rPr>
          <w:b/>
          <w:bCs/>
        </w:rPr>
        <w:t xml:space="preserve">1.3.3 </w:t>
      </w:r>
      <w:r w:rsidR="00EC5628" w:rsidRPr="00511B0F">
        <w:rPr>
          <w:b/>
          <w:bCs/>
          <w:spacing w:val="-2"/>
        </w:rPr>
        <w:t>Guarana</w:t>
      </w:r>
    </w:p>
    <w:p w:rsidR="00EC5628" w:rsidRPr="00511B0F" w:rsidRDefault="00EC5628" w:rsidP="00976E89">
      <w:pPr>
        <w:pStyle w:val="BodyText"/>
        <w:spacing w:line="480" w:lineRule="auto"/>
        <w:ind w:right="818"/>
        <w:jc w:val="both"/>
        <w:sectPr w:rsidR="00EC5628" w:rsidRPr="00511B0F">
          <w:pgSz w:w="12240" w:h="15840"/>
          <w:pgMar w:top="1360" w:right="620" w:bottom="1200" w:left="1640" w:header="0" w:footer="1012" w:gutter="0"/>
          <w:cols w:space="720"/>
        </w:sectPr>
      </w:pPr>
      <w:r w:rsidRPr="00511B0F">
        <w:t>Guarana (</w:t>
      </w:r>
      <w:r w:rsidRPr="00511B0F">
        <w:rPr>
          <w:i/>
        </w:rPr>
        <w:t>Paulliniacupana</w:t>
      </w:r>
      <w:r w:rsidRPr="00511B0F">
        <w:t>) is a native South American plant containing guaranine, a substance chemically similar to caffeine with comparable stimulant effects. Guarana is often added to stimulant drinks, either in combination with caffeine or on its own. The stimulant effect of guarana is related to its caffeine content; one gram of guarana contain</w:t>
      </w:r>
      <w:r w:rsidR="00544465" w:rsidRPr="00511B0F">
        <w:t xml:space="preserve">  as much caffeine </w:t>
      </w:r>
    </w:p>
    <w:p w:rsidR="00544465" w:rsidRPr="00511B0F" w:rsidRDefault="00EC5628" w:rsidP="00976E89">
      <w:pPr>
        <w:pStyle w:val="BodyText"/>
        <w:spacing w:line="480" w:lineRule="auto"/>
        <w:ind w:right="815"/>
        <w:jc w:val="both"/>
        <w:rPr>
          <w:spacing w:val="-2"/>
        </w:rPr>
      </w:pPr>
      <w:r w:rsidRPr="00511B0F">
        <w:lastRenderedPageBreak/>
        <w:t xml:space="preserve">as much caffeine (40 mg) as a medium strength cup of coffee. The precise source and nature of the stimulant activity of guarana is not well understood. However, it has been reportedthat guaranaexertsamoreprolongedeffectthananequivalent amountofcaffeine. The Food and Drinks Administration (FDA) in the USA currently prohibits the use of guarana in food and drinks while awaiting further clarification on its safety (USFDA, </w:t>
      </w:r>
      <w:r w:rsidRPr="00511B0F">
        <w:rPr>
          <w:spacing w:val="-2"/>
        </w:rPr>
        <w:t>2011).</w:t>
      </w:r>
      <w:bookmarkStart w:id="7" w:name="_TOC_250072"/>
      <w:bookmarkEnd w:id="7"/>
    </w:p>
    <w:p w:rsidR="00EC5628" w:rsidRPr="00511B0F" w:rsidRDefault="00544465" w:rsidP="00976E89">
      <w:pPr>
        <w:pStyle w:val="BodyText"/>
        <w:spacing w:line="480" w:lineRule="auto"/>
        <w:ind w:right="815"/>
        <w:jc w:val="both"/>
        <w:rPr>
          <w:b/>
          <w:bCs/>
        </w:rPr>
      </w:pPr>
      <w:r w:rsidRPr="00511B0F">
        <w:rPr>
          <w:b/>
          <w:bCs/>
          <w:spacing w:val="-2"/>
        </w:rPr>
        <w:t xml:space="preserve">1.3.4 </w:t>
      </w:r>
      <w:r w:rsidR="00EC5628" w:rsidRPr="00511B0F">
        <w:rPr>
          <w:b/>
          <w:bCs/>
          <w:spacing w:val="-2"/>
        </w:rPr>
        <w:t>Glucuronolactone</w:t>
      </w:r>
    </w:p>
    <w:p w:rsidR="00EC5628" w:rsidRPr="00511B0F" w:rsidRDefault="00EC5628" w:rsidP="00976E89">
      <w:pPr>
        <w:pStyle w:val="BodyText"/>
        <w:spacing w:line="480" w:lineRule="auto"/>
        <w:ind w:right="811"/>
        <w:jc w:val="both"/>
        <w:sectPr w:rsidR="00EC5628" w:rsidRPr="00511B0F">
          <w:pgSz w:w="12240" w:h="15840"/>
          <w:pgMar w:top="1360" w:right="620" w:bottom="1200" w:left="1640" w:header="0" w:footer="1012" w:gutter="0"/>
          <w:cols w:space="720"/>
        </w:sectPr>
      </w:pPr>
      <w:r w:rsidRPr="00511B0F">
        <w:t xml:space="preserve">This is a naturally occurring substance produced in small amounts within the body. Supplementation with d-glucarates, including glucuronolactone, may favor the </w:t>
      </w:r>
      <w:r w:rsidR="00544465" w:rsidRPr="00511B0F">
        <w:t>body ‘</w:t>
      </w:r>
      <w:r w:rsidRPr="00511B0F">
        <w:t>s natural defense mechanism for eliminating carcinogens and tumor promoters and their effects (Zołtaszek</w:t>
      </w:r>
      <w:r w:rsidRPr="00511B0F">
        <w:rPr>
          <w:i/>
        </w:rPr>
        <w:t xml:space="preserve">et al., </w:t>
      </w:r>
      <w:r w:rsidRPr="00511B0F">
        <w:t>2008). The data from the consumption survey indicate thataverage daily glucuronolactone intake from stimulant drinks was approximately 0.25 g, rising to about 0.7 g among the highest consumers (FSPB, 2010). The most glucuronolactone consumed from stimulant drinks in a single session was averaged at approximately 1.8 g, rising to about 4.8 g among the highest consumers (FSPB, 2010). These maximum levels of intake provide more glucuronolactone than would otherwise be achieved through other foods or beverages in the diet. There is very little information available for risk assessment of glucuronolactone at such intakes. There is no indication from the available data that there is any risk tohealth from consumption of high amountsof glucuronolactone, although these data are limited.</w:t>
      </w:r>
    </w:p>
    <w:p w:rsidR="00EC5628" w:rsidRPr="00511B0F" w:rsidRDefault="00544465" w:rsidP="00976E89">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b/>
          <w:bCs/>
          <w:color w:val="auto"/>
        </w:rPr>
      </w:pPr>
      <w:bookmarkStart w:id="8" w:name="_TOC_250071"/>
      <w:bookmarkEnd w:id="8"/>
      <w:r w:rsidRPr="00511B0F">
        <w:rPr>
          <w:rFonts w:ascii="Times New Roman" w:hAnsi="Times New Roman" w:cs="Times New Roman"/>
          <w:b/>
          <w:bCs/>
          <w:color w:val="auto"/>
          <w:spacing w:val="-2"/>
        </w:rPr>
        <w:lastRenderedPageBreak/>
        <w:t xml:space="preserve">1.3.5 </w:t>
      </w:r>
      <w:r w:rsidR="00EC5628" w:rsidRPr="00511B0F">
        <w:rPr>
          <w:rFonts w:ascii="Times New Roman" w:hAnsi="Times New Roman" w:cs="Times New Roman"/>
          <w:b/>
          <w:bCs/>
          <w:color w:val="auto"/>
          <w:spacing w:val="-2"/>
        </w:rPr>
        <w:t>Ginseng</w:t>
      </w:r>
    </w:p>
    <w:p w:rsidR="00EC5628" w:rsidRPr="00511B0F" w:rsidRDefault="00EC5628" w:rsidP="00976E89">
      <w:pPr>
        <w:pStyle w:val="BodyText"/>
        <w:jc w:val="both"/>
        <w:rPr>
          <w:b/>
        </w:rPr>
      </w:pPr>
    </w:p>
    <w:p w:rsidR="00544465" w:rsidRPr="00511B0F" w:rsidRDefault="00EC5628" w:rsidP="00976E89">
      <w:pPr>
        <w:pStyle w:val="BodyText"/>
        <w:spacing w:line="480" w:lineRule="auto"/>
        <w:ind w:right="812"/>
        <w:jc w:val="both"/>
      </w:pPr>
      <w:r w:rsidRPr="00511B0F">
        <w:t xml:space="preserve">Ginseng is </w:t>
      </w:r>
      <w:r w:rsidR="00AD406B" w:rsidRPr="00511B0F">
        <w:t>an</w:t>
      </w:r>
      <w:r w:rsidRPr="00511B0F">
        <w:t xml:space="preserve"> herbthat has beenused for over 2000 years bypeople inEast Asiancountries including China, Japan, and Korea as a remedy for various diseases and for promoting longevity (Lee </w:t>
      </w:r>
      <w:r w:rsidRPr="00511B0F">
        <w:rPr>
          <w:i/>
        </w:rPr>
        <w:t xml:space="preserve">et al., </w:t>
      </w:r>
      <w:r w:rsidRPr="00511B0F">
        <w:t xml:space="preserve">2005; Nam </w:t>
      </w:r>
      <w:r w:rsidRPr="00511B0F">
        <w:rPr>
          <w:i/>
        </w:rPr>
        <w:t xml:space="preserve">et al., </w:t>
      </w:r>
      <w:r w:rsidRPr="00511B0F">
        <w:t xml:space="preserve">2005). </w:t>
      </w:r>
      <w:r w:rsidRPr="00511B0F">
        <w:rPr>
          <w:i/>
        </w:rPr>
        <w:t xml:space="preserve">Panax ginseng </w:t>
      </w:r>
      <w:r w:rsidRPr="00511B0F">
        <w:t>is the primary commercial species and is often referred to as Korean or Asian ginseng. Siberian ginseng (</w:t>
      </w:r>
      <w:r w:rsidRPr="00511B0F">
        <w:rPr>
          <w:i/>
        </w:rPr>
        <w:t>Eleutherococcussenticosus</w:t>
      </w:r>
      <w:r w:rsidRPr="00511B0F">
        <w:t xml:space="preserve">) is not truly a ginseng since it contains eleutherosides as its active constituent and no ginsenosides. </w:t>
      </w:r>
      <w:r w:rsidRPr="00511B0F">
        <w:rPr>
          <w:i/>
        </w:rPr>
        <w:t xml:space="preserve">P. ginseng </w:t>
      </w:r>
      <w:r w:rsidRPr="00511B0F">
        <w:t>is a small, shade loving perennial shrub that reaches about 60cm in height and belongs to the plant family Araliacae. The entire ginseng plant has been used for medicinal purposes; however, the root is the most prominent and dominates the commercial sales. Ginseng has been incorporated into a variety of energy drinks although little medical literature supports these uses. Adverse effects associated with ginseng use tend to be mild. However more serious complications have been reported, including diarrhoea, vaginal bleeding, severe headache, and Stevens- Johnson syndrome (Enerst, 2002; Dega</w:t>
      </w:r>
      <w:r w:rsidRPr="00511B0F">
        <w:rPr>
          <w:i/>
        </w:rPr>
        <w:t xml:space="preserve">et al., </w:t>
      </w:r>
      <w:r w:rsidRPr="00511B0F">
        <w:t>1996). Many of these effects may be attributedto contaminants. Agranulocytosis in4 patientstaking ginseng had been linked to unreported phenylbutazone and aminopyrine contained in the preparation (Ries</w:t>
      </w:r>
      <w:r w:rsidRPr="00511B0F">
        <w:rPr>
          <w:i/>
        </w:rPr>
        <w:t xml:space="preserve">et al., </w:t>
      </w:r>
      <w:r w:rsidRPr="00511B0F">
        <w:t>1975). A ginseng abuse syndrome, characterized by morning diarrhoea, hypertension, rashes, insomnia, and irritability had been reported (Siegel, 1979). Little is known regarding the effects of ginseng in children and adolescents (Braganza and Larkin, 2007).</w:t>
      </w:r>
      <w:bookmarkStart w:id="9" w:name="_TOC_250070"/>
      <w:bookmarkEnd w:id="9"/>
    </w:p>
    <w:p w:rsidR="00EC5628" w:rsidRPr="00511B0F" w:rsidRDefault="00544465" w:rsidP="00976E89">
      <w:pPr>
        <w:pStyle w:val="BodyText"/>
        <w:spacing w:line="480" w:lineRule="auto"/>
        <w:ind w:right="812"/>
        <w:jc w:val="both"/>
        <w:rPr>
          <w:b/>
          <w:bCs/>
        </w:rPr>
      </w:pPr>
      <w:r w:rsidRPr="00511B0F">
        <w:rPr>
          <w:b/>
          <w:bCs/>
        </w:rPr>
        <w:t xml:space="preserve">1.3.6 </w:t>
      </w:r>
      <w:r w:rsidR="00EC5628" w:rsidRPr="00511B0F">
        <w:rPr>
          <w:b/>
          <w:bCs/>
          <w:spacing w:val="-2"/>
        </w:rPr>
        <w:t>Vitamins</w:t>
      </w:r>
    </w:p>
    <w:p w:rsidR="00EC5628" w:rsidRPr="00511B0F" w:rsidRDefault="00EC5628" w:rsidP="00976E89">
      <w:pPr>
        <w:pStyle w:val="BodyText"/>
        <w:spacing w:line="480" w:lineRule="auto"/>
        <w:ind w:right="821"/>
        <w:jc w:val="both"/>
        <w:sectPr w:rsidR="00EC5628" w:rsidRPr="00511B0F">
          <w:pgSz w:w="12240" w:h="15840"/>
          <w:pgMar w:top="1360" w:right="620" w:bottom="1200" w:left="1640" w:header="0" w:footer="1012" w:gutter="0"/>
          <w:cols w:space="720"/>
        </w:sectPr>
      </w:pPr>
      <w:r w:rsidRPr="00511B0F">
        <w:t>B vitamins are a group of 8 individual water-soluble vitamins, usually referred to as the B complex when grouped together, and all play essential roles in cellular processes. B vitaminsareincorporatedintomanyofthemainstreamenergydrinks.</w:t>
      </w:r>
    </w:p>
    <w:p w:rsidR="00EC5628" w:rsidRPr="00511B0F" w:rsidRDefault="00544465" w:rsidP="00976E89">
      <w:pPr>
        <w:pStyle w:val="BodyText"/>
        <w:spacing w:line="480" w:lineRule="auto"/>
        <w:ind w:right="817"/>
        <w:jc w:val="both"/>
      </w:pPr>
      <w:r w:rsidRPr="00511B0F">
        <w:lastRenderedPageBreak/>
        <w:t>Atypicalcanof</w:t>
      </w:r>
      <w:r w:rsidRPr="00511B0F">
        <w:rPr>
          <w:spacing w:val="-5"/>
        </w:rPr>
        <w:t xml:space="preserve">250 </w:t>
      </w:r>
      <w:r w:rsidR="00EC5628" w:rsidRPr="00511B0F">
        <w:t>ml may contain 360% of the recommended daily allowance (RDA) of B6, 120% of B12, and 120%ofB3(niacin). Thecontainer size variesamong brandsand it mayhold multiple servings. The addition of excess amounts of B vitamins is also observed in the more extreme energy drinks like 5-Hour Energy which contains 8333% of the RDA for vitamin B12 and 2000% of the RDA for B6. It is claimed that the consumption of these large amounts of B vitamins increases mental alertness and focus, as well as improvesmood. Theaverageperson, however, consumestheRDAofBvitamins fromatypicaldiet since B vitamins are found in a variety of foods including bananas, lentils, potatoes, tuna, and turkey. Vitamins B2 (riboflavin), B3 (niacin), B6 (pyridoxine, pyridoxal, pyridoxamine), and B12 are the most common of the B vitamins that are incorporated into energy drink formulations (Wardlaw and Smith, 2009).</w:t>
      </w:r>
    </w:p>
    <w:p w:rsidR="00EC5628" w:rsidRPr="00511B0F" w:rsidRDefault="00EC5628" w:rsidP="00976E89">
      <w:pPr>
        <w:pStyle w:val="BodyText"/>
        <w:spacing w:line="480" w:lineRule="auto"/>
        <w:ind w:right="815"/>
        <w:jc w:val="both"/>
      </w:pPr>
      <w:r w:rsidRPr="00511B0F">
        <w:t>Vitamin B2 is a coenzyme in the metabolism of carbohydrates. Vitamin B3 plays a major role as a coenzyme in energy metabolism, fat synthesis, and fat breakdown (Wardlaw and Smith, 2009). Vitamin B6 is a group of 3 structurally similar compounds that all can be converted into the vitamin B6 coenzyme which aids in the utilization of carbohydrates,fats, and proteins (Wardlaw and Smith, 2009). Vitamin B12 assists in folate metabolism and in nerve function (Wardlaw and Smith, 2009). Since all of the B vitamins are water soluble, once the RDA has been met, the excess vitamins are excreted from the body via urine. Although the consumption of a large amount of B vitamins does not possess any adverse health effects, the logic behind the extreme amounts of B vitamins in these beverages is not well rationalized (Wardlaw and Smith, 2009).</w:t>
      </w:r>
    </w:p>
    <w:p w:rsidR="00544465" w:rsidRPr="00511B0F" w:rsidRDefault="00544465" w:rsidP="00976E89">
      <w:pPr>
        <w:pStyle w:val="BodyText"/>
        <w:spacing w:line="480" w:lineRule="auto"/>
        <w:ind w:right="815"/>
        <w:jc w:val="both"/>
      </w:pPr>
    </w:p>
    <w:p w:rsidR="00544465" w:rsidRPr="00511B0F" w:rsidRDefault="00544465" w:rsidP="00976E89">
      <w:pPr>
        <w:pStyle w:val="BodyText"/>
        <w:spacing w:line="480" w:lineRule="auto"/>
        <w:ind w:right="815"/>
        <w:jc w:val="both"/>
      </w:pPr>
    </w:p>
    <w:p w:rsidR="00544465" w:rsidRPr="00511B0F" w:rsidRDefault="00544465" w:rsidP="00976E89">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color w:val="auto"/>
          <w:spacing w:val="-2"/>
        </w:rPr>
      </w:pPr>
      <w:bookmarkStart w:id="10" w:name="_TOC_250068"/>
      <w:bookmarkEnd w:id="10"/>
    </w:p>
    <w:p w:rsidR="00544465" w:rsidRPr="00511B0F" w:rsidRDefault="00544465" w:rsidP="00976E89">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color w:val="auto"/>
          <w:spacing w:val="-2"/>
        </w:rPr>
      </w:pPr>
    </w:p>
    <w:p w:rsidR="00EC5628" w:rsidRPr="00511B0F" w:rsidRDefault="00544465" w:rsidP="00976E89">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b/>
          <w:bCs/>
          <w:color w:val="auto"/>
        </w:rPr>
      </w:pPr>
      <w:r w:rsidRPr="00511B0F">
        <w:rPr>
          <w:rFonts w:ascii="Times New Roman" w:hAnsi="Times New Roman" w:cs="Times New Roman"/>
          <w:b/>
          <w:bCs/>
          <w:color w:val="auto"/>
          <w:spacing w:val="-2"/>
        </w:rPr>
        <w:t xml:space="preserve">1.4 </w:t>
      </w:r>
      <w:r w:rsidR="00EC5628" w:rsidRPr="00511B0F">
        <w:rPr>
          <w:rFonts w:ascii="Times New Roman" w:hAnsi="Times New Roman" w:cs="Times New Roman"/>
          <w:b/>
          <w:bCs/>
          <w:color w:val="auto"/>
          <w:spacing w:val="-2"/>
        </w:rPr>
        <w:t>Justification</w:t>
      </w:r>
    </w:p>
    <w:p w:rsidR="00EC5628" w:rsidRPr="00511B0F" w:rsidRDefault="00EC5628" w:rsidP="00976E89">
      <w:pPr>
        <w:pStyle w:val="BodyText"/>
        <w:jc w:val="both"/>
        <w:rPr>
          <w:b/>
        </w:rPr>
      </w:pPr>
    </w:p>
    <w:p w:rsidR="00EC5628" w:rsidRPr="00511B0F" w:rsidRDefault="00EC5628" w:rsidP="00976E89">
      <w:pPr>
        <w:pStyle w:val="BodyText"/>
        <w:spacing w:line="480" w:lineRule="auto"/>
        <w:ind w:right="821"/>
        <w:jc w:val="both"/>
        <w:sectPr w:rsidR="00EC5628" w:rsidRPr="00511B0F">
          <w:pgSz w:w="12240" w:h="15840"/>
          <w:pgMar w:top="1360" w:right="620" w:bottom="1200" w:left="1640" w:header="0" w:footer="1012" w:gutter="0"/>
          <w:cols w:space="720"/>
        </w:sectPr>
      </w:pPr>
      <w:r w:rsidRPr="00511B0F">
        <w:t>Energy drinks have established an enviable position in the beverage market as evidenced by their commonplace consumption. There are a number of scientific reports on theadverse consequences of excessive consumption of these drinks. Many of these productsdo not provide the complete chemical composition, and the caffeine content and other ingredients present are unknown to the consumer. Hence there is need to quantify themajor content of these energy drinks and compare with those of accepted standards. Also, energy drinks occur mostly in liquid and powdered forms. There has been little or no researchonthepowderedproductsasmoreattentionhasbeengiventothosein</w:t>
      </w:r>
      <w:r w:rsidRPr="00511B0F">
        <w:rPr>
          <w:spacing w:val="-2"/>
        </w:rPr>
        <w:t>liquids.</w:t>
      </w:r>
      <w:r w:rsidR="00544465" w:rsidRPr="00511B0F">
        <w:t>These powdered products are usually dissolved in water by consumers before intake. It is therefore imperative to determine the caffeine, aspartame and other energizers of the powdered products and compared them with those of the liquid products. It will also be necessary to determine some other physicochemical properties of the energy drinks</w:t>
      </w:r>
    </w:p>
    <w:p w:rsidR="00EC5628" w:rsidRPr="00511B0F" w:rsidRDefault="00544465" w:rsidP="00976E89">
      <w:pPr>
        <w:pStyle w:val="Heading3"/>
        <w:keepNext w:val="0"/>
        <w:keepLines w:val="0"/>
        <w:widowControl w:val="0"/>
        <w:tabs>
          <w:tab w:val="left" w:pos="1096"/>
          <w:tab w:val="left" w:pos="1097"/>
        </w:tabs>
        <w:autoSpaceDE w:val="0"/>
        <w:autoSpaceDN w:val="0"/>
        <w:spacing w:before="0" w:line="240" w:lineRule="auto"/>
        <w:jc w:val="both"/>
        <w:rPr>
          <w:rFonts w:ascii="Times New Roman" w:hAnsi="Times New Roman" w:cs="Times New Roman"/>
          <w:b/>
          <w:bCs/>
          <w:color w:val="auto"/>
        </w:rPr>
      </w:pPr>
      <w:bookmarkStart w:id="11" w:name="_TOC_250067"/>
      <w:r w:rsidRPr="00511B0F">
        <w:rPr>
          <w:rFonts w:ascii="Times New Roman" w:hAnsi="Times New Roman" w:cs="Times New Roman"/>
          <w:b/>
          <w:bCs/>
          <w:color w:val="auto"/>
        </w:rPr>
        <w:lastRenderedPageBreak/>
        <w:t xml:space="preserve">1.5 </w:t>
      </w:r>
      <w:r w:rsidR="00EC5628" w:rsidRPr="00511B0F">
        <w:rPr>
          <w:rFonts w:ascii="Times New Roman" w:hAnsi="Times New Roman" w:cs="Times New Roman"/>
          <w:b/>
          <w:bCs/>
          <w:color w:val="auto"/>
        </w:rPr>
        <w:t>Aimand</w:t>
      </w:r>
      <w:bookmarkEnd w:id="11"/>
      <w:r w:rsidR="00EC5628" w:rsidRPr="00511B0F">
        <w:rPr>
          <w:rFonts w:ascii="Times New Roman" w:hAnsi="Times New Roman" w:cs="Times New Roman"/>
          <w:b/>
          <w:bCs/>
          <w:color w:val="auto"/>
          <w:spacing w:val="-2"/>
        </w:rPr>
        <w:t>Objectives</w:t>
      </w:r>
    </w:p>
    <w:p w:rsidR="00EC5628" w:rsidRPr="00511B0F" w:rsidRDefault="00EC5628" w:rsidP="00976E89">
      <w:pPr>
        <w:pStyle w:val="BodyText"/>
        <w:jc w:val="both"/>
        <w:rPr>
          <w:b/>
        </w:rPr>
      </w:pPr>
    </w:p>
    <w:p w:rsidR="00EC5628" w:rsidRPr="00511B0F" w:rsidRDefault="00EC5628" w:rsidP="00976E89">
      <w:pPr>
        <w:pStyle w:val="BodyText"/>
        <w:spacing w:line="480" w:lineRule="auto"/>
        <w:ind w:right="775"/>
        <w:jc w:val="both"/>
      </w:pPr>
      <w:r w:rsidRPr="00511B0F">
        <w:t xml:space="preserve">The aim of this work is to </w:t>
      </w:r>
      <w:r w:rsidR="00511B0F" w:rsidRPr="00511B0F">
        <w:t>investigate</w:t>
      </w:r>
      <w:r w:rsidRPr="00511B0F">
        <w:t xml:space="preserve"> the physicochemical properties and some chemical constituents of selected energy drinks. This will be achieved through</w:t>
      </w:r>
      <w:r w:rsidR="00511B0F" w:rsidRPr="00511B0F">
        <w:t xml:space="preserve"> the following objectives;</w:t>
      </w:r>
    </w:p>
    <w:p w:rsidR="00EC5628" w:rsidRPr="00511B0F" w:rsidRDefault="00EC5628" w:rsidP="00976E89">
      <w:pPr>
        <w:pStyle w:val="ListParagraph"/>
        <w:numPr>
          <w:ilvl w:val="0"/>
          <w:numId w:val="9"/>
        </w:numPr>
        <w:tabs>
          <w:tab w:val="left" w:pos="1141"/>
        </w:tabs>
        <w:jc w:val="both"/>
        <w:rPr>
          <w:sz w:val="24"/>
          <w:szCs w:val="24"/>
        </w:rPr>
      </w:pPr>
      <w:r w:rsidRPr="00511B0F">
        <w:rPr>
          <w:sz w:val="24"/>
          <w:szCs w:val="24"/>
        </w:rPr>
        <w:t>determinationofthe caffeineandaspartameconcentrationsoftheenergy</w:t>
      </w:r>
      <w:r w:rsidRPr="00511B0F">
        <w:rPr>
          <w:spacing w:val="-2"/>
          <w:sz w:val="24"/>
          <w:szCs w:val="24"/>
        </w:rPr>
        <w:t>drinks;</w:t>
      </w:r>
    </w:p>
    <w:p w:rsidR="00EC5628" w:rsidRPr="00511B0F" w:rsidRDefault="00EC5628" w:rsidP="00976E89">
      <w:pPr>
        <w:pStyle w:val="BodyText"/>
        <w:jc w:val="both"/>
      </w:pPr>
    </w:p>
    <w:p w:rsidR="00EC5628" w:rsidRPr="00511B0F" w:rsidRDefault="00EC5628" w:rsidP="00976E89">
      <w:pPr>
        <w:pStyle w:val="ListParagraph"/>
        <w:numPr>
          <w:ilvl w:val="0"/>
          <w:numId w:val="9"/>
        </w:numPr>
        <w:tabs>
          <w:tab w:val="left" w:pos="1141"/>
        </w:tabs>
        <w:jc w:val="both"/>
        <w:rPr>
          <w:sz w:val="24"/>
          <w:szCs w:val="24"/>
        </w:rPr>
      </w:pPr>
      <w:r w:rsidRPr="00511B0F">
        <w:rPr>
          <w:sz w:val="24"/>
          <w:szCs w:val="24"/>
        </w:rPr>
        <w:t>determinethe physicochemicalpropertiesofenergy</w:t>
      </w:r>
      <w:r w:rsidRPr="00511B0F">
        <w:rPr>
          <w:spacing w:val="-2"/>
          <w:sz w:val="24"/>
          <w:szCs w:val="24"/>
        </w:rPr>
        <w:t>drinks;</w:t>
      </w:r>
    </w:p>
    <w:p w:rsidR="00EC5628" w:rsidRPr="00511B0F" w:rsidRDefault="00EC5628" w:rsidP="00976E89">
      <w:pPr>
        <w:pStyle w:val="BodyText"/>
        <w:jc w:val="both"/>
      </w:pPr>
    </w:p>
    <w:p w:rsidR="00EC5628" w:rsidRPr="00511B0F" w:rsidRDefault="00EC5628" w:rsidP="00976E89">
      <w:pPr>
        <w:pStyle w:val="ListParagraph"/>
        <w:numPr>
          <w:ilvl w:val="0"/>
          <w:numId w:val="9"/>
        </w:numPr>
        <w:tabs>
          <w:tab w:val="left" w:pos="1141"/>
        </w:tabs>
        <w:jc w:val="both"/>
        <w:rPr>
          <w:sz w:val="24"/>
          <w:szCs w:val="24"/>
        </w:rPr>
      </w:pPr>
      <w:r w:rsidRPr="00511B0F">
        <w:rPr>
          <w:sz w:val="24"/>
          <w:szCs w:val="24"/>
        </w:rPr>
        <w:t>determinationofthelevelofheavymetals(Cu,Zn,Pb, Cd,Mn,Fe)in</w:t>
      </w:r>
      <w:r w:rsidRPr="00511B0F">
        <w:rPr>
          <w:spacing w:val="-2"/>
          <w:sz w:val="24"/>
          <w:szCs w:val="24"/>
        </w:rPr>
        <w:t>them</w:t>
      </w:r>
    </w:p>
    <w:p w:rsidR="00511B0F" w:rsidRDefault="00511B0F"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Default="00AD406B" w:rsidP="00976E89">
      <w:pPr>
        <w:spacing w:after="0"/>
        <w:jc w:val="both"/>
        <w:rPr>
          <w:rFonts w:ascii="Times New Roman" w:hAnsi="Times New Roman" w:cs="Times New Roman"/>
          <w:sz w:val="24"/>
          <w:szCs w:val="24"/>
        </w:rPr>
      </w:pPr>
    </w:p>
    <w:p w:rsidR="00AD406B" w:rsidRPr="00511B0F" w:rsidRDefault="00AD406B" w:rsidP="00976E89">
      <w:pPr>
        <w:spacing w:after="0"/>
        <w:jc w:val="both"/>
        <w:rPr>
          <w:rFonts w:ascii="Times New Roman" w:hAnsi="Times New Roman" w:cs="Times New Roman"/>
          <w:sz w:val="24"/>
          <w:szCs w:val="24"/>
        </w:rPr>
      </w:pPr>
    </w:p>
    <w:p w:rsidR="00511B0F" w:rsidRPr="00511B0F" w:rsidRDefault="00511B0F" w:rsidP="00976E89">
      <w:pPr>
        <w:spacing w:after="0"/>
        <w:jc w:val="both"/>
        <w:rPr>
          <w:rFonts w:ascii="Times New Roman" w:hAnsi="Times New Roman" w:cs="Times New Roman"/>
          <w:sz w:val="24"/>
          <w:szCs w:val="24"/>
        </w:rPr>
      </w:pPr>
    </w:p>
    <w:p w:rsidR="00EC5628" w:rsidRPr="00511B0F" w:rsidRDefault="00EC5628" w:rsidP="00976E89">
      <w:pPr>
        <w:spacing w:after="0"/>
        <w:jc w:val="both"/>
        <w:rPr>
          <w:rFonts w:ascii="Times New Roman" w:hAnsi="Times New Roman" w:cs="Times New Roman"/>
          <w:sz w:val="24"/>
          <w:szCs w:val="24"/>
        </w:rPr>
      </w:pPr>
    </w:p>
    <w:p w:rsidR="00EC5628" w:rsidRPr="00511B0F" w:rsidRDefault="00EC5628" w:rsidP="00976E89">
      <w:pPr>
        <w:pStyle w:val="Heading1"/>
        <w:spacing w:before="0"/>
        <w:ind w:left="3258"/>
        <w:jc w:val="both"/>
        <w:rPr>
          <w:sz w:val="24"/>
          <w:szCs w:val="24"/>
        </w:rPr>
      </w:pPr>
      <w:bookmarkStart w:id="12" w:name="_TOC_250066"/>
      <w:r w:rsidRPr="00511B0F">
        <w:rPr>
          <w:sz w:val="24"/>
          <w:szCs w:val="24"/>
        </w:rPr>
        <w:lastRenderedPageBreak/>
        <w:t>CHAPTER</w:t>
      </w:r>
      <w:bookmarkEnd w:id="12"/>
      <w:r w:rsidRPr="00511B0F">
        <w:rPr>
          <w:spacing w:val="-5"/>
          <w:sz w:val="24"/>
          <w:szCs w:val="24"/>
        </w:rPr>
        <w:t>TWO</w:t>
      </w:r>
    </w:p>
    <w:p w:rsidR="00EC5628" w:rsidRPr="00511B0F" w:rsidRDefault="00EC5628" w:rsidP="00976E89">
      <w:pPr>
        <w:pStyle w:val="BodyText"/>
        <w:jc w:val="both"/>
        <w:rPr>
          <w:b/>
        </w:rPr>
      </w:pPr>
    </w:p>
    <w:p w:rsidR="00EC5628" w:rsidRPr="00511B0F" w:rsidRDefault="00EC5628" w:rsidP="00976E89">
      <w:pPr>
        <w:pStyle w:val="Heading1"/>
        <w:tabs>
          <w:tab w:val="left" w:pos="1097"/>
        </w:tabs>
        <w:spacing w:before="0"/>
        <w:ind w:left="0"/>
        <w:rPr>
          <w:sz w:val="24"/>
          <w:szCs w:val="24"/>
        </w:rPr>
      </w:pPr>
      <w:bookmarkStart w:id="13" w:name="_TOC_250065"/>
      <w:r w:rsidRPr="00511B0F">
        <w:rPr>
          <w:sz w:val="24"/>
          <w:szCs w:val="24"/>
        </w:rPr>
        <w:t>LITERATURE</w:t>
      </w:r>
      <w:bookmarkEnd w:id="13"/>
      <w:r w:rsidRPr="00511B0F">
        <w:rPr>
          <w:spacing w:val="-2"/>
          <w:sz w:val="24"/>
          <w:szCs w:val="24"/>
        </w:rPr>
        <w:t>REVIEW</w:t>
      </w:r>
    </w:p>
    <w:p w:rsidR="00EC5628" w:rsidRPr="00511B0F" w:rsidRDefault="00EC5628" w:rsidP="00976E89">
      <w:pPr>
        <w:pStyle w:val="BodyText"/>
        <w:jc w:val="both"/>
        <w:rPr>
          <w:b/>
        </w:rPr>
      </w:pPr>
    </w:p>
    <w:p w:rsidR="00EC5628" w:rsidRPr="00511B0F" w:rsidRDefault="00511B0F" w:rsidP="00976E89">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b/>
          <w:bCs/>
          <w:color w:val="auto"/>
        </w:rPr>
      </w:pPr>
      <w:r w:rsidRPr="00511B0F">
        <w:rPr>
          <w:rFonts w:ascii="Times New Roman" w:hAnsi="Times New Roman" w:cs="Times New Roman"/>
          <w:b/>
          <w:bCs/>
          <w:color w:val="auto"/>
        </w:rPr>
        <w:t xml:space="preserve">2.1 </w:t>
      </w:r>
      <w:r w:rsidR="00EC5628" w:rsidRPr="00511B0F">
        <w:rPr>
          <w:rFonts w:ascii="Times New Roman" w:hAnsi="Times New Roman" w:cs="Times New Roman"/>
          <w:b/>
          <w:bCs/>
          <w:color w:val="auto"/>
        </w:rPr>
        <w:t>ReviewWorkon</w:t>
      </w:r>
      <w:r w:rsidR="00EC5628" w:rsidRPr="00511B0F">
        <w:rPr>
          <w:rFonts w:ascii="Times New Roman" w:hAnsi="Times New Roman" w:cs="Times New Roman"/>
          <w:b/>
          <w:bCs/>
          <w:color w:val="auto"/>
          <w:spacing w:val="-2"/>
        </w:rPr>
        <w:t>Caffeine</w:t>
      </w:r>
    </w:p>
    <w:p w:rsidR="00EC5628" w:rsidRPr="00511B0F" w:rsidRDefault="00EC5628" w:rsidP="00976E89">
      <w:pPr>
        <w:pStyle w:val="BodyText"/>
        <w:jc w:val="both"/>
        <w:rPr>
          <w:b/>
          <w:bCs/>
        </w:rPr>
      </w:pPr>
    </w:p>
    <w:p w:rsidR="00EC5628" w:rsidRPr="00511B0F" w:rsidRDefault="00EC5628" w:rsidP="00976E89">
      <w:pPr>
        <w:pStyle w:val="BodyText"/>
        <w:spacing w:line="480" w:lineRule="auto"/>
        <w:ind w:right="816"/>
        <w:jc w:val="both"/>
      </w:pPr>
      <w:r w:rsidRPr="00511B0F">
        <w:t xml:space="preserve">The term </w:t>
      </w:r>
      <w:r w:rsidRPr="00511B0F">
        <w:rPr>
          <w:spacing w:val="-6"/>
          <w:w w:val="52"/>
        </w:rPr>
        <w:t>―</w:t>
      </w:r>
      <w:r w:rsidRPr="00511B0F">
        <w:rPr>
          <w:spacing w:val="3"/>
          <w:w w:val="108"/>
        </w:rPr>
        <w:t>e</w:t>
      </w:r>
      <w:r w:rsidRPr="00511B0F">
        <w:rPr>
          <w:spacing w:val="-5"/>
          <w:w w:val="108"/>
        </w:rPr>
        <w:t>n</w:t>
      </w:r>
      <w:r w:rsidRPr="00511B0F">
        <w:rPr>
          <w:spacing w:val="-1"/>
          <w:w w:val="108"/>
        </w:rPr>
        <w:t>e</w:t>
      </w:r>
      <w:r w:rsidRPr="00511B0F">
        <w:rPr>
          <w:spacing w:val="1"/>
          <w:w w:val="108"/>
        </w:rPr>
        <w:t>r</w:t>
      </w:r>
      <w:r w:rsidRPr="00511B0F">
        <w:rPr>
          <w:spacing w:val="4"/>
          <w:w w:val="108"/>
        </w:rPr>
        <w:t>g</w:t>
      </w:r>
      <w:r w:rsidRPr="00511B0F">
        <w:rPr>
          <w:w w:val="108"/>
        </w:rPr>
        <w:t>y</w:t>
      </w:r>
      <w:r w:rsidRPr="00511B0F">
        <w:t>drinks refers to beverages that contain caffeine in combination with other ingredients such as taurine, guarana, and B vitamins, and that claims to provide its consumers with extra energy. There is limited evidence that consumption ofenergy drinks can significantly improve physical and mentalperformance (Scholey and Kennedy, 2004), driving ability when tired (Reyner and Horne, 2002), and decrease mental fatigue during long periods of concentration (Kennedy and Scholey, 2004). Unfortunately, the body of literature is limited and it is not known whether these improvements are due to thecaffeine, other herbalingredients, or asaresult ofthecombinationofthe ingredients found in a beverage (Scholey and Kennedy, 2004).</w:t>
      </w:r>
    </w:p>
    <w:p w:rsidR="00EC5628" w:rsidRPr="00511B0F" w:rsidRDefault="00EC5628" w:rsidP="00976E89">
      <w:pPr>
        <w:pStyle w:val="BodyText"/>
        <w:jc w:val="both"/>
      </w:pPr>
    </w:p>
    <w:p w:rsidR="00511B0F" w:rsidRPr="00511B0F" w:rsidRDefault="00EC5628" w:rsidP="00976E89">
      <w:pPr>
        <w:pStyle w:val="BodyText"/>
        <w:spacing w:line="480" w:lineRule="auto"/>
        <w:ind w:right="813"/>
        <w:jc w:val="both"/>
        <w:rPr>
          <w:spacing w:val="-2"/>
        </w:rPr>
      </w:pPr>
      <w:r w:rsidRPr="00511B0F">
        <w:t>Thecaffeinecontent ofasingleserving ofenergydrink (8to 12floz) canrange from72 to 150 mg; however, manybottlescontain2-3servings, raisingthecaffeinecontentto ashigh as 294 mg per bottle. In comparison, the caffeine content, per serving (8 fl oz.), of brewed coffee, tea, and cola beverages ranges between 134-240 mg, 48-175 mg, and 22-46 mg respectively(Nawrot</w:t>
      </w:r>
      <w:r w:rsidRPr="00511B0F">
        <w:rPr>
          <w:i/>
        </w:rPr>
        <w:t xml:space="preserve">et al., </w:t>
      </w:r>
      <w:r w:rsidRPr="00511B0F">
        <w:t>2003). A recent literature review determined that consumption of up to 400 mg caffeine daily by healthy adults is not associated with adverse effects (Nawrot</w:t>
      </w:r>
      <w:r w:rsidRPr="00511B0F">
        <w:rPr>
          <w:i/>
        </w:rPr>
        <w:t xml:space="preserve">et al., </w:t>
      </w:r>
      <w:r w:rsidRPr="00511B0F">
        <w:t>2003). However, groupsthat areat risk, such as womenofreproductive age and children, should limit their dailyconsumption ofcaffeineto amaximumof300 mg for the former and 2.5 mg/kg body weight for the latter; (Nawrot</w:t>
      </w:r>
      <w:r w:rsidRPr="00511B0F">
        <w:rPr>
          <w:i/>
        </w:rPr>
        <w:t xml:space="preserve">et al., </w:t>
      </w:r>
      <w:r w:rsidRPr="00511B0F">
        <w:t>2003) thus they may needtoavoidconsumingenergybeverages withahighercaffeinecontent.Arecent</w:t>
      </w:r>
      <w:r w:rsidRPr="00511B0F">
        <w:rPr>
          <w:spacing w:val="-2"/>
        </w:rPr>
        <w:t>survey</w:t>
      </w:r>
      <w:r w:rsidR="00511B0F" w:rsidRPr="00511B0F">
        <w:t xml:space="preserve">of 78 youth (11-18 years) found that 42.3 percent of participants consumed energy drinks (O'Dea, 2003). However, the effects of ingredients found </w:t>
      </w:r>
      <w:r w:rsidR="00511B0F" w:rsidRPr="00511B0F">
        <w:lastRenderedPageBreak/>
        <w:t>in energy drinks on children and anadolescent hasraisedconcern. Inadolescents, caffeineconsumptionhas beenassociated with an increase in blood pressure (Savoca</w:t>
      </w:r>
      <w:r w:rsidR="00511B0F" w:rsidRPr="00511B0F">
        <w:rPr>
          <w:i/>
        </w:rPr>
        <w:t>et al.</w:t>
      </w:r>
      <w:r w:rsidR="00511B0F" w:rsidRPr="00511B0F">
        <w:t xml:space="preserve">, 2004). Based on the limited data regarding safety, it is not recommended that children or adolescents consume energy </w:t>
      </w:r>
      <w:r w:rsidR="00511B0F" w:rsidRPr="00511B0F">
        <w:rPr>
          <w:spacing w:val="-2"/>
        </w:rPr>
        <w:t>drinks.</w:t>
      </w:r>
    </w:p>
    <w:p w:rsidR="00511B0F" w:rsidRPr="00511B0F" w:rsidRDefault="00511B0F" w:rsidP="00976E89">
      <w:pPr>
        <w:pStyle w:val="BodyText"/>
        <w:spacing w:line="480" w:lineRule="auto"/>
        <w:ind w:right="812"/>
        <w:jc w:val="both"/>
      </w:pPr>
      <w:r w:rsidRPr="00511B0F">
        <w:t>Caffeine (1,3,7-trimethylxanthine), theophylline (3,7- dimethylxanthine), and theobromine (1,3-dimethylxanthine) are in the family of alkaloid. Caffeine is an odourless, white solid that has the form of needles or powder. It has a bitter taste and a molar mass of 194.19 g/mol. It is slightly soluble in water due to its moderate polarity. It is a natural central nervous system stimulant, having the effects of reducing drowsiness and recovering alertness. Since it is widely consumed by humans, caffeine is considered the most frequently used psychoactive substance in the world (Lovett, 2005).</w:t>
      </w:r>
    </w:p>
    <w:p w:rsidR="00511B0F" w:rsidRPr="00511B0F" w:rsidRDefault="00511B0F" w:rsidP="00976E89">
      <w:pPr>
        <w:pStyle w:val="BodyText"/>
        <w:spacing w:line="480" w:lineRule="auto"/>
        <w:ind w:right="811"/>
        <w:jc w:val="both"/>
        <w:sectPr w:rsidR="00511B0F" w:rsidRPr="00511B0F">
          <w:pgSz w:w="12240" w:h="15840"/>
          <w:pgMar w:top="1380" w:right="620" w:bottom="1200" w:left="1640" w:header="0" w:footer="1012" w:gutter="0"/>
          <w:cols w:space="720"/>
        </w:sectPr>
      </w:pPr>
      <w:r w:rsidRPr="00511B0F">
        <w:t>The majorityofenergydrinkscontaincaffeineasanactive ingredient dueto itsstimulatory effect on the central nervous system (Pennay</w:t>
      </w:r>
      <w:r w:rsidRPr="00511B0F">
        <w:rPr>
          <w:i/>
        </w:rPr>
        <w:t xml:space="preserve">et al., </w:t>
      </w:r>
      <w:r w:rsidRPr="00511B0F">
        <w:t>2011). The main mechanism of action of caffeine, in concentrations typically achieved after the consumption of a caffeinated beverage, is to act as an adenosine receptor blocker in the brain (Dunwiddie and Mansino, 2001; Pettenuzzo</w:t>
      </w:r>
      <w:r w:rsidRPr="00511B0F">
        <w:rPr>
          <w:i/>
        </w:rPr>
        <w:t xml:space="preserve">et al., </w:t>
      </w:r>
      <w:r w:rsidRPr="00511B0F">
        <w:t>2008). Caffeine has a similar chemical structure to that of adenosine allowing itto attach to the adenosine receptors. The blockage of adenosine tothe neurons causes the sleep promoting effects of adenosine to stop, resulting in theneurons speeding up instead of slowing down (Ferre, 2008).</w:t>
      </w:r>
    </w:p>
    <w:p w:rsidR="00EC5628" w:rsidRDefault="00511B0F" w:rsidP="00976E89">
      <w:pPr>
        <w:spacing w:after="0" w:line="480" w:lineRule="auto"/>
        <w:jc w:val="both"/>
        <w:rPr>
          <w:rFonts w:ascii="Times New Roman" w:hAnsi="Times New Roman" w:cs="Times New Roman"/>
          <w:sz w:val="24"/>
          <w:szCs w:val="24"/>
        </w:rPr>
      </w:pPr>
      <w:r w:rsidRPr="00511B0F">
        <w:rPr>
          <w:rFonts w:ascii="Times New Roman" w:hAnsi="Times New Roman" w:cs="Times New Roman"/>
          <w:noProof/>
          <w:sz w:val="24"/>
          <w:szCs w:val="24"/>
        </w:rPr>
        <w:lastRenderedPageBreak/>
        <w:drawing>
          <wp:inline distT="0" distB="0" distL="0" distR="0">
            <wp:extent cx="5571131" cy="258775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5571131" cy="2587752"/>
                    </a:xfrm>
                    <a:prstGeom prst="rect">
                      <a:avLst/>
                    </a:prstGeom>
                  </pic:spPr>
                </pic:pic>
              </a:graphicData>
            </a:graphic>
          </wp:inline>
        </w:drawing>
      </w:r>
    </w:p>
    <w:p w:rsidR="00511B0F" w:rsidRDefault="00511B0F" w:rsidP="00976E89">
      <w:pPr>
        <w:spacing w:after="0" w:line="480" w:lineRule="auto"/>
        <w:jc w:val="both"/>
        <w:rPr>
          <w:rFonts w:ascii="Times New Roman" w:hAnsi="Times New Roman" w:cs="Times New Roman"/>
          <w:sz w:val="24"/>
          <w:szCs w:val="24"/>
        </w:rPr>
      </w:pPr>
    </w:p>
    <w:p w:rsidR="00511B0F" w:rsidRPr="00511B0F" w:rsidRDefault="00511B0F" w:rsidP="00976E89">
      <w:pPr>
        <w:pStyle w:val="Heading3"/>
        <w:spacing w:before="0"/>
        <w:ind w:left="376"/>
        <w:jc w:val="both"/>
        <w:rPr>
          <w:rFonts w:ascii="Times New Roman" w:hAnsi="Times New Roman" w:cs="Times New Roman"/>
          <w:color w:val="auto"/>
        </w:rPr>
      </w:pPr>
      <w:r w:rsidRPr="00511B0F">
        <w:rPr>
          <w:rFonts w:ascii="Times New Roman" w:hAnsi="Times New Roman" w:cs="Times New Roman"/>
          <w:color w:val="auto"/>
        </w:rPr>
        <w:t xml:space="preserve">Figure2.1:Chemicalstructureofcaffeineandadenosine(Spiller, </w:t>
      </w:r>
      <w:r w:rsidRPr="00511B0F">
        <w:rPr>
          <w:rFonts w:ascii="Times New Roman" w:hAnsi="Times New Roman" w:cs="Times New Roman"/>
          <w:color w:val="auto"/>
          <w:spacing w:val="-2"/>
        </w:rPr>
        <w:t>1998)</w:t>
      </w:r>
    </w:p>
    <w:p w:rsidR="00511B0F" w:rsidRPr="00511B0F" w:rsidRDefault="00511B0F" w:rsidP="00976E89">
      <w:pPr>
        <w:spacing w:after="0" w:line="480" w:lineRule="auto"/>
        <w:jc w:val="both"/>
        <w:rPr>
          <w:rFonts w:ascii="Times New Roman" w:hAnsi="Times New Roman" w:cs="Times New Roman"/>
          <w:sz w:val="24"/>
          <w:szCs w:val="24"/>
        </w:rPr>
        <w:sectPr w:rsidR="00511B0F" w:rsidRPr="00511B0F">
          <w:pgSz w:w="12240" w:h="15840"/>
          <w:pgMar w:top="1360" w:right="620" w:bottom="1200" w:left="1640" w:header="0" w:footer="1012" w:gutter="0"/>
          <w:cols w:space="720"/>
        </w:sectPr>
      </w:pPr>
    </w:p>
    <w:p w:rsidR="00EC5628" w:rsidRPr="00511B0F" w:rsidRDefault="00511B0F" w:rsidP="00976E89">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b/>
          <w:bCs/>
          <w:color w:val="auto"/>
        </w:rPr>
      </w:pPr>
      <w:bookmarkStart w:id="14" w:name="_TOC_250062"/>
      <w:r w:rsidRPr="00511B0F">
        <w:rPr>
          <w:rFonts w:ascii="Times New Roman" w:hAnsi="Times New Roman" w:cs="Times New Roman"/>
          <w:b/>
          <w:bCs/>
          <w:color w:val="auto"/>
        </w:rPr>
        <w:lastRenderedPageBreak/>
        <w:t xml:space="preserve">2.2 </w:t>
      </w:r>
      <w:r w:rsidR="00EC5628" w:rsidRPr="00511B0F">
        <w:rPr>
          <w:rFonts w:ascii="Times New Roman" w:hAnsi="Times New Roman" w:cs="Times New Roman"/>
          <w:b/>
          <w:bCs/>
          <w:color w:val="auto"/>
        </w:rPr>
        <w:t>Caffeineand</w:t>
      </w:r>
      <w:bookmarkEnd w:id="14"/>
      <w:r w:rsidR="00EC5628" w:rsidRPr="00511B0F">
        <w:rPr>
          <w:rFonts w:ascii="Times New Roman" w:hAnsi="Times New Roman" w:cs="Times New Roman"/>
          <w:b/>
          <w:bCs/>
          <w:color w:val="auto"/>
          <w:spacing w:val="-2"/>
        </w:rPr>
        <w:t>health</w:t>
      </w:r>
    </w:p>
    <w:p w:rsidR="00EC5628" w:rsidRPr="00511B0F" w:rsidRDefault="00EC5628" w:rsidP="00976E89">
      <w:pPr>
        <w:pStyle w:val="BodyText"/>
        <w:jc w:val="both"/>
        <w:rPr>
          <w:b/>
        </w:rPr>
      </w:pPr>
    </w:p>
    <w:p w:rsidR="00EC5628" w:rsidRPr="00511B0F" w:rsidRDefault="00EC5628" w:rsidP="00976E89">
      <w:pPr>
        <w:pStyle w:val="BodyText"/>
        <w:spacing w:line="480" w:lineRule="auto"/>
        <w:ind w:right="814"/>
        <w:jc w:val="both"/>
      </w:pPr>
      <w:r w:rsidRPr="00511B0F">
        <w:t xml:space="preserve">Caffeine has been widely studied in a variety of areas regarding human health and performance and it is evident that caffeine consumption can increase energy utilization (Smith and Rogers, 2002). Many studies also confirm its ability to enhance mood and alertness (Kaplan </w:t>
      </w:r>
      <w:r w:rsidRPr="00511B0F">
        <w:rPr>
          <w:i/>
        </w:rPr>
        <w:t xml:space="preserve">et al., </w:t>
      </w:r>
      <w:r w:rsidRPr="00511B0F">
        <w:t>1997; Smith and Rogers, 2002; Lorist and Tops, 2003), exercise performance (Graham, 2001; Dohertyand Smith, 2004), the speed at which information is processed, awareness, attention, and reaction time (Cysneiros</w:t>
      </w:r>
      <w:r w:rsidRPr="00511B0F">
        <w:rPr>
          <w:i/>
        </w:rPr>
        <w:t xml:space="preserve">et al., </w:t>
      </w:r>
      <w:r w:rsidRPr="00511B0F">
        <w:t xml:space="preserve">2007). Caffeine has also been shown to reduce some of the negative side effects associated with sleep loss. Somestudiessuggest that caffeinecancontributeto improvedalertnessandperformanceat doses of 75 to 150 mg after acute sleep loss and doses of 200 to 600 mg after a night or more without sleep (Bonnet </w:t>
      </w:r>
      <w:r w:rsidRPr="00511B0F">
        <w:rPr>
          <w:i/>
        </w:rPr>
        <w:t xml:space="preserve">et al., </w:t>
      </w:r>
      <w:r w:rsidRPr="00511B0F">
        <w:t>2005).</w:t>
      </w:r>
    </w:p>
    <w:p w:rsidR="00EC5628" w:rsidRPr="00511B0F" w:rsidRDefault="00EC5628" w:rsidP="00976E89">
      <w:pPr>
        <w:pStyle w:val="BodyText"/>
        <w:spacing w:line="480" w:lineRule="auto"/>
        <w:ind w:right="812"/>
        <w:jc w:val="both"/>
        <w:sectPr w:rsidR="00EC5628" w:rsidRPr="00511B0F">
          <w:pgSz w:w="12240" w:h="15840"/>
          <w:pgMar w:top="1360" w:right="620" w:bottom="1200" w:left="1640" w:header="0" w:footer="1012" w:gutter="0"/>
          <w:cols w:space="720"/>
        </w:sectPr>
      </w:pPr>
      <w:r w:rsidRPr="00511B0F">
        <w:t xml:space="preserve">Caffeine also has a stimulatory effect on thermo genesis (Acheson </w:t>
      </w:r>
      <w:r w:rsidRPr="00511B0F">
        <w:rPr>
          <w:i/>
        </w:rPr>
        <w:t xml:space="preserve">et al., </w:t>
      </w:r>
      <w:r w:rsidRPr="00511B0F">
        <w:t>1980; Dulloo</w:t>
      </w:r>
      <w:r w:rsidRPr="00511B0F">
        <w:rPr>
          <w:i/>
        </w:rPr>
        <w:t xml:space="preserve">et al., </w:t>
      </w:r>
      <w:r w:rsidRPr="00511B0F">
        <w:t>1989; Astrup</w:t>
      </w:r>
      <w:r w:rsidRPr="00511B0F">
        <w:rPr>
          <w:i/>
        </w:rPr>
        <w:t xml:space="preserve">et al., </w:t>
      </w:r>
      <w:r w:rsidRPr="00511B0F">
        <w:t xml:space="preserve">1990; Bracco </w:t>
      </w:r>
      <w:r w:rsidRPr="00511B0F">
        <w:rPr>
          <w:i/>
        </w:rPr>
        <w:t xml:space="preserve">et al., </w:t>
      </w:r>
      <w:r w:rsidRPr="00511B0F">
        <w:t xml:space="preserve">1995). In addition, caffeine consumption has also been linked to reduced food intake (Tremblay </w:t>
      </w:r>
      <w:r w:rsidRPr="00511B0F">
        <w:rPr>
          <w:i/>
        </w:rPr>
        <w:t xml:space="preserve">et al., </w:t>
      </w:r>
      <w:r w:rsidRPr="00511B0F">
        <w:t xml:space="preserve">1988; Lima </w:t>
      </w:r>
      <w:r w:rsidRPr="00511B0F">
        <w:rPr>
          <w:i/>
        </w:rPr>
        <w:t xml:space="preserve">et al., </w:t>
      </w:r>
      <w:r w:rsidRPr="00511B0F">
        <w:t xml:space="preserve">2005) and to promote lipolysis in both animals and humans (Hasegawa and Mori 2000; Zheng </w:t>
      </w:r>
      <w:r w:rsidRPr="00511B0F">
        <w:rPr>
          <w:i/>
        </w:rPr>
        <w:t xml:space="preserve">et al., </w:t>
      </w:r>
      <w:r w:rsidRPr="00511B0F">
        <w:t xml:space="preserve">2004; Lopez-Garcia </w:t>
      </w:r>
      <w:r w:rsidRPr="00511B0F">
        <w:rPr>
          <w:i/>
        </w:rPr>
        <w:t xml:space="preserve">et al., </w:t>
      </w:r>
      <w:r w:rsidRPr="00511B0F">
        <w:t>2006). Caffeine also has a diuretic effect regardless of its consumption as energy drink, tea, or coffee (Riesenhuber</w:t>
      </w:r>
      <w:r w:rsidRPr="00511B0F">
        <w:rPr>
          <w:i/>
        </w:rPr>
        <w:t xml:space="preserve">et al., </w:t>
      </w:r>
      <w:r w:rsidRPr="00511B0F">
        <w:t>2006). The cardiovascular effects of caffeine have also been studied and suggest that caffeine likely has an effect on hemodynamic parameters (Karatzis</w:t>
      </w:r>
      <w:r w:rsidRPr="00511B0F">
        <w:rPr>
          <w:i/>
        </w:rPr>
        <w:t xml:space="preserve">et al., </w:t>
      </w:r>
      <w:r w:rsidRPr="00511B0F">
        <w:t xml:space="preserve">2005; Hartley </w:t>
      </w:r>
      <w:r w:rsidRPr="00511B0F">
        <w:rPr>
          <w:i/>
        </w:rPr>
        <w:t xml:space="preserve">et al., </w:t>
      </w:r>
      <w:r w:rsidRPr="00511B0F">
        <w:t xml:space="preserve">2004; Hodgson </w:t>
      </w:r>
      <w:r w:rsidRPr="00511B0F">
        <w:rPr>
          <w:i/>
        </w:rPr>
        <w:t>et al.,</w:t>
      </w:r>
      <w:r w:rsidRPr="00511B0F">
        <w:t>2005). A review regarding caffeine consumption concluded that among the healthy adult population, a moderate daily caffeine intake of ≤400 mg (equivalent to 6 mg/kg/d for a 65 kg person) was not associated with anyadverse effects (Nawrot</w:t>
      </w:r>
      <w:r w:rsidRPr="00511B0F">
        <w:rPr>
          <w:i/>
        </w:rPr>
        <w:t xml:space="preserve">et al., </w:t>
      </w:r>
      <w:r w:rsidRPr="00511B0F">
        <w:t>2003). Nonetheless, caution should be exercised in regard to the amount of caffeine consumed per day.</w:t>
      </w:r>
    </w:p>
    <w:p w:rsidR="00EC5628" w:rsidRPr="00511B0F" w:rsidRDefault="00EC5628" w:rsidP="00976E89">
      <w:pPr>
        <w:pStyle w:val="BodyText"/>
        <w:spacing w:line="480" w:lineRule="auto"/>
        <w:ind w:right="808"/>
        <w:jc w:val="both"/>
      </w:pPr>
      <w:r w:rsidRPr="00511B0F">
        <w:lastRenderedPageBreak/>
        <w:t xml:space="preserve">The determination of concentration of caffeine in foods drinks and pharmaceuticals using different methods of analysis have been reported widely in literature. A quantitative determination of caffeine and alcohol in energy drinks have been reported by Ayala </w:t>
      </w:r>
      <w:r w:rsidRPr="00511B0F">
        <w:rPr>
          <w:i/>
        </w:rPr>
        <w:t xml:space="preserve">et al., </w:t>
      </w:r>
      <w:r w:rsidRPr="00511B0F">
        <w:t xml:space="preserve">(2009). Quantitative analysis of caffeine was performed by gas chromatography–mass spectrometry (GC–MS) using an Agilent 5975 MSD. Linear regression analysis of calibrators in the range 0–10 mg/L yielded an </w:t>
      </w:r>
      <w:r w:rsidRPr="00511B0F">
        <w:rPr>
          <w:i/>
        </w:rPr>
        <w:t>R</w:t>
      </w:r>
      <w:r w:rsidRPr="00511B0F">
        <w:rPr>
          <w:vertAlign w:val="superscript"/>
        </w:rPr>
        <w:t>2</w:t>
      </w:r>
      <w:r w:rsidRPr="00511B0F">
        <w:t xml:space="preserve"> value of 1.000 and the control sample fortified with1.0 mg/L caffeine produced a calculated concentrationof1.02 mg/L (102%). Quantitative caffeine determinations in diluted samples yielded concentrations ranging from 2.74 to 5.31 mg/L. These correspond with caffeine doses of 65–126 mg per 8-oz </w:t>
      </w:r>
      <w:r w:rsidRPr="00511B0F">
        <w:rPr>
          <w:spacing w:val="-2"/>
        </w:rPr>
        <w:t>serving.</w:t>
      </w:r>
    </w:p>
    <w:p w:rsidR="00EC5628" w:rsidRPr="00511B0F" w:rsidRDefault="00EC5628" w:rsidP="00976E89">
      <w:pPr>
        <w:pStyle w:val="BodyText"/>
        <w:jc w:val="both"/>
      </w:pPr>
    </w:p>
    <w:p w:rsidR="00EC5628" w:rsidRPr="00511B0F" w:rsidRDefault="00EC5628" w:rsidP="00976E89">
      <w:pPr>
        <w:pStyle w:val="BodyText"/>
        <w:spacing w:line="480" w:lineRule="auto"/>
        <w:ind w:right="816"/>
        <w:jc w:val="both"/>
        <w:sectPr w:rsidR="00EC5628" w:rsidRPr="00511B0F">
          <w:pgSz w:w="12240" w:h="15840"/>
          <w:pgMar w:top="1360" w:right="620" w:bottom="1200" w:left="1640" w:header="0" w:footer="1012" w:gutter="0"/>
          <w:cols w:space="720"/>
        </w:sectPr>
      </w:pPr>
      <w:r w:rsidRPr="00511B0F">
        <w:t xml:space="preserve">Rachel </w:t>
      </w:r>
      <w:r w:rsidRPr="00511B0F">
        <w:rPr>
          <w:i/>
        </w:rPr>
        <w:t xml:space="preserve">et al., </w:t>
      </w:r>
      <w:r w:rsidRPr="00511B0F">
        <w:t>(2006) reported the determination of caffeine contents of energy drinks, carbonated sodas and other beverages by gas chromatography with nitrogen-phosphorus detection. Caffeine was isolated from the beverages by liquid-liquid extraction, and the final extracts were subjected to gas chromatographic analysis utilizing nitrogen- phosphorus detection. Quantization of caffeine was based on a calibration curve prepared in a concentrationrange 25 – 250 mg/L for the caffeinated samples and 10 – 100 mg/L for the decaffeinated samples, with the limit ofquantization arbitrarily set at the concentration of the lowest standard. The caffeine concentration of the caffeinated energy drinks ranged from none detected (i.e., zero (0) to 141.1 mg/serving. The caffeine content of carbonated sodas ranged from none detected (i.e., zero (0) to 48.2 mg/serving while other beverages ranged from ˂2.7 to 105.7 mg/serving.</w:t>
      </w:r>
    </w:p>
    <w:p w:rsidR="00511B0F" w:rsidRDefault="00EC5628" w:rsidP="00976E89">
      <w:pPr>
        <w:pStyle w:val="BodyText"/>
        <w:spacing w:line="480" w:lineRule="auto"/>
        <w:ind w:right="810"/>
        <w:jc w:val="both"/>
      </w:pPr>
      <w:r w:rsidRPr="00511B0F">
        <w:lastRenderedPageBreak/>
        <w:t xml:space="preserve">A Simple </w:t>
      </w:r>
      <w:r w:rsidR="00AD406B" w:rsidRPr="00511B0F">
        <w:t>High-Performance</w:t>
      </w:r>
      <w:r w:rsidRPr="00511B0F">
        <w:t xml:space="preserve"> Liquid Chromatographic (HPLC) method validated for determination of the content levels caffeine in beverages was reported by Mei </w:t>
      </w:r>
      <w:r w:rsidRPr="00511B0F">
        <w:rPr>
          <w:i/>
        </w:rPr>
        <w:t>et al.,</w:t>
      </w:r>
      <w:r w:rsidRPr="00511B0F">
        <w:t xml:space="preserve">(2012). Shim-pack VP-ODS column was used with methanol: water (30:70) % (v/v)eluent. The detector wavelength was set at 270 nm. Linearity of the method was checkfrom 10-100 ppm and the correlation coefficient was 0.9999. The method detection limit was 0.023 ppm and the precision </w:t>
      </w:r>
      <w:r w:rsidR="00AD406B" w:rsidRPr="00511B0F">
        <w:t>were</w:t>
      </w:r>
      <w:r w:rsidRPr="00511B0F">
        <w:t xml:space="preserve"> 1.25% at 40 ppmcaffeine concentration. The spiked recoveries for caffeine were 99%, 105%, 99.2%, 102% and 102% in Pepsi Cola, Coca Cola, RedBull, Gazaltain blackteaandCoffeesamples respectively. The caffeine contents in tea samples ranged from440 ppmto 473 ppmwith average concentrationof458.6 ppm. The caffeine concentrations in energy drinks samples ranged from 170.6 ppm to 324 ppm with average concentration of 255.6 ppm. The coffee sample contains 252.4 ppm. The carbonatedsoft drinksshowedcaffeinecontent intherangeof32.4 ppmto 133.3 ppmwith average concentration of 96 ppm.</w:t>
      </w:r>
      <w:bookmarkStart w:id="15" w:name="_TOC_250060"/>
      <w:bookmarkEnd w:id="15"/>
    </w:p>
    <w:p w:rsidR="00EC5628" w:rsidRPr="00511B0F" w:rsidRDefault="00511B0F" w:rsidP="00976E89">
      <w:pPr>
        <w:pStyle w:val="BodyText"/>
        <w:spacing w:line="480" w:lineRule="auto"/>
        <w:ind w:right="810"/>
        <w:jc w:val="both"/>
        <w:rPr>
          <w:b/>
          <w:bCs/>
        </w:rPr>
      </w:pPr>
      <w:r w:rsidRPr="00511B0F">
        <w:rPr>
          <w:b/>
          <w:bCs/>
        </w:rPr>
        <w:t xml:space="preserve">2.3 </w:t>
      </w:r>
      <w:r w:rsidR="00EC5628" w:rsidRPr="00511B0F">
        <w:rPr>
          <w:b/>
          <w:bCs/>
          <w:spacing w:val="-2"/>
        </w:rPr>
        <w:t>Aspartame</w:t>
      </w:r>
    </w:p>
    <w:p w:rsidR="00F52810" w:rsidRPr="00511B0F" w:rsidRDefault="00EC5628" w:rsidP="00976E89">
      <w:pPr>
        <w:pStyle w:val="BodyText"/>
        <w:spacing w:line="480" w:lineRule="auto"/>
        <w:ind w:right="814"/>
        <w:jc w:val="both"/>
      </w:pPr>
      <w:r w:rsidRPr="00511B0F">
        <w:t xml:space="preserve">Aspartame is a white crystalline powder having no odour, but is intensely sweet. It is approximately 200 times sweeter than sucrose, the accepted standard for sweetness. It is a synthetic </w:t>
      </w:r>
      <w:r w:rsidR="00AD406B" w:rsidRPr="00511B0F">
        <w:t>nonnutritive</w:t>
      </w:r>
      <w:r w:rsidRPr="00511B0F">
        <w:t xml:space="preserve"> sweetener (a methylester of a dipeptide) composed of aspartic acid andphenylalanine.IthasamolecularformulaofC</w:t>
      </w:r>
      <w:r w:rsidRPr="00511B0F">
        <w:rPr>
          <w:vertAlign w:val="subscript"/>
        </w:rPr>
        <w:t>14</w:t>
      </w:r>
      <w:r w:rsidRPr="00511B0F">
        <w:t>H</w:t>
      </w:r>
      <w:r w:rsidRPr="00511B0F">
        <w:rPr>
          <w:vertAlign w:val="subscript"/>
        </w:rPr>
        <w:t>18</w:t>
      </w:r>
      <w:r w:rsidRPr="00511B0F">
        <w:t>N</w:t>
      </w:r>
      <w:r w:rsidRPr="00511B0F">
        <w:rPr>
          <w:vertAlign w:val="subscript"/>
        </w:rPr>
        <w:t>2</w:t>
      </w:r>
      <w:r w:rsidRPr="00511B0F">
        <w:t>O</w:t>
      </w:r>
      <w:r w:rsidRPr="00511B0F">
        <w:rPr>
          <w:vertAlign w:val="subscript"/>
        </w:rPr>
        <w:t>5</w:t>
      </w:r>
      <w:r w:rsidRPr="00511B0F">
        <w:t>andamolecularweight</w:t>
      </w:r>
      <w:r w:rsidRPr="00511B0F">
        <w:rPr>
          <w:spacing w:val="-5"/>
        </w:rPr>
        <w:t>of</w:t>
      </w:r>
      <w:r w:rsidRPr="00511B0F">
        <w:t>294.31 g/mol. The chemical name for aspartame is (</w:t>
      </w:r>
      <w:r w:rsidRPr="00511B0F">
        <w:rPr>
          <w:i/>
        </w:rPr>
        <w:t>S</w:t>
      </w:r>
      <w:r w:rsidRPr="00511B0F">
        <w:t>)-3-amino-</w:t>
      </w:r>
      <w:r w:rsidRPr="00511B0F">
        <w:rPr>
          <w:i/>
        </w:rPr>
        <w:t>N</w:t>
      </w:r>
      <w:r w:rsidRPr="00511B0F">
        <w:t>-[(</w:t>
      </w:r>
      <w:r w:rsidRPr="00511B0F">
        <w:rPr>
          <w:i/>
        </w:rPr>
        <w:t>S</w:t>
      </w:r>
      <w:r w:rsidRPr="00511B0F">
        <w:t>)-1- methoxycarbonyl-2-phenylethyl] succinamic acid. It has been reported that at pH 7 and room temperature, aspartame is soluble in water of approximately 10 g/L (Homler, 1984). Aspartame is soluble in ethanol of 0.37% and is insoluble in oil. Aspartame has two meltingpoints,meltinginitiallyat190°C,solidifyingandre-meltingat246-247°C.</w:t>
      </w:r>
      <w:r w:rsidRPr="00511B0F">
        <w:rPr>
          <w:spacing w:val="-10"/>
        </w:rPr>
        <w:t>A</w:t>
      </w:r>
      <w:r w:rsidR="00F52810" w:rsidRPr="00511B0F">
        <w:t xml:space="preserve">possible explanation for this behaviour is that the intra-molecular reaction of the primary amine with </w:t>
      </w:r>
      <w:r w:rsidR="00F52810" w:rsidRPr="00511B0F">
        <w:lastRenderedPageBreak/>
        <w:t>the methylester takes place at the initial melting point to generate 5-benzyl-3,6-dioxo-2-piperazine acetic acid (DKP) and methanol (Prankerd, 2002). There are two forms of aspartame, an alpha and a beta form. Only the alpha form is sweet. Although aspartame yields the same caloric intake as sugar on a weight to weight basis (i.e., 4 kcal/g), it can be added at almost 200 times lower levels and achieve the same sweetness, thereby providing a far lower net caloric intake. This attribute has resulted in the use of aspartame as a low calorie or non-nutritive sweetener in foods and beverages worldwide.</w:t>
      </w:r>
    </w:p>
    <w:p w:rsidR="00F52810" w:rsidRPr="00F52810" w:rsidRDefault="00F52810" w:rsidP="00976E89">
      <w:pPr>
        <w:pStyle w:val="ListParagraph"/>
        <w:numPr>
          <w:ilvl w:val="1"/>
          <w:numId w:val="11"/>
        </w:numPr>
        <w:tabs>
          <w:tab w:val="left" w:pos="1097"/>
        </w:tabs>
        <w:jc w:val="both"/>
        <w:rPr>
          <w:b/>
          <w:sz w:val="24"/>
          <w:szCs w:val="24"/>
        </w:rPr>
      </w:pPr>
      <w:r w:rsidRPr="00F52810">
        <w:rPr>
          <w:b/>
          <w:sz w:val="24"/>
          <w:szCs w:val="24"/>
        </w:rPr>
        <w:t>Heavy</w:t>
      </w:r>
      <w:r w:rsidRPr="00F52810">
        <w:rPr>
          <w:b/>
          <w:spacing w:val="-2"/>
          <w:sz w:val="24"/>
          <w:szCs w:val="24"/>
        </w:rPr>
        <w:t>Metals</w:t>
      </w:r>
    </w:p>
    <w:p w:rsidR="00F52810" w:rsidRPr="00511B0F" w:rsidRDefault="00F52810" w:rsidP="00976E89">
      <w:pPr>
        <w:pStyle w:val="BodyText"/>
        <w:jc w:val="both"/>
        <w:rPr>
          <w:b/>
        </w:rPr>
      </w:pPr>
    </w:p>
    <w:p w:rsidR="00F52810" w:rsidRPr="00511B0F" w:rsidRDefault="00F52810" w:rsidP="00976E89">
      <w:pPr>
        <w:pStyle w:val="BodyText"/>
        <w:spacing w:line="480" w:lineRule="auto"/>
        <w:ind w:right="816"/>
        <w:jc w:val="both"/>
      </w:pPr>
      <w:r w:rsidRPr="00511B0F">
        <w:t xml:space="preserve">Heavy metals are potential environmental contaminants with the capability of causing human health problems if present to excess in the food we eat. Environmentalpollution is the maincause of heavy metalcontamination inthe food chain. Emissions of heavy metals to the environment occur </w:t>
      </w:r>
      <w:r w:rsidRPr="00511B0F">
        <w:rPr>
          <w:i/>
        </w:rPr>
        <w:t xml:space="preserve">via </w:t>
      </w:r>
      <w:r w:rsidRPr="00511B0F">
        <w:t>a wide range of processes and pathways, including to the air (</w:t>
      </w:r>
      <w:r w:rsidRPr="00511B0F">
        <w:rPr>
          <w:i/>
        </w:rPr>
        <w:t xml:space="preserve">e.g. </w:t>
      </w:r>
      <w:r w:rsidRPr="00511B0F">
        <w:t>during combustion, extraction and processing), to surface waters (</w:t>
      </w:r>
      <w:r w:rsidRPr="00511B0F">
        <w:rPr>
          <w:i/>
        </w:rPr>
        <w:t xml:space="preserve">via </w:t>
      </w:r>
      <w:r w:rsidRPr="00511B0F">
        <w:t>runoff and releases from storage and transport) and to the soil (and hence into ground waters and crops). Atmospheric emissions tend to be of greatest concern in terms of human health, both because of the quantities involved and the widespread dispersion and potential for exposure that often ensues. People may be exposed to potentially harmful chemical, physical and biological agents in air, food, water or soil. However, exposure does notresult only from the presence of a harmful agentin the environment but also by exposureto contact. There must be contact between the agent and the outer boundary of the human body, such as the airways, the skin or the mouth. As a result of the soil, atmosphere, underground and surface water pollution, our foods and beverages are gettingcontaminated with heavy metals (Krejpcio</w:t>
      </w:r>
      <w:r w:rsidRPr="00511B0F">
        <w:rPr>
          <w:i/>
        </w:rPr>
        <w:t>et al</w:t>
      </w:r>
      <w:r w:rsidRPr="00511B0F">
        <w:t>. 2005).</w:t>
      </w:r>
    </w:p>
    <w:p w:rsidR="00F52810" w:rsidRPr="00511B0F" w:rsidRDefault="00F52810" w:rsidP="00976E89">
      <w:pPr>
        <w:pStyle w:val="BodyText"/>
        <w:spacing w:line="480" w:lineRule="auto"/>
        <w:ind w:right="818"/>
        <w:jc w:val="both"/>
      </w:pPr>
      <w:r w:rsidRPr="00511B0F">
        <w:t xml:space="preserve">Heavy metals are given special attention throughout the world due to their effects even at very </w:t>
      </w:r>
      <w:r w:rsidRPr="00511B0F">
        <w:lastRenderedPageBreak/>
        <w:t>low concentrations (Das, 1990). The main threats to human health fromheavy metals are associated with exposure to lead, cadmium, mercury and arsenic. These metals have been extensively studied and their effects on human health regularly reviewed by international bodies such as the World Health Organization (WHO).</w:t>
      </w:r>
    </w:p>
    <w:p w:rsidR="00F52810" w:rsidRDefault="00F52810" w:rsidP="00976E89">
      <w:pPr>
        <w:pStyle w:val="BodyText"/>
        <w:spacing w:line="480" w:lineRule="auto"/>
        <w:ind w:right="813"/>
        <w:jc w:val="both"/>
      </w:pPr>
      <w:r w:rsidRPr="00511B0F">
        <w:t>Several cases of human disease, disorders, malfunction and malformation oforgans due to metaltoxicity have been reported (Jarup</w:t>
      </w:r>
      <w:r w:rsidRPr="00511B0F">
        <w:rPr>
          <w:i/>
        </w:rPr>
        <w:t xml:space="preserve">et al., </w:t>
      </w:r>
      <w:r w:rsidRPr="00511B0F">
        <w:t>1998). Heavy metal composition of food is of interest because of their essential or toxic nature. For example, iron, zinc, copper, chromium, cobalt, and manganese are essential, while lead, cadmium, nickel, and mercury are toxic at certain levels (Onianwa</w:t>
      </w:r>
      <w:r w:rsidRPr="00511B0F">
        <w:rPr>
          <w:i/>
        </w:rPr>
        <w:t xml:space="preserve">et al., </w:t>
      </w:r>
      <w:r w:rsidRPr="00511B0F">
        <w:t>1999).</w:t>
      </w:r>
    </w:p>
    <w:p w:rsidR="00F52810" w:rsidRPr="00F52810" w:rsidRDefault="00F52810" w:rsidP="00976E89">
      <w:pPr>
        <w:pStyle w:val="BodyText"/>
        <w:numPr>
          <w:ilvl w:val="2"/>
          <w:numId w:val="11"/>
        </w:numPr>
        <w:spacing w:line="480" w:lineRule="auto"/>
        <w:ind w:right="813"/>
        <w:jc w:val="both"/>
        <w:rPr>
          <w:b/>
          <w:bCs/>
        </w:rPr>
      </w:pPr>
      <w:r w:rsidRPr="00F52810">
        <w:rPr>
          <w:b/>
          <w:bCs/>
          <w:spacing w:val="-4"/>
        </w:rPr>
        <w:t>Lead</w:t>
      </w:r>
    </w:p>
    <w:p w:rsidR="00F52810" w:rsidRPr="00F52810" w:rsidRDefault="00F52810" w:rsidP="00976E89">
      <w:pPr>
        <w:pStyle w:val="BodyText"/>
        <w:spacing w:line="480" w:lineRule="auto"/>
        <w:ind w:right="813"/>
        <w:jc w:val="both"/>
      </w:pPr>
      <w:r w:rsidRPr="00511B0F">
        <w:t xml:space="preserve">Lead is a potentially harmful metal that have aroused considerable concern (Cabrera </w:t>
      </w:r>
      <w:r w:rsidRPr="00511B0F">
        <w:rPr>
          <w:i/>
        </w:rPr>
        <w:t>et al</w:t>
      </w:r>
      <w:r w:rsidRPr="00511B0F">
        <w:t>. 1995).Lead affects humans and animals of all ages, however, the effects of lead are most serious in young children. The symptomsofacutelead poisoning are headache, irritability, abdominalpainand various symptoms related tothe nervoussystem. Lead encephalopathy is characterized bysleeplessnessandrestlessness. Childrenmay beaffectedbybehavioural disturbances, learning and concentration difficulties. Acute exposure to lead is known to cause proximal renal tubular damage (WHO, 1995). Long-term lead exposure was positively correlated with duration of exposure to lead from automobileexhaust, bloodlead and nail lead which resulted to kidney damage and urinary excreation of N-acetyl- beta-glucosamynidase (</w:t>
      </w:r>
      <w:r w:rsidRPr="00511B0F">
        <w:rPr>
          <w:i/>
        </w:rPr>
        <w:t>NAG</w:t>
      </w:r>
      <w:r w:rsidRPr="00511B0F">
        <w:t xml:space="preserve">) (Mortada </w:t>
      </w:r>
      <w:r w:rsidRPr="00511B0F">
        <w:rPr>
          <w:i/>
        </w:rPr>
        <w:t xml:space="preserve">et al., </w:t>
      </w:r>
      <w:r w:rsidRPr="00511B0F">
        <w:t>2001).</w:t>
      </w:r>
      <w:r w:rsidRPr="00F52810">
        <w:rPr>
          <w:b/>
          <w:bCs/>
        </w:rPr>
        <w:t xml:space="preserve">2.4.2 </w:t>
      </w:r>
      <w:r w:rsidRPr="00F52810">
        <w:rPr>
          <w:b/>
          <w:bCs/>
          <w:spacing w:val="-2"/>
        </w:rPr>
        <w:t>Cadmium</w:t>
      </w:r>
    </w:p>
    <w:p w:rsidR="00F52810" w:rsidRPr="00511B0F" w:rsidRDefault="00F52810" w:rsidP="00976E89">
      <w:pPr>
        <w:pStyle w:val="BodyText"/>
        <w:spacing w:line="480" w:lineRule="auto"/>
        <w:ind w:right="812"/>
        <w:jc w:val="both"/>
      </w:pPr>
      <w:r w:rsidRPr="00511B0F">
        <w:t>Cadmium is a toxic and carcinogenic element (Krejpcio</w:t>
      </w:r>
      <w:r w:rsidRPr="00511B0F">
        <w:rPr>
          <w:i/>
        </w:rPr>
        <w:t>et al</w:t>
      </w:r>
      <w:r w:rsidRPr="00511B0F">
        <w:t xml:space="preserve">., 2005; Rubio </w:t>
      </w:r>
      <w:r w:rsidRPr="00511B0F">
        <w:rPr>
          <w:i/>
        </w:rPr>
        <w:t>et al</w:t>
      </w:r>
      <w:r w:rsidRPr="00511B0F">
        <w:t>., 2006). Becauseoftheir hightoxicity, arsenic, leadandcadmiumneedto bequantified infoodand beverages (Barbaste</w:t>
      </w:r>
      <w:r w:rsidRPr="00511B0F">
        <w:rPr>
          <w:i/>
        </w:rPr>
        <w:t>et al</w:t>
      </w:r>
      <w:r w:rsidRPr="00511B0F">
        <w:t xml:space="preserve">., 2003). Cadmium intake in relatively high amounts can be </w:t>
      </w:r>
      <w:r w:rsidRPr="00511B0F">
        <w:lastRenderedPageBreak/>
        <w:t>detrimentalto humanhealth. Overa longperiodofintake, cadmiummayaccumulate inthe kidneyandliverand,becauseofitslongbiologicalhalf</w:t>
      </w:r>
      <w:r w:rsidRPr="00511B0F">
        <w:rPr>
          <w:spacing w:val="15"/>
        </w:rPr>
        <w:t>-</w:t>
      </w:r>
      <w:r w:rsidRPr="00511B0F">
        <w:t>life,mayleadtokidneydamage(Maduabuchi</w:t>
      </w:r>
      <w:r w:rsidRPr="00511B0F">
        <w:rPr>
          <w:i/>
        </w:rPr>
        <w:t>et al</w:t>
      </w:r>
      <w:r w:rsidRPr="00511B0F">
        <w:t>., 2006). Inhalation of cadmium fumes or particles can be life threatening, and although acute pulmonary effects and deaths are uncommon, sporadic cases still occur (Seidal</w:t>
      </w:r>
      <w:r w:rsidRPr="00511B0F">
        <w:rPr>
          <w:i/>
        </w:rPr>
        <w:t xml:space="preserve">et al., </w:t>
      </w:r>
      <w:r w:rsidRPr="00511B0F">
        <w:t>1993; Barbee and Prince</w:t>
      </w:r>
      <w:r w:rsidRPr="00511B0F">
        <w:rPr>
          <w:i/>
        </w:rPr>
        <w:t xml:space="preserve">, </w:t>
      </w:r>
      <w:r w:rsidRPr="00511B0F">
        <w:t>1999). Long-term high cadmium exposure may cause skeletal damage, first reported from Japan, where the itai-itai (ouch- ouch) disease (a combination of osteomalacia and osteoporosis) was discovered in the 1950s. The exposure was caused by cadmium-contaminated water used for irrigation of local rice fields. A few studies outside Japan have reported similar findings (Jarup</w:t>
      </w:r>
      <w:r w:rsidRPr="00511B0F">
        <w:rPr>
          <w:i/>
        </w:rPr>
        <w:t xml:space="preserve">et al., </w:t>
      </w:r>
      <w:r w:rsidRPr="00511B0F">
        <w:rPr>
          <w:spacing w:val="-2"/>
        </w:rPr>
        <w:t>1998).</w:t>
      </w:r>
    </w:p>
    <w:p w:rsidR="00F52810" w:rsidRPr="00F52810" w:rsidRDefault="00F52810" w:rsidP="00976E89">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b/>
          <w:bCs/>
          <w:color w:val="auto"/>
        </w:rPr>
      </w:pPr>
      <w:r w:rsidRPr="00F52810">
        <w:rPr>
          <w:rFonts w:ascii="Times New Roman" w:hAnsi="Times New Roman" w:cs="Times New Roman"/>
          <w:b/>
          <w:bCs/>
          <w:color w:val="auto"/>
          <w:spacing w:val="-2"/>
        </w:rPr>
        <w:t>2.4.3 Copper</w:t>
      </w:r>
    </w:p>
    <w:p w:rsidR="00F52810" w:rsidRPr="00511B0F" w:rsidRDefault="00F52810" w:rsidP="00976E89">
      <w:pPr>
        <w:pStyle w:val="BodyText"/>
        <w:jc w:val="both"/>
        <w:rPr>
          <w:b/>
        </w:rPr>
      </w:pPr>
    </w:p>
    <w:p w:rsidR="00F52810" w:rsidRDefault="00F52810" w:rsidP="00976E89">
      <w:pPr>
        <w:pStyle w:val="BodyText"/>
        <w:spacing w:line="480" w:lineRule="auto"/>
        <w:ind w:right="810"/>
        <w:jc w:val="both"/>
      </w:pPr>
      <w:r w:rsidRPr="00511B0F">
        <w:t>Copper is one of the essential trace elements. The deficiency of this element is manifested by impaired haematopoesis, bone metabolism, disorders of the digestive, cardiovascular, and nervous systems. The acute exposure to copper containing dust is manifested by metal fume fever (Křižek</w:t>
      </w:r>
      <w:r w:rsidRPr="00511B0F">
        <w:rPr>
          <w:i/>
        </w:rPr>
        <w:t>et al</w:t>
      </w:r>
      <w:r w:rsidRPr="00511B0F">
        <w:t xml:space="preserve">. 1997). In humans’ copper is necessary for the development of connective tissue, nerve coverings, and bone. Copper also participates in both Fe and energy metabolism. Copper acts as a reductant in the enzyme’s superoxide dismutase, cytochrome oxidase, lysil oxidase, dopamine hydroxylase, and several other oxidases that reduce molecular oxygen. It is transported in the organism by the protein ceruloplasmin. There isabout 80mgofcopper intheadult body(highest concentrations inliverand brain) and median intake ofcopper ranges between1.0 and 1.6 mg/day in adults (US data). Good sources of dietary copper are liver and other organ meats, oysters, nuts, seeds, dark chocolate, and whole grains. Copper deficiency in humans israre, but when it occursleads to normocytic, hypochromic anemia, leucopenia and neuropenia, and </w:t>
      </w:r>
      <w:r w:rsidRPr="00511B0F">
        <w:lastRenderedPageBreak/>
        <w:t>inclusiveosteoporosisinchildren(Kanumakala</w:t>
      </w:r>
      <w:r w:rsidRPr="00511B0F">
        <w:rPr>
          <w:i/>
        </w:rPr>
        <w:t>etal.,</w:t>
      </w:r>
      <w:r w:rsidRPr="00511B0F">
        <w:t>2002).Excessivedietaryzinccan</w:t>
      </w:r>
      <w:r w:rsidRPr="00511B0F">
        <w:rPr>
          <w:spacing w:val="-2"/>
        </w:rPr>
        <w:t>cause</w:t>
      </w:r>
      <w:r w:rsidRPr="00511B0F">
        <w:t>copper deficiency. Chronic copper toxicity is rare in humans, and mostly associated with liver damage. Acute copper intoxication leads to gastrointestinal effects characterized by abdominal pain, cramps, nausea, diarrhea, and vomiting.</w:t>
      </w:r>
    </w:p>
    <w:p w:rsidR="00F52810" w:rsidRPr="00F52810" w:rsidRDefault="00F52810" w:rsidP="00976E89">
      <w:pPr>
        <w:pStyle w:val="BodyText"/>
        <w:spacing w:line="480" w:lineRule="auto"/>
        <w:ind w:right="810"/>
        <w:jc w:val="both"/>
        <w:rPr>
          <w:b/>
          <w:bCs/>
        </w:rPr>
      </w:pPr>
      <w:r w:rsidRPr="00F52810">
        <w:rPr>
          <w:b/>
          <w:bCs/>
        </w:rPr>
        <w:t xml:space="preserve">2.4.4 </w:t>
      </w:r>
      <w:r w:rsidRPr="00F52810">
        <w:rPr>
          <w:b/>
          <w:bCs/>
          <w:spacing w:val="-4"/>
        </w:rPr>
        <w:t>Zinc</w:t>
      </w:r>
    </w:p>
    <w:p w:rsidR="00F52810" w:rsidRPr="00511B0F" w:rsidRDefault="00F52810" w:rsidP="00976E89">
      <w:pPr>
        <w:pStyle w:val="BodyText"/>
        <w:spacing w:line="480" w:lineRule="auto"/>
        <w:ind w:right="811"/>
        <w:jc w:val="both"/>
        <w:sectPr w:rsidR="00F52810" w:rsidRPr="00511B0F">
          <w:pgSz w:w="12240" w:h="15840"/>
          <w:pgMar w:top="1360" w:right="620" w:bottom="1200" w:left="1640" w:header="0" w:footer="1012" w:gutter="0"/>
          <w:cols w:space="720"/>
        </w:sectPr>
      </w:pPr>
      <w:r w:rsidRPr="00511B0F">
        <w:t>Zinc is involved in the activity of about 100 enzymes, e.g. RNA polymerase, carbonic anhydrase, copper–zinc superoxide dismutase, angiotensin I converting enzyme. Also, it is present in Zn-fingers associated with DNA. Zinc is mainly transported by ceruloplasmin. There is 2–3 g of zinc presentin the human body (second to iron in body content) and about 1 mg/L in plasma. Zinc deficiency is common in underdeveloped countries and is mainly associated with malnutrition, affecting the immune system, alcoholism, and malabsorption, causes dwarfism, hypogonadism, dermatitis, wound healing, the senses of taste and smell, and impairing DNA synthesis (Onianwa</w:t>
      </w:r>
      <w:r w:rsidRPr="00511B0F">
        <w:rPr>
          <w:i/>
        </w:rPr>
        <w:t>et al</w:t>
      </w:r>
      <w:r w:rsidRPr="00511B0F">
        <w:t xml:space="preserve">., 2001). Zinc seems to support normal growth and development in pregnancy, childhood, and adolescence. It is found in red meat and poultry, beans, nuts, seafood (oysters are extremely rich in zinc), whole grains, fortified breakfast cereals, and dairy products. Its toxicity due to excessive intake has been seen in both acute and chronic forms. Intakes of 150–450 mg of zinc per day have been associated with low copper status, altered Fe function, reduced immune function, reduced levels of HDL (Hamilton </w:t>
      </w:r>
      <w:r w:rsidRPr="00511B0F">
        <w:rPr>
          <w:i/>
        </w:rPr>
        <w:t xml:space="preserve">et al. </w:t>
      </w:r>
      <w:r w:rsidRPr="00511B0F">
        <w:t>2000)</w:t>
      </w:r>
      <w:r w:rsidR="00407665">
        <w:t>.</w:t>
      </w:r>
    </w:p>
    <w:p w:rsidR="00EC5628" w:rsidRPr="00511B0F" w:rsidRDefault="00EC5628" w:rsidP="00976E89">
      <w:pPr>
        <w:pStyle w:val="Heading1"/>
        <w:spacing w:before="0"/>
        <w:ind w:left="0" w:right="826"/>
        <w:rPr>
          <w:sz w:val="24"/>
          <w:szCs w:val="24"/>
        </w:rPr>
      </w:pPr>
      <w:bookmarkStart w:id="16" w:name="_TOC_250051"/>
      <w:r w:rsidRPr="00511B0F">
        <w:rPr>
          <w:sz w:val="24"/>
          <w:szCs w:val="24"/>
        </w:rPr>
        <w:lastRenderedPageBreak/>
        <w:t>CHAPTER</w:t>
      </w:r>
      <w:bookmarkEnd w:id="16"/>
      <w:r w:rsidRPr="00511B0F">
        <w:rPr>
          <w:spacing w:val="-4"/>
          <w:sz w:val="24"/>
          <w:szCs w:val="24"/>
        </w:rPr>
        <w:t>THREE</w:t>
      </w:r>
    </w:p>
    <w:p w:rsidR="00EC5628" w:rsidRPr="00511B0F" w:rsidRDefault="00EC5628" w:rsidP="00976E89">
      <w:pPr>
        <w:pStyle w:val="BodyText"/>
        <w:jc w:val="both"/>
        <w:rPr>
          <w:b/>
        </w:rPr>
      </w:pPr>
    </w:p>
    <w:p w:rsidR="00A07D36" w:rsidRDefault="00EC5628" w:rsidP="00976E89">
      <w:pPr>
        <w:pStyle w:val="Heading2"/>
        <w:tabs>
          <w:tab w:val="left" w:pos="1096"/>
          <w:tab w:val="left" w:pos="1097"/>
        </w:tabs>
        <w:spacing w:line="480" w:lineRule="auto"/>
        <w:ind w:left="0"/>
        <w:rPr>
          <w:spacing w:val="-2"/>
        </w:rPr>
      </w:pPr>
      <w:bookmarkStart w:id="17" w:name="_TOC_250050"/>
      <w:r w:rsidRPr="00511B0F">
        <w:t>MATERIALSAND</w:t>
      </w:r>
      <w:bookmarkEnd w:id="17"/>
      <w:r w:rsidRPr="00511B0F">
        <w:rPr>
          <w:spacing w:val="-2"/>
        </w:rPr>
        <w:t>METHODS</w:t>
      </w:r>
      <w:bookmarkStart w:id="18" w:name="_TOC_250049"/>
      <w:bookmarkEnd w:id="18"/>
    </w:p>
    <w:p w:rsidR="00A07D36" w:rsidRDefault="00A07D36" w:rsidP="00976E89">
      <w:pPr>
        <w:pStyle w:val="Heading2"/>
        <w:tabs>
          <w:tab w:val="left" w:pos="1096"/>
          <w:tab w:val="left" w:pos="1097"/>
        </w:tabs>
        <w:spacing w:line="480" w:lineRule="auto"/>
        <w:ind w:left="0"/>
        <w:jc w:val="left"/>
      </w:pPr>
      <w:r>
        <w:t xml:space="preserve">3.1 </w:t>
      </w:r>
      <w:r w:rsidR="00976E89">
        <w:t>Materials</w:t>
      </w:r>
    </w:p>
    <w:p w:rsidR="00A07D36" w:rsidRDefault="00A07D36" w:rsidP="00976E89">
      <w:pPr>
        <w:pStyle w:val="Heading2"/>
        <w:tabs>
          <w:tab w:val="left" w:pos="1096"/>
          <w:tab w:val="left" w:pos="1097"/>
        </w:tabs>
        <w:spacing w:line="480" w:lineRule="auto"/>
        <w:ind w:left="0"/>
        <w:jc w:val="left"/>
      </w:pPr>
      <w:r>
        <w:t xml:space="preserve">3.1.1 </w:t>
      </w:r>
      <w:r w:rsidR="00976E89">
        <w:t xml:space="preserve">Chemical </w:t>
      </w:r>
      <w:r>
        <w:t xml:space="preserve">and </w:t>
      </w:r>
      <w:r w:rsidR="00976E89">
        <w:t>Reagents</w:t>
      </w:r>
    </w:p>
    <w:p w:rsidR="00976E89" w:rsidRDefault="00EC5628" w:rsidP="00976E89">
      <w:pPr>
        <w:pStyle w:val="Heading2"/>
        <w:tabs>
          <w:tab w:val="left" w:pos="1096"/>
          <w:tab w:val="left" w:pos="1097"/>
        </w:tabs>
        <w:spacing w:line="480" w:lineRule="auto"/>
        <w:ind w:left="0"/>
        <w:jc w:val="both"/>
        <w:rPr>
          <w:b w:val="0"/>
          <w:bCs w:val="0"/>
        </w:rPr>
      </w:pPr>
      <w:r w:rsidRPr="00A07D36">
        <w:rPr>
          <w:b w:val="0"/>
          <w:bCs w:val="0"/>
        </w:rPr>
        <w:t>Methanol (HPLC grade)</w:t>
      </w:r>
      <w:r w:rsidR="00A07D36">
        <w:rPr>
          <w:b w:val="0"/>
          <w:bCs w:val="0"/>
        </w:rPr>
        <w:t>,</w:t>
      </w:r>
      <w:r w:rsidRPr="00A07D36">
        <w:rPr>
          <w:b w:val="0"/>
          <w:bCs w:val="0"/>
        </w:rPr>
        <w:t xml:space="preserve"> Acetonitrile (HPLC grade)</w:t>
      </w:r>
      <w:r w:rsidR="00A07D36">
        <w:rPr>
          <w:b w:val="0"/>
          <w:bCs w:val="0"/>
        </w:rPr>
        <w:t>,</w:t>
      </w:r>
      <w:r w:rsidRPr="00A07D36">
        <w:rPr>
          <w:b w:val="0"/>
          <w:bCs w:val="0"/>
        </w:rPr>
        <w:t>Buffertablets(pH4.00) –(Reagent grade)</w:t>
      </w:r>
      <w:r w:rsidR="00A07D36">
        <w:rPr>
          <w:b w:val="0"/>
          <w:bCs w:val="0"/>
        </w:rPr>
        <w:t>,</w:t>
      </w:r>
      <w:r w:rsidRPr="00A07D36">
        <w:rPr>
          <w:b w:val="0"/>
          <w:bCs w:val="0"/>
        </w:rPr>
        <w:t>(pHRange3.98–4.02)</w:t>
      </w:r>
      <w:r w:rsidR="00A07D36">
        <w:rPr>
          <w:b w:val="0"/>
          <w:bCs w:val="0"/>
        </w:rPr>
        <w:t xml:space="preserve">, </w:t>
      </w:r>
      <w:r w:rsidRPr="00A07D36">
        <w:rPr>
          <w:b w:val="0"/>
          <w:bCs w:val="0"/>
        </w:rPr>
        <w:t>Buffertablets(pH7.00) –(Reagent grade)</w:t>
      </w:r>
      <w:r w:rsidR="00A07D36">
        <w:rPr>
          <w:b w:val="0"/>
          <w:bCs w:val="0"/>
        </w:rPr>
        <w:t>,</w:t>
      </w:r>
      <w:r w:rsidRPr="00A07D36">
        <w:rPr>
          <w:b w:val="0"/>
          <w:bCs w:val="0"/>
        </w:rPr>
        <w:t>(pHRange6.95–7.04)</w:t>
      </w:r>
      <w:r w:rsidR="00A07D36">
        <w:rPr>
          <w:b w:val="0"/>
          <w:bCs w:val="0"/>
        </w:rPr>
        <w:t>,</w:t>
      </w:r>
      <w:r w:rsidRPr="00A07D36">
        <w:rPr>
          <w:b w:val="0"/>
          <w:bCs w:val="0"/>
        </w:rPr>
        <w:t xml:space="preserve"> Caffeine (Reagent grade) – HPLC/STD/012</w:t>
      </w:r>
      <w:r w:rsidR="00A07D36">
        <w:rPr>
          <w:b w:val="0"/>
          <w:bCs w:val="0"/>
        </w:rPr>
        <w:t>,</w:t>
      </w:r>
      <w:r w:rsidRPr="00A07D36">
        <w:rPr>
          <w:b w:val="0"/>
          <w:bCs w:val="0"/>
        </w:rPr>
        <w:t>Aspartame(Reagentgrade)–HPLC/STD/009</w:t>
      </w:r>
      <w:r w:rsidR="00A07D36">
        <w:rPr>
          <w:b w:val="0"/>
          <w:bCs w:val="0"/>
        </w:rPr>
        <w:t>,</w:t>
      </w:r>
      <w:r w:rsidRPr="00A07D36">
        <w:rPr>
          <w:b w:val="0"/>
          <w:bCs w:val="0"/>
        </w:rPr>
        <w:t xml:space="preserve"> 6 </w:t>
      </w:r>
      <w:r w:rsidRPr="00A07D36">
        <w:rPr>
          <w:b w:val="0"/>
          <w:bCs w:val="0"/>
          <w:i/>
        </w:rPr>
        <w:t xml:space="preserve">M </w:t>
      </w:r>
      <w:r w:rsidRPr="00A07D36">
        <w:rPr>
          <w:b w:val="0"/>
          <w:bCs w:val="0"/>
        </w:rPr>
        <w:t>HCl (50 ml in 100 ml of water)</w:t>
      </w:r>
      <w:r w:rsidR="00A07D36" w:rsidRPr="00A07D36">
        <w:rPr>
          <w:b w:val="0"/>
          <w:bCs w:val="0"/>
        </w:rPr>
        <w:t xml:space="preserve">, </w:t>
      </w:r>
      <w:r w:rsidRPr="00A07D36">
        <w:rPr>
          <w:b w:val="0"/>
          <w:bCs w:val="0"/>
        </w:rPr>
        <w:t>2.5</w:t>
      </w:r>
      <w:r w:rsidRPr="00A07D36">
        <w:rPr>
          <w:b w:val="0"/>
          <w:bCs w:val="0"/>
          <w:i/>
        </w:rPr>
        <w:t>M</w:t>
      </w:r>
      <w:r w:rsidRPr="00A07D36">
        <w:rPr>
          <w:b w:val="0"/>
          <w:bCs w:val="0"/>
        </w:rPr>
        <w:t>NaOH(100gin1000 mlofwater)</w:t>
      </w:r>
      <w:r w:rsidR="00A07D36" w:rsidRPr="00A07D36">
        <w:rPr>
          <w:b w:val="0"/>
          <w:bCs w:val="0"/>
        </w:rPr>
        <w:t>.</w:t>
      </w:r>
      <w:bookmarkStart w:id="19" w:name="_TOC_250048"/>
    </w:p>
    <w:p w:rsidR="00EC5628" w:rsidRPr="00976E89" w:rsidRDefault="00976E89" w:rsidP="00976E89">
      <w:pPr>
        <w:pStyle w:val="Heading2"/>
        <w:tabs>
          <w:tab w:val="left" w:pos="1096"/>
          <w:tab w:val="left" w:pos="1097"/>
        </w:tabs>
        <w:spacing w:line="480" w:lineRule="auto"/>
        <w:ind w:left="0"/>
        <w:jc w:val="both"/>
        <w:rPr>
          <w:b w:val="0"/>
          <w:bCs w:val="0"/>
        </w:rPr>
      </w:pPr>
      <w:r w:rsidRPr="00976E89">
        <w:t>3.1.2</w:t>
      </w:r>
      <w:r w:rsidR="00EC5628" w:rsidRPr="00511B0F">
        <w:t>Preparationofstock</w:t>
      </w:r>
      <w:bookmarkEnd w:id="19"/>
      <w:r w:rsidR="00EC5628" w:rsidRPr="00511B0F">
        <w:rPr>
          <w:spacing w:val="-2"/>
        </w:rPr>
        <w:t>solution</w:t>
      </w:r>
    </w:p>
    <w:p w:rsidR="00EC5628" w:rsidRPr="00976E89" w:rsidRDefault="00976E89" w:rsidP="00976E89">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b/>
          <w:bCs/>
          <w:color w:val="auto"/>
        </w:rPr>
      </w:pPr>
      <w:bookmarkStart w:id="20" w:name="_TOC_250047"/>
      <w:r w:rsidRPr="00976E89">
        <w:rPr>
          <w:rFonts w:ascii="Times New Roman" w:hAnsi="Times New Roman" w:cs="Times New Roman"/>
          <w:b/>
          <w:bCs/>
          <w:color w:val="auto"/>
        </w:rPr>
        <w:t xml:space="preserve">3.1.3 </w:t>
      </w:r>
      <w:r w:rsidR="00EC5628" w:rsidRPr="00976E89">
        <w:rPr>
          <w:rFonts w:ascii="Times New Roman" w:hAnsi="Times New Roman" w:cs="Times New Roman"/>
          <w:b/>
          <w:bCs/>
          <w:color w:val="auto"/>
        </w:rPr>
        <w:t>Preparationofstandardsolutionfor</w:t>
      </w:r>
      <w:bookmarkEnd w:id="20"/>
      <w:r w:rsidR="00EC5628" w:rsidRPr="00976E89">
        <w:rPr>
          <w:rFonts w:ascii="Times New Roman" w:hAnsi="Times New Roman" w:cs="Times New Roman"/>
          <w:b/>
          <w:bCs/>
          <w:color w:val="auto"/>
          <w:spacing w:val="-5"/>
        </w:rPr>
        <w:t>AAS</w:t>
      </w:r>
    </w:p>
    <w:p w:rsidR="00EC5628" w:rsidRPr="00511B0F" w:rsidRDefault="00EC5628" w:rsidP="00976E89">
      <w:pPr>
        <w:pStyle w:val="BodyText"/>
        <w:jc w:val="both"/>
        <w:rPr>
          <w:b/>
        </w:rPr>
      </w:pPr>
    </w:p>
    <w:p w:rsidR="00091B16" w:rsidRDefault="00EC5628" w:rsidP="00091B16">
      <w:pPr>
        <w:pStyle w:val="BodyText"/>
        <w:spacing w:line="480" w:lineRule="auto"/>
        <w:ind w:right="819"/>
        <w:jc w:val="both"/>
        <w:rPr>
          <w:spacing w:val="-2"/>
        </w:rPr>
      </w:pPr>
      <w:r w:rsidRPr="00511B0F">
        <w:t>A stock solution of each ofthe element was prepared by dissolving an appropriate amount (1.000 g/ 1000 ml) for Cu, Zn, Pb, Mn, P, and Fe, to get a concentration of 1000 ppm. Five standard solutions covering the range 0-10 µg/ml in 100 ml volumetric flasks were preparedforeachoftheelement.Thiswas usedtopreparestandardcalibration</w:t>
      </w:r>
      <w:r w:rsidRPr="00511B0F">
        <w:rPr>
          <w:spacing w:val="-2"/>
        </w:rPr>
        <w:t xml:space="preserve"> curve</w:t>
      </w:r>
      <w:r w:rsidRPr="00511B0F">
        <w:t>foreach</w:t>
      </w:r>
      <w:r w:rsidRPr="00511B0F">
        <w:rPr>
          <w:spacing w:val="-2"/>
        </w:rPr>
        <w:t>element.</w:t>
      </w:r>
    </w:p>
    <w:p w:rsidR="00091B16" w:rsidRPr="00091B16" w:rsidRDefault="00091B16" w:rsidP="00091B16">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b/>
          <w:bCs/>
          <w:color w:val="auto"/>
        </w:rPr>
      </w:pPr>
      <w:bookmarkStart w:id="21" w:name="_TOC_250046"/>
      <w:r>
        <w:rPr>
          <w:rFonts w:ascii="Times New Roman" w:hAnsi="Times New Roman" w:cs="Times New Roman"/>
          <w:b/>
          <w:bCs/>
          <w:color w:val="auto"/>
        </w:rPr>
        <w:t xml:space="preserve">3.1.4 </w:t>
      </w:r>
      <w:r w:rsidRPr="00091B16">
        <w:rPr>
          <w:rFonts w:ascii="Times New Roman" w:hAnsi="Times New Roman" w:cs="Times New Roman"/>
          <w:b/>
          <w:bCs/>
          <w:color w:val="auto"/>
        </w:rPr>
        <w:t>Preparationofstandardsolutionfor</w:t>
      </w:r>
      <w:bookmarkEnd w:id="21"/>
      <w:r w:rsidRPr="00091B16">
        <w:rPr>
          <w:rFonts w:ascii="Times New Roman" w:hAnsi="Times New Roman" w:cs="Times New Roman"/>
          <w:b/>
          <w:bCs/>
          <w:color w:val="auto"/>
          <w:spacing w:val="-4"/>
        </w:rPr>
        <w:t>HPLC</w:t>
      </w:r>
    </w:p>
    <w:p w:rsidR="00091B16" w:rsidRPr="00511B0F" w:rsidRDefault="00091B16" w:rsidP="00091B16">
      <w:pPr>
        <w:pStyle w:val="BodyText"/>
        <w:jc w:val="both"/>
        <w:rPr>
          <w:b/>
        </w:rPr>
      </w:pPr>
    </w:p>
    <w:p w:rsidR="00091B16" w:rsidRPr="00511B0F" w:rsidRDefault="00091B16" w:rsidP="00091B16">
      <w:pPr>
        <w:pStyle w:val="BodyText"/>
        <w:spacing w:line="480" w:lineRule="auto"/>
        <w:ind w:right="814"/>
        <w:jc w:val="both"/>
      </w:pPr>
      <w:r w:rsidRPr="00511B0F">
        <w:t>Caffeine and aspartame stock solutions were prepared by dissolving 10.0 mg of caffeine and 18.0 mg ofaspartame standard into a 25 ml volumetric flask each of distilled water to give a concentration of 0.4 g/dm</w:t>
      </w:r>
      <w:r w:rsidRPr="00511B0F">
        <w:rPr>
          <w:vertAlign w:val="superscript"/>
        </w:rPr>
        <w:t>3</w:t>
      </w:r>
      <w:r w:rsidRPr="00511B0F">
        <w:t xml:space="preserve"> and 0.72 g/dm</w:t>
      </w:r>
      <w:r w:rsidRPr="00511B0F">
        <w:rPr>
          <w:vertAlign w:val="superscript"/>
        </w:rPr>
        <w:t>3</w:t>
      </w:r>
      <w:r w:rsidRPr="00511B0F">
        <w:t xml:space="preserve"> of caffeine and aspartame respectively. From each individual stock standard, 4 ml was pipetted into 25 ml volumetric flask and make up to mark with distilled water. Intermediate standard (1 ml, 2 ml, 3 ml, 4 ml, 5 ml) respectively was pipetted into 10 ml volumetric flask and made up to mark with distilled water and named (1</w:t>
      </w:r>
      <w:r w:rsidRPr="00511B0F">
        <w:rPr>
          <w:vertAlign w:val="superscript"/>
        </w:rPr>
        <w:t>st</w:t>
      </w:r>
      <w:r w:rsidRPr="00511B0F">
        <w:t xml:space="preserve"> , 2</w:t>
      </w:r>
      <w:r w:rsidRPr="00511B0F">
        <w:rPr>
          <w:vertAlign w:val="superscript"/>
        </w:rPr>
        <w:t>nd</w:t>
      </w:r>
      <w:r w:rsidRPr="00511B0F">
        <w:t xml:space="preserve"> , 3</w:t>
      </w:r>
      <w:r w:rsidRPr="00511B0F">
        <w:rPr>
          <w:vertAlign w:val="superscript"/>
        </w:rPr>
        <w:t>rd</w:t>
      </w:r>
      <w:r w:rsidRPr="00511B0F">
        <w:t>, 4</w:t>
      </w:r>
      <w:r w:rsidRPr="00511B0F">
        <w:rPr>
          <w:vertAlign w:val="superscript"/>
        </w:rPr>
        <w:t>th</w:t>
      </w:r>
      <w:r w:rsidRPr="00511B0F">
        <w:t xml:space="preserve"> ,5</w:t>
      </w:r>
      <w:r w:rsidRPr="00511B0F">
        <w:rPr>
          <w:vertAlign w:val="superscript"/>
        </w:rPr>
        <w:t>th</w:t>
      </w:r>
      <w:r w:rsidRPr="00511B0F">
        <w:t xml:space="preserve">levels respectively). All levels were filtered with whatman filter paper into a beaker or centrifuge bottle. The filtrate was transferred intothe auto sampler vials and cork and </w:t>
      </w:r>
      <w:r w:rsidRPr="00511B0F">
        <w:lastRenderedPageBreak/>
        <w:t>injected into HPLCin triplicate. The absorbance for the standard solutions were recorded and used to plot a standard calibration curve.</w:t>
      </w:r>
    </w:p>
    <w:p w:rsidR="00091B16" w:rsidRPr="00091B16" w:rsidRDefault="00091B16" w:rsidP="00091B16">
      <w:pPr>
        <w:pStyle w:val="ListParagraph"/>
        <w:numPr>
          <w:ilvl w:val="1"/>
          <w:numId w:val="14"/>
        </w:numPr>
        <w:spacing w:line="480" w:lineRule="auto"/>
        <w:jc w:val="both"/>
        <w:rPr>
          <w:b/>
          <w:bCs/>
          <w:sz w:val="24"/>
          <w:szCs w:val="24"/>
        </w:rPr>
      </w:pPr>
      <w:r w:rsidRPr="00091B16">
        <w:rPr>
          <w:b/>
          <w:bCs/>
          <w:sz w:val="24"/>
          <w:szCs w:val="24"/>
        </w:rPr>
        <w:t xml:space="preserve">Apparatus and </w:t>
      </w:r>
      <w:r w:rsidR="006A27CE" w:rsidRPr="00091B16">
        <w:rPr>
          <w:b/>
          <w:bCs/>
          <w:sz w:val="24"/>
          <w:szCs w:val="24"/>
        </w:rPr>
        <w:t>equipment</w:t>
      </w:r>
    </w:p>
    <w:p w:rsidR="00091B16" w:rsidRDefault="00091B16" w:rsidP="00091B16">
      <w:pPr>
        <w:spacing w:after="0" w:line="480" w:lineRule="auto"/>
        <w:jc w:val="both"/>
        <w:rPr>
          <w:rFonts w:ascii="Times New Roman" w:hAnsi="Times New Roman" w:cs="Times New Roman"/>
          <w:sz w:val="24"/>
          <w:szCs w:val="24"/>
        </w:rPr>
      </w:pPr>
      <w:r w:rsidRPr="00511B0F">
        <w:rPr>
          <w:rFonts w:ascii="Times New Roman" w:hAnsi="Times New Roman" w:cs="Times New Roman"/>
          <w:sz w:val="24"/>
          <w:szCs w:val="24"/>
        </w:rPr>
        <w:t>Spectrophotometer and cuvettes, digital p</w:t>
      </w:r>
      <w:r>
        <w:rPr>
          <w:rFonts w:ascii="Times New Roman" w:hAnsi="Times New Roman" w:cs="Times New Roman"/>
          <w:sz w:val="24"/>
          <w:szCs w:val="24"/>
        </w:rPr>
        <w:t>H</w:t>
      </w:r>
      <w:r w:rsidRPr="00511B0F">
        <w:rPr>
          <w:rFonts w:ascii="Times New Roman" w:hAnsi="Times New Roman" w:cs="Times New Roman"/>
          <w:sz w:val="24"/>
          <w:szCs w:val="24"/>
        </w:rPr>
        <w:t xml:space="preserve"> meter(JENWAY 3505), digital TDS/conductivity meter (HACH), digital turbidity meter </w:t>
      </w:r>
      <w:r>
        <w:rPr>
          <w:rFonts w:ascii="Times New Roman" w:hAnsi="Times New Roman" w:cs="Times New Roman"/>
          <w:sz w:val="24"/>
          <w:szCs w:val="24"/>
        </w:rPr>
        <w:t>(</w:t>
      </w:r>
      <w:r w:rsidRPr="00511B0F">
        <w:rPr>
          <w:rFonts w:ascii="Times New Roman" w:hAnsi="Times New Roman" w:cs="Times New Roman"/>
          <w:sz w:val="24"/>
          <w:szCs w:val="24"/>
        </w:rPr>
        <w:t>HACH DR/890), Hitachi Auto sampler HPLC L</w:t>
      </w:r>
      <w:r w:rsidR="006A27CE">
        <w:rPr>
          <w:rFonts w:ascii="Times New Roman" w:hAnsi="Times New Roman" w:cs="Times New Roman"/>
          <w:sz w:val="24"/>
          <w:szCs w:val="24"/>
        </w:rPr>
        <w:t>-</w:t>
      </w:r>
      <w:r w:rsidRPr="00511B0F">
        <w:rPr>
          <w:rFonts w:ascii="Times New Roman" w:hAnsi="Times New Roman" w:cs="Times New Roman"/>
          <w:sz w:val="24"/>
          <w:szCs w:val="24"/>
        </w:rPr>
        <w:t xml:space="preserve">2200. </w:t>
      </w:r>
      <w:bookmarkStart w:id="22" w:name="_TOC_250044"/>
    </w:p>
    <w:p w:rsidR="00091B16" w:rsidRPr="006A27CE" w:rsidRDefault="00091B16" w:rsidP="006A27CE">
      <w:pPr>
        <w:pStyle w:val="ListParagraph"/>
        <w:numPr>
          <w:ilvl w:val="2"/>
          <w:numId w:val="14"/>
        </w:numPr>
        <w:spacing w:line="480" w:lineRule="auto"/>
        <w:jc w:val="both"/>
        <w:rPr>
          <w:b/>
          <w:bCs/>
          <w:sz w:val="24"/>
          <w:szCs w:val="24"/>
        </w:rPr>
      </w:pPr>
      <w:r w:rsidRPr="006A27CE">
        <w:rPr>
          <w:b/>
          <w:bCs/>
          <w:sz w:val="24"/>
          <w:szCs w:val="24"/>
        </w:rPr>
        <w:t>Sample</w:t>
      </w:r>
      <w:bookmarkEnd w:id="22"/>
      <w:r w:rsidRPr="006A27CE">
        <w:rPr>
          <w:b/>
          <w:bCs/>
          <w:spacing w:val="-2"/>
          <w:sz w:val="24"/>
          <w:szCs w:val="24"/>
        </w:rPr>
        <w:t>collection</w:t>
      </w:r>
    </w:p>
    <w:p w:rsidR="006A27CE" w:rsidRDefault="00091B16" w:rsidP="006A27CE">
      <w:pPr>
        <w:pStyle w:val="BodyText"/>
        <w:spacing w:line="480" w:lineRule="auto"/>
        <w:ind w:right="817"/>
        <w:jc w:val="both"/>
      </w:pPr>
      <w:r w:rsidRPr="00511B0F">
        <w:t>F</w:t>
      </w:r>
      <w:r w:rsidR="006A27CE">
        <w:t>ive</w:t>
      </w:r>
      <w:r w:rsidRPr="00511B0F">
        <w:t xml:space="preserve"> (</w:t>
      </w:r>
      <w:r w:rsidR="006A27CE">
        <w:t>5</w:t>
      </w:r>
      <w:r w:rsidRPr="00511B0F">
        <w:t>) brands ofenergy drinks samples, were randomly purchased from the market and analyzed. The samples were refrigerated priorto analysis. The samples were labeled SO, HC, LB, EV, BU respectively.</w:t>
      </w:r>
      <w:bookmarkStart w:id="23" w:name="_TOC_250042"/>
    </w:p>
    <w:p w:rsidR="00091B16" w:rsidRPr="006A27CE" w:rsidRDefault="00091B16" w:rsidP="006A27CE">
      <w:pPr>
        <w:pStyle w:val="BodyText"/>
        <w:numPr>
          <w:ilvl w:val="2"/>
          <w:numId w:val="14"/>
        </w:numPr>
        <w:spacing w:line="480" w:lineRule="auto"/>
        <w:ind w:right="817"/>
        <w:jc w:val="both"/>
        <w:rPr>
          <w:b/>
          <w:bCs/>
        </w:rPr>
      </w:pPr>
      <w:r w:rsidRPr="006A27CE">
        <w:rPr>
          <w:b/>
          <w:bCs/>
        </w:rPr>
        <w:t>Samplepreparationfor</w:t>
      </w:r>
      <w:bookmarkEnd w:id="23"/>
      <w:r w:rsidRPr="006A27CE">
        <w:rPr>
          <w:b/>
          <w:bCs/>
          <w:spacing w:val="-5"/>
        </w:rPr>
        <w:t>AAS</w:t>
      </w:r>
    </w:p>
    <w:p w:rsidR="006A27CE" w:rsidRDefault="00091B16" w:rsidP="006A27CE">
      <w:pPr>
        <w:pStyle w:val="BodyText"/>
        <w:spacing w:line="480" w:lineRule="auto"/>
        <w:ind w:right="818"/>
        <w:jc w:val="both"/>
      </w:pPr>
      <w:r w:rsidRPr="00511B0F">
        <w:t>The energy drink samples were shaken before opening. Liquid samples (30 ml) and powdered samples (1.0 g) were measured into a clean 250 ml dry Pyrex digestion flask</w:t>
      </w:r>
      <w:r w:rsidR="006A27CE">
        <w:t xml:space="preserve">. </w:t>
      </w:r>
      <w:r w:rsidR="006A27CE" w:rsidRPr="00511B0F">
        <w:t>Concentrated aqua regia (25 ml) was added. The digestion flask was heated gently until frothing subsided. The samples were then heated to dryness, dissolved in 30 ml distilled water and filtered with filter paper. The solutionwas made up to volume ina 100 mlflask.</w:t>
      </w:r>
      <w:bookmarkStart w:id="24" w:name="_TOC_250041"/>
    </w:p>
    <w:p w:rsidR="006A27CE" w:rsidRPr="006A27CE" w:rsidRDefault="006A27CE" w:rsidP="006A27CE">
      <w:pPr>
        <w:pStyle w:val="BodyText"/>
        <w:numPr>
          <w:ilvl w:val="2"/>
          <w:numId w:val="14"/>
        </w:numPr>
        <w:spacing w:line="480" w:lineRule="auto"/>
        <w:ind w:right="818"/>
        <w:jc w:val="both"/>
        <w:rPr>
          <w:b/>
          <w:bCs/>
        </w:rPr>
      </w:pPr>
      <w:r w:rsidRPr="006A27CE">
        <w:rPr>
          <w:b/>
          <w:bCs/>
        </w:rPr>
        <w:t>Samplepreparationfor</w:t>
      </w:r>
      <w:bookmarkEnd w:id="24"/>
      <w:r w:rsidRPr="006A27CE">
        <w:rPr>
          <w:b/>
          <w:bCs/>
          <w:spacing w:val="-4"/>
        </w:rPr>
        <w:t>HPLC</w:t>
      </w:r>
    </w:p>
    <w:p w:rsidR="006A27CE" w:rsidRDefault="006A27CE" w:rsidP="006A27CE">
      <w:pPr>
        <w:pStyle w:val="BodyText"/>
        <w:spacing w:line="480" w:lineRule="auto"/>
        <w:ind w:right="818"/>
        <w:jc w:val="both"/>
      </w:pPr>
      <w:r w:rsidRPr="00511B0F">
        <w:t>The energy drink samples were shaken before opening. Liquid samples (2 ml) and powderedsamples(2.0g)weremeasuredinto10mlvolumetricflask.Deionisedwater</w:t>
      </w:r>
      <w:r w:rsidRPr="00511B0F">
        <w:rPr>
          <w:spacing w:val="-5"/>
        </w:rPr>
        <w:t xml:space="preserve">of </w:t>
      </w:r>
      <w:r w:rsidRPr="00511B0F">
        <w:t>5 mlwas added and shaken for 5 minutes using vortex mixer/sonnicator. Theywere made up to mark with deionised water and filtered with whatman filter paper.</w:t>
      </w:r>
    </w:p>
    <w:p w:rsidR="006A27CE" w:rsidRPr="006A27CE" w:rsidRDefault="006A27CE" w:rsidP="006A27CE">
      <w:pPr>
        <w:pStyle w:val="BodyText"/>
        <w:numPr>
          <w:ilvl w:val="1"/>
          <w:numId w:val="14"/>
        </w:numPr>
        <w:spacing w:line="480" w:lineRule="auto"/>
        <w:ind w:right="818"/>
        <w:jc w:val="both"/>
        <w:rPr>
          <w:b/>
          <w:bCs/>
        </w:rPr>
      </w:pPr>
      <w:r w:rsidRPr="006A27CE">
        <w:rPr>
          <w:b/>
          <w:bCs/>
        </w:rPr>
        <w:t>AnalysisofPhysicochemical</w:t>
      </w:r>
      <w:r w:rsidRPr="006A27CE">
        <w:rPr>
          <w:b/>
          <w:bCs/>
          <w:spacing w:val="-2"/>
        </w:rPr>
        <w:t>Parameters</w:t>
      </w:r>
      <w:bookmarkStart w:id="25" w:name="_TOC_250039"/>
    </w:p>
    <w:p w:rsidR="006A27CE" w:rsidRPr="006A27CE" w:rsidRDefault="006A27CE" w:rsidP="006A27CE">
      <w:pPr>
        <w:pStyle w:val="BodyText"/>
        <w:numPr>
          <w:ilvl w:val="2"/>
          <w:numId w:val="16"/>
        </w:numPr>
        <w:spacing w:line="480" w:lineRule="auto"/>
        <w:ind w:right="818"/>
        <w:jc w:val="both"/>
        <w:rPr>
          <w:b/>
          <w:bCs/>
        </w:rPr>
      </w:pPr>
      <w:r w:rsidRPr="00511B0F">
        <w:t>Determinationof</w:t>
      </w:r>
      <w:bookmarkEnd w:id="25"/>
      <w:r w:rsidRPr="006A27CE">
        <w:rPr>
          <w:spacing w:val="-5"/>
        </w:rPr>
        <w:t>pH</w:t>
      </w:r>
    </w:p>
    <w:p w:rsidR="006A27CE" w:rsidRDefault="006A27CE" w:rsidP="006A27CE">
      <w:pPr>
        <w:pStyle w:val="BodyText"/>
        <w:spacing w:line="480" w:lineRule="auto"/>
        <w:ind w:right="816"/>
        <w:jc w:val="both"/>
      </w:pPr>
      <w:r w:rsidRPr="00511B0F">
        <w:t xml:space="preserve">The pH was determined using a digital pH meter (JENWAY 3505). The probe was rinsed </w:t>
      </w:r>
      <w:r w:rsidRPr="00511B0F">
        <w:lastRenderedPageBreak/>
        <w:t>thoroughly with distilled water before use on sample. Each of the powdered energy drink sample (1 g) was measured into 100 ml volumetric flask. Distilled water (50 ml) wasadded and shaken for 5 minutes using vortex mixer/sonnicator and made up to mark. For each energy drink samples (liquid and dissolved powder), 50 ml was placed in a beaker,the probe of the pH meter was inserted and the pH values were recorded.</w:t>
      </w:r>
      <w:bookmarkStart w:id="26" w:name="_TOC_250038"/>
    </w:p>
    <w:p w:rsidR="006A27CE" w:rsidRPr="006A27CE" w:rsidRDefault="006A27CE" w:rsidP="006A27CE">
      <w:pPr>
        <w:pStyle w:val="BodyText"/>
        <w:numPr>
          <w:ilvl w:val="2"/>
          <w:numId w:val="16"/>
        </w:numPr>
        <w:spacing w:line="480" w:lineRule="auto"/>
        <w:ind w:right="816"/>
        <w:jc w:val="both"/>
        <w:rPr>
          <w:b/>
          <w:bCs/>
        </w:rPr>
      </w:pPr>
      <w:r w:rsidRPr="006A27CE">
        <w:rPr>
          <w:b/>
          <w:bCs/>
        </w:rPr>
        <w:t>Determinationof</w:t>
      </w:r>
      <w:bookmarkEnd w:id="26"/>
      <w:r w:rsidRPr="006A27CE">
        <w:rPr>
          <w:b/>
          <w:bCs/>
          <w:spacing w:val="-2"/>
        </w:rPr>
        <w:t>conductivity</w:t>
      </w:r>
    </w:p>
    <w:p w:rsidR="006A27CE" w:rsidRDefault="006A27CE" w:rsidP="006A27CE">
      <w:pPr>
        <w:pStyle w:val="BodyText"/>
        <w:spacing w:line="480" w:lineRule="auto"/>
        <w:ind w:right="822"/>
        <w:jc w:val="both"/>
      </w:pPr>
      <w:r w:rsidRPr="00511B0F">
        <w:t>The electrical conductivity measurement was determined using a digital TDS/conductivity meter (HACH). The probe was rinsed thoroughlywith distilled water before use on sample. Each of the powdered energy drink sample (1 g) was measured into 100 ml volumetric flask.Distilledwaterof50mlwasaddedandshakenfor5minutesusing</w:t>
      </w:r>
      <w:r w:rsidRPr="00511B0F">
        <w:rPr>
          <w:spacing w:val="-2"/>
        </w:rPr>
        <w:t>vortex</w:t>
      </w:r>
      <w:r w:rsidRPr="00511B0F">
        <w:t xml:space="preserve">mixer/sonnicator and made up to mark. Each energy drink samples (liquid and dissolved powder) (50 ml) was placed in a beaker, the probe of the TDS/conductivity meter was inserted and the conductivity values were recorded. </w:t>
      </w:r>
      <w:bookmarkStart w:id="27" w:name="_TOC_250037"/>
    </w:p>
    <w:p w:rsidR="006A27CE" w:rsidRPr="006A27CE" w:rsidRDefault="006A27CE" w:rsidP="00A07A64">
      <w:pPr>
        <w:pStyle w:val="BodyText"/>
        <w:numPr>
          <w:ilvl w:val="2"/>
          <w:numId w:val="16"/>
        </w:numPr>
        <w:spacing w:line="480" w:lineRule="auto"/>
        <w:ind w:right="822"/>
        <w:jc w:val="both"/>
        <w:rPr>
          <w:b/>
          <w:bCs/>
        </w:rPr>
      </w:pPr>
      <w:r w:rsidRPr="006A27CE">
        <w:rPr>
          <w:b/>
          <w:bCs/>
        </w:rPr>
        <w:t>Determinationof</w:t>
      </w:r>
      <w:bookmarkEnd w:id="27"/>
      <w:r w:rsidRPr="006A27CE">
        <w:rPr>
          <w:b/>
          <w:bCs/>
          <w:spacing w:val="-2"/>
        </w:rPr>
        <w:t>turbidity</w:t>
      </w:r>
    </w:p>
    <w:p w:rsidR="00A07A64" w:rsidRDefault="006A27CE" w:rsidP="006A27CE">
      <w:pPr>
        <w:pStyle w:val="BodyText"/>
        <w:spacing w:line="480" w:lineRule="auto"/>
        <w:ind w:right="815"/>
        <w:jc w:val="both"/>
      </w:pPr>
      <w:r w:rsidRPr="00511B0F">
        <w:t>The turbiditymeasurement was determined using a digitalturbiditymeter (HACH DR/890 Colorimeter. The probe was rinsed thoroughly with distilled water before use on sample. Each of the powdered energy drink sample (1 g) was measured into 100 ml volumetric flask. Distilled water of 50 ml was added and shaken for 5 minutes using vortex mixer/sonnicator and made up to mark. For each energy drink samples (liquid and dissolved powder), 50 ml was placed in a beaker, the probe of the digital turbidity meter was inserted and the turbidity values were recorded.</w:t>
      </w:r>
      <w:bookmarkStart w:id="28" w:name="_TOC_250036"/>
    </w:p>
    <w:p w:rsidR="006A27CE" w:rsidRPr="00A07A64" w:rsidRDefault="00A07A64" w:rsidP="006A27CE">
      <w:pPr>
        <w:pStyle w:val="BodyText"/>
        <w:spacing w:line="480" w:lineRule="auto"/>
        <w:ind w:right="815"/>
        <w:jc w:val="both"/>
        <w:rPr>
          <w:b/>
          <w:bCs/>
        </w:rPr>
      </w:pPr>
      <w:r w:rsidRPr="00A07A64">
        <w:rPr>
          <w:b/>
          <w:bCs/>
        </w:rPr>
        <w:t xml:space="preserve">3.4.4 </w:t>
      </w:r>
      <w:r w:rsidR="006A27CE" w:rsidRPr="00A07A64">
        <w:rPr>
          <w:b/>
          <w:bCs/>
        </w:rPr>
        <w:t>Totaldissolved</w:t>
      </w:r>
      <w:bookmarkEnd w:id="28"/>
      <w:r w:rsidR="006A27CE" w:rsidRPr="00A07A64">
        <w:rPr>
          <w:b/>
          <w:bCs/>
          <w:spacing w:val="-4"/>
        </w:rPr>
        <w:t>solid</w:t>
      </w:r>
    </w:p>
    <w:p w:rsidR="00A07A64" w:rsidRDefault="006A27CE" w:rsidP="00A07A64">
      <w:pPr>
        <w:pStyle w:val="BodyText"/>
        <w:spacing w:line="480" w:lineRule="auto"/>
        <w:ind w:right="814"/>
        <w:jc w:val="both"/>
      </w:pPr>
      <w:r w:rsidRPr="00511B0F">
        <w:t xml:space="preserve">The total dissolved solids measurement was determined using a digital TDS/conductivity meter </w:t>
      </w:r>
      <w:r w:rsidRPr="00511B0F">
        <w:lastRenderedPageBreak/>
        <w:t>(HACH) Sension 5. The probe was rinsed thoroughlywith distilled water before use on sample. Each of the powdered energy drink sample (1 g) was measured into 100 ml volumetric flask. Distilledwaterof50 mlwasaddedandshakenfor5minutesusing vortex mixer/sonnicator and made up to mark. For each energy drink samples (liquid and dissolved powder), 50 mlwas placed in a beaker, the probe ofthe TDS/conductivity meter was inserted and the TDS values were recorded.</w:t>
      </w:r>
      <w:bookmarkStart w:id="29" w:name="_TOC_250035"/>
    </w:p>
    <w:p w:rsidR="00A07A64" w:rsidRPr="00A07A64" w:rsidRDefault="00A07A64" w:rsidP="00A07A64">
      <w:pPr>
        <w:pStyle w:val="BodyText"/>
        <w:spacing w:line="480" w:lineRule="auto"/>
        <w:ind w:right="814"/>
        <w:jc w:val="both"/>
        <w:rPr>
          <w:b/>
          <w:bCs/>
        </w:rPr>
      </w:pPr>
      <w:r w:rsidRPr="00A07A64">
        <w:rPr>
          <w:b/>
          <w:bCs/>
        </w:rPr>
        <w:t>3.</w:t>
      </w:r>
      <w:r>
        <w:rPr>
          <w:b/>
          <w:bCs/>
        </w:rPr>
        <w:t>4.</w:t>
      </w:r>
      <w:r w:rsidRPr="00A07A64">
        <w:rPr>
          <w:b/>
          <w:bCs/>
        </w:rPr>
        <w:t>5 Elemental</w:t>
      </w:r>
      <w:bookmarkEnd w:id="29"/>
      <w:r w:rsidRPr="00A07A64">
        <w:rPr>
          <w:b/>
          <w:bCs/>
          <w:spacing w:val="-2"/>
        </w:rPr>
        <w:t>Analysis</w:t>
      </w:r>
    </w:p>
    <w:p w:rsidR="00A07A64" w:rsidRDefault="00A07A64" w:rsidP="00A07A64">
      <w:pPr>
        <w:pStyle w:val="BodyText"/>
        <w:spacing w:line="480" w:lineRule="auto"/>
        <w:ind w:right="818"/>
        <w:jc w:val="both"/>
      </w:pPr>
      <w:r w:rsidRPr="00511B0F">
        <w:t>Anatomic absorptionspectrophotometer was used for the determination ofthe Cu, Zn, Pb, Mn, Ca, P, Cd, and Fe while a flame emission spectroscopywas used to determine K. The instruments were calibrated and standardized using standard solutions. After making sure the instrument is properly calibrated and results of standard are in confidence limit, concentration of metals in each sample were measured individually.</w:t>
      </w:r>
      <w:bookmarkStart w:id="30" w:name="_TOC_250034"/>
    </w:p>
    <w:p w:rsidR="00A07A64" w:rsidRPr="00A07A64" w:rsidRDefault="00A07A64" w:rsidP="00A07A64">
      <w:pPr>
        <w:pStyle w:val="BodyText"/>
        <w:spacing w:line="480" w:lineRule="auto"/>
        <w:ind w:right="818"/>
        <w:jc w:val="both"/>
        <w:rPr>
          <w:b/>
          <w:bCs/>
        </w:rPr>
      </w:pPr>
      <w:r w:rsidRPr="00A07A64">
        <w:rPr>
          <w:b/>
          <w:bCs/>
        </w:rPr>
        <w:t>3.4.6 DeterminationofCaffeineand</w:t>
      </w:r>
      <w:bookmarkEnd w:id="30"/>
      <w:r w:rsidRPr="00A07A64">
        <w:rPr>
          <w:b/>
          <w:bCs/>
          <w:spacing w:val="-2"/>
        </w:rPr>
        <w:t>Aspartame</w:t>
      </w:r>
    </w:p>
    <w:p w:rsidR="00A07A64" w:rsidRPr="00511B0F" w:rsidRDefault="00A07A64" w:rsidP="00920D18">
      <w:pPr>
        <w:pStyle w:val="BodyText"/>
        <w:spacing w:line="480" w:lineRule="auto"/>
        <w:ind w:right="826"/>
        <w:jc w:val="both"/>
        <w:sectPr w:rsidR="00A07A64" w:rsidRPr="00511B0F">
          <w:pgSz w:w="12240" w:h="15840"/>
          <w:pgMar w:top="1380" w:right="620" w:bottom="1200" w:left="1640" w:header="0" w:footer="1012" w:gutter="0"/>
          <w:cols w:space="720"/>
        </w:sectPr>
      </w:pPr>
      <w:r w:rsidRPr="00511B0F">
        <w:t>Caffeine and aspartame in energy drinks were determined using high performance liquid chromatography as described by National Agency for Food and Drug Administration Control (NAFDAC).</w:t>
      </w:r>
    </w:p>
    <w:p w:rsidR="00F91632" w:rsidRPr="00511B0F" w:rsidRDefault="00F91632" w:rsidP="00920D18">
      <w:pPr>
        <w:pStyle w:val="Heading2"/>
        <w:ind w:left="0" w:right="832"/>
      </w:pPr>
      <w:r w:rsidRPr="00511B0F">
        <w:rPr>
          <w:spacing w:val="-2"/>
        </w:rPr>
        <w:lastRenderedPageBreak/>
        <w:t xml:space="preserve">CHAPTER </w:t>
      </w:r>
      <w:r w:rsidRPr="00511B0F">
        <w:rPr>
          <w:spacing w:val="-4"/>
        </w:rPr>
        <w:t>FOUR</w:t>
      </w:r>
    </w:p>
    <w:p w:rsidR="00F91632" w:rsidRPr="00511B0F" w:rsidRDefault="00F91632" w:rsidP="00976E89">
      <w:pPr>
        <w:pStyle w:val="BodyText"/>
        <w:rPr>
          <w:b/>
        </w:rPr>
      </w:pPr>
    </w:p>
    <w:p w:rsidR="00920D18" w:rsidRDefault="00920D18" w:rsidP="00920D18">
      <w:pPr>
        <w:pStyle w:val="Heading2"/>
        <w:tabs>
          <w:tab w:val="left" w:pos="1189"/>
        </w:tabs>
        <w:spacing w:line="480" w:lineRule="auto"/>
        <w:ind w:left="0"/>
      </w:pPr>
      <w:bookmarkStart w:id="31" w:name="_TOC_250031"/>
      <w:bookmarkEnd w:id="31"/>
      <w:r>
        <w:t>RESULTS AND DISCUSSION</w:t>
      </w:r>
      <w:bookmarkStart w:id="32" w:name="_TOC_250030"/>
    </w:p>
    <w:p w:rsidR="00EA5D58" w:rsidRDefault="00EA5D58" w:rsidP="00920D18">
      <w:pPr>
        <w:pStyle w:val="Heading2"/>
        <w:tabs>
          <w:tab w:val="left" w:pos="1189"/>
        </w:tabs>
        <w:spacing w:line="480" w:lineRule="auto"/>
        <w:ind w:left="0"/>
        <w:jc w:val="left"/>
      </w:pPr>
      <w:r>
        <w:t>4.1 RESULTS</w:t>
      </w:r>
    </w:p>
    <w:p w:rsidR="00F91632" w:rsidRPr="00511B0F" w:rsidRDefault="00920D18" w:rsidP="00920D18">
      <w:pPr>
        <w:pStyle w:val="Heading2"/>
        <w:tabs>
          <w:tab w:val="left" w:pos="1189"/>
        </w:tabs>
        <w:spacing w:line="480" w:lineRule="auto"/>
        <w:ind w:left="0"/>
        <w:jc w:val="left"/>
      </w:pPr>
      <w:r>
        <w:t>4.1</w:t>
      </w:r>
      <w:r w:rsidR="00EA5D58">
        <w:t>.1</w:t>
      </w:r>
      <w:r w:rsidR="00F91632" w:rsidRPr="00511B0F">
        <w:t>PhysicochemicalParametersof</w:t>
      </w:r>
      <w:bookmarkEnd w:id="32"/>
      <w:r w:rsidR="00F91632" w:rsidRPr="00511B0F">
        <w:rPr>
          <w:spacing w:val="-2"/>
        </w:rPr>
        <w:t>Samples</w:t>
      </w:r>
    </w:p>
    <w:p w:rsidR="00F91632" w:rsidRPr="00511B0F" w:rsidRDefault="00F91632" w:rsidP="00920D18">
      <w:pPr>
        <w:pStyle w:val="BodyText"/>
        <w:spacing w:line="480" w:lineRule="auto"/>
        <w:ind w:right="812"/>
        <w:jc w:val="both"/>
      </w:pPr>
      <w:r w:rsidRPr="00511B0F">
        <w:t>The mean concentration ± SD of the physicochemical parameters (pH, turbidity, total dissolved solids (TDS), and conductivity) of the sampled energy drinks (liquid and powdered) are shown in Table 4.1.</w:t>
      </w:r>
    </w:p>
    <w:p w:rsidR="00920D18" w:rsidRPr="00511B0F" w:rsidRDefault="00920D18" w:rsidP="00920D18">
      <w:pPr>
        <w:pStyle w:val="Heading3"/>
        <w:spacing w:before="0" w:line="237" w:lineRule="auto"/>
        <w:ind w:right="814"/>
        <w:rPr>
          <w:rFonts w:ascii="Times New Roman" w:hAnsi="Times New Roman" w:cs="Times New Roman"/>
          <w:color w:val="auto"/>
          <w:spacing w:val="-2"/>
        </w:rPr>
      </w:pPr>
      <w:r w:rsidRPr="00511B0F">
        <w:rPr>
          <w:rFonts w:ascii="Times New Roman" w:hAnsi="Times New Roman" w:cs="Times New Roman"/>
          <w:color w:val="auto"/>
        </w:rPr>
        <w:t xml:space="preserve">Table4.1:pH,turbidity,totaldissolvedsolids(TDS)andconductivityofenergy </w:t>
      </w:r>
      <w:r w:rsidRPr="00511B0F">
        <w:rPr>
          <w:rFonts w:ascii="Times New Roman" w:hAnsi="Times New Roman" w:cs="Times New Roman"/>
          <w:color w:val="auto"/>
          <w:spacing w:val="-2"/>
        </w:rPr>
        <w:t>drinks</w:t>
      </w:r>
    </w:p>
    <w:p w:rsidR="00920D18" w:rsidRPr="00511B0F" w:rsidRDefault="00920D18" w:rsidP="00920D18">
      <w:pPr>
        <w:spacing w:after="0"/>
        <w:rPr>
          <w:rFonts w:ascii="Times New Roman" w:hAnsi="Times New Roman" w:cs="Times New Roman"/>
          <w:sz w:val="24"/>
          <w:szCs w:val="24"/>
        </w:rPr>
      </w:pPr>
    </w:p>
    <w:tbl>
      <w:tblPr>
        <w:tblStyle w:val="TableGrid"/>
        <w:tblW w:w="0" w:type="auto"/>
        <w:tblLook w:val="04A0"/>
      </w:tblPr>
      <w:tblGrid>
        <w:gridCol w:w="1870"/>
        <w:gridCol w:w="1308"/>
        <w:gridCol w:w="2250"/>
        <w:gridCol w:w="1890"/>
        <w:gridCol w:w="2245"/>
      </w:tblGrid>
      <w:tr w:rsidR="00920D18" w:rsidRPr="00EA5D58" w:rsidTr="00EA5D58">
        <w:tc>
          <w:tcPr>
            <w:tcW w:w="1870" w:type="dxa"/>
          </w:tcPr>
          <w:p w:rsidR="00920D18" w:rsidRPr="00EA5D58" w:rsidRDefault="00920D18" w:rsidP="00B560FA">
            <w:pPr>
              <w:jc w:val="both"/>
              <w:rPr>
                <w:rFonts w:ascii="Times New Roman" w:hAnsi="Times New Roman" w:cs="Times New Roman"/>
                <w:sz w:val="24"/>
                <w:szCs w:val="24"/>
              </w:rPr>
            </w:pPr>
            <w:r w:rsidRPr="00EA5D58">
              <w:rPr>
                <w:rFonts w:ascii="Times New Roman" w:hAnsi="Times New Roman" w:cs="Times New Roman"/>
                <w:sz w:val="24"/>
                <w:szCs w:val="24"/>
              </w:rPr>
              <w:t>samples</w:t>
            </w:r>
          </w:p>
        </w:tc>
        <w:tc>
          <w:tcPr>
            <w:tcW w:w="1218" w:type="dxa"/>
          </w:tcPr>
          <w:p w:rsidR="00920D18" w:rsidRPr="00EA5D58" w:rsidRDefault="00920D18" w:rsidP="00B560FA">
            <w:pPr>
              <w:jc w:val="both"/>
              <w:rPr>
                <w:rFonts w:ascii="Times New Roman" w:hAnsi="Times New Roman" w:cs="Times New Roman"/>
                <w:sz w:val="24"/>
                <w:szCs w:val="24"/>
              </w:rPr>
            </w:pPr>
            <w:r w:rsidRPr="00EA5D58">
              <w:rPr>
                <w:rFonts w:ascii="Times New Roman" w:hAnsi="Times New Roman" w:cs="Times New Roman"/>
                <w:sz w:val="24"/>
                <w:szCs w:val="24"/>
              </w:rPr>
              <w:t>pH</w:t>
            </w:r>
          </w:p>
        </w:tc>
        <w:tc>
          <w:tcPr>
            <w:tcW w:w="2250" w:type="dxa"/>
          </w:tcPr>
          <w:p w:rsidR="00920D18" w:rsidRPr="00EA5D58" w:rsidRDefault="00920D18" w:rsidP="00B560FA">
            <w:pPr>
              <w:jc w:val="both"/>
              <w:rPr>
                <w:rFonts w:ascii="Times New Roman" w:hAnsi="Times New Roman" w:cs="Times New Roman"/>
                <w:sz w:val="24"/>
                <w:szCs w:val="24"/>
              </w:rPr>
            </w:pPr>
            <w:r w:rsidRPr="00EA5D58">
              <w:rPr>
                <w:rFonts w:ascii="Times New Roman" w:hAnsi="Times New Roman" w:cs="Times New Roman"/>
                <w:sz w:val="24"/>
                <w:szCs w:val="24"/>
              </w:rPr>
              <w:t>Turbidity (NTU)</w:t>
            </w:r>
          </w:p>
        </w:tc>
        <w:tc>
          <w:tcPr>
            <w:tcW w:w="1890" w:type="dxa"/>
          </w:tcPr>
          <w:p w:rsidR="00920D18" w:rsidRPr="00EA5D58" w:rsidRDefault="00920D18" w:rsidP="00B560FA">
            <w:pPr>
              <w:jc w:val="both"/>
              <w:rPr>
                <w:rFonts w:ascii="Times New Roman" w:hAnsi="Times New Roman" w:cs="Times New Roman"/>
                <w:sz w:val="24"/>
                <w:szCs w:val="24"/>
              </w:rPr>
            </w:pPr>
            <w:r w:rsidRPr="00EA5D58">
              <w:rPr>
                <w:rFonts w:ascii="Times New Roman" w:hAnsi="Times New Roman" w:cs="Times New Roman"/>
                <w:sz w:val="24"/>
                <w:szCs w:val="24"/>
              </w:rPr>
              <w:t>TDS (mg/L)</w:t>
            </w:r>
          </w:p>
        </w:tc>
        <w:tc>
          <w:tcPr>
            <w:tcW w:w="2245" w:type="dxa"/>
          </w:tcPr>
          <w:p w:rsidR="00920D18" w:rsidRPr="00EA5D58" w:rsidRDefault="00920D18" w:rsidP="00B560FA">
            <w:pPr>
              <w:jc w:val="both"/>
              <w:rPr>
                <w:rFonts w:ascii="Times New Roman" w:hAnsi="Times New Roman" w:cs="Times New Roman"/>
                <w:sz w:val="24"/>
                <w:szCs w:val="24"/>
              </w:rPr>
            </w:pPr>
            <w:r w:rsidRPr="00EA5D58">
              <w:rPr>
                <w:rFonts w:ascii="Times New Roman" w:hAnsi="Times New Roman" w:cs="Times New Roman"/>
                <w:sz w:val="24"/>
                <w:szCs w:val="24"/>
              </w:rPr>
              <w:t>Conductivity (µS/cm)</w:t>
            </w:r>
          </w:p>
        </w:tc>
      </w:tr>
      <w:tr w:rsidR="00EA5D58" w:rsidRPr="00EA5D58" w:rsidTr="00EA5D58">
        <w:tc>
          <w:tcPr>
            <w:tcW w:w="1870"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5"/>
                <w:sz w:val="24"/>
                <w:szCs w:val="24"/>
              </w:rPr>
              <w:t>SO</w:t>
            </w:r>
          </w:p>
        </w:tc>
        <w:tc>
          <w:tcPr>
            <w:tcW w:w="1218"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4.63±0.012</w:t>
            </w:r>
          </w:p>
        </w:tc>
        <w:tc>
          <w:tcPr>
            <w:tcW w:w="2250"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126±1.732</w:t>
            </w:r>
          </w:p>
        </w:tc>
        <w:tc>
          <w:tcPr>
            <w:tcW w:w="1890"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483±0.577</w:t>
            </w:r>
          </w:p>
        </w:tc>
        <w:tc>
          <w:tcPr>
            <w:tcW w:w="2245"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1025±1.732</w:t>
            </w:r>
          </w:p>
        </w:tc>
      </w:tr>
      <w:tr w:rsidR="00EA5D58" w:rsidRPr="00EA5D58" w:rsidTr="00EA5D58">
        <w:tc>
          <w:tcPr>
            <w:tcW w:w="1870"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5"/>
                <w:sz w:val="24"/>
                <w:szCs w:val="24"/>
              </w:rPr>
              <w:t>BU</w:t>
            </w:r>
          </w:p>
        </w:tc>
        <w:tc>
          <w:tcPr>
            <w:tcW w:w="1218"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5.18±0.023</w:t>
            </w:r>
          </w:p>
        </w:tc>
        <w:tc>
          <w:tcPr>
            <w:tcW w:w="2250"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68±0.577</w:t>
            </w:r>
          </w:p>
        </w:tc>
        <w:tc>
          <w:tcPr>
            <w:tcW w:w="1890"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914±2.309</w:t>
            </w:r>
          </w:p>
        </w:tc>
        <w:tc>
          <w:tcPr>
            <w:tcW w:w="2245"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1881±0.577</w:t>
            </w:r>
          </w:p>
        </w:tc>
      </w:tr>
      <w:tr w:rsidR="00EA5D58" w:rsidRPr="00EA5D58" w:rsidTr="00EA5D58">
        <w:tc>
          <w:tcPr>
            <w:tcW w:w="1870"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5"/>
                <w:sz w:val="24"/>
                <w:szCs w:val="24"/>
              </w:rPr>
              <w:t>HC</w:t>
            </w:r>
          </w:p>
        </w:tc>
        <w:tc>
          <w:tcPr>
            <w:tcW w:w="1218"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4.47±0.012</w:t>
            </w:r>
          </w:p>
        </w:tc>
        <w:tc>
          <w:tcPr>
            <w:tcW w:w="2250"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84±2.209</w:t>
            </w:r>
          </w:p>
        </w:tc>
        <w:tc>
          <w:tcPr>
            <w:tcW w:w="1890"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550±0.577</w:t>
            </w:r>
          </w:p>
        </w:tc>
        <w:tc>
          <w:tcPr>
            <w:tcW w:w="2245"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1151±0.577</w:t>
            </w:r>
          </w:p>
        </w:tc>
      </w:tr>
      <w:tr w:rsidR="00EA5D58" w:rsidRPr="00EA5D58" w:rsidTr="00EA5D58">
        <w:tc>
          <w:tcPr>
            <w:tcW w:w="1870"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5"/>
                <w:sz w:val="24"/>
                <w:szCs w:val="24"/>
              </w:rPr>
              <w:t>LB</w:t>
            </w:r>
          </w:p>
        </w:tc>
        <w:tc>
          <w:tcPr>
            <w:tcW w:w="1218"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4.54±0.012</w:t>
            </w:r>
          </w:p>
        </w:tc>
        <w:tc>
          <w:tcPr>
            <w:tcW w:w="2250"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592±1.155</w:t>
            </w:r>
          </w:p>
        </w:tc>
        <w:tc>
          <w:tcPr>
            <w:tcW w:w="1890"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243±0.577</w:t>
            </w:r>
          </w:p>
        </w:tc>
        <w:tc>
          <w:tcPr>
            <w:tcW w:w="2245"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497±1.155</w:t>
            </w:r>
          </w:p>
        </w:tc>
      </w:tr>
      <w:tr w:rsidR="00EA5D58" w:rsidRPr="00EA5D58" w:rsidTr="00EA5D58">
        <w:tc>
          <w:tcPr>
            <w:tcW w:w="1870"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5"/>
                <w:sz w:val="24"/>
                <w:szCs w:val="24"/>
              </w:rPr>
              <w:t>EV</w:t>
            </w:r>
          </w:p>
        </w:tc>
        <w:tc>
          <w:tcPr>
            <w:tcW w:w="1218"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4.60±0.006</w:t>
            </w:r>
          </w:p>
        </w:tc>
        <w:tc>
          <w:tcPr>
            <w:tcW w:w="2250"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450±0.577</w:t>
            </w:r>
          </w:p>
        </w:tc>
        <w:tc>
          <w:tcPr>
            <w:tcW w:w="1890"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477±1.732</w:t>
            </w:r>
          </w:p>
        </w:tc>
        <w:tc>
          <w:tcPr>
            <w:tcW w:w="2245" w:type="dxa"/>
          </w:tcPr>
          <w:p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999±1.732</w:t>
            </w:r>
          </w:p>
        </w:tc>
      </w:tr>
    </w:tbl>
    <w:p w:rsidR="00AC182C" w:rsidRDefault="00AC182C" w:rsidP="00AC182C">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b/>
          <w:bCs/>
          <w:color w:val="auto"/>
        </w:rPr>
      </w:pPr>
      <w:bookmarkStart w:id="33" w:name="_TOC_250028"/>
    </w:p>
    <w:p w:rsidR="00F91632" w:rsidRPr="00AC182C" w:rsidRDefault="00F91632" w:rsidP="00EA5D58">
      <w:pPr>
        <w:pStyle w:val="Heading3"/>
        <w:keepNext w:val="0"/>
        <w:keepLines w:val="0"/>
        <w:widowControl w:val="0"/>
        <w:numPr>
          <w:ilvl w:val="2"/>
          <w:numId w:val="20"/>
        </w:numPr>
        <w:tabs>
          <w:tab w:val="left" w:pos="1097"/>
        </w:tabs>
        <w:autoSpaceDE w:val="0"/>
        <w:autoSpaceDN w:val="0"/>
        <w:spacing w:before="0" w:line="240" w:lineRule="auto"/>
        <w:jc w:val="both"/>
        <w:rPr>
          <w:rFonts w:ascii="Times New Roman" w:hAnsi="Times New Roman" w:cs="Times New Roman"/>
          <w:b/>
          <w:bCs/>
          <w:color w:val="auto"/>
        </w:rPr>
      </w:pPr>
      <w:r w:rsidRPr="00AC182C">
        <w:rPr>
          <w:rFonts w:ascii="Times New Roman" w:hAnsi="Times New Roman" w:cs="Times New Roman"/>
          <w:b/>
          <w:bCs/>
          <w:color w:val="auto"/>
        </w:rPr>
        <w:t>Concentrationofheavy</w:t>
      </w:r>
      <w:bookmarkEnd w:id="33"/>
      <w:r w:rsidRPr="00AC182C">
        <w:rPr>
          <w:rFonts w:ascii="Times New Roman" w:hAnsi="Times New Roman" w:cs="Times New Roman"/>
          <w:b/>
          <w:bCs/>
          <w:color w:val="auto"/>
          <w:spacing w:val="-2"/>
        </w:rPr>
        <w:t>metals</w:t>
      </w:r>
    </w:p>
    <w:p w:rsidR="00F91632" w:rsidRPr="00511B0F" w:rsidRDefault="00F91632" w:rsidP="00976E89">
      <w:pPr>
        <w:pStyle w:val="BodyText"/>
        <w:rPr>
          <w:b/>
        </w:rPr>
      </w:pPr>
    </w:p>
    <w:p w:rsidR="00F91632" w:rsidRPr="00511B0F" w:rsidRDefault="00F91632" w:rsidP="00AC182C">
      <w:pPr>
        <w:pStyle w:val="BodyText"/>
        <w:spacing w:line="480" w:lineRule="auto"/>
        <w:ind w:right="819"/>
        <w:jc w:val="both"/>
      </w:pPr>
      <w:r w:rsidRPr="00511B0F">
        <w:t>The mean concentration ± SD of heavy metals (cadmium, copper, zinc, lead and manganese) of the sampled energy drinks are shown in Table 4.2.</w:t>
      </w:r>
    </w:p>
    <w:p w:rsidR="00AC182C" w:rsidRPr="00511B0F" w:rsidRDefault="00AC182C" w:rsidP="00AC182C">
      <w:pPr>
        <w:pStyle w:val="Heading3"/>
        <w:spacing w:before="0" w:line="237" w:lineRule="auto"/>
        <w:ind w:right="775"/>
        <w:rPr>
          <w:rFonts w:ascii="Times New Roman" w:hAnsi="Times New Roman" w:cs="Times New Roman"/>
          <w:color w:val="auto"/>
          <w:spacing w:val="-2"/>
        </w:rPr>
      </w:pPr>
      <w:r w:rsidRPr="00511B0F">
        <w:rPr>
          <w:rFonts w:ascii="Times New Roman" w:hAnsi="Times New Roman" w:cs="Times New Roman"/>
          <w:color w:val="auto"/>
        </w:rPr>
        <w:t xml:space="preserve">Table4.2:Cadmium,copper,zinc,leadandmanganeseconcentrationsofenergy </w:t>
      </w:r>
      <w:r w:rsidRPr="00511B0F">
        <w:rPr>
          <w:rFonts w:ascii="Times New Roman" w:hAnsi="Times New Roman" w:cs="Times New Roman"/>
          <w:color w:val="auto"/>
          <w:spacing w:val="-2"/>
        </w:rPr>
        <w:t>drinks</w:t>
      </w:r>
    </w:p>
    <w:p w:rsidR="00AC182C" w:rsidRPr="00511B0F" w:rsidRDefault="00AC182C" w:rsidP="00AC182C">
      <w:pPr>
        <w:spacing w:after="0"/>
        <w:rPr>
          <w:rFonts w:ascii="Times New Roman" w:hAnsi="Times New Roman" w:cs="Times New Roman"/>
          <w:sz w:val="24"/>
          <w:szCs w:val="24"/>
        </w:rPr>
      </w:pPr>
    </w:p>
    <w:tbl>
      <w:tblPr>
        <w:tblStyle w:val="TableGrid"/>
        <w:tblW w:w="0" w:type="auto"/>
        <w:tblLook w:val="04A0"/>
      </w:tblPr>
      <w:tblGrid>
        <w:gridCol w:w="1870"/>
        <w:gridCol w:w="1275"/>
        <w:gridCol w:w="2070"/>
        <w:gridCol w:w="1890"/>
        <w:gridCol w:w="2245"/>
      </w:tblGrid>
      <w:tr w:rsidR="00AC182C" w:rsidRPr="00511B0F" w:rsidTr="00B560FA">
        <w:tc>
          <w:tcPr>
            <w:tcW w:w="187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z w:val="24"/>
                <w:szCs w:val="24"/>
              </w:rPr>
              <w:t>samples</w:t>
            </w:r>
          </w:p>
        </w:tc>
        <w:tc>
          <w:tcPr>
            <w:tcW w:w="1275"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z w:val="24"/>
                <w:szCs w:val="24"/>
              </w:rPr>
              <w:t>Cd (mg/L)</w:t>
            </w:r>
          </w:p>
        </w:tc>
        <w:tc>
          <w:tcPr>
            <w:tcW w:w="207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z w:val="24"/>
                <w:szCs w:val="24"/>
              </w:rPr>
              <w:t>Cu (mg/L)</w:t>
            </w:r>
          </w:p>
        </w:tc>
        <w:tc>
          <w:tcPr>
            <w:tcW w:w="189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z w:val="24"/>
                <w:szCs w:val="24"/>
              </w:rPr>
              <w:t>Zn (mg/L)</w:t>
            </w:r>
          </w:p>
        </w:tc>
        <w:tc>
          <w:tcPr>
            <w:tcW w:w="2245"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z w:val="24"/>
                <w:szCs w:val="24"/>
              </w:rPr>
              <w:t>Pb (mg/L)</w:t>
            </w:r>
          </w:p>
        </w:tc>
      </w:tr>
      <w:tr w:rsidR="00AC182C" w:rsidRPr="00511B0F" w:rsidTr="00B560FA">
        <w:tc>
          <w:tcPr>
            <w:tcW w:w="187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5"/>
                <w:sz w:val="24"/>
                <w:szCs w:val="24"/>
              </w:rPr>
              <w:t>SO</w:t>
            </w:r>
          </w:p>
        </w:tc>
        <w:tc>
          <w:tcPr>
            <w:tcW w:w="1275"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5"/>
                <w:sz w:val="24"/>
                <w:szCs w:val="24"/>
              </w:rPr>
              <w:t>ND</w:t>
            </w:r>
          </w:p>
        </w:tc>
        <w:tc>
          <w:tcPr>
            <w:tcW w:w="207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2"/>
                <w:sz w:val="24"/>
                <w:szCs w:val="24"/>
              </w:rPr>
              <w:t>0.070±.0006</w:t>
            </w:r>
          </w:p>
        </w:tc>
        <w:tc>
          <w:tcPr>
            <w:tcW w:w="189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2"/>
                <w:sz w:val="24"/>
                <w:szCs w:val="24"/>
              </w:rPr>
              <w:t>13.887±.0037</w:t>
            </w:r>
          </w:p>
        </w:tc>
        <w:tc>
          <w:tcPr>
            <w:tcW w:w="2245"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2"/>
                <w:sz w:val="24"/>
                <w:szCs w:val="24"/>
              </w:rPr>
              <w:t>0.139±.0004</w:t>
            </w:r>
          </w:p>
        </w:tc>
      </w:tr>
      <w:tr w:rsidR="00AC182C" w:rsidRPr="00511B0F" w:rsidTr="00B560FA">
        <w:tc>
          <w:tcPr>
            <w:tcW w:w="187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5"/>
                <w:sz w:val="24"/>
                <w:szCs w:val="24"/>
              </w:rPr>
              <w:t>BU</w:t>
            </w:r>
          </w:p>
        </w:tc>
        <w:tc>
          <w:tcPr>
            <w:tcW w:w="1275"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5"/>
                <w:sz w:val="24"/>
                <w:szCs w:val="24"/>
              </w:rPr>
              <w:t>ND</w:t>
            </w:r>
          </w:p>
        </w:tc>
        <w:tc>
          <w:tcPr>
            <w:tcW w:w="207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2"/>
                <w:sz w:val="24"/>
                <w:szCs w:val="24"/>
              </w:rPr>
              <w:t>0.012±.0001</w:t>
            </w:r>
          </w:p>
        </w:tc>
        <w:tc>
          <w:tcPr>
            <w:tcW w:w="189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2"/>
                <w:sz w:val="24"/>
                <w:szCs w:val="24"/>
              </w:rPr>
              <w:t>0.045±.0001</w:t>
            </w:r>
          </w:p>
        </w:tc>
        <w:tc>
          <w:tcPr>
            <w:tcW w:w="2245"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2"/>
                <w:sz w:val="24"/>
                <w:szCs w:val="24"/>
              </w:rPr>
              <w:t>0.068±.0002</w:t>
            </w:r>
          </w:p>
        </w:tc>
      </w:tr>
      <w:tr w:rsidR="00AC182C" w:rsidRPr="00511B0F" w:rsidTr="00B560FA">
        <w:tc>
          <w:tcPr>
            <w:tcW w:w="187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5"/>
                <w:sz w:val="24"/>
                <w:szCs w:val="24"/>
              </w:rPr>
              <w:t>HC</w:t>
            </w:r>
          </w:p>
        </w:tc>
        <w:tc>
          <w:tcPr>
            <w:tcW w:w="1275"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5"/>
                <w:sz w:val="24"/>
                <w:szCs w:val="24"/>
              </w:rPr>
              <w:t>ND</w:t>
            </w:r>
          </w:p>
        </w:tc>
        <w:tc>
          <w:tcPr>
            <w:tcW w:w="207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2"/>
                <w:sz w:val="24"/>
                <w:szCs w:val="24"/>
              </w:rPr>
              <w:t>0.018±.0001</w:t>
            </w:r>
          </w:p>
        </w:tc>
        <w:tc>
          <w:tcPr>
            <w:tcW w:w="189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2"/>
                <w:sz w:val="24"/>
                <w:szCs w:val="24"/>
              </w:rPr>
              <w:t>0.052±.0006</w:t>
            </w:r>
          </w:p>
        </w:tc>
        <w:tc>
          <w:tcPr>
            <w:tcW w:w="2245"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2"/>
                <w:sz w:val="24"/>
                <w:szCs w:val="24"/>
              </w:rPr>
              <w:t>0.050±.0000</w:t>
            </w:r>
          </w:p>
        </w:tc>
      </w:tr>
      <w:tr w:rsidR="00AC182C" w:rsidRPr="00511B0F" w:rsidTr="00B560FA">
        <w:tc>
          <w:tcPr>
            <w:tcW w:w="187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5"/>
                <w:sz w:val="24"/>
                <w:szCs w:val="24"/>
              </w:rPr>
              <w:t>LB</w:t>
            </w:r>
          </w:p>
        </w:tc>
        <w:tc>
          <w:tcPr>
            <w:tcW w:w="1275"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5"/>
                <w:sz w:val="24"/>
                <w:szCs w:val="24"/>
              </w:rPr>
              <w:t>ND</w:t>
            </w:r>
          </w:p>
        </w:tc>
        <w:tc>
          <w:tcPr>
            <w:tcW w:w="207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2"/>
                <w:sz w:val="24"/>
                <w:szCs w:val="24"/>
              </w:rPr>
              <w:t>0.024±.0003</w:t>
            </w:r>
          </w:p>
        </w:tc>
        <w:tc>
          <w:tcPr>
            <w:tcW w:w="189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2"/>
                <w:sz w:val="24"/>
                <w:szCs w:val="24"/>
              </w:rPr>
              <w:t>0.049±.0003</w:t>
            </w:r>
          </w:p>
        </w:tc>
        <w:tc>
          <w:tcPr>
            <w:tcW w:w="2245"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5"/>
                <w:sz w:val="24"/>
                <w:szCs w:val="24"/>
              </w:rPr>
              <w:t>ND</w:t>
            </w:r>
          </w:p>
        </w:tc>
      </w:tr>
      <w:tr w:rsidR="00AC182C" w:rsidRPr="00511B0F" w:rsidTr="00B560FA">
        <w:tc>
          <w:tcPr>
            <w:tcW w:w="187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5"/>
                <w:sz w:val="24"/>
                <w:szCs w:val="24"/>
              </w:rPr>
              <w:t>EV</w:t>
            </w:r>
          </w:p>
        </w:tc>
        <w:tc>
          <w:tcPr>
            <w:tcW w:w="1275"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5"/>
                <w:sz w:val="24"/>
                <w:szCs w:val="24"/>
              </w:rPr>
              <w:t>ND</w:t>
            </w:r>
          </w:p>
        </w:tc>
        <w:tc>
          <w:tcPr>
            <w:tcW w:w="207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2"/>
                <w:sz w:val="24"/>
                <w:szCs w:val="24"/>
              </w:rPr>
              <w:t>0.007±.0002</w:t>
            </w:r>
          </w:p>
        </w:tc>
        <w:tc>
          <w:tcPr>
            <w:tcW w:w="1890"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2"/>
                <w:sz w:val="24"/>
                <w:szCs w:val="24"/>
              </w:rPr>
              <w:t>0.085±.0002</w:t>
            </w:r>
          </w:p>
        </w:tc>
        <w:tc>
          <w:tcPr>
            <w:tcW w:w="2245" w:type="dxa"/>
          </w:tcPr>
          <w:p w:rsidR="00AC182C" w:rsidRPr="00511B0F" w:rsidRDefault="00AC182C" w:rsidP="00B560FA">
            <w:pPr>
              <w:jc w:val="both"/>
              <w:rPr>
                <w:rFonts w:ascii="Times New Roman" w:hAnsi="Times New Roman" w:cs="Times New Roman"/>
                <w:sz w:val="24"/>
                <w:szCs w:val="24"/>
              </w:rPr>
            </w:pPr>
            <w:r w:rsidRPr="00511B0F">
              <w:rPr>
                <w:rFonts w:ascii="Times New Roman" w:hAnsi="Times New Roman" w:cs="Times New Roman"/>
                <w:spacing w:val="-2"/>
                <w:sz w:val="24"/>
                <w:szCs w:val="24"/>
              </w:rPr>
              <w:t>0.028±.0006</w:t>
            </w:r>
          </w:p>
        </w:tc>
      </w:tr>
    </w:tbl>
    <w:p w:rsidR="00F91632" w:rsidRDefault="00F91632" w:rsidP="00976E89">
      <w:pPr>
        <w:pStyle w:val="BodyText"/>
      </w:pPr>
    </w:p>
    <w:p w:rsidR="00AC182C" w:rsidRDefault="00AC182C" w:rsidP="00976E89">
      <w:pPr>
        <w:pStyle w:val="BodyText"/>
      </w:pPr>
    </w:p>
    <w:p w:rsidR="00AC182C" w:rsidRDefault="00AC182C" w:rsidP="00976E89">
      <w:pPr>
        <w:pStyle w:val="BodyText"/>
      </w:pPr>
    </w:p>
    <w:p w:rsidR="00AC182C" w:rsidRDefault="00AC182C" w:rsidP="00976E89">
      <w:pPr>
        <w:pStyle w:val="BodyText"/>
      </w:pPr>
    </w:p>
    <w:p w:rsidR="00AC182C" w:rsidRDefault="00AC182C" w:rsidP="00976E89">
      <w:pPr>
        <w:pStyle w:val="BodyText"/>
      </w:pPr>
    </w:p>
    <w:p w:rsidR="00AC182C" w:rsidRDefault="00AC182C" w:rsidP="00976E89">
      <w:pPr>
        <w:pStyle w:val="BodyText"/>
      </w:pPr>
    </w:p>
    <w:p w:rsidR="00AC182C" w:rsidRDefault="00AC182C" w:rsidP="00976E89">
      <w:pPr>
        <w:pStyle w:val="BodyText"/>
      </w:pPr>
    </w:p>
    <w:p w:rsidR="00AC182C" w:rsidRPr="00511B0F" w:rsidRDefault="00AC182C" w:rsidP="00976E89">
      <w:pPr>
        <w:pStyle w:val="BodyText"/>
      </w:pPr>
    </w:p>
    <w:p w:rsidR="00F91632" w:rsidRPr="00AC182C" w:rsidRDefault="00F91632" w:rsidP="00EA5D58">
      <w:pPr>
        <w:pStyle w:val="Heading3"/>
        <w:keepNext w:val="0"/>
        <w:keepLines w:val="0"/>
        <w:widowControl w:val="0"/>
        <w:numPr>
          <w:ilvl w:val="2"/>
          <w:numId w:val="20"/>
        </w:numPr>
        <w:tabs>
          <w:tab w:val="left" w:pos="1097"/>
        </w:tabs>
        <w:autoSpaceDE w:val="0"/>
        <w:autoSpaceDN w:val="0"/>
        <w:spacing w:before="0" w:line="360" w:lineRule="auto"/>
        <w:jc w:val="both"/>
        <w:rPr>
          <w:rFonts w:ascii="Times New Roman" w:hAnsi="Times New Roman" w:cs="Times New Roman"/>
          <w:b/>
          <w:bCs/>
          <w:color w:val="auto"/>
        </w:rPr>
      </w:pPr>
      <w:bookmarkStart w:id="34" w:name="_TOC_250026"/>
      <w:r w:rsidRPr="00AC182C">
        <w:rPr>
          <w:rFonts w:ascii="Times New Roman" w:hAnsi="Times New Roman" w:cs="Times New Roman"/>
          <w:b/>
          <w:bCs/>
          <w:color w:val="auto"/>
        </w:rPr>
        <w:lastRenderedPageBreak/>
        <w:t xml:space="preserve">ConcentrationsofCaffeine </w:t>
      </w:r>
      <w:r w:rsidR="00EA5D58" w:rsidRPr="00AC182C">
        <w:rPr>
          <w:rFonts w:ascii="Times New Roman" w:hAnsi="Times New Roman" w:cs="Times New Roman"/>
          <w:b/>
          <w:bCs/>
          <w:color w:val="auto"/>
        </w:rPr>
        <w:t xml:space="preserve">and </w:t>
      </w:r>
      <w:r w:rsidR="00EA5D58" w:rsidRPr="00AC182C">
        <w:rPr>
          <w:rFonts w:ascii="Times New Roman" w:hAnsi="Times New Roman" w:cs="Times New Roman"/>
          <w:b/>
          <w:bCs/>
          <w:color w:val="auto"/>
          <w:spacing w:val="-6"/>
        </w:rPr>
        <w:t>Aspartame</w:t>
      </w:r>
      <w:bookmarkEnd w:id="34"/>
    </w:p>
    <w:p w:rsidR="00AF03EE" w:rsidRPr="00511B0F" w:rsidRDefault="00F91632" w:rsidP="00AC182C">
      <w:pPr>
        <w:pStyle w:val="BodyText"/>
        <w:spacing w:line="360" w:lineRule="auto"/>
        <w:ind w:right="809"/>
        <w:jc w:val="both"/>
      </w:pPr>
      <w:r w:rsidRPr="00511B0F">
        <w:t xml:space="preserve">The concentration of caffeine, </w:t>
      </w:r>
      <w:r w:rsidR="0053539B" w:rsidRPr="00511B0F">
        <w:t xml:space="preserve">and </w:t>
      </w:r>
      <w:r w:rsidRPr="00511B0F">
        <w:t xml:space="preserve">aspartame of the sampled energy drinks areshowninTable4.3. </w:t>
      </w:r>
    </w:p>
    <w:p w:rsidR="00AF03EE" w:rsidRPr="00511B0F" w:rsidRDefault="00AF03EE" w:rsidP="00976E89">
      <w:pPr>
        <w:spacing w:after="0"/>
        <w:ind w:left="376"/>
        <w:rPr>
          <w:rFonts w:ascii="Times New Roman" w:hAnsi="Times New Roman" w:cs="Times New Roman"/>
          <w:b/>
          <w:sz w:val="24"/>
          <w:szCs w:val="24"/>
        </w:rPr>
      </w:pPr>
      <w:r w:rsidRPr="00511B0F">
        <w:rPr>
          <w:rFonts w:ascii="Times New Roman" w:hAnsi="Times New Roman" w:cs="Times New Roman"/>
          <w:b/>
          <w:sz w:val="24"/>
          <w:szCs w:val="24"/>
        </w:rPr>
        <w:t>Table4.3:Concentrationofcaffeineand</w:t>
      </w:r>
      <w:r w:rsidRPr="00511B0F">
        <w:rPr>
          <w:rFonts w:ascii="Times New Roman" w:hAnsi="Times New Roman" w:cs="Times New Roman"/>
          <w:b/>
          <w:spacing w:val="-2"/>
          <w:sz w:val="24"/>
          <w:szCs w:val="24"/>
        </w:rPr>
        <w:t>aspartame</w:t>
      </w:r>
    </w:p>
    <w:tbl>
      <w:tblPr>
        <w:tblStyle w:val="TableGrid"/>
        <w:tblW w:w="0" w:type="auto"/>
        <w:tblLook w:val="04A0"/>
      </w:tblPr>
      <w:tblGrid>
        <w:gridCol w:w="3323"/>
        <w:gridCol w:w="3323"/>
        <w:gridCol w:w="2619"/>
      </w:tblGrid>
      <w:tr w:rsidR="00511B0F" w:rsidRPr="00511B0F" w:rsidTr="00360F94">
        <w:tc>
          <w:tcPr>
            <w:tcW w:w="3323" w:type="dxa"/>
          </w:tcPr>
          <w:p w:rsidR="00AF03EE" w:rsidRPr="00511B0F" w:rsidRDefault="00AF03EE" w:rsidP="00976E89">
            <w:pPr>
              <w:tabs>
                <w:tab w:val="left" w:pos="1785"/>
              </w:tabs>
              <w:rPr>
                <w:rFonts w:ascii="Times New Roman" w:hAnsi="Times New Roman" w:cs="Times New Roman"/>
                <w:b/>
                <w:sz w:val="24"/>
                <w:szCs w:val="24"/>
              </w:rPr>
            </w:pPr>
            <w:r w:rsidRPr="00511B0F">
              <w:rPr>
                <w:rFonts w:ascii="Times New Roman" w:hAnsi="Times New Roman" w:cs="Times New Roman"/>
                <w:b/>
                <w:sz w:val="24"/>
                <w:szCs w:val="24"/>
              </w:rPr>
              <w:t>SAMPLES</w:t>
            </w:r>
          </w:p>
        </w:tc>
        <w:tc>
          <w:tcPr>
            <w:tcW w:w="3323" w:type="dxa"/>
          </w:tcPr>
          <w:p w:rsidR="00AF03EE" w:rsidRPr="00511B0F" w:rsidRDefault="00AF03EE" w:rsidP="00976E89">
            <w:pPr>
              <w:tabs>
                <w:tab w:val="left" w:pos="1785"/>
              </w:tabs>
              <w:rPr>
                <w:rFonts w:ascii="Times New Roman" w:hAnsi="Times New Roman" w:cs="Times New Roman"/>
                <w:b/>
                <w:sz w:val="24"/>
                <w:szCs w:val="24"/>
              </w:rPr>
            </w:pPr>
            <w:r w:rsidRPr="00511B0F">
              <w:rPr>
                <w:rFonts w:ascii="Times New Roman" w:hAnsi="Times New Roman" w:cs="Times New Roman"/>
                <w:b/>
                <w:sz w:val="24"/>
                <w:szCs w:val="24"/>
              </w:rPr>
              <w:t>CAFFEINE (mg/L)</w:t>
            </w:r>
          </w:p>
        </w:tc>
        <w:tc>
          <w:tcPr>
            <w:tcW w:w="2619" w:type="dxa"/>
          </w:tcPr>
          <w:p w:rsidR="00AF03EE" w:rsidRPr="00511B0F" w:rsidRDefault="00AF03EE" w:rsidP="00976E89">
            <w:pPr>
              <w:tabs>
                <w:tab w:val="left" w:pos="1785"/>
              </w:tabs>
              <w:rPr>
                <w:rFonts w:ascii="Times New Roman" w:hAnsi="Times New Roman" w:cs="Times New Roman"/>
                <w:b/>
                <w:sz w:val="24"/>
                <w:szCs w:val="24"/>
              </w:rPr>
            </w:pPr>
            <w:r w:rsidRPr="00511B0F">
              <w:rPr>
                <w:rFonts w:ascii="Times New Roman" w:hAnsi="Times New Roman" w:cs="Times New Roman"/>
                <w:b/>
                <w:sz w:val="24"/>
                <w:szCs w:val="24"/>
              </w:rPr>
              <w:t>ASPERTAME (mg/L)</w:t>
            </w:r>
          </w:p>
        </w:tc>
      </w:tr>
      <w:tr w:rsidR="00511B0F" w:rsidRPr="00511B0F" w:rsidTr="00360F94">
        <w:tc>
          <w:tcPr>
            <w:tcW w:w="3323" w:type="dxa"/>
          </w:tcPr>
          <w:p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5"/>
                <w:sz w:val="24"/>
                <w:szCs w:val="24"/>
              </w:rPr>
              <w:t>SO</w:t>
            </w:r>
          </w:p>
        </w:tc>
        <w:tc>
          <w:tcPr>
            <w:tcW w:w="3323" w:type="dxa"/>
          </w:tcPr>
          <w:p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67.08</w:t>
            </w:r>
          </w:p>
        </w:tc>
        <w:tc>
          <w:tcPr>
            <w:tcW w:w="2619" w:type="dxa"/>
          </w:tcPr>
          <w:p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624.84</w:t>
            </w:r>
          </w:p>
        </w:tc>
      </w:tr>
      <w:tr w:rsidR="00511B0F" w:rsidRPr="00511B0F" w:rsidTr="00360F94">
        <w:tc>
          <w:tcPr>
            <w:tcW w:w="3323" w:type="dxa"/>
          </w:tcPr>
          <w:p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5"/>
                <w:sz w:val="24"/>
                <w:szCs w:val="24"/>
              </w:rPr>
              <w:t>BU</w:t>
            </w:r>
          </w:p>
        </w:tc>
        <w:tc>
          <w:tcPr>
            <w:tcW w:w="3323" w:type="dxa"/>
          </w:tcPr>
          <w:p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30.94</w:t>
            </w:r>
          </w:p>
        </w:tc>
        <w:tc>
          <w:tcPr>
            <w:tcW w:w="2619" w:type="dxa"/>
          </w:tcPr>
          <w:p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532.23</w:t>
            </w:r>
          </w:p>
        </w:tc>
      </w:tr>
      <w:tr w:rsidR="00511B0F" w:rsidRPr="00511B0F" w:rsidTr="00360F94">
        <w:tc>
          <w:tcPr>
            <w:tcW w:w="3323" w:type="dxa"/>
          </w:tcPr>
          <w:p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5"/>
                <w:sz w:val="24"/>
                <w:szCs w:val="24"/>
              </w:rPr>
              <w:t>HC</w:t>
            </w:r>
          </w:p>
        </w:tc>
        <w:tc>
          <w:tcPr>
            <w:tcW w:w="3323" w:type="dxa"/>
          </w:tcPr>
          <w:p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200.10</w:t>
            </w:r>
          </w:p>
        </w:tc>
        <w:tc>
          <w:tcPr>
            <w:tcW w:w="2619" w:type="dxa"/>
          </w:tcPr>
          <w:p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788.13</w:t>
            </w:r>
          </w:p>
        </w:tc>
      </w:tr>
      <w:tr w:rsidR="00511B0F" w:rsidRPr="00511B0F" w:rsidTr="00360F94">
        <w:tc>
          <w:tcPr>
            <w:tcW w:w="3323" w:type="dxa"/>
          </w:tcPr>
          <w:p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5"/>
                <w:sz w:val="24"/>
                <w:szCs w:val="24"/>
              </w:rPr>
              <w:t>LB</w:t>
            </w:r>
          </w:p>
        </w:tc>
        <w:tc>
          <w:tcPr>
            <w:tcW w:w="3323" w:type="dxa"/>
          </w:tcPr>
          <w:p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190.22</w:t>
            </w:r>
          </w:p>
        </w:tc>
        <w:tc>
          <w:tcPr>
            <w:tcW w:w="2619" w:type="dxa"/>
          </w:tcPr>
          <w:p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876.06</w:t>
            </w:r>
          </w:p>
        </w:tc>
      </w:tr>
      <w:tr w:rsidR="00511B0F" w:rsidRPr="00511B0F" w:rsidTr="00360F94">
        <w:tc>
          <w:tcPr>
            <w:tcW w:w="3323" w:type="dxa"/>
          </w:tcPr>
          <w:p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5"/>
                <w:sz w:val="24"/>
                <w:szCs w:val="24"/>
              </w:rPr>
              <w:t>EV</w:t>
            </w:r>
          </w:p>
        </w:tc>
        <w:tc>
          <w:tcPr>
            <w:tcW w:w="3323" w:type="dxa"/>
          </w:tcPr>
          <w:p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1.11</w:t>
            </w:r>
          </w:p>
        </w:tc>
        <w:tc>
          <w:tcPr>
            <w:tcW w:w="2619" w:type="dxa"/>
          </w:tcPr>
          <w:p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956.82</w:t>
            </w:r>
          </w:p>
        </w:tc>
      </w:tr>
    </w:tbl>
    <w:p w:rsidR="00AF03EE" w:rsidRPr="00511B0F" w:rsidRDefault="00AF03EE" w:rsidP="00976E89">
      <w:pPr>
        <w:tabs>
          <w:tab w:val="left" w:pos="1785"/>
        </w:tabs>
        <w:spacing w:after="0"/>
        <w:rPr>
          <w:rFonts w:ascii="Times New Roman" w:hAnsi="Times New Roman" w:cs="Times New Roman"/>
          <w:b/>
          <w:sz w:val="24"/>
          <w:szCs w:val="24"/>
        </w:rPr>
      </w:pPr>
    </w:p>
    <w:p w:rsidR="00EA5D58" w:rsidRPr="00C61779" w:rsidRDefault="00EA5D58" w:rsidP="00C61779">
      <w:pPr>
        <w:pStyle w:val="ListParagraph"/>
        <w:numPr>
          <w:ilvl w:val="1"/>
          <w:numId w:val="20"/>
        </w:numPr>
        <w:spacing w:line="360" w:lineRule="auto"/>
        <w:jc w:val="both"/>
        <w:rPr>
          <w:b/>
          <w:bCs/>
          <w:sz w:val="24"/>
          <w:szCs w:val="24"/>
        </w:rPr>
      </w:pPr>
      <w:r w:rsidRPr="00C61779">
        <w:rPr>
          <w:b/>
          <w:bCs/>
          <w:sz w:val="24"/>
          <w:szCs w:val="24"/>
        </w:rPr>
        <w:t xml:space="preserve">DISCUSSION </w:t>
      </w:r>
    </w:p>
    <w:p w:rsidR="00C61779" w:rsidRPr="0061530B" w:rsidRDefault="00C61779" w:rsidP="004E71E5">
      <w:pPr>
        <w:spacing w:line="480" w:lineRule="auto"/>
        <w:jc w:val="both"/>
        <w:rPr>
          <w:rFonts w:ascii="Times New Roman" w:hAnsi="Times New Roman" w:cs="Times New Roman"/>
          <w:b/>
          <w:bCs/>
          <w:sz w:val="24"/>
          <w:szCs w:val="24"/>
        </w:rPr>
      </w:pPr>
      <w:r w:rsidRPr="0061530B">
        <w:rPr>
          <w:rFonts w:ascii="Times New Roman" w:hAnsi="Times New Roman" w:cs="Times New Roman"/>
          <w:b/>
          <w:bCs/>
          <w:sz w:val="24"/>
          <w:szCs w:val="24"/>
        </w:rPr>
        <w:t xml:space="preserve">4.2.1 Physicochemical analysis of the samples </w:t>
      </w:r>
    </w:p>
    <w:p w:rsidR="00EA5D58" w:rsidRDefault="00EA5D58" w:rsidP="004E71E5">
      <w:pPr>
        <w:pStyle w:val="BodyText"/>
        <w:spacing w:line="480" w:lineRule="auto"/>
        <w:ind w:right="810"/>
        <w:jc w:val="both"/>
      </w:pPr>
      <w:r>
        <w:t xml:space="preserve">Table 4.1 shows the mean ± SD of the pH of the sampled energy drinks. The pH rangedfrom 4.47 ± 0.012 - 5.96 ± 0.012.Sample HC had the least Ph. Theresultswerehigher thanpH valuesof2.75 – 3.66 reported by Mohammed </w:t>
      </w:r>
      <w:r>
        <w:rPr>
          <w:i/>
        </w:rPr>
        <w:t xml:space="preserve">et al., </w:t>
      </w:r>
      <w:r>
        <w:t>(2012) for soft and energy drinks in Basrah, Iraq. They were within the pH ranged of4.2 – 6.3 reported by Adeleke and Abiodun (2010) for local beverages in Nigeria, and had similarities with pH values of 4.2 – 6.3 reported by Obuzor and Ajaezi (2010) for malt beverages. All samples pH is acidic (i.e. their pH values are less than 7). The reason behind the low pH values of these beverages may be attributed to the CO</w:t>
      </w:r>
      <w:r>
        <w:rPr>
          <w:vertAlign w:val="subscript"/>
        </w:rPr>
        <w:t>2</w:t>
      </w:r>
      <w:r>
        <w:t xml:space="preserve"> gas used in the preservation of these beverages or the presence of other acids such as citricacid, phosphoric acid, ascorbic acid, malic acid, tartaric acid used as preservatives (Bassiouny and Yang, 2005; Ashurst, 2005). A correct balance pH in the body is crucial to good health. Monitoring pH levels in beverages is important because unbalanced drinks can lead to tooth decay, an exposure to metallic chemicalsand aweakening ofthe immunesystem. The pHoftheanalyzedenergydrinksis in the range recommended by FDA for caffeinated drinks and coffee of4.7 and 6.0 (FDA, </w:t>
      </w:r>
      <w:r>
        <w:rPr>
          <w:spacing w:val="-2"/>
        </w:rPr>
        <w:t>2003).</w:t>
      </w:r>
    </w:p>
    <w:p w:rsidR="00360F94" w:rsidRPr="002F391D" w:rsidRDefault="00360F94" w:rsidP="002F391D">
      <w:pPr>
        <w:pStyle w:val="BodyText"/>
        <w:spacing w:before="1" w:line="480" w:lineRule="auto"/>
        <w:jc w:val="both"/>
      </w:pPr>
      <w:r>
        <w:t>Themean±SDoftheturbidityreadingsofthesampledenergydrinksisshownin</w:t>
      </w:r>
      <w:r>
        <w:rPr>
          <w:spacing w:val="-2"/>
        </w:rPr>
        <w:t>Table</w:t>
      </w:r>
    </w:p>
    <w:p w:rsidR="00360F94" w:rsidRDefault="00360F94" w:rsidP="00360F94">
      <w:pPr>
        <w:pStyle w:val="BodyText"/>
        <w:spacing w:line="480" w:lineRule="auto"/>
        <w:ind w:right="817"/>
        <w:jc w:val="both"/>
      </w:pPr>
      <w:r>
        <w:lastRenderedPageBreak/>
        <w:t>4.1. The turbidity ofenergydrinks ranged from</w:t>
      </w:r>
      <w:r>
        <w:rPr>
          <w:spacing w:val="-4"/>
        </w:rPr>
        <w:t xml:space="preserve"> 6</w:t>
      </w:r>
      <w:r>
        <w:t>8 ± 0.577 – 592 ± 1.155 NTU. Sample BU is least turbid while sample LB had the highest turbidity. Turbidityis the measure ofthe degree to whichwater loses its transparency due to presence of suspended particles. The more total suspended solids in the water, the murkier it seems and the higher the turbidity (Maurice, 2010). Turbidity is considered as a good measure ofthe quality ofwater. The suspended particles help the attachment of heavy metals and other toxic organic compounds which may pose negative health effects to the consumers.</w:t>
      </w:r>
    </w:p>
    <w:p w:rsidR="00360F94" w:rsidRDefault="00360F94" w:rsidP="006C5F69">
      <w:pPr>
        <w:pStyle w:val="BodyText"/>
        <w:spacing w:line="480" w:lineRule="auto"/>
        <w:ind w:right="811"/>
        <w:jc w:val="both"/>
      </w:pPr>
      <w:r>
        <w:t xml:space="preserve">The total dissolved solids (TDS) ranged from 243 ± 0.577 – 914 ± 2.309 mg/L as shown in Table 4.1. These values were within the range of 327.37 – 1480 mg/L reported by Obuzor and Ajaezi (2010) for malt drinks. Sample </w:t>
      </w:r>
      <w:r w:rsidR="00C61779">
        <w:t>BU</w:t>
      </w:r>
      <w:r>
        <w:t xml:space="preserve"> had the highest TDS while sample LB had the least TDS. Beverages with high values ofTDS are likely to contain metals (essential and toxic) at high concentrations which may cause adverse health effects when consumed.</w:t>
      </w:r>
    </w:p>
    <w:p w:rsidR="00C61779" w:rsidRDefault="00C61779" w:rsidP="006C5F69">
      <w:pPr>
        <w:pStyle w:val="BodyText"/>
        <w:spacing w:before="1" w:line="480" w:lineRule="auto"/>
        <w:ind w:right="817"/>
        <w:jc w:val="both"/>
      </w:pPr>
      <w:r>
        <w:t xml:space="preserve">Conductivity is the ability of electricity to pass through water using the impurities contained in the water as conductors. When water has a lot of impurities, it is more conductive, however, if water is pure, it is less conductive unless it is polarized (Maurice, 2010). Hence, energydrinksconduct electricity because it contains ionsand it followsthat energy drink with the highest concentration of ions will conduct the most. Theconductivity of energy drinks ranged from 497±1.155 - 1881 ± 0.577 µs/cm. These values were similar to 2.93 – 1999 µs/cm reported by Obuzor and Ajaezi (2010) for malt drinks. Sample LB is least conductive while sample BU has the highest </w:t>
      </w:r>
      <w:r>
        <w:rPr>
          <w:spacing w:val="-2"/>
        </w:rPr>
        <w:t>conductivity.</w:t>
      </w:r>
    </w:p>
    <w:p w:rsidR="00AC182C" w:rsidRDefault="0061530B" w:rsidP="00EA5D58">
      <w:pPr>
        <w:spacing w:after="0"/>
        <w:jc w:val="both"/>
        <w:rPr>
          <w:rFonts w:ascii="Times New Roman" w:hAnsi="Times New Roman" w:cs="Times New Roman"/>
          <w:b/>
          <w:bCs/>
          <w:sz w:val="24"/>
          <w:szCs w:val="24"/>
        </w:rPr>
      </w:pPr>
      <w:r>
        <w:rPr>
          <w:rFonts w:ascii="Times New Roman" w:hAnsi="Times New Roman" w:cs="Times New Roman"/>
          <w:b/>
          <w:bCs/>
          <w:sz w:val="24"/>
          <w:szCs w:val="24"/>
        </w:rPr>
        <w:t>4.2.2 Heavy metals</w:t>
      </w:r>
    </w:p>
    <w:p w:rsidR="00BC2BA1" w:rsidRDefault="0061530B" w:rsidP="002F391D">
      <w:pPr>
        <w:pStyle w:val="BodyText"/>
        <w:spacing w:before="72" w:line="480" w:lineRule="auto"/>
        <w:ind w:right="822"/>
        <w:jc w:val="both"/>
      </w:pPr>
      <w:r>
        <w:t>Themainthreatstohuman</w:t>
      </w:r>
      <w:r>
        <w:rPr>
          <w:spacing w:val="-2"/>
        </w:rPr>
        <w:t xml:space="preserve">health </w:t>
      </w:r>
      <w:r>
        <w:t xml:space="preserve">from heavy metals are associated with exposure to lead, cadmium, mercury and arsenic (arsenic is a metalloid, but is usuallyclassified as a heavy metal). Althoughadverse health effects of heavy metals have been known for a long time, </w:t>
      </w:r>
      <w:r>
        <w:lastRenderedPageBreak/>
        <w:t>exposure to heavy metals continues and is even increasing in some areas. Table 4.2 shows the mean ± SD for the concentration of heavy metals in the sampled energy drinks.</w:t>
      </w:r>
    </w:p>
    <w:p w:rsidR="00BC2BA1" w:rsidRDefault="00BC2BA1" w:rsidP="006C5F69">
      <w:pPr>
        <w:pStyle w:val="BodyText"/>
        <w:spacing w:before="1" w:line="480" w:lineRule="auto"/>
        <w:ind w:right="809"/>
        <w:jc w:val="both"/>
      </w:pPr>
      <w:r>
        <w:t>Cadmium was not detected in all energy drinks.  The cadmium concentration of energy drinks analyzed far below the maximum contaminant levels (MCL) of 0.005 mg/L set by US EPA (1985) since it was not detected. Cadmium intake in relatively high amount can be detrimental to human health. Over a long period ofintake, cadmium mayaccumulate in thekidneyand liver, and because of its long biological half-life, may lead to kidney damage (Maduabuchi</w:t>
      </w:r>
      <w:r>
        <w:rPr>
          <w:i/>
        </w:rPr>
        <w:t xml:space="preserve">et al., </w:t>
      </w:r>
      <w:r>
        <w:t xml:space="preserve">2006). Cadmium is a non-essential metal and produces only significant adverse health </w:t>
      </w:r>
      <w:r>
        <w:rPr>
          <w:spacing w:val="-2"/>
        </w:rPr>
        <w:t>effects.</w:t>
      </w:r>
    </w:p>
    <w:p w:rsidR="002F391D" w:rsidRDefault="006C5F69" w:rsidP="002F391D">
      <w:pPr>
        <w:pStyle w:val="BodyText"/>
        <w:spacing w:before="1" w:line="480" w:lineRule="auto"/>
        <w:ind w:right="815"/>
        <w:jc w:val="both"/>
      </w:pPr>
      <w:r>
        <w:t>Lead concentration of energy drinks ranged from 0.028 ± 0.0006 - 0.139 ± 0.004 mg/L withsample EV having the least and sample SO having the highest concentration. Lead was not detected in sample LB as shown in Table4.2.The lead concentration of energy drinks was lower than lead concentrations of 0.020–0.46 mg/L reported by Krejpcio (2005). Onianwa</w:t>
      </w:r>
      <w:r>
        <w:rPr>
          <w:i/>
        </w:rPr>
        <w:t>et al</w:t>
      </w:r>
      <w:r>
        <w:t>., (1999) reported lead levels of 0.04 ± 0.01 ppm in carbonated soft drinks 0.06 ± 0.08ppm in fruit juice Nigeria. Lead toxicity causes many sign and symptoms such as abdominal pains, anaemia, anoxia, bone pair, brain damage, convulsion, dizziness, inability to concentrate (Satarug and Moore, 2004). Excessive exposure to lead may cause microcytic anemia, glycosuria, cognitive dysfunction, anorexia, metallic taste, insomnia and reticulocytosis. Target organs include the brain, bone, blood, kidneys, and thyroid gland (Satarug and Moore, 2004).</w:t>
      </w:r>
      <w:r w:rsidR="002F391D">
        <w:rPr>
          <w:spacing w:val="-4"/>
        </w:rPr>
        <w:t>Zinc</w:t>
      </w:r>
    </w:p>
    <w:p w:rsidR="002F391D" w:rsidRDefault="002F391D" w:rsidP="004F0502">
      <w:pPr>
        <w:pStyle w:val="BodyText"/>
        <w:spacing w:before="1" w:line="480" w:lineRule="auto"/>
        <w:ind w:right="815"/>
        <w:jc w:val="both"/>
      </w:pPr>
      <w:r>
        <w:t xml:space="preserve">Zinc is such a critical element in human health of which, a small deficiency is a disaster. Zinc deficiency is characterized by growth retardation, loss of appetite and impaired immune function. In more severe cases, zinc deficiency causes hair loss, diarrhea, delayed sexual maturation, impotence, hypogonadism in males, and eye and skin lesions (Ryan- Harshman </w:t>
      </w:r>
      <w:r>
        <w:lastRenderedPageBreak/>
        <w:t>andAldoori,2005).Theconcentrationzincwaswith in rangeof0.045±</w:t>
      </w:r>
      <w:r>
        <w:rPr>
          <w:spacing w:val="-2"/>
        </w:rPr>
        <w:t xml:space="preserve"> 0.0001</w:t>
      </w:r>
      <w:r>
        <w:t xml:space="preserve"> - 13.887 ± 0.0037 mg/L. Sample SO had the highest concentration of 13.887 ± 0.0037. These values were similar to those reported by Bengol</w:t>
      </w:r>
      <w:r>
        <w:rPr>
          <w:i/>
        </w:rPr>
        <w:t xml:space="preserve">et al., </w:t>
      </w:r>
      <w:r>
        <w:t>(2010) and Krejpcio</w:t>
      </w:r>
      <w:r>
        <w:rPr>
          <w:i/>
        </w:rPr>
        <w:t>etal</w:t>
      </w:r>
      <w:r>
        <w:t>.(2005)exceptforsampleSO.</w:t>
      </w:r>
      <w:r w:rsidR="001F61AD">
        <w:t>It is required for the catalytic activity of approximately 100 enzymes and it plays a role in immune function, protein synthesis, wound healing, DNA synthesis, and cell division (Institute of Medicine, 2001; Prasad, 1995). A daily intake of zinc is requiredto maintainasteadystatebecausethe body has no specialized zinc storagesystem (Ryan-Harshman and Aldoori, 2005; Institute of Medicine, 2001).</w:t>
      </w:r>
    </w:p>
    <w:p w:rsidR="006745EC" w:rsidRPr="004F0502" w:rsidRDefault="006745EC" w:rsidP="006745EC">
      <w:pPr>
        <w:pStyle w:val="Heading3"/>
        <w:keepNext w:val="0"/>
        <w:keepLines w:val="0"/>
        <w:widowControl w:val="0"/>
        <w:numPr>
          <w:ilvl w:val="2"/>
          <w:numId w:val="22"/>
        </w:numPr>
        <w:tabs>
          <w:tab w:val="left" w:pos="1097"/>
        </w:tabs>
        <w:autoSpaceDE w:val="0"/>
        <w:autoSpaceDN w:val="0"/>
        <w:spacing w:before="0" w:line="240" w:lineRule="auto"/>
        <w:jc w:val="both"/>
        <w:rPr>
          <w:rFonts w:ascii="Times New Roman" w:hAnsi="Times New Roman" w:cs="Times New Roman"/>
          <w:b/>
          <w:bCs/>
          <w:color w:val="auto"/>
        </w:rPr>
      </w:pPr>
      <w:bookmarkStart w:id="35" w:name="_TOC_250007"/>
      <w:r w:rsidRPr="004F0502">
        <w:rPr>
          <w:rFonts w:ascii="Times New Roman" w:hAnsi="Times New Roman" w:cs="Times New Roman"/>
          <w:b/>
          <w:bCs/>
          <w:color w:val="auto"/>
        </w:rPr>
        <w:t>Caffeine and AspartameinEnergy</w:t>
      </w:r>
      <w:bookmarkEnd w:id="35"/>
      <w:r w:rsidRPr="004F0502">
        <w:rPr>
          <w:rFonts w:ascii="Times New Roman" w:hAnsi="Times New Roman" w:cs="Times New Roman"/>
          <w:b/>
          <w:bCs/>
          <w:color w:val="auto"/>
          <w:spacing w:val="-2"/>
        </w:rPr>
        <w:t>Drinks</w:t>
      </w:r>
    </w:p>
    <w:p w:rsidR="006745EC" w:rsidRDefault="006745EC" w:rsidP="006745EC">
      <w:pPr>
        <w:pStyle w:val="BodyText"/>
        <w:spacing w:before="7"/>
        <w:rPr>
          <w:b/>
          <w:sz w:val="23"/>
        </w:rPr>
      </w:pPr>
    </w:p>
    <w:p w:rsidR="004F0502" w:rsidRDefault="006745EC" w:rsidP="004F0502">
      <w:pPr>
        <w:pStyle w:val="BodyText"/>
        <w:spacing w:line="480" w:lineRule="auto"/>
        <w:ind w:right="817"/>
        <w:jc w:val="both"/>
      </w:pPr>
      <w:r>
        <w:t xml:space="preserve">The caffeine and aspartame concentration of the energy drinks were calculated using calibration curves obtained from the caffeine and aspartame analysis using HPLC asshown in appendices </w:t>
      </w:r>
      <w:r w:rsidR="004F0502">
        <w:t>A</w:t>
      </w:r>
      <w:r>
        <w:t xml:space="preserve"> and </w:t>
      </w:r>
      <w:r w:rsidR="004F0502">
        <w:t>B</w:t>
      </w:r>
      <w:r>
        <w:t xml:space="preserve"> respectively. The sugar concentration of the energy drinks </w:t>
      </w:r>
      <w:r w:rsidR="004F0502">
        <w:t>was</w:t>
      </w:r>
      <w:r>
        <w:t xml:space="preserve"> calculated using calibration curves obtained the sugar analysis using UV- Spectrophotometer in as shown in Appendix D.</w:t>
      </w:r>
      <w:bookmarkStart w:id="36" w:name="_TOC_250006"/>
      <w:bookmarkEnd w:id="36"/>
    </w:p>
    <w:p w:rsidR="004F0502" w:rsidRDefault="006745EC" w:rsidP="004F0502">
      <w:pPr>
        <w:pStyle w:val="BodyText"/>
        <w:spacing w:line="480" w:lineRule="auto"/>
        <w:ind w:right="817"/>
        <w:jc w:val="both"/>
      </w:pPr>
      <w:r>
        <w:t>The mean ± SD concentrations of caffeine as determined in each of the sampled energy drinks are shown in Table 4.</w:t>
      </w:r>
      <w:r w:rsidR="004F0502">
        <w:t>3</w:t>
      </w:r>
      <w:r>
        <w:t>. The results obtained showed that caffeine concentrations ranged from 1.11 mg/l – 2</w:t>
      </w:r>
      <w:r w:rsidR="004F0502">
        <w:t>00</w:t>
      </w:r>
      <w:r>
        <w:t>.1</w:t>
      </w:r>
      <w:r w:rsidR="004F0502">
        <w:t>0</w:t>
      </w:r>
      <w:r>
        <w:t xml:space="preserve"> mg/L. These were within the range of 170 ppm – 324 ppm for caffeine concentrations in energy drink reported by Mei </w:t>
      </w:r>
      <w:r>
        <w:rPr>
          <w:i/>
        </w:rPr>
        <w:t xml:space="preserve">et al., </w:t>
      </w:r>
      <w:r>
        <w:t xml:space="preserve">(2012), and lower than the ranged of 440 ppm – 473 ppm for caffeine concentration in tea samples reported byMei </w:t>
      </w:r>
      <w:r>
        <w:rPr>
          <w:i/>
        </w:rPr>
        <w:t xml:space="preserve">et al., </w:t>
      </w:r>
      <w:r>
        <w:t xml:space="preserve">(2012). The values were also lower than 1.41 mg/serving reportedbyRachel </w:t>
      </w:r>
      <w:r>
        <w:rPr>
          <w:i/>
        </w:rPr>
        <w:t>et al.,</w:t>
      </w:r>
      <w:r>
        <w:t xml:space="preserve">(2006) and those reported by Alghamdi </w:t>
      </w:r>
      <w:r>
        <w:rPr>
          <w:i/>
        </w:rPr>
        <w:t xml:space="preserve">et al., </w:t>
      </w:r>
      <w:r>
        <w:t xml:space="preserve">(2005). Sample EV had the least caffeine concentration while sample </w:t>
      </w:r>
      <w:r w:rsidR="004F0502">
        <w:t xml:space="preserve">HC </w:t>
      </w:r>
      <w:r>
        <w:t xml:space="preserve">had the highest caffeine concentration. </w:t>
      </w:r>
      <w:r w:rsidR="004F0502">
        <w:t xml:space="preserve"> The safety of caffeine intake has been assessed by several national regulatory scientific committees for use at the levels of consumption estimated </w:t>
      </w:r>
      <w:r w:rsidR="004F0502">
        <w:lastRenderedPageBreak/>
        <w:t xml:space="preserve">by their respective populations. According to the Food Standards Agency UK, drinks containing more than 150 mg/L of caffeine must be labeled with the term 'high caffeine content' in the same field of vision as thenameofthe food. This must beaccompanied byan indicationoftheamount ofcaffeine per 100ml in the product. No other labeling is currently required by law and this labelling does not apply to drinks such as tea and coffee. The recommended upper daily intake levels of caffeine have been set by the Korean Food and Drug Administration. For adults less than 400 mg of caffeine per day, for pregnant women less than 300mg and for children less than 2.5 mg/kg of body weight (Heckman </w:t>
      </w:r>
      <w:r w:rsidR="004F0502">
        <w:rPr>
          <w:i/>
        </w:rPr>
        <w:t xml:space="preserve">et al., </w:t>
      </w:r>
      <w:r w:rsidR="004F0502">
        <w:t xml:space="preserve">2010). InTaiwan, Upper limit ofcaffeine is 320 mg/L for beverages other thantea and coffee (Heckman, </w:t>
      </w:r>
      <w:r w:rsidR="004F0502">
        <w:rPr>
          <w:i/>
        </w:rPr>
        <w:t>et al</w:t>
      </w:r>
      <w:r w:rsidR="004F0502">
        <w:t xml:space="preserve">., 2010). Mexicanregulations do not include anyupper limit for the addition of caffeine to beverages. However, flavoured nonalcoholic beverages containing more than 20 mg/100 ml are considered ‗beverages with added caffeine, which must be printed on the label (Heckman, </w:t>
      </w:r>
      <w:r w:rsidR="004F0502">
        <w:rPr>
          <w:i/>
        </w:rPr>
        <w:t>et al</w:t>
      </w:r>
      <w:r w:rsidR="004F0502">
        <w:t>., 2010).</w:t>
      </w:r>
    </w:p>
    <w:p w:rsidR="004F0502" w:rsidRPr="007E37AE" w:rsidRDefault="004F0502" w:rsidP="007E37AE">
      <w:pPr>
        <w:pStyle w:val="BodyText"/>
        <w:spacing w:before="1" w:line="480" w:lineRule="auto"/>
        <w:ind w:right="815"/>
        <w:jc w:val="both"/>
      </w:pPr>
      <w:r>
        <w:t xml:space="preserve">The concentrationofaspartame asdetermined in eachofthe sampled energydrink isgiven in Table 4.3. The results obtained shows that aspartame concentration ranged from </w:t>
      </w:r>
      <w:bookmarkStart w:id="37" w:name="_Hlk150501943"/>
      <w:r>
        <w:t>532</w:t>
      </w:r>
      <w:r w:rsidR="004F69FF">
        <w:t>.23</w:t>
      </w:r>
      <w:r>
        <w:t xml:space="preserve"> mg/L–956.</w:t>
      </w:r>
      <w:r w:rsidR="004F69FF">
        <w:t>82</w:t>
      </w:r>
      <w:r>
        <w:t>mg/L</w:t>
      </w:r>
      <w:bookmarkEnd w:id="37"/>
      <w:r>
        <w:t>.Thesevalueswerewith</w:t>
      </w:r>
      <w:r>
        <w:rPr>
          <w:spacing w:val="19"/>
        </w:rPr>
        <w:t>i</w:t>
      </w:r>
      <w:r>
        <w:t>ntherangeof153.69–876.42ppm</w:t>
      </w:r>
      <w:r>
        <w:rPr>
          <w:spacing w:val="-5"/>
        </w:rPr>
        <w:t>and</w:t>
      </w:r>
      <w:r>
        <w:t xml:space="preserve"> 198.22 – 709.36 ppmreported by </w:t>
      </w:r>
      <w:r>
        <w:rPr>
          <w:color w:val="211E1F"/>
        </w:rPr>
        <w:t>Serdar and Knežević (2011) for soft drinks and artificial flavored drinks respectively but lower compare to 80.29 – 435.05ppm reported for fruit juices and 156.98 – 554.35 ppmreported for powdered drinks. The values were also lower comparedto40.25–507.75ppmreportedbyMackenzieandErik(2001)and127.2</w:t>
      </w:r>
      <w:r>
        <w:rPr>
          <w:color w:val="211E1F"/>
          <w:spacing w:val="-10"/>
        </w:rPr>
        <w:t>–</w:t>
      </w:r>
      <w:r>
        <w:rPr>
          <w:color w:val="211E1F"/>
        </w:rPr>
        <w:t>344.5ppmreportedbyAlghamdi</w:t>
      </w:r>
      <w:r>
        <w:rPr>
          <w:i/>
          <w:color w:val="211E1F"/>
        </w:rPr>
        <w:t>etal.,</w:t>
      </w:r>
      <w:r>
        <w:rPr>
          <w:color w:val="211E1F"/>
        </w:rPr>
        <w:t>(2005).</w:t>
      </w:r>
      <w:r>
        <w:t>Sample</w:t>
      </w:r>
      <w:r w:rsidR="004F69FF">
        <w:t>BU</w:t>
      </w:r>
      <w:r>
        <w:t>hadthe</w:t>
      </w:r>
      <w:r>
        <w:rPr>
          <w:spacing w:val="-2"/>
        </w:rPr>
        <w:t xml:space="preserve">least </w:t>
      </w:r>
      <w:r>
        <w:t>aspartame concentration while sample E</w:t>
      </w:r>
      <w:r w:rsidR="004F69FF">
        <w:t>V</w:t>
      </w:r>
      <w:r>
        <w:t xml:space="preserve"> had the highest aspartame concentration. The concentration of aspartame in the liquid forms of energy drinks were generally higher compared to the concentration in the </w:t>
      </w:r>
      <w:r>
        <w:lastRenderedPageBreak/>
        <w:t>powdered forms of energy drinks.</w:t>
      </w:r>
    </w:p>
    <w:p w:rsidR="007E37AE" w:rsidRDefault="004F0502" w:rsidP="007E37AE">
      <w:pPr>
        <w:pStyle w:val="BodyText"/>
        <w:spacing w:line="480" w:lineRule="auto"/>
        <w:ind w:right="817"/>
        <w:jc w:val="both"/>
      </w:pPr>
      <w:r>
        <w:t>The safety of aspartame has been considered by a range of regulatory organizations, their expert advisory groups and interested scientists (FAO/WHO, 1980). An acceptable daily intake (ADI) of40 mg/kg bodyweight was established for aspartame, while an ADI of7.5 mg/kg body weight was established for diketopiperazine (FAO/WHO, 1980).</w:t>
      </w:r>
      <w:r w:rsidR="007E37AE">
        <w:t xml:space="preserve"> TheFDAestablished a slightly higher ADI for aspartameof50 mg/kg bodyweight. The acceptable daily intake ofaspartame range between40 - 50 mg/kg/bodyweight which is equivalent to 2400 – 3000 mg/day for a 60 kg adult (FDA, 1996; FAO/WHO, 1980).</w:t>
      </w:r>
    </w:p>
    <w:p w:rsidR="004F0502" w:rsidRDefault="004F0502" w:rsidP="004F0502">
      <w:pPr>
        <w:pStyle w:val="BodyText"/>
        <w:spacing w:line="480" w:lineRule="auto"/>
        <w:ind w:right="816"/>
        <w:jc w:val="both"/>
      </w:pPr>
    </w:p>
    <w:p w:rsidR="0061530B" w:rsidRDefault="0061530B"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4635DD" w:rsidRDefault="004635DD" w:rsidP="00EB08CC">
      <w:pPr>
        <w:spacing w:after="0"/>
        <w:jc w:val="both"/>
        <w:rPr>
          <w:rFonts w:ascii="Times New Roman" w:hAnsi="Times New Roman" w:cs="Times New Roman"/>
          <w:b/>
          <w:bCs/>
          <w:sz w:val="24"/>
          <w:szCs w:val="24"/>
        </w:rPr>
      </w:pPr>
    </w:p>
    <w:p w:rsidR="00EB08CC" w:rsidRDefault="00EB08CC" w:rsidP="00EB08CC">
      <w:pPr>
        <w:spacing w:after="0"/>
        <w:jc w:val="both"/>
        <w:rPr>
          <w:rFonts w:ascii="Times New Roman" w:hAnsi="Times New Roman" w:cs="Times New Roman"/>
          <w:b/>
          <w:bCs/>
          <w:sz w:val="24"/>
          <w:szCs w:val="24"/>
        </w:rPr>
      </w:pPr>
    </w:p>
    <w:p w:rsidR="00AD406B" w:rsidRDefault="00AD406B" w:rsidP="00EB08CC">
      <w:pPr>
        <w:spacing w:after="0"/>
        <w:jc w:val="both"/>
        <w:rPr>
          <w:rFonts w:ascii="Times New Roman" w:hAnsi="Times New Roman" w:cs="Times New Roman"/>
          <w:b/>
          <w:bCs/>
          <w:sz w:val="24"/>
          <w:szCs w:val="24"/>
        </w:rPr>
      </w:pPr>
    </w:p>
    <w:p w:rsidR="00AD406B" w:rsidRDefault="00AD406B" w:rsidP="00EB08CC">
      <w:pPr>
        <w:spacing w:after="0"/>
        <w:jc w:val="both"/>
        <w:rPr>
          <w:rFonts w:ascii="Times New Roman" w:hAnsi="Times New Roman" w:cs="Times New Roman"/>
          <w:b/>
          <w:bCs/>
          <w:sz w:val="24"/>
          <w:szCs w:val="24"/>
        </w:rPr>
      </w:pPr>
      <w:bookmarkStart w:id="38" w:name="_GoBack"/>
      <w:bookmarkEnd w:id="38"/>
    </w:p>
    <w:p w:rsidR="00EB08CC" w:rsidRDefault="00EB08CC" w:rsidP="00EB08CC">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FIVE</w:t>
      </w:r>
    </w:p>
    <w:p w:rsidR="00EB08CC" w:rsidRDefault="00EB08CC" w:rsidP="004635DD">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CONCLUSION AND RECOMMENDATION</w:t>
      </w:r>
    </w:p>
    <w:p w:rsidR="00EB08CC" w:rsidRDefault="00EB08CC" w:rsidP="00EB08CC">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5.1 Conclusion </w:t>
      </w:r>
    </w:p>
    <w:p w:rsidR="00C92DEA" w:rsidRDefault="00EB08CC" w:rsidP="00C92DEA">
      <w:pPr>
        <w:pStyle w:val="BodyText"/>
        <w:spacing w:before="231" w:line="480" w:lineRule="auto"/>
        <w:ind w:right="821"/>
        <w:jc w:val="both"/>
      </w:pPr>
      <w:r>
        <w:t>Debate regarding the overall risks and benefits of energy drinks has gained momentum in recent times. Health researchers agree that caffeine consumption can have adverse health consequences, particularly at high doses. Among the most common negative effects are increased anxiety, panic attacks, increased blood pressure, increased gastric acid, bowel irritability, and insomnia. This study analyzed the caffeine and aspartame concentrations of energy drinks in the Nigerian market. Results for caffeine concentration in the energy drinks ranged between 1.11 mg/l – 200.10 mg/L. Caffeine concentration in all the samples were below the FDA set standard of 400 mg per day. There has also been reports regarding the safety of aspartame which is the predominant artificial sweetener used in most beverages. The aspartame concentration of energy drinks ranged from532.23 mg/L–956.82mg/L. This is belowthe acceptabledaily intake(ADI) of aspartame set by joint WHO/FDA (40 – 50 mg/kg per body weight). This is equivalent to 2400 – 3000 mg/day for a 60 kg adult.</w:t>
      </w:r>
      <w:r w:rsidR="00C92DEA">
        <w:t xml:space="preserve"> Cadmium was not detected in all of the samples and lead, zinc, copper was detected in minimal level. The physicochemical properties such as pH, total dissolved solids, turbidity and conductivity were also investigated. These were in conformity with the standards set by regulatory bodies such as FDA and WHO.</w:t>
      </w:r>
    </w:p>
    <w:p w:rsidR="00EB08CC" w:rsidRDefault="005E3800" w:rsidP="00EB08CC">
      <w:pPr>
        <w:pStyle w:val="BodyText"/>
        <w:spacing w:before="170" w:line="480" w:lineRule="auto"/>
        <w:ind w:right="810"/>
        <w:jc w:val="both"/>
        <w:rPr>
          <w:b/>
          <w:bCs/>
        </w:rPr>
      </w:pPr>
      <w:r w:rsidRPr="005E3800">
        <w:rPr>
          <w:b/>
          <w:bCs/>
        </w:rPr>
        <w:t xml:space="preserve">5.2 Recommendations </w:t>
      </w:r>
    </w:p>
    <w:p w:rsidR="004635DD" w:rsidRDefault="004635DD" w:rsidP="004635DD">
      <w:pPr>
        <w:pStyle w:val="BodyText"/>
        <w:spacing w:before="1" w:line="480" w:lineRule="auto"/>
        <w:ind w:right="816"/>
        <w:jc w:val="both"/>
      </w:pPr>
      <w:r>
        <w:t xml:space="preserve">Energy drinks have been associated with adverse health effects and the claims made by </w:t>
      </w:r>
      <w:r>
        <w:lastRenderedPageBreak/>
        <w:t>manufacturers about the benefits of energy drinks do not highlight risks associated with excessive consumption of a combination of the ingredients contained in energy drinks. Long term effects of energy drinks consumption of children and young people have not been adequately studied. Therefore, it is recommended that further research be carried out on the adverse effects ofenergy drinks on children. Research is also needed to be done on the effects ofthe combination of ingredients on health and excessive consumption ofthose ingredients to children and adolescents. People need to be educated and given proper awareness on the health risks associated with energy drinks.</w:t>
      </w:r>
    </w:p>
    <w:p w:rsidR="004635DD" w:rsidRPr="004635DD" w:rsidRDefault="004635DD" w:rsidP="004635DD">
      <w:pPr>
        <w:pStyle w:val="BodyText"/>
        <w:spacing w:before="72" w:line="480" w:lineRule="auto"/>
        <w:ind w:right="819"/>
        <w:jc w:val="both"/>
      </w:pPr>
      <w:r>
        <w:t>It is recommended that it should be made compulsory for manufacturers to fully disclose the exact concentrations of ingredients including stimulants such as caffeine and guarana used on the labels of their products so that people are aware of what theyconsume.</w:t>
      </w:r>
    </w:p>
    <w:p w:rsidR="004635DD" w:rsidRPr="004635DD" w:rsidRDefault="004635DD" w:rsidP="004635DD">
      <w:pPr>
        <w:pStyle w:val="BodyText"/>
        <w:spacing w:line="480" w:lineRule="auto"/>
        <w:ind w:right="818"/>
        <w:jc w:val="both"/>
      </w:pPr>
      <w:r>
        <w:t>Manufacturers should also provide prominent health and safety warning labels on each container, alerting consumers to the risks associated with consuming caffeine and other stimulants contained in energy drinks.</w:t>
      </w:r>
    </w:p>
    <w:p w:rsidR="004635DD" w:rsidRDefault="004635DD" w:rsidP="004635DD">
      <w:pPr>
        <w:pStyle w:val="BodyText"/>
        <w:spacing w:line="480" w:lineRule="auto"/>
        <w:ind w:right="816"/>
        <w:jc w:val="both"/>
      </w:pPr>
      <w:r>
        <w:t>Agencies such as NAFDAC should conduct further research on the health and safety of energy drinks, focusing particularlyon the impact on underage drinking. They should also develop a national media and public awareness campaign about the risks associated with energy drinks.</w:t>
      </w:r>
    </w:p>
    <w:p w:rsidR="004635DD" w:rsidRDefault="004635DD" w:rsidP="00EB08CC">
      <w:pPr>
        <w:pStyle w:val="BodyText"/>
        <w:spacing w:before="170" w:line="480" w:lineRule="auto"/>
        <w:ind w:right="810"/>
        <w:jc w:val="both"/>
        <w:rPr>
          <w:b/>
          <w:bCs/>
        </w:rPr>
      </w:pPr>
    </w:p>
    <w:p w:rsidR="004635DD" w:rsidRDefault="004635DD" w:rsidP="00EB08CC">
      <w:pPr>
        <w:pStyle w:val="BodyText"/>
        <w:spacing w:before="170" w:line="480" w:lineRule="auto"/>
        <w:ind w:right="810"/>
        <w:jc w:val="both"/>
        <w:rPr>
          <w:b/>
          <w:bCs/>
        </w:rPr>
      </w:pPr>
    </w:p>
    <w:p w:rsidR="004635DD" w:rsidRDefault="004635DD" w:rsidP="00EB08CC">
      <w:pPr>
        <w:pStyle w:val="BodyText"/>
        <w:spacing w:before="170" w:line="480" w:lineRule="auto"/>
        <w:ind w:right="810"/>
        <w:jc w:val="both"/>
        <w:rPr>
          <w:b/>
          <w:bCs/>
        </w:rPr>
      </w:pPr>
    </w:p>
    <w:p w:rsidR="004635DD" w:rsidRDefault="004635DD" w:rsidP="00EB08CC">
      <w:pPr>
        <w:pStyle w:val="BodyText"/>
        <w:spacing w:before="170" w:line="480" w:lineRule="auto"/>
        <w:ind w:right="810"/>
        <w:jc w:val="both"/>
        <w:rPr>
          <w:b/>
          <w:bCs/>
        </w:rPr>
      </w:pPr>
    </w:p>
    <w:p w:rsidR="004635DD" w:rsidRDefault="004635DD" w:rsidP="00EB08CC">
      <w:pPr>
        <w:pStyle w:val="BodyText"/>
        <w:spacing w:before="170" w:line="480" w:lineRule="auto"/>
        <w:ind w:right="810"/>
        <w:jc w:val="both"/>
        <w:rPr>
          <w:b/>
          <w:bCs/>
        </w:rPr>
      </w:pPr>
    </w:p>
    <w:p w:rsidR="004635DD" w:rsidRDefault="004635DD" w:rsidP="00EB08CC">
      <w:pPr>
        <w:pStyle w:val="BodyText"/>
        <w:spacing w:before="170" w:line="480" w:lineRule="auto"/>
        <w:ind w:right="810"/>
        <w:jc w:val="both"/>
        <w:rPr>
          <w:b/>
          <w:bCs/>
        </w:rPr>
      </w:pPr>
    </w:p>
    <w:p w:rsidR="004635DD" w:rsidRDefault="004635DD" w:rsidP="00EB08CC">
      <w:pPr>
        <w:pStyle w:val="BodyText"/>
        <w:spacing w:before="170" w:line="480" w:lineRule="auto"/>
        <w:ind w:right="810"/>
        <w:jc w:val="both"/>
        <w:rPr>
          <w:b/>
          <w:bCs/>
        </w:rPr>
      </w:pPr>
    </w:p>
    <w:p w:rsidR="004635DD" w:rsidRDefault="004635DD" w:rsidP="004635DD">
      <w:pPr>
        <w:pStyle w:val="BodyText"/>
        <w:spacing w:before="170" w:line="480" w:lineRule="auto"/>
        <w:ind w:right="810"/>
        <w:jc w:val="center"/>
        <w:rPr>
          <w:b/>
          <w:bCs/>
        </w:rPr>
      </w:pPr>
      <w:r>
        <w:rPr>
          <w:b/>
          <w:bCs/>
        </w:rPr>
        <w:t>REFERENCES</w:t>
      </w:r>
    </w:p>
    <w:p w:rsidR="004635DD" w:rsidRDefault="004635DD" w:rsidP="004635DD">
      <w:pPr>
        <w:pStyle w:val="BodyText"/>
        <w:spacing w:before="1"/>
        <w:ind w:left="1188" w:right="826" w:hanging="812"/>
        <w:jc w:val="both"/>
      </w:pPr>
      <w:r>
        <w:t xml:space="preserve">Acheson,K.J.,Zahorska-Markiewics,B.,Pittet,P.,Anantharraman,K.,Jequier,E.(1980). Caffeine and coffee: their influence on metabolic rate and substrate oxidation in normal weight and obese individuals. </w:t>
      </w:r>
      <w:r>
        <w:rPr>
          <w:i/>
        </w:rPr>
        <w:t>Am J Clin Nutr</w:t>
      </w:r>
      <w:r>
        <w:t>33: 989–97.</w:t>
      </w:r>
    </w:p>
    <w:p w:rsidR="004635DD" w:rsidRDefault="004635DD" w:rsidP="004635DD">
      <w:pPr>
        <w:pStyle w:val="BodyText"/>
        <w:spacing w:before="2"/>
      </w:pPr>
    </w:p>
    <w:p w:rsidR="004635DD" w:rsidRDefault="004635DD" w:rsidP="004635DD">
      <w:pPr>
        <w:pStyle w:val="BodyText"/>
        <w:spacing w:before="1" w:line="237" w:lineRule="auto"/>
        <w:ind w:left="1188" w:right="816" w:hanging="812"/>
        <w:jc w:val="both"/>
      </w:pPr>
      <w:r>
        <w:t xml:space="preserve">Adeleke, R. O., Abiodun, O.A. (2010). Physico-chemicalPropertiesofCommercialLocal Beverages in Osun State, Nigeria. </w:t>
      </w:r>
      <w:r>
        <w:rPr>
          <w:i/>
        </w:rPr>
        <w:t xml:space="preserve">Pakistan Journal of Nutrition </w:t>
      </w:r>
      <w:r>
        <w:t>9 (9): 853-855.</w:t>
      </w:r>
    </w:p>
    <w:p w:rsidR="004635DD" w:rsidRDefault="004635DD" w:rsidP="004635DD">
      <w:pPr>
        <w:pStyle w:val="BodyText"/>
      </w:pPr>
    </w:p>
    <w:p w:rsidR="004635DD" w:rsidRDefault="004635DD" w:rsidP="004635DD">
      <w:pPr>
        <w:pStyle w:val="BodyText"/>
        <w:ind w:left="1188" w:right="819" w:hanging="812"/>
        <w:jc w:val="both"/>
      </w:pPr>
      <w:r>
        <w:t xml:space="preserve">Alghamdi, A.H.,Alghamdi, A.F.and Alwarthan, A.A.(2005).DeterminationofContent Levels of Some Food Additives in Beverages Consumed in Riyadh City. </w:t>
      </w:r>
      <w:r>
        <w:rPr>
          <w:i/>
        </w:rPr>
        <w:t>J. King Saud Univ</w:t>
      </w:r>
      <w:r>
        <w:t>., 18(2): 99-109.</w:t>
      </w:r>
    </w:p>
    <w:p w:rsidR="004635DD" w:rsidRDefault="004635DD" w:rsidP="004635DD">
      <w:pPr>
        <w:pStyle w:val="BodyText"/>
        <w:spacing w:before="1"/>
      </w:pPr>
    </w:p>
    <w:p w:rsidR="004635DD" w:rsidRDefault="004635DD" w:rsidP="004635DD">
      <w:pPr>
        <w:ind w:left="1188" w:right="820" w:hanging="812"/>
        <w:jc w:val="both"/>
        <w:rPr>
          <w:sz w:val="24"/>
        </w:rPr>
      </w:pPr>
      <w:r>
        <w:rPr>
          <w:sz w:val="24"/>
        </w:rPr>
        <w:t xml:space="preserve">Al-Mayaly K. I. (2013). Determination of heavy Metals in some Artificial Fruit juices in Iraqi Local Markets. </w:t>
      </w:r>
      <w:r>
        <w:rPr>
          <w:i/>
          <w:sz w:val="24"/>
        </w:rPr>
        <w:t>Intern. Journal. Of Research and Dev. In Pharm. And Life Sci</w:t>
      </w:r>
      <w:r>
        <w:rPr>
          <w:sz w:val="24"/>
        </w:rPr>
        <w:t>. 2(4): 507-510.</w:t>
      </w:r>
    </w:p>
    <w:p w:rsidR="004635DD" w:rsidRDefault="004635DD" w:rsidP="004635DD">
      <w:pPr>
        <w:pStyle w:val="BodyText"/>
      </w:pPr>
    </w:p>
    <w:p w:rsidR="004635DD" w:rsidRDefault="004635DD" w:rsidP="004635DD">
      <w:pPr>
        <w:pStyle w:val="BodyText"/>
        <w:spacing w:before="1"/>
        <w:ind w:left="376"/>
      </w:pPr>
      <w:r>
        <w:t>Appleton,N."146ReasonsWhySugarIsRuiningYourHealth."Antibioticsto</w:t>
      </w:r>
      <w:r>
        <w:rPr>
          <w:spacing w:val="-2"/>
        </w:rPr>
        <w:t>Treat.</w:t>
      </w:r>
    </w:p>
    <w:p w:rsidR="004635DD" w:rsidRDefault="004635DD" w:rsidP="004635DD">
      <w:pPr>
        <w:pStyle w:val="BodyText"/>
        <w:spacing w:before="2"/>
        <w:ind w:left="1188"/>
      </w:pPr>
      <w:r>
        <w:t>November15,</w:t>
      </w:r>
      <w:r>
        <w:rPr>
          <w:spacing w:val="-2"/>
        </w:rPr>
        <w:t xml:space="preserve"> 2011.</w:t>
      </w:r>
    </w:p>
    <w:p w:rsidR="004635DD" w:rsidRDefault="004635DD" w:rsidP="004635DD">
      <w:pPr>
        <w:pStyle w:val="BodyText"/>
      </w:pPr>
    </w:p>
    <w:p w:rsidR="004635DD" w:rsidRDefault="004635DD" w:rsidP="004635DD">
      <w:pPr>
        <w:pStyle w:val="BodyText"/>
        <w:spacing w:line="275" w:lineRule="exact"/>
        <w:ind w:left="376"/>
        <w:rPr>
          <w:i/>
        </w:rPr>
      </w:pPr>
      <w:r>
        <w:t>Aschner,M.,(2000).Manganese:braintransportandemergingresearchneeds.</w:t>
      </w:r>
      <w:r>
        <w:rPr>
          <w:i/>
          <w:spacing w:val="-2"/>
        </w:rPr>
        <w:t>Environ.</w:t>
      </w:r>
    </w:p>
    <w:p w:rsidR="004635DD" w:rsidRDefault="004635DD" w:rsidP="004635DD">
      <w:pPr>
        <w:spacing w:line="275" w:lineRule="exact"/>
        <w:ind w:left="1188"/>
        <w:rPr>
          <w:sz w:val="24"/>
        </w:rPr>
      </w:pPr>
      <w:r>
        <w:rPr>
          <w:i/>
          <w:sz w:val="24"/>
        </w:rPr>
        <w:t xml:space="preserve">HealthPerspect. </w:t>
      </w:r>
      <w:r>
        <w:rPr>
          <w:sz w:val="24"/>
        </w:rPr>
        <w:t>108(Suppl.3),</w:t>
      </w:r>
      <w:r>
        <w:rPr>
          <w:spacing w:val="-2"/>
          <w:sz w:val="24"/>
        </w:rPr>
        <w:t>429–432.</w:t>
      </w:r>
    </w:p>
    <w:p w:rsidR="004635DD" w:rsidRDefault="004635DD" w:rsidP="004635DD">
      <w:pPr>
        <w:pStyle w:val="BodyText"/>
      </w:pPr>
    </w:p>
    <w:p w:rsidR="004635DD" w:rsidRDefault="004635DD" w:rsidP="004635DD">
      <w:pPr>
        <w:pStyle w:val="BodyText"/>
        <w:spacing w:before="1" w:line="242" w:lineRule="auto"/>
        <w:ind w:left="1188" w:right="835" w:hanging="812"/>
        <w:jc w:val="both"/>
      </w:pPr>
      <w:r>
        <w:t>Ashurst, P.R., 2005. Chemistryand Technologyof Soft drinks and Fruit Juices. 2nd Edn., Vol. III (4) Blackwell Scientific Publication, London, pp: 433.</w:t>
      </w:r>
    </w:p>
    <w:p w:rsidR="004635DD" w:rsidRDefault="004635DD" w:rsidP="004635DD">
      <w:pPr>
        <w:pStyle w:val="BodyText"/>
        <w:spacing w:before="8"/>
        <w:rPr>
          <w:sz w:val="23"/>
        </w:rPr>
      </w:pPr>
    </w:p>
    <w:p w:rsidR="004635DD" w:rsidRDefault="004635DD" w:rsidP="004635DD">
      <w:pPr>
        <w:pStyle w:val="BodyText"/>
        <w:ind w:left="1188" w:right="818" w:hanging="812"/>
        <w:jc w:val="both"/>
      </w:pPr>
      <w:r>
        <w:t xml:space="preserve">Astrup, A., Dyerberg, J., Selleck, M. and Stender, S. (2008). Nutrition transition and its relationship to the development of obesity and related chronic diseases. </w:t>
      </w:r>
      <w:r>
        <w:rPr>
          <w:i/>
        </w:rPr>
        <w:t xml:space="preserve">Obesity review. </w:t>
      </w:r>
      <w:r>
        <w:t>9: 48-52.</w:t>
      </w:r>
    </w:p>
    <w:p w:rsidR="004635DD" w:rsidRDefault="004635DD" w:rsidP="004635DD">
      <w:pPr>
        <w:pStyle w:val="BodyText"/>
      </w:pPr>
    </w:p>
    <w:p w:rsidR="004635DD" w:rsidRDefault="004635DD" w:rsidP="004635DD">
      <w:pPr>
        <w:pStyle w:val="BodyText"/>
        <w:spacing w:before="1"/>
        <w:ind w:left="1188" w:right="825" w:hanging="812"/>
        <w:jc w:val="both"/>
      </w:pPr>
      <w:r>
        <w:t xml:space="preserve">Astrup, A., Toubro, S., Cannon, S., Hein, P., Breum, L., Madsen, J. (1990). Caffeine: a doubleblind, placebo-controlled study of its thermogenic, metabolic, and cardiovascular effects in healthy volunteers. </w:t>
      </w:r>
      <w:r>
        <w:rPr>
          <w:i/>
        </w:rPr>
        <w:t>Am J Clin Nutr</w:t>
      </w:r>
      <w:r>
        <w:t>51: 759–67.</w:t>
      </w:r>
    </w:p>
    <w:p w:rsidR="004635DD" w:rsidRDefault="004635DD" w:rsidP="004635DD">
      <w:pPr>
        <w:pStyle w:val="BodyText"/>
        <w:spacing w:before="2"/>
      </w:pPr>
    </w:p>
    <w:p w:rsidR="004635DD" w:rsidRDefault="004635DD" w:rsidP="004635DD">
      <w:pPr>
        <w:pStyle w:val="BodyText"/>
        <w:spacing w:line="237" w:lineRule="auto"/>
        <w:ind w:left="1188" w:right="824" w:hanging="812"/>
        <w:jc w:val="both"/>
      </w:pPr>
      <w:r>
        <w:t xml:space="preserve">Attila, S., and Çakir, B. (2011). Energy-drink consumption in college students and associated factors. </w:t>
      </w:r>
      <w:r>
        <w:rPr>
          <w:i/>
        </w:rPr>
        <w:t xml:space="preserve">Nutrition, </w:t>
      </w:r>
      <w:r>
        <w:t>27(3): 316-322.</w:t>
      </w:r>
    </w:p>
    <w:p w:rsidR="004635DD" w:rsidRDefault="004635DD" w:rsidP="004635DD">
      <w:pPr>
        <w:pStyle w:val="BodyText"/>
        <w:spacing w:before="1"/>
      </w:pPr>
    </w:p>
    <w:p w:rsidR="004635DD" w:rsidRDefault="004635DD" w:rsidP="004635DD">
      <w:pPr>
        <w:pStyle w:val="BodyText"/>
        <w:ind w:left="1188" w:right="830" w:hanging="812"/>
        <w:jc w:val="both"/>
      </w:pPr>
      <w:r>
        <w:t xml:space="preserve">Attieh, Z. K., Mukhopadhyay, C. K., Seshadri, V., Tripoulas, N. A., Paul, L. (1999). FoxCeruloplasmin Ferroxidase Activity Stimulates Cellular Iron Uptake by a Trivalent Cation-specific Transport Mechanism, </w:t>
      </w:r>
      <w:r>
        <w:rPr>
          <w:i/>
        </w:rPr>
        <w:t>J. Biol Chem.</w:t>
      </w:r>
      <w:r>
        <w:t>, 274: 1119.</w:t>
      </w:r>
    </w:p>
    <w:p w:rsidR="004635DD" w:rsidRDefault="004635DD" w:rsidP="004635DD">
      <w:pPr>
        <w:pStyle w:val="BodyText"/>
        <w:spacing w:before="1"/>
      </w:pPr>
    </w:p>
    <w:p w:rsidR="004635DD" w:rsidRDefault="004635DD" w:rsidP="004635DD">
      <w:pPr>
        <w:pStyle w:val="BodyText"/>
        <w:ind w:left="1188" w:right="821" w:hanging="812"/>
        <w:jc w:val="both"/>
      </w:pPr>
      <w:r>
        <w:t xml:space="preserve">Ayala, J., Simons, K., and Kerrigan, S. (2009). Quantitative determinationofCaffeine and Alcoholin energydrinks and the potentialto produce positive transdermalalcohol concentrations in human subjects. </w:t>
      </w:r>
      <w:r>
        <w:rPr>
          <w:i/>
        </w:rPr>
        <w:t>Journal of analytical Toxicology</w:t>
      </w:r>
      <w:r>
        <w:t>. Vol. 33</w:t>
      </w:r>
    </w:p>
    <w:p w:rsidR="004635DD" w:rsidRDefault="004635DD" w:rsidP="004635DD">
      <w:pPr>
        <w:jc w:val="both"/>
        <w:sectPr w:rsidR="004635DD">
          <w:pgSz w:w="12240" w:h="15840"/>
          <w:pgMar w:top="1360" w:right="620" w:bottom="1200" w:left="1640" w:header="0" w:footer="1012" w:gutter="0"/>
          <w:cols w:space="720"/>
        </w:sectPr>
      </w:pPr>
    </w:p>
    <w:p w:rsidR="004635DD" w:rsidRDefault="004635DD" w:rsidP="004635DD">
      <w:pPr>
        <w:spacing w:before="72"/>
        <w:ind w:left="1188" w:right="819" w:hanging="812"/>
        <w:jc w:val="both"/>
        <w:rPr>
          <w:sz w:val="24"/>
        </w:rPr>
      </w:pPr>
      <w:r>
        <w:rPr>
          <w:sz w:val="24"/>
        </w:rPr>
        <w:lastRenderedPageBreak/>
        <w:t xml:space="preserve">Babu, M., Kavita, M. D., Church, J., Richard, M. D., Lewander, William, M. D. (2008). Energy Drinks: The New Eye-Opener for Adolescents. </w:t>
      </w:r>
      <w:r>
        <w:rPr>
          <w:i/>
          <w:sz w:val="24"/>
        </w:rPr>
        <w:t xml:space="preserve">Clinical Paediatric Emergency Medicine, </w:t>
      </w:r>
      <w:r>
        <w:rPr>
          <w:sz w:val="24"/>
        </w:rPr>
        <w:t>9(1): 35-40.</w:t>
      </w:r>
    </w:p>
    <w:p w:rsidR="004635DD" w:rsidRDefault="004635DD" w:rsidP="004635DD">
      <w:pPr>
        <w:pStyle w:val="BodyText"/>
        <w:spacing w:before="1"/>
      </w:pPr>
    </w:p>
    <w:p w:rsidR="004635DD" w:rsidRDefault="004635DD" w:rsidP="004635DD">
      <w:pPr>
        <w:pStyle w:val="BodyText"/>
        <w:ind w:left="1188" w:right="818" w:hanging="812"/>
        <w:jc w:val="both"/>
      </w:pPr>
      <w:r>
        <w:t xml:space="preserve">Barbaste, M., Medina, B., Perez-Trujillo, J. P. (2003). Analysis of arsenic lead and cadmium in wines from the Canary Islands, Spain, by ICP/MS. </w:t>
      </w:r>
      <w:r>
        <w:rPr>
          <w:i/>
        </w:rPr>
        <w:t xml:space="preserve">Food Additivesand Contaminant, </w:t>
      </w:r>
      <w:r>
        <w:t>20: 141–148.</w:t>
      </w:r>
    </w:p>
    <w:p w:rsidR="004635DD" w:rsidRDefault="004635DD" w:rsidP="004635DD">
      <w:pPr>
        <w:pStyle w:val="BodyText"/>
        <w:spacing w:before="2"/>
      </w:pPr>
    </w:p>
    <w:p w:rsidR="004635DD" w:rsidRDefault="004635DD" w:rsidP="004635DD">
      <w:pPr>
        <w:pStyle w:val="BodyText"/>
        <w:spacing w:line="237" w:lineRule="auto"/>
        <w:ind w:left="1188" w:right="824" w:hanging="812"/>
        <w:jc w:val="both"/>
      </w:pPr>
      <w:r>
        <w:t xml:space="preserve">Barbee, Jr. J. Y., Prince, T. S. (1999). Acute respiratory distress syndrome in a welder exposed to metal fumes. </w:t>
      </w:r>
      <w:r>
        <w:rPr>
          <w:i/>
        </w:rPr>
        <w:t>South Med J</w:t>
      </w:r>
      <w:r>
        <w:t>; 92: 510–2</w:t>
      </w:r>
    </w:p>
    <w:p w:rsidR="004635DD" w:rsidRDefault="004635DD" w:rsidP="004635DD">
      <w:pPr>
        <w:pStyle w:val="BodyText"/>
        <w:spacing w:before="1"/>
      </w:pPr>
    </w:p>
    <w:p w:rsidR="004635DD" w:rsidRDefault="004635DD" w:rsidP="004635DD">
      <w:pPr>
        <w:pStyle w:val="BodyText"/>
        <w:spacing w:line="242" w:lineRule="auto"/>
        <w:ind w:left="1188" w:right="826" w:hanging="812"/>
        <w:jc w:val="both"/>
      </w:pPr>
      <w:r>
        <w:t xml:space="preserve">Bassiouny, M. A. and Yang, J. (2005). Influence of drinking patterns of Carbonated beverages on dental erosion. </w:t>
      </w:r>
      <w:r>
        <w:rPr>
          <w:i/>
        </w:rPr>
        <w:t xml:space="preserve">General Dentistry, </w:t>
      </w:r>
      <w:r>
        <w:t>53: 207-210.</w:t>
      </w:r>
    </w:p>
    <w:p w:rsidR="004635DD" w:rsidRDefault="004635DD" w:rsidP="004635DD">
      <w:pPr>
        <w:pStyle w:val="BodyText"/>
        <w:spacing w:before="9"/>
        <w:rPr>
          <w:sz w:val="23"/>
        </w:rPr>
      </w:pPr>
    </w:p>
    <w:p w:rsidR="004635DD" w:rsidRDefault="004635DD" w:rsidP="004635DD">
      <w:pPr>
        <w:pStyle w:val="BodyText"/>
        <w:ind w:left="376"/>
      </w:pPr>
      <w:r>
        <w:t>Bauer,J.(2011)."Sugar:HowMuchShouldWeEat?"</w:t>
      </w:r>
      <w:r>
        <w:rPr>
          <w:i/>
        </w:rPr>
        <w:t>Yahoo!Health</w:t>
      </w:r>
      <w:r>
        <w:t>. Web. 08</w:t>
      </w:r>
      <w:r>
        <w:rPr>
          <w:spacing w:val="-4"/>
        </w:rPr>
        <w:t>Dec.</w:t>
      </w:r>
    </w:p>
    <w:p w:rsidR="004635DD" w:rsidRDefault="004635DD" w:rsidP="004635DD">
      <w:pPr>
        <w:pStyle w:val="BodyText"/>
      </w:pPr>
    </w:p>
    <w:p w:rsidR="004635DD" w:rsidRDefault="004635DD" w:rsidP="004635DD">
      <w:pPr>
        <w:pStyle w:val="BodyText"/>
        <w:spacing w:before="1"/>
        <w:ind w:left="1188" w:right="814" w:hanging="812"/>
        <w:jc w:val="both"/>
      </w:pPr>
      <w:r>
        <w:t xml:space="preserve">Bengol, M., Yentur, G., Er B., Oktem, A.,B. (2010). Determination of some heavy metal levels in soft drinks fromTurkeyusing ICP/OES method. </w:t>
      </w:r>
      <w:r>
        <w:rPr>
          <w:i/>
        </w:rPr>
        <w:t xml:space="preserve">Czech J. Food Sci., </w:t>
      </w:r>
      <w:r>
        <w:t xml:space="preserve">28: </w:t>
      </w:r>
      <w:r>
        <w:rPr>
          <w:spacing w:val="-2"/>
        </w:rPr>
        <w:t>213–216.</w:t>
      </w:r>
    </w:p>
    <w:p w:rsidR="004635DD" w:rsidRDefault="004635DD" w:rsidP="004635DD">
      <w:pPr>
        <w:pStyle w:val="BodyText"/>
        <w:spacing w:before="11"/>
        <w:rPr>
          <w:sz w:val="23"/>
        </w:rPr>
      </w:pPr>
    </w:p>
    <w:p w:rsidR="004635DD" w:rsidRDefault="004635DD" w:rsidP="004635DD">
      <w:pPr>
        <w:pStyle w:val="BodyText"/>
        <w:ind w:left="1188" w:right="810" w:hanging="812"/>
        <w:jc w:val="both"/>
      </w:pPr>
      <w:r>
        <w:t xml:space="preserve">Berkey, C. S., Rockett, H. R., Field, A. E.,Gillman, M. W. and Colditz, G. A. (2004). Sugar added beverages and adolescent weight change. </w:t>
      </w:r>
      <w:r>
        <w:rPr>
          <w:i/>
        </w:rPr>
        <w:t xml:space="preserve">Obesity research. </w:t>
      </w:r>
      <w:r>
        <w:t xml:space="preserve">12(5): </w:t>
      </w:r>
      <w:r>
        <w:rPr>
          <w:spacing w:val="-2"/>
        </w:rPr>
        <w:t>778-88.</w:t>
      </w:r>
    </w:p>
    <w:p w:rsidR="004635DD" w:rsidRDefault="004635DD" w:rsidP="004635DD">
      <w:pPr>
        <w:pStyle w:val="BodyText"/>
      </w:pPr>
    </w:p>
    <w:p w:rsidR="004635DD" w:rsidRDefault="004635DD" w:rsidP="004635DD">
      <w:pPr>
        <w:pStyle w:val="BodyText"/>
        <w:spacing w:before="1"/>
        <w:ind w:left="1188" w:right="822" w:hanging="812"/>
        <w:jc w:val="both"/>
      </w:pPr>
      <w:r>
        <w:t xml:space="preserve">Bonnet, M. H., Balkin, T. J., Dinges, D. F., Roehrs, T., Rogers, N. L., Wesensten, N. J. (2005). The use of stimulants to modify performance during sleep loss: a review by the Sleep Deprivation and Stimulant Task Force of the American Academy of Sleep Medicine. </w:t>
      </w:r>
      <w:r>
        <w:rPr>
          <w:i/>
        </w:rPr>
        <w:t xml:space="preserve">Sleep </w:t>
      </w:r>
      <w:r>
        <w:t>28: 1163–87.</w:t>
      </w:r>
    </w:p>
    <w:p w:rsidR="004635DD" w:rsidRDefault="004635DD" w:rsidP="004635DD">
      <w:pPr>
        <w:pStyle w:val="BodyText"/>
        <w:spacing w:before="9"/>
        <w:rPr>
          <w:sz w:val="23"/>
        </w:rPr>
      </w:pPr>
    </w:p>
    <w:p w:rsidR="004635DD" w:rsidRDefault="004635DD" w:rsidP="004635DD">
      <w:pPr>
        <w:pStyle w:val="BodyText"/>
        <w:ind w:left="1188" w:right="825" w:hanging="812"/>
        <w:jc w:val="both"/>
      </w:pPr>
      <w:r>
        <w:t xml:space="preserve">Bracco, D., Ferrarra, J. M., Arnaud, M. J., Jequier, E., Schutz, Y. (1995). Effects of caffeineonenergymetabolism, heart rate, and methylxanthine metabolism in lean and obese women. </w:t>
      </w:r>
      <w:r>
        <w:rPr>
          <w:i/>
        </w:rPr>
        <w:t>Am J Physiol Endocrinol Metab</w:t>
      </w:r>
      <w:r>
        <w:t>269: 671–78.</w:t>
      </w:r>
    </w:p>
    <w:p w:rsidR="004635DD" w:rsidRDefault="004635DD" w:rsidP="004635DD">
      <w:pPr>
        <w:pStyle w:val="BodyText"/>
      </w:pPr>
    </w:p>
    <w:p w:rsidR="004635DD" w:rsidRDefault="004635DD" w:rsidP="004635DD">
      <w:pPr>
        <w:pStyle w:val="BodyText"/>
        <w:tabs>
          <w:tab w:val="left" w:pos="3026"/>
          <w:tab w:val="left" w:pos="4179"/>
        </w:tabs>
        <w:ind w:left="1188" w:right="823" w:hanging="812"/>
        <w:jc w:val="both"/>
      </w:pPr>
      <w:r>
        <w:t xml:space="preserve">Braganza, S. and Larkin, M. (2007). Riding high on energy drinks. Modern medicine. </w:t>
      </w:r>
      <w:r>
        <w:rPr>
          <w:spacing w:val="-2"/>
        </w:rPr>
        <w:t>Available</w:t>
      </w:r>
      <w:r>
        <w:tab/>
      </w:r>
      <w:r>
        <w:rPr>
          <w:spacing w:val="-4"/>
        </w:rPr>
        <w:t>at:</w:t>
      </w:r>
      <w:r>
        <w:tab/>
      </w:r>
      <w:hyperlink r:id="rId10">
        <w:r>
          <w:rPr>
            <w:color w:val="0000FF"/>
            <w:spacing w:val="-2"/>
            <w:u w:val="single" w:color="0000FF"/>
          </w:rPr>
          <w:t>http://www.modernmedicine.com/modernmedicine/</w:t>
        </w:r>
      </w:hyperlink>
      <w:r>
        <w:t>article/articleDetail.jsp?id=426763. Posted May 15, 2007. [Accessed September 15, 2007].</w:t>
      </w:r>
    </w:p>
    <w:p w:rsidR="004635DD" w:rsidRDefault="004635DD" w:rsidP="004635DD">
      <w:pPr>
        <w:pStyle w:val="BodyText"/>
        <w:spacing w:before="5"/>
      </w:pPr>
    </w:p>
    <w:p w:rsidR="004635DD" w:rsidRDefault="004635DD" w:rsidP="004635DD">
      <w:pPr>
        <w:spacing w:before="1" w:line="237" w:lineRule="auto"/>
        <w:ind w:left="1188" w:right="828" w:hanging="812"/>
        <w:jc w:val="both"/>
        <w:rPr>
          <w:sz w:val="24"/>
        </w:rPr>
      </w:pPr>
      <w:r>
        <w:rPr>
          <w:sz w:val="24"/>
        </w:rPr>
        <w:t xml:space="preserve">Brand-Miller, J. C., Holt, S. H., Pawlak, D. B. and McMillan, J. (2002). Glycemic index and obesity. </w:t>
      </w:r>
      <w:r>
        <w:rPr>
          <w:i/>
          <w:sz w:val="24"/>
        </w:rPr>
        <w:t xml:space="preserve">American Journal of Clinical Nutrition. </w:t>
      </w:r>
      <w:r>
        <w:rPr>
          <w:sz w:val="24"/>
        </w:rPr>
        <w:t>76(1): 281S-5S.</w:t>
      </w:r>
    </w:p>
    <w:p w:rsidR="004635DD" w:rsidRDefault="004635DD" w:rsidP="004635DD">
      <w:pPr>
        <w:pStyle w:val="BodyText"/>
        <w:spacing w:before="1"/>
      </w:pPr>
    </w:p>
    <w:p w:rsidR="004635DD" w:rsidRDefault="004635DD" w:rsidP="004635DD">
      <w:pPr>
        <w:pStyle w:val="BodyText"/>
        <w:spacing w:line="242" w:lineRule="auto"/>
        <w:ind w:left="1188" w:right="819" w:hanging="812"/>
        <w:jc w:val="both"/>
      </w:pPr>
      <w:r>
        <w:t xml:space="preserve">BrownellK. D.andFriedenT.R. (2009).Ouncesofprevention—thepublicpolicycase for taxes on sugared beverages. </w:t>
      </w:r>
      <w:r>
        <w:rPr>
          <w:i/>
        </w:rPr>
        <w:t>N Engl J Med</w:t>
      </w:r>
      <w:r>
        <w:t>;360:1805-8.</w:t>
      </w:r>
    </w:p>
    <w:p w:rsidR="004635DD" w:rsidRDefault="004635DD" w:rsidP="004635DD">
      <w:pPr>
        <w:pStyle w:val="BodyText"/>
        <w:spacing w:before="11"/>
        <w:rPr>
          <w:sz w:val="23"/>
        </w:rPr>
      </w:pPr>
    </w:p>
    <w:p w:rsidR="004635DD" w:rsidRDefault="004635DD" w:rsidP="004635DD">
      <w:pPr>
        <w:pStyle w:val="BodyText"/>
        <w:spacing w:line="237" w:lineRule="auto"/>
        <w:ind w:left="1188" w:right="831" w:hanging="812"/>
        <w:jc w:val="both"/>
      </w:pPr>
      <w:r>
        <w:t xml:space="preserve">Brownell, K. D., Farley, T., Willett, W. C., (2009). The public health and economic </w:t>
      </w:r>
      <w:r>
        <w:lastRenderedPageBreak/>
        <w:t xml:space="preserve">benefits of taxing sugar sweetened beverages. </w:t>
      </w:r>
      <w:r>
        <w:rPr>
          <w:i/>
        </w:rPr>
        <w:t>N Engl J Med.</w:t>
      </w:r>
      <w:r>
        <w:t>; 361:1599-605.</w:t>
      </w:r>
    </w:p>
    <w:p w:rsidR="004635DD" w:rsidRDefault="004635DD" w:rsidP="004635DD">
      <w:pPr>
        <w:spacing w:line="237" w:lineRule="auto"/>
        <w:jc w:val="both"/>
        <w:sectPr w:rsidR="004635DD">
          <w:pgSz w:w="12240" w:h="15840"/>
          <w:pgMar w:top="1360" w:right="620" w:bottom="1200" w:left="1640" w:header="0" w:footer="1012" w:gutter="0"/>
          <w:cols w:space="720"/>
        </w:sectPr>
      </w:pPr>
    </w:p>
    <w:p w:rsidR="004635DD" w:rsidRDefault="004635DD" w:rsidP="004635DD">
      <w:pPr>
        <w:spacing w:before="74" w:line="237" w:lineRule="auto"/>
        <w:ind w:left="1188" w:right="830" w:hanging="812"/>
        <w:jc w:val="both"/>
        <w:rPr>
          <w:sz w:val="24"/>
        </w:rPr>
      </w:pPr>
      <w:r>
        <w:rPr>
          <w:sz w:val="24"/>
        </w:rPr>
        <w:lastRenderedPageBreak/>
        <w:t xml:space="preserve">Butchko, H. H., and Stargel, W. W. (2001). Aspartame: Scientific evaluation in the postmarketing period. </w:t>
      </w:r>
      <w:r>
        <w:rPr>
          <w:i/>
          <w:sz w:val="24"/>
        </w:rPr>
        <w:t xml:space="preserve">Regulatory Toxicology and Pharmacology, </w:t>
      </w:r>
      <w:r>
        <w:rPr>
          <w:sz w:val="24"/>
        </w:rPr>
        <w:t>34:221–233.</w:t>
      </w:r>
    </w:p>
    <w:p w:rsidR="004635DD" w:rsidRDefault="004635DD" w:rsidP="004635DD">
      <w:pPr>
        <w:pStyle w:val="BodyText"/>
        <w:spacing w:before="1"/>
      </w:pPr>
    </w:p>
    <w:p w:rsidR="004635DD" w:rsidRDefault="004635DD" w:rsidP="004635DD">
      <w:pPr>
        <w:ind w:left="1188" w:right="811" w:hanging="812"/>
        <w:jc w:val="both"/>
        <w:rPr>
          <w:sz w:val="24"/>
        </w:rPr>
      </w:pPr>
      <w:r>
        <w:rPr>
          <w:sz w:val="24"/>
        </w:rPr>
        <w:t xml:space="preserve">Cabrera, C., Lorenzo, M. L., Lopez, M. C. (1995). Lead and cadmium contamination in dairyproducts and its repercussion on totaldietary intake. </w:t>
      </w:r>
      <w:r>
        <w:rPr>
          <w:i/>
          <w:sz w:val="24"/>
        </w:rPr>
        <w:t xml:space="preserve">Journal of Agricultural and Food Chemistry, </w:t>
      </w:r>
      <w:r>
        <w:rPr>
          <w:sz w:val="24"/>
        </w:rPr>
        <w:t>43: 1605–1609.</w:t>
      </w:r>
    </w:p>
    <w:p w:rsidR="004635DD" w:rsidRDefault="004635DD" w:rsidP="004635DD">
      <w:pPr>
        <w:pStyle w:val="BodyText"/>
        <w:spacing w:before="1"/>
      </w:pPr>
    </w:p>
    <w:p w:rsidR="004635DD" w:rsidRDefault="004635DD" w:rsidP="004635DD">
      <w:pPr>
        <w:pStyle w:val="BodyText"/>
        <w:spacing w:line="242" w:lineRule="auto"/>
        <w:ind w:left="1188" w:right="829" w:hanging="812"/>
        <w:jc w:val="both"/>
      </w:pPr>
      <w:r>
        <w:t xml:space="preserve">Carrillo, J.A., and Benitez, J. 2000. Clinically significant pharmacokinetic interactions between dietary caffeine and medications. </w:t>
      </w:r>
      <w:r>
        <w:rPr>
          <w:i/>
        </w:rPr>
        <w:t>Clin. Pharmacokinet</w:t>
      </w:r>
      <w:r>
        <w:t>, 39:127–153.</w:t>
      </w:r>
    </w:p>
    <w:p w:rsidR="004635DD" w:rsidRDefault="004635DD" w:rsidP="004635DD">
      <w:pPr>
        <w:pStyle w:val="BodyText"/>
        <w:spacing w:before="9"/>
        <w:rPr>
          <w:sz w:val="23"/>
        </w:rPr>
      </w:pPr>
    </w:p>
    <w:p w:rsidR="004635DD" w:rsidRDefault="004635DD" w:rsidP="004635DD">
      <w:pPr>
        <w:ind w:left="1188" w:right="824" w:hanging="812"/>
        <w:jc w:val="both"/>
        <w:rPr>
          <w:sz w:val="24"/>
        </w:rPr>
      </w:pPr>
      <w:r>
        <w:rPr>
          <w:sz w:val="24"/>
        </w:rPr>
        <w:t xml:space="preserve">Chanarin, I. (1999). </w:t>
      </w:r>
      <w:r>
        <w:rPr>
          <w:i/>
          <w:sz w:val="24"/>
        </w:rPr>
        <w:t>Nutritional aspectsof hematological disorders</w:t>
      </w:r>
      <w:r>
        <w:rPr>
          <w:sz w:val="24"/>
        </w:rPr>
        <w:t>. In: Shils, M.E.,Olson, J.A., Shike, M., Ross, A.C. (Eds.), Modern Nutrition in Health and Disease. Lippincot, Williams, &amp; Wilkins, Baltimore, pp. 1419–1436.</w:t>
      </w:r>
    </w:p>
    <w:p w:rsidR="004635DD" w:rsidRDefault="004635DD" w:rsidP="004635DD">
      <w:pPr>
        <w:pStyle w:val="BodyText"/>
      </w:pPr>
    </w:p>
    <w:p w:rsidR="004635DD" w:rsidRDefault="004635DD" w:rsidP="004635DD">
      <w:pPr>
        <w:pStyle w:val="BodyText"/>
        <w:ind w:left="1188" w:right="826" w:hanging="812"/>
        <w:jc w:val="both"/>
      </w:pPr>
      <w:r>
        <w:t xml:space="preserve">Chelben, J., Piccone-Sapir, A., Ianco, I., Shoenfeld, N., Kotler, M. and Strous, R. D. (2008). Effects of amino acid energy drinks leading to hospitalization in individuals with mental illness. </w:t>
      </w:r>
      <w:r>
        <w:rPr>
          <w:i/>
        </w:rPr>
        <w:t xml:space="preserve">Gen. Hosp. Psychiatry, </w:t>
      </w:r>
      <w:r>
        <w:t>30(2): 187–189.</w:t>
      </w:r>
    </w:p>
    <w:p w:rsidR="004635DD" w:rsidRDefault="004635DD" w:rsidP="004635DD">
      <w:pPr>
        <w:pStyle w:val="BodyText"/>
        <w:spacing w:before="3"/>
      </w:pPr>
    </w:p>
    <w:p w:rsidR="004635DD" w:rsidRDefault="004635DD" w:rsidP="004635DD">
      <w:pPr>
        <w:pStyle w:val="BodyText"/>
        <w:spacing w:line="237" w:lineRule="auto"/>
        <w:ind w:left="1188" w:right="819" w:hanging="812"/>
        <w:jc w:val="both"/>
      </w:pPr>
      <w:r>
        <w:t xml:space="preserve">Choi, H. K, Willett, W. W., Curhan G. (2010). Fructose-rich beverages and risk ofgout in women. </w:t>
      </w:r>
      <w:r>
        <w:rPr>
          <w:i/>
        </w:rPr>
        <w:t>JAMA</w:t>
      </w:r>
      <w:r>
        <w:t>, 304.20:2270 - 2278.</w:t>
      </w:r>
    </w:p>
    <w:p w:rsidR="004635DD" w:rsidRDefault="004635DD" w:rsidP="004635DD">
      <w:pPr>
        <w:pStyle w:val="BodyText"/>
        <w:spacing w:before="1"/>
      </w:pPr>
    </w:p>
    <w:p w:rsidR="004635DD" w:rsidRDefault="004635DD" w:rsidP="004635DD">
      <w:pPr>
        <w:pStyle w:val="BodyText"/>
        <w:spacing w:line="242" w:lineRule="auto"/>
        <w:ind w:left="1188" w:right="832" w:hanging="812"/>
        <w:jc w:val="both"/>
      </w:pPr>
      <w:r>
        <w:t xml:space="preserve">Choi, H. K. and Curhan, G. (2008). Soft drinks, fructose consumption, and the risk ofgout in men; prospective cohort study. </w:t>
      </w:r>
      <w:r>
        <w:rPr>
          <w:i/>
        </w:rPr>
        <w:t>BMJ</w:t>
      </w:r>
      <w:r>
        <w:t>, 336:309 - 312.</w:t>
      </w:r>
    </w:p>
    <w:p w:rsidR="004635DD" w:rsidRDefault="004635DD" w:rsidP="004635DD">
      <w:pPr>
        <w:pStyle w:val="BodyText"/>
        <w:spacing w:before="8"/>
        <w:rPr>
          <w:sz w:val="23"/>
        </w:rPr>
      </w:pPr>
    </w:p>
    <w:p w:rsidR="004635DD" w:rsidRDefault="004635DD" w:rsidP="004635DD">
      <w:pPr>
        <w:pStyle w:val="BodyText"/>
        <w:spacing w:before="1"/>
        <w:ind w:left="1457" w:right="823" w:hanging="1080"/>
        <w:jc w:val="both"/>
      </w:pPr>
      <w:r>
        <w:t xml:space="preserve">Clauson K. A., Shields K. M., McQueen C. E., and Persad N. (2008). Safety issues associated with commercially available energy drinks. </w:t>
      </w:r>
      <w:r>
        <w:rPr>
          <w:i/>
        </w:rPr>
        <w:t xml:space="preserve">J. Am. Pharm. Assoc. </w:t>
      </w:r>
      <w:r>
        <w:t>48(3): 55–63.</w:t>
      </w:r>
    </w:p>
    <w:p w:rsidR="004635DD" w:rsidRDefault="004635DD" w:rsidP="004635DD">
      <w:pPr>
        <w:pStyle w:val="BodyText"/>
        <w:spacing w:before="2"/>
      </w:pPr>
    </w:p>
    <w:p w:rsidR="004635DD" w:rsidRDefault="004635DD" w:rsidP="004635DD">
      <w:pPr>
        <w:pStyle w:val="BodyText"/>
        <w:spacing w:line="237" w:lineRule="auto"/>
        <w:ind w:left="1188" w:right="830" w:hanging="812"/>
        <w:jc w:val="both"/>
      </w:pPr>
      <w:r>
        <w:t xml:space="preserve">Coulombe, R. A., Sharma, R. P. (1986). Neurobiochemical alterations induced by the artificial sweetener aspartame (NutraSweet). </w:t>
      </w:r>
      <w:r>
        <w:rPr>
          <w:i/>
        </w:rPr>
        <w:t>Toxicol Appl Pharm</w:t>
      </w:r>
      <w:r>
        <w:t>, 83(1): 79-85.</w:t>
      </w:r>
    </w:p>
    <w:p w:rsidR="004635DD" w:rsidRDefault="004635DD" w:rsidP="004635DD">
      <w:pPr>
        <w:pStyle w:val="BodyText"/>
        <w:spacing w:before="1"/>
      </w:pPr>
    </w:p>
    <w:p w:rsidR="004635DD" w:rsidRDefault="004635DD" w:rsidP="004635DD">
      <w:pPr>
        <w:pStyle w:val="BodyText"/>
        <w:ind w:left="376"/>
      </w:pPr>
      <w:r>
        <w:t>Craig,T.D.C.(2010).sodataxproposaldrawsoppositionfrombeverage</w:t>
      </w:r>
      <w:r>
        <w:rPr>
          <w:spacing w:val="-2"/>
        </w:rPr>
        <w:t>industry.</w:t>
      </w:r>
    </w:p>
    <w:p w:rsidR="004635DD" w:rsidRDefault="004635DD" w:rsidP="004635DD">
      <w:pPr>
        <w:spacing w:before="3"/>
        <w:ind w:left="1188"/>
        <w:rPr>
          <w:sz w:val="24"/>
        </w:rPr>
      </w:pPr>
      <w:r>
        <w:rPr>
          <w:i/>
          <w:sz w:val="24"/>
        </w:rPr>
        <w:t>WashingtonPost</w:t>
      </w:r>
      <w:r>
        <w:rPr>
          <w:sz w:val="24"/>
        </w:rPr>
        <w:t>.May14,</w:t>
      </w:r>
      <w:r>
        <w:rPr>
          <w:spacing w:val="-2"/>
          <w:sz w:val="24"/>
        </w:rPr>
        <w:t xml:space="preserve"> 2010.</w:t>
      </w:r>
    </w:p>
    <w:p w:rsidR="004635DD" w:rsidRDefault="004635DD" w:rsidP="004635DD">
      <w:pPr>
        <w:pStyle w:val="BodyText"/>
        <w:spacing w:before="2"/>
      </w:pPr>
    </w:p>
    <w:p w:rsidR="004635DD" w:rsidRDefault="004635DD" w:rsidP="004635DD">
      <w:pPr>
        <w:pStyle w:val="BodyText"/>
        <w:spacing w:before="1" w:line="237" w:lineRule="auto"/>
        <w:ind w:left="1188" w:right="822" w:hanging="812"/>
        <w:jc w:val="both"/>
      </w:pPr>
      <w:r>
        <w:t xml:space="preserve">Crews, H.M., Olivier, L., andWilson, L.A. 2001. Urinary biomarkers for assessing dietary exposure to caffeine. </w:t>
      </w:r>
      <w:r>
        <w:rPr>
          <w:i/>
        </w:rPr>
        <w:t>Food Addit. Contam</w:t>
      </w:r>
      <w:r>
        <w:t>., 18: 1075–1087.</w:t>
      </w:r>
    </w:p>
    <w:p w:rsidR="004635DD" w:rsidRDefault="004635DD" w:rsidP="004635DD">
      <w:pPr>
        <w:pStyle w:val="BodyText"/>
      </w:pPr>
    </w:p>
    <w:p w:rsidR="004635DD" w:rsidRDefault="004635DD" w:rsidP="004635DD">
      <w:pPr>
        <w:pStyle w:val="BodyText"/>
        <w:spacing w:before="1"/>
        <w:ind w:left="1188" w:right="820" w:hanging="812"/>
        <w:jc w:val="both"/>
      </w:pPr>
      <w:r>
        <w:t xml:space="preserve">Crowe, T. C., Fontaine, H. L., Gibbon, C. J., Cameron-Smith, D. and Swinburn, B. A. (2004). Energy density of food and beverages in the Australian food supply: influence of macronutrients and comparison to dietary intake. </w:t>
      </w:r>
      <w:r>
        <w:rPr>
          <w:i/>
        </w:rPr>
        <w:t xml:space="preserve">European Journalof Clinical Nutrition. </w:t>
      </w:r>
      <w:r>
        <w:t>58(11): 1485-91.</w:t>
      </w:r>
    </w:p>
    <w:p w:rsidR="004635DD" w:rsidRDefault="004635DD" w:rsidP="004635DD">
      <w:pPr>
        <w:pStyle w:val="BodyText"/>
        <w:spacing w:before="2"/>
      </w:pPr>
    </w:p>
    <w:p w:rsidR="004635DD" w:rsidRDefault="004635DD" w:rsidP="004635DD">
      <w:pPr>
        <w:pStyle w:val="BodyText"/>
        <w:spacing w:before="72"/>
        <w:ind w:right="824"/>
        <w:jc w:val="both"/>
      </w:pPr>
    </w:p>
    <w:p w:rsidR="004635DD" w:rsidRDefault="004635DD" w:rsidP="004635DD">
      <w:pPr>
        <w:pStyle w:val="BodyText"/>
        <w:spacing w:before="72"/>
        <w:ind w:left="1188" w:right="824" w:hanging="812"/>
        <w:jc w:val="both"/>
      </w:pPr>
      <w:r>
        <w:lastRenderedPageBreak/>
        <w:t xml:space="preserve">Dailey, J. W., Lasley, S.M., Burger, R. L., Bettendorf, A. F., Mishra, P. K. and Jobe, P. C. (1991). Amino acids, monoamines and audiogenic seizures in geneticallyepilepsy-prone rats: effects of aspartame. </w:t>
      </w:r>
      <w:r>
        <w:rPr>
          <w:i/>
        </w:rPr>
        <w:t xml:space="preserve">Epilepsy Res. </w:t>
      </w:r>
      <w:r>
        <w:t>8 122–133.</w:t>
      </w:r>
    </w:p>
    <w:p w:rsidR="004635DD" w:rsidRDefault="004635DD" w:rsidP="004635DD">
      <w:pPr>
        <w:pStyle w:val="BodyText"/>
        <w:rPr>
          <w:sz w:val="26"/>
        </w:rPr>
      </w:pPr>
    </w:p>
    <w:p w:rsidR="004635DD" w:rsidRDefault="004635DD" w:rsidP="004635DD">
      <w:pPr>
        <w:spacing w:before="218" w:line="271" w:lineRule="auto"/>
        <w:ind w:left="1188" w:right="814" w:hanging="812"/>
        <w:jc w:val="both"/>
        <w:rPr>
          <w:sz w:val="24"/>
        </w:rPr>
      </w:pPr>
      <w:r>
        <w:rPr>
          <w:sz w:val="24"/>
        </w:rPr>
        <w:t xml:space="preserve">Das, A. (1990). </w:t>
      </w:r>
      <w:r>
        <w:rPr>
          <w:i/>
          <w:sz w:val="24"/>
        </w:rPr>
        <w:t xml:space="preserve">Metalioninducedtoxicityand detoxificationbychelatingtherapy. </w:t>
      </w:r>
      <w:r>
        <w:rPr>
          <w:sz w:val="24"/>
        </w:rPr>
        <w:t>In:1stA text book on medical aspects of bio inorganic chemistry, CBS, Delhi, P. 17-58.</w:t>
      </w:r>
    </w:p>
    <w:p w:rsidR="004635DD" w:rsidRDefault="004635DD" w:rsidP="004635DD">
      <w:pPr>
        <w:pStyle w:val="BodyText"/>
        <w:spacing w:before="211"/>
        <w:ind w:left="1188" w:right="820" w:hanging="812"/>
        <w:jc w:val="both"/>
      </w:pPr>
      <w:r>
        <w:t xml:space="preserve">Davis, C. D. and Greger, J. L. (1992). Longitudinal changes of manganese-dependent superoxide dismutase and other indexes of manganese and iron status in women. </w:t>
      </w:r>
      <w:r>
        <w:rPr>
          <w:i/>
        </w:rPr>
        <w:t xml:space="preserve">Am. J. Clin. Nutr. </w:t>
      </w:r>
      <w:r>
        <w:t>55, 747–752.</w:t>
      </w:r>
    </w:p>
    <w:p w:rsidR="004635DD" w:rsidRDefault="004635DD" w:rsidP="004635DD">
      <w:pPr>
        <w:pStyle w:val="BodyText"/>
        <w:spacing w:before="1"/>
      </w:pPr>
    </w:p>
    <w:p w:rsidR="004635DD" w:rsidRDefault="004635DD" w:rsidP="004635DD">
      <w:pPr>
        <w:pStyle w:val="BodyText"/>
        <w:spacing w:line="242" w:lineRule="auto"/>
        <w:ind w:left="1188" w:right="814" w:hanging="812"/>
        <w:jc w:val="both"/>
      </w:pPr>
      <w:r>
        <w:t xml:space="preserve">Dega, H., Laporte, J. L., and Frances, C. (1996). Ginseng as a cause for Stevens- Johnson syndrome. </w:t>
      </w:r>
      <w:r>
        <w:rPr>
          <w:i/>
        </w:rPr>
        <w:t xml:space="preserve">Lancet, </w:t>
      </w:r>
      <w:r>
        <w:t>347:1344.</w:t>
      </w:r>
    </w:p>
    <w:p w:rsidR="004635DD" w:rsidRDefault="004635DD" w:rsidP="004635DD">
      <w:pPr>
        <w:pStyle w:val="BodyText"/>
        <w:spacing w:before="8"/>
        <w:rPr>
          <w:sz w:val="23"/>
        </w:rPr>
      </w:pPr>
    </w:p>
    <w:p w:rsidR="004635DD" w:rsidRDefault="004635DD" w:rsidP="004635DD">
      <w:pPr>
        <w:pStyle w:val="BodyText"/>
        <w:ind w:left="1188" w:right="815" w:hanging="812"/>
        <w:jc w:val="both"/>
      </w:pPr>
      <w:r>
        <w:t xml:space="preserve">Devine, A. (1999). A Four Year follow-up Study of the Effects of Calcium Supplementation on Bone Density in Elderly post-Menopausal Women. </w:t>
      </w:r>
      <w:r>
        <w:rPr>
          <w:i/>
        </w:rPr>
        <w:t xml:space="preserve">Osteoporosis Int. </w:t>
      </w:r>
      <w:r>
        <w:t>7: 23-28.</w:t>
      </w:r>
    </w:p>
    <w:p w:rsidR="004635DD" w:rsidRDefault="004635DD" w:rsidP="004635DD">
      <w:pPr>
        <w:pStyle w:val="BodyText"/>
        <w:spacing w:before="1"/>
      </w:pPr>
    </w:p>
    <w:p w:rsidR="004635DD" w:rsidRDefault="004635DD" w:rsidP="004635DD">
      <w:pPr>
        <w:pStyle w:val="BodyText"/>
        <w:spacing w:line="275" w:lineRule="exact"/>
        <w:ind w:left="376"/>
        <w:jc w:val="both"/>
      </w:pPr>
      <w:r>
        <w:t>Dhingra,R.,Sullivan,L.,Jacques,P.F.,Wang,T.J.,Fox,C.S.,Meigs,J.B.,</w:t>
      </w:r>
      <w:r>
        <w:rPr>
          <w:spacing w:val="-2"/>
        </w:rPr>
        <w:t>D'Agostino,</w:t>
      </w:r>
    </w:p>
    <w:p w:rsidR="004635DD" w:rsidRDefault="004635DD" w:rsidP="004635DD">
      <w:pPr>
        <w:pStyle w:val="BodyText"/>
        <w:ind w:left="1188" w:right="820"/>
        <w:jc w:val="both"/>
      </w:pPr>
      <w:r>
        <w:t xml:space="preserve">R. B., Gaziano, J. M., andVasan, R. S. (2007). Soft drink consumptionand riskof developing cardiometabolic risk factors and the metabolic syndrome in middle- aged adults in the community. </w:t>
      </w:r>
      <w:r>
        <w:rPr>
          <w:i/>
        </w:rPr>
        <w:t>Circulation</w:t>
      </w:r>
      <w:r>
        <w:t>, 116.5:480 - 488.</w:t>
      </w:r>
    </w:p>
    <w:p w:rsidR="004635DD" w:rsidRDefault="004635DD" w:rsidP="004635DD">
      <w:pPr>
        <w:pStyle w:val="BodyText"/>
        <w:spacing w:before="10"/>
        <w:rPr>
          <w:sz w:val="23"/>
        </w:rPr>
      </w:pPr>
    </w:p>
    <w:p w:rsidR="004635DD" w:rsidRDefault="004635DD" w:rsidP="004635DD">
      <w:pPr>
        <w:pStyle w:val="BodyText"/>
        <w:spacing w:before="1"/>
        <w:ind w:left="1188" w:right="809" w:hanging="812"/>
        <w:jc w:val="both"/>
      </w:pPr>
      <w:r>
        <w:t xml:space="preserve">Diomede, L., Romano, M., Guiso, G., Caccia, S., Nava, S. and Salmona, M. (1991). Interspecies and interstrain studies on the increased susceptibility to metrazol- induced convulsions in animals given aspartame. </w:t>
      </w:r>
      <w:r>
        <w:rPr>
          <w:i/>
        </w:rPr>
        <w:t xml:space="preserve">Food Chem. Toxicol. </w:t>
      </w:r>
      <w:r>
        <w:t xml:space="preserve">29 101– </w:t>
      </w:r>
      <w:r>
        <w:rPr>
          <w:spacing w:val="-4"/>
        </w:rPr>
        <w:t>106.</w:t>
      </w:r>
    </w:p>
    <w:p w:rsidR="004635DD" w:rsidRDefault="004635DD" w:rsidP="004635DD">
      <w:pPr>
        <w:pStyle w:val="BodyText"/>
        <w:spacing w:before="5"/>
      </w:pPr>
    </w:p>
    <w:p w:rsidR="004635DD" w:rsidRDefault="004635DD" w:rsidP="004635DD">
      <w:pPr>
        <w:pStyle w:val="BodyText"/>
        <w:spacing w:line="237" w:lineRule="auto"/>
        <w:ind w:left="1188" w:right="819" w:hanging="812"/>
        <w:jc w:val="both"/>
      </w:pPr>
      <w:r>
        <w:t>Doherty, M. and Smith, P. M. (2004). Effects of caffeine ingestion on exercise testing: a meta-analysis. Int J Sport NutrExercMetab 14: 626–46.</w:t>
      </w:r>
    </w:p>
    <w:p w:rsidR="004635DD" w:rsidRDefault="004635DD" w:rsidP="004635DD">
      <w:pPr>
        <w:pStyle w:val="BodyText"/>
        <w:spacing w:before="1"/>
      </w:pPr>
    </w:p>
    <w:p w:rsidR="004635DD" w:rsidRDefault="004635DD" w:rsidP="004635DD">
      <w:pPr>
        <w:pStyle w:val="BodyText"/>
        <w:ind w:left="1188" w:right="810" w:hanging="812"/>
        <w:jc w:val="both"/>
      </w:pPr>
      <w:r>
        <w:t>Drake, I., Sonestedt, E., Gullberg, B., Ahlgren, G., Bjartell, A., Wallström, P., Wirfält, E. (2012). Dietary intakes of carbohydrates in relation to prostate cancer risk: a prospectivestudy intheMalmöDietandCancercohort.</w:t>
      </w:r>
      <w:r>
        <w:rPr>
          <w:i/>
        </w:rPr>
        <w:t>AmJClinNutr</w:t>
      </w:r>
      <w:r>
        <w:t>,96,</w:t>
      </w:r>
      <w:r>
        <w:rPr>
          <w:spacing w:val="-4"/>
        </w:rPr>
        <w:t>1409</w:t>
      </w:r>
    </w:p>
    <w:p w:rsidR="004635DD" w:rsidRDefault="004635DD" w:rsidP="004635DD">
      <w:pPr>
        <w:pStyle w:val="BodyText"/>
        <w:spacing w:before="3"/>
        <w:ind w:left="1188"/>
        <w:jc w:val="both"/>
      </w:pPr>
      <w:r>
        <w:t>-</w:t>
      </w:r>
      <w:r>
        <w:rPr>
          <w:spacing w:val="-2"/>
        </w:rPr>
        <w:t>1418.</w:t>
      </w:r>
    </w:p>
    <w:p w:rsidR="004635DD" w:rsidRDefault="004635DD" w:rsidP="004635DD">
      <w:pPr>
        <w:pStyle w:val="BodyText"/>
      </w:pPr>
    </w:p>
    <w:p w:rsidR="004635DD" w:rsidRDefault="004635DD" w:rsidP="004635DD">
      <w:pPr>
        <w:pStyle w:val="BodyText"/>
        <w:ind w:left="376"/>
        <w:jc w:val="both"/>
      </w:pPr>
      <w:r>
        <w:t>Duffus,J.H.(2002).</w:t>
      </w:r>
      <w:r>
        <w:rPr>
          <w:spacing w:val="-5"/>
          <w:w w:val="53"/>
        </w:rPr>
        <w:t>―</w:t>
      </w:r>
      <w:r>
        <w:rPr>
          <w:w w:val="109"/>
        </w:rPr>
        <w:t>H</w:t>
      </w:r>
      <w:r>
        <w:rPr>
          <w:spacing w:val="-1"/>
          <w:w w:val="109"/>
        </w:rPr>
        <w:t>e</w:t>
      </w:r>
      <w:r>
        <w:rPr>
          <w:w w:val="109"/>
        </w:rPr>
        <w:t>a</w:t>
      </w:r>
      <w:r>
        <w:rPr>
          <w:spacing w:val="1"/>
          <w:w w:val="109"/>
        </w:rPr>
        <w:t>vy</w:t>
      </w:r>
      <w:r>
        <w:t>metal‖–ameaninglessterm?</w:t>
      </w:r>
      <w:r>
        <w:rPr>
          <w:i/>
        </w:rPr>
        <w:t>PureApplChem</w:t>
      </w:r>
      <w:r>
        <w:rPr>
          <w:spacing w:val="-2"/>
        </w:rPr>
        <w:t>74:793–807.</w:t>
      </w:r>
    </w:p>
    <w:p w:rsidR="004635DD" w:rsidRDefault="004635DD" w:rsidP="004635DD">
      <w:pPr>
        <w:pStyle w:val="BodyText"/>
      </w:pPr>
    </w:p>
    <w:p w:rsidR="004635DD" w:rsidRDefault="004635DD" w:rsidP="004635DD">
      <w:pPr>
        <w:pStyle w:val="BodyText"/>
        <w:ind w:left="1188" w:right="826" w:hanging="812"/>
        <w:jc w:val="both"/>
      </w:pPr>
      <w:r>
        <w:t xml:space="preserve">Dulloo, A. G., Geissler, C. A., Horton, T., Collins, A., Miller, D. S. (1989). Normal caffeineconsumption: influenceonthermogenesis anddailyenergyexpenditure in lean and post-obese human volunteers. </w:t>
      </w:r>
      <w:r>
        <w:rPr>
          <w:i/>
        </w:rPr>
        <w:t>Am J Clin Nutr</w:t>
      </w:r>
      <w:r>
        <w:t>49: 44–50.</w:t>
      </w:r>
    </w:p>
    <w:p w:rsidR="004635DD" w:rsidRDefault="004635DD" w:rsidP="004635DD">
      <w:pPr>
        <w:pStyle w:val="BodyText"/>
        <w:spacing w:before="2"/>
      </w:pPr>
    </w:p>
    <w:p w:rsidR="004635DD" w:rsidRDefault="004635DD" w:rsidP="004635DD">
      <w:pPr>
        <w:pStyle w:val="BodyText"/>
        <w:spacing w:before="1" w:line="237" w:lineRule="auto"/>
        <w:ind w:left="1188" w:right="828" w:hanging="812"/>
        <w:jc w:val="both"/>
      </w:pPr>
      <w:r>
        <w:t xml:space="preserve">Dunwiddie, T. V., and Mansino, S. A., (2001). The role and regulationofadenosine in the central nervous system. </w:t>
      </w:r>
      <w:r>
        <w:rPr>
          <w:i/>
        </w:rPr>
        <w:t>Ann Rev Neurosci</w:t>
      </w:r>
      <w:r>
        <w:t>, 24: 31–55.</w:t>
      </w:r>
    </w:p>
    <w:p w:rsidR="004635DD" w:rsidRDefault="004635DD" w:rsidP="004635DD">
      <w:pPr>
        <w:jc w:val="both"/>
        <w:sectPr w:rsidR="004635DD">
          <w:pgSz w:w="12240" w:h="15840"/>
          <w:pgMar w:top="1360" w:right="620" w:bottom="1200" w:left="1640" w:header="0" w:footer="1012" w:gutter="0"/>
          <w:cols w:space="720"/>
        </w:sectPr>
      </w:pPr>
    </w:p>
    <w:p w:rsidR="004635DD" w:rsidRDefault="004635DD" w:rsidP="004635DD">
      <w:pPr>
        <w:pStyle w:val="BodyText"/>
        <w:spacing w:before="72"/>
        <w:ind w:left="1188" w:right="819" w:hanging="812"/>
        <w:jc w:val="both"/>
      </w:pPr>
      <w:r>
        <w:lastRenderedPageBreak/>
        <w:t xml:space="preserve">Ebbeling, C, Feldman, H, Osganian, S, (2006). </w:t>
      </w:r>
      <w:r>
        <w:rPr>
          <w:spacing w:val="-5"/>
          <w:w w:val="51"/>
        </w:rPr>
        <w:t>―</w:t>
      </w:r>
      <w:r>
        <w:rPr>
          <w:spacing w:val="2"/>
          <w:w w:val="107"/>
        </w:rPr>
        <w:t>E</w:t>
      </w:r>
      <w:r>
        <w:rPr>
          <w:spacing w:val="-3"/>
          <w:w w:val="107"/>
        </w:rPr>
        <w:t>ff</w:t>
      </w:r>
      <w:r>
        <w:rPr>
          <w:w w:val="107"/>
        </w:rPr>
        <w:t>ec</w:t>
      </w:r>
      <w:r>
        <w:rPr>
          <w:spacing w:val="6"/>
          <w:w w:val="107"/>
        </w:rPr>
        <w:t>t</w:t>
      </w:r>
      <w:r>
        <w:rPr>
          <w:spacing w:val="1"/>
          <w:w w:val="107"/>
        </w:rPr>
        <w:t>s</w:t>
      </w:r>
      <w:r>
        <w:t>of Decreasing Sugar-sweetened Beverage Consumption on Body Weight in Adolescents: A Randomized, Controlled Pilot Study.‖</w:t>
      </w:r>
      <w:r>
        <w:rPr>
          <w:i/>
        </w:rPr>
        <w:t>Pediatrics</w:t>
      </w:r>
      <w:r>
        <w:t>, 117(3): 673–680.</w:t>
      </w:r>
    </w:p>
    <w:p w:rsidR="004635DD" w:rsidRDefault="004635DD" w:rsidP="004635DD">
      <w:pPr>
        <w:pStyle w:val="BodyText"/>
        <w:spacing w:before="3"/>
      </w:pPr>
    </w:p>
    <w:p w:rsidR="004635DD" w:rsidRDefault="004635DD" w:rsidP="004635DD">
      <w:pPr>
        <w:pStyle w:val="BodyText"/>
        <w:spacing w:line="237" w:lineRule="auto"/>
        <w:ind w:left="1188" w:right="824" w:hanging="812"/>
        <w:jc w:val="both"/>
      </w:pPr>
      <w:r>
        <w:t xml:space="preserve">(EFSA) European Food Safety Authority (2010). Scientific Opinion on Dietary Reference Values for carbohydrates and dietary fibre. </w:t>
      </w:r>
      <w:r>
        <w:rPr>
          <w:i/>
        </w:rPr>
        <w:t xml:space="preserve">EFSA Journal. </w:t>
      </w:r>
      <w:r>
        <w:t>8(3):1462.</w:t>
      </w:r>
    </w:p>
    <w:p w:rsidR="004635DD" w:rsidRDefault="004635DD" w:rsidP="004635DD">
      <w:pPr>
        <w:pStyle w:val="BodyText"/>
        <w:spacing w:before="1"/>
      </w:pPr>
    </w:p>
    <w:p w:rsidR="004635DD" w:rsidRDefault="004635DD" w:rsidP="004635DD">
      <w:pPr>
        <w:pStyle w:val="BodyText"/>
        <w:ind w:left="1188" w:right="811" w:hanging="812"/>
        <w:jc w:val="both"/>
      </w:pPr>
      <w:r>
        <w:t xml:space="preserve">Enerst, E. (2002). The risk-benefit profile of commonly used herbal therapies: Ginkgo, St. John's Wort, Ginseng, Echinacea, Saw Palmetto, and Kava. </w:t>
      </w:r>
      <w:r>
        <w:rPr>
          <w:i/>
        </w:rPr>
        <w:t xml:space="preserve">Ann Intern Med </w:t>
      </w:r>
      <w:r>
        <w:rPr>
          <w:spacing w:val="-2"/>
        </w:rPr>
        <w:t>136:42-53.</w:t>
      </w:r>
    </w:p>
    <w:p w:rsidR="004635DD" w:rsidRDefault="004635DD" w:rsidP="004635DD">
      <w:pPr>
        <w:pStyle w:val="BodyText"/>
      </w:pPr>
    </w:p>
    <w:p w:rsidR="004635DD" w:rsidRDefault="004635DD" w:rsidP="004635DD">
      <w:pPr>
        <w:pStyle w:val="BodyText"/>
        <w:ind w:left="1188" w:right="820" w:hanging="812"/>
        <w:jc w:val="both"/>
      </w:pPr>
      <w:r>
        <w:t xml:space="preserve">EU SCF (European Union Scientific Committee for Food) (1983). Report ofthe Scientific Committee for Food on Caffeine. Reports of the Scientific Committee for Food (Fourteenth Series). Commission of the European Communities, Luxembourg. </w:t>
      </w:r>
      <w:r>
        <w:rPr>
          <w:spacing w:val="-2"/>
        </w:rPr>
        <w:t>Vol.15(1-3)</w:t>
      </w:r>
    </w:p>
    <w:p w:rsidR="004635DD" w:rsidRDefault="004635DD" w:rsidP="004635DD">
      <w:pPr>
        <w:pStyle w:val="BodyText"/>
        <w:spacing w:before="3"/>
      </w:pPr>
    </w:p>
    <w:p w:rsidR="004635DD" w:rsidRDefault="004635DD" w:rsidP="004635DD">
      <w:pPr>
        <w:pStyle w:val="BodyText"/>
        <w:spacing w:before="1" w:line="275" w:lineRule="exact"/>
        <w:ind w:left="376"/>
      </w:pPr>
      <w:r>
        <w:t>FAO/WHO,(FoodandAgricultureOrganization/WorldHealthOrganization).</w:t>
      </w:r>
      <w:r>
        <w:rPr>
          <w:spacing w:val="-2"/>
        </w:rPr>
        <w:t>(1998).</w:t>
      </w:r>
    </w:p>
    <w:p w:rsidR="004635DD" w:rsidRDefault="004635DD" w:rsidP="004635DD">
      <w:pPr>
        <w:spacing w:line="275" w:lineRule="exact"/>
        <w:ind w:left="1188"/>
        <w:rPr>
          <w:sz w:val="24"/>
        </w:rPr>
      </w:pPr>
      <w:r>
        <w:rPr>
          <w:i/>
          <w:sz w:val="24"/>
        </w:rPr>
        <w:t>CarbohydratesinHumanNutrition</w:t>
      </w:r>
      <w:r>
        <w:rPr>
          <w:sz w:val="24"/>
        </w:rPr>
        <w:t>.Rome:FAO.vol.</w:t>
      </w:r>
      <w:r>
        <w:rPr>
          <w:spacing w:val="-4"/>
          <w:sz w:val="24"/>
        </w:rPr>
        <w:t>165.</w:t>
      </w:r>
    </w:p>
    <w:p w:rsidR="004635DD" w:rsidRDefault="004635DD" w:rsidP="004635DD">
      <w:pPr>
        <w:pStyle w:val="BodyText"/>
        <w:rPr>
          <w:sz w:val="26"/>
        </w:rPr>
      </w:pPr>
    </w:p>
    <w:p w:rsidR="004635DD" w:rsidRDefault="004635DD" w:rsidP="004635DD">
      <w:pPr>
        <w:pStyle w:val="BodyText"/>
        <w:spacing w:before="2"/>
        <w:rPr>
          <w:sz w:val="22"/>
        </w:rPr>
      </w:pPr>
    </w:p>
    <w:p w:rsidR="004635DD" w:rsidRDefault="004635DD" w:rsidP="004635DD">
      <w:pPr>
        <w:pStyle w:val="BodyText"/>
        <w:ind w:left="1188" w:right="815" w:hanging="812"/>
        <w:jc w:val="both"/>
      </w:pPr>
      <w:r>
        <w:t>FAO/WHO, (1980). Toxicological evaluation of certain food additives: Aspartame. WHO Food Additive Series No. 15. The Joint FAO/WHO Expert Committee on Food Additives, Geneva, Switzerland, pp: 18-86.</w:t>
      </w:r>
    </w:p>
    <w:p w:rsidR="004635DD" w:rsidRDefault="004635DD" w:rsidP="004635DD">
      <w:pPr>
        <w:pStyle w:val="BodyText"/>
      </w:pPr>
    </w:p>
    <w:p w:rsidR="004635DD" w:rsidRDefault="004635DD" w:rsidP="004635DD">
      <w:pPr>
        <w:pStyle w:val="BodyText"/>
        <w:ind w:left="1188" w:right="817" w:hanging="812"/>
        <w:jc w:val="both"/>
      </w:pPr>
      <w:r>
        <w:t xml:space="preserve">FDA, </w:t>
      </w:r>
      <w:r>
        <w:rPr>
          <w:sz w:val="22"/>
        </w:rPr>
        <w:t xml:space="preserve">(FoodandDrugAdministration) </w:t>
      </w:r>
      <w:r>
        <w:t xml:space="preserve">(1996). Inactive Ingredients Database. Aspartame. US Food and Drug Administration. Center for Drug Evaluation and Research(CDER). </w:t>
      </w:r>
      <w:hyperlink r:id="rId11">
        <w:r>
          <w:rPr>
            <w:color w:val="0000FF"/>
            <w:u w:val="single" w:color="0000FF"/>
          </w:rPr>
          <w:t>http://www.accessdata.fda.gov/scripts/cder/iig/index.cfm</w:t>
        </w:r>
        <w:r>
          <w:t>.</w:t>
        </w:r>
      </w:hyperlink>
      <w:r>
        <w:t xml:space="preserve"> (site visitedon January 16, 2006).</w:t>
      </w:r>
    </w:p>
    <w:p w:rsidR="004635DD" w:rsidRDefault="004635DD" w:rsidP="004635DD">
      <w:pPr>
        <w:pStyle w:val="BodyText"/>
        <w:spacing w:before="10"/>
        <w:rPr>
          <w:sz w:val="23"/>
        </w:rPr>
      </w:pPr>
    </w:p>
    <w:p w:rsidR="004635DD" w:rsidRDefault="004635DD" w:rsidP="004635DD">
      <w:pPr>
        <w:pStyle w:val="BodyText"/>
        <w:ind w:left="1188" w:right="814" w:hanging="812"/>
        <w:jc w:val="both"/>
      </w:pPr>
      <w:r>
        <w:t xml:space="preserve">FDA, (Food and Drug Administration) (2003). Substances Generally Recognized as Safe. Code of Federal Regulations. Title 21, vol.3. Sec.182.1180. Consulted on 14.03.2012 available at </w:t>
      </w:r>
      <w:hyperlink r:id="rId12">
        <w:r>
          <w:rPr>
            <w:u w:val="single"/>
          </w:rPr>
          <w:t>http://coffeefaq.com/site/node/13</w:t>
        </w:r>
      </w:hyperlink>
      <w:r>
        <w:t xml:space="preserve">. </w:t>
      </w:r>
      <w:r>
        <w:rPr>
          <w:i/>
        </w:rPr>
        <w:t>Food Chem Toxicol</w:t>
      </w:r>
      <w:r>
        <w:t>.; 40(9): 1271–1310.</w:t>
      </w:r>
    </w:p>
    <w:p w:rsidR="004635DD" w:rsidRDefault="004635DD" w:rsidP="004635DD">
      <w:pPr>
        <w:pStyle w:val="BodyText"/>
        <w:spacing w:before="5"/>
      </w:pPr>
    </w:p>
    <w:p w:rsidR="004635DD" w:rsidRDefault="004635DD" w:rsidP="004635DD">
      <w:pPr>
        <w:pStyle w:val="BodyText"/>
        <w:spacing w:line="237" w:lineRule="auto"/>
        <w:ind w:left="1188" w:right="821" w:hanging="812"/>
        <w:jc w:val="both"/>
      </w:pPr>
      <w:r>
        <w:t>Fernstrom, J. D., Fernstrom, M. H. and Gillis, M. A. (1983). Acuteeffectsofaspartame on large neutral amino acids and monoamines in rat brain</w:t>
      </w:r>
      <w:r>
        <w:rPr>
          <w:i/>
        </w:rPr>
        <w:t xml:space="preserve">. Life Sci. </w:t>
      </w:r>
      <w:r>
        <w:t>32 1651–1658</w:t>
      </w:r>
    </w:p>
    <w:p w:rsidR="004635DD" w:rsidRDefault="004635DD" w:rsidP="004635DD">
      <w:pPr>
        <w:pStyle w:val="BodyText"/>
        <w:spacing w:before="1"/>
      </w:pPr>
    </w:p>
    <w:p w:rsidR="004635DD" w:rsidRDefault="004635DD" w:rsidP="004635DD">
      <w:pPr>
        <w:pStyle w:val="BodyText"/>
        <w:spacing w:line="242" w:lineRule="auto"/>
        <w:ind w:left="1188" w:right="818" w:hanging="812"/>
        <w:jc w:val="both"/>
      </w:pPr>
      <w:r>
        <w:t xml:space="preserve">Ferre, S. (2008). Anupdate inthe mechanismsofthepsychostimulant effectsofcaffeine. </w:t>
      </w:r>
      <w:r>
        <w:rPr>
          <w:i/>
        </w:rPr>
        <w:t>J Neurochem</w:t>
      </w:r>
      <w:r>
        <w:t>, 105:1067–79.</w:t>
      </w:r>
    </w:p>
    <w:p w:rsidR="004635DD" w:rsidRDefault="004635DD" w:rsidP="004635DD">
      <w:pPr>
        <w:pStyle w:val="BodyText"/>
        <w:spacing w:before="9"/>
        <w:rPr>
          <w:sz w:val="23"/>
        </w:rPr>
      </w:pPr>
    </w:p>
    <w:p w:rsidR="004635DD" w:rsidRDefault="004635DD" w:rsidP="004635DD">
      <w:pPr>
        <w:pStyle w:val="BodyText"/>
        <w:ind w:left="1188" w:right="811" w:hanging="812"/>
        <w:jc w:val="both"/>
      </w:pPr>
      <w:r>
        <w:t xml:space="preserve">Ferreira, E. S., Hartmann, Quadrosi, M. I., Trindade, A. A., Takahashi, S., Koyama, G. R., Souza-Formigoni, O. M. (2004). Can energy drinks reduce the depressor effect of ethanol? An experimental study in mice. </w:t>
      </w:r>
      <w:r>
        <w:rPr>
          <w:i/>
        </w:rPr>
        <w:t xml:space="preserve">Physiology and Behaviour, </w:t>
      </w:r>
      <w:r>
        <w:t xml:space="preserve">82(5): 841- </w:t>
      </w:r>
      <w:r>
        <w:rPr>
          <w:spacing w:val="-4"/>
        </w:rPr>
        <w:t>847.</w:t>
      </w:r>
    </w:p>
    <w:p w:rsidR="004635DD" w:rsidRDefault="004635DD" w:rsidP="004635DD">
      <w:pPr>
        <w:jc w:val="both"/>
        <w:sectPr w:rsidR="004635DD">
          <w:pgSz w:w="12240" w:h="15840"/>
          <w:pgMar w:top="1360" w:right="620" w:bottom="1200" w:left="1640" w:header="0" w:footer="1012" w:gutter="0"/>
          <w:cols w:space="720"/>
        </w:sectPr>
      </w:pPr>
    </w:p>
    <w:p w:rsidR="004635DD" w:rsidRDefault="004635DD" w:rsidP="004635DD">
      <w:pPr>
        <w:pStyle w:val="BodyText"/>
        <w:spacing w:before="74" w:line="237" w:lineRule="auto"/>
        <w:ind w:left="1188" w:right="826" w:hanging="812"/>
        <w:jc w:val="both"/>
      </w:pPr>
      <w:r>
        <w:lastRenderedPageBreak/>
        <w:t xml:space="preserve">Finley, J. N. (2004). Does environmental exposure to Manganese pose a health risk to healthy adults? </w:t>
      </w:r>
      <w:r>
        <w:rPr>
          <w:i/>
        </w:rPr>
        <w:t xml:space="preserve">Nutr. Rev., </w:t>
      </w:r>
      <w:r>
        <w:t>62, 148-153.</w:t>
      </w:r>
    </w:p>
    <w:p w:rsidR="004635DD" w:rsidRDefault="004635DD" w:rsidP="004635DD">
      <w:pPr>
        <w:pStyle w:val="BodyText"/>
        <w:spacing w:before="1"/>
      </w:pPr>
    </w:p>
    <w:p w:rsidR="004635DD" w:rsidRDefault="004635DD" w:rsidP="004635DD">
      <w:pPr>
        <w:ind w:left="1188" w:right="810" w:hanging="812"/>
        <w:jc w:val="both"/>
        <w:rPr>
          <w:sz w:val="24"/>
        </w:rPr>
      </w:pPr>
      <w:r>
        <w:rPr>
          <w:sz w:val="24"/>
        </w:rPr>
        <w:t xml:space="preserve">Foran, M., Strickland, F., Perkins, K., Smith, J. A. (2011). Excessive Intraoperative Bleeding With Chronic Energy Drink Consumption. </w:t>
      </w:r>
      <w:r>
        <w:rPr>
          <w:i/>
          <w:sz w:val="24"/>
        </w:rPr>
        <w:t xml:space="preserve">Journal of Oral and Maxillofacial Surgery, </w:t>
      </w:r>
      <w:r>
        <w:rPr>
          <w:sz w:val="24"/>
        </w:rPr>
        <w:t>1-3.</w:t>
      </w:r>
    </w:p>
    <w:p w:rsidR="004635DD" w:rsidRDefault="004635DD" w:rsidP="004635DD">
      <w:pPr>
        <w:pStyle w:val="BodyText"/>
        <w:spacing w:before="1"/>
      </w:pPr>
    </w:p>
    <w:p w:rsidR="004635DD" w:rsidRDefault="004635DD" w:rsidP="004635DD">
      <w:pPr>
        <w:pStyle w:val="BodyText"/>
        <w:ind w:left="1188" w:right="819" w:hanging="812"/>
        <w:jc w:val="both"/>
      </w:pPr>
      <w:r>
        <w:t xml:space="preserve">Fotherby, M. D. and Potter J. F. (1992). Potassium Supplementation Reduces Clinic and AmbulatoryBlood Pressure in Elderly Hypertensive Patients. </w:t>
      </w:r>
      <w:r>
        <w:rPr>
          <w:i/>
        </w:rPr>
        <w:t xml:space="preserve">J Hypertension. </w:t>
      </w:r>
      <w:r>
        <w:t xml:space="preserve">10: </w:t>
      </w:r>
      <w:r>
        <w:rPr>
          <w:spacing w:val="-2"/>
        </w:rPr>
        <w:t>1403-8.</w:t>
      </w:r>
    </w:p>
    <w:p w:rsidR="004635DD" w:rsidRDefault="004635DD" w:rsidP="004635DD">
      <w:pPr>
        <w:pStyle w:val="BodyText"/>
      </w:pPr>
    </w:p>
    <w:p w:rsidR="004635DD" w:rsidRDefault="004635DD" w:rsidP="004635DD">
      <w:pPr>
        <w:pStyle w:val="BodyText"/>
        <w:ind w:left="376"/>
        <w:rPr>
          <w:i/>
        </w:rPr>
      </w:pPr>
      <w:r>
        <w:t>Fraga,C.G.andOteiza,P.I.(2002).Irontoxicityandantioxidantnutrients.</w:t>
      </w:r>
      <w:r>
        <w:rPr>
          <w:i/>
          <w:spacing w:val="-2"/>
        </w:rPr>
        <w:t>Toxicology</w:t>
      </w:r>
    </w:p>
    <w:p w:rsidR="004635DD" w:rsidRDefault="004635DD" w:rsidP="004635DD">
      <w:pPr>
        <w:pStyle w:val="BodyText"/>
        <w:spacing w:before="3"/>
        <w:ind w:left="1188"/>
      </w:pPr>
      <w:r>
        <w:t>180,</w:t>
      </w:r>
      <w:r>
        <w:rPr>
          <w:spacing w:val="-2"/>
        </w:rPr>
        <w:t>23–32.</w:t>
      </w:r>
    </w:p>
    <w:p w:rsidR="004635DD" w:rsidRDefault="004635DD" w:rsidP="004635DD">
      <w:pPr>
        <w:spacing w:before="199" w:line="242" w:lineRule="auto"/>
        <w:ind w:left="1188" w:right="813" w:hanging="812"/>
        <w:jc w:val="both"/>
        <w:rPr>
          <w:sz w:val="24"/>
        </w:rPr>
      </w:pPr>
      <w:r>
        <w:rPr>
          <w:sz w:val="24"/>
        </w:rPr>
        <w:t xml:space="preserve">FSPB (Food Safety Production Board) (2010). </w:t>
      </w:r>
      <w:r>
        <w:rPr>
          <w:i/>
          <w:sz w:val="24"/>
        </w:rPr>
        <w:t xml:space="preserve">A review of Health Effects of Stimulated Drinks. </w:t>
      </w:r>
      <w:r>
        <w:rPr>
          <w:sz w:val="24"/>
        </w:rPr>
        <w:t>Final report. Republic of Ireland. Pp 1-40</w:t>
      </w:r>
    </w:p>
    <w:p w:rsidR="004635DD" w:rsidRDefault="004635DD" w:rsidP="004635DD">
      <w:pPr>
        <w:pStyle w:val="BodyText"/>
        <w:spacing w:before="197"/>
        <w:ind w:left="1188" w:right="819" w:hanging="812"/>
        <w:jc w:val="both"/>
      </w:pPr>
      <w:r>
        <w:t xml:space="preserve">Genkinger, J. M., Li, R., Spiegelman, D. (2012). Coffee, tea, and sugar-sweetened carbonated soft drink intake and pancreatic cancer risk: a pooled analysis of 14 cohort studies. </w:t>
      </w:r>
      <w:r>
        <w:rPr>
          <w:i/>
        </w:rPr>
        <w:t>Cancer Epidemiol Biomarkers Prev</w:t>
      </w:r>
      <w:r>
        <w:t>, 21.2:305 - 318.</w:t>
      </w:r>
    </w:p>
    <w:p w:rsidR="004635DD" w:rsidRDefault="004635DD" w:rsidP="004635DD">
      <w:pPr>
        <w:pStyle w:val="BodyText"/>
      </w:pPr>
    </w:p>
    <w:p w:rsidR="004635DD" w:rsidRDefault="004635DD" w:rsidP="004635DD">
      <w:pPr>
        <w:pStyle w:val="BodyText"/>
        <w:ind w:left="1188" w:right="815" w:hanging="812"/>
        <w:jc w:val="both"/>
      </w:pPr>
      <w:r>
        <w:t xml:space="preserve">Gill, T. P., Rangan, A. M. and Webb K. L. (2006). The weight of evidence suggest thatsoft drinks are major issues in childhood and adolescent obesity. </w:t>
      </w:r>
      <w:r>
        <w:rPr>
          <w:i/>
        </w:rPr>
        <w:t xml:space="preserve">Medical journal of Australia. </w:t>
      </w:r>
      <w:r>
        <w:t>184(6): 263-4.</w:t>
      </w:r>
    </w:p>
    <w:p w:rsidR="004635DD" w:rsidRDefault="004635DD" w:rsidP="004635DD">
      <w:pPr>
        <w:pStyle w:val="BodyText"/>
        <w:rPr>
          <w:sz w:val="26"/>
        </w:rPr>
      </w:pPr>
    </w:p>
    <w:p w:rsidR="004635DD" w:rsidRDefault="004635DD" w:rsidP="004635DD">
      <w:pPr>
        <w:pStyle w:val="BodyText"/>
        <w:spacing w:before="174"/>
        <w:ind w:left="1188" w:right="817" w:hanging="812"/>
        <w:jc w:val="both"/>
      </w:pPr>
      <w:r>
        <w:t xml:space="preserve">Glinsmann, W. H., Irausquin, H., Park, Y. K. (1986). Evaluation of health aspects ofsugars contained in carbohydrate sweeteners. Report ofSugars Task Force. </w:t>
      </w:r>
      <w:r>
        <w:rPr>
          <w:i/>
        </w:rPr>
        <w:t>J Nutr</w:t>
      </w:r>
      <w:r>
        <w:rPr>
          <w:spacing w:val="-2"/>
        </w:rPr>
        <w:t>116:S1–S216.</w:t>
      </w:r>
    </w:p>
    <w:p w:rsidR="004635DD" w:rsidRDefault="004635DD" w:rsidP="004635DD">
      <w:pPr>
        <w:pStyle w:val="BodyText"/>
        <w:spacing w:before="207" w:line="237" w:lineRule="auto"/>
        <w:ind w:left="1188" w:right="828" w:hanging="812"/>
        <w:jc w:val="both"/>
      </w:pPr>
      <w:r>
        <w:t xml:space="preserve">Goerss, A. L., Wagner, G. C. and Hill, W. L. (2000). Acute effects of aspartame on aggression and neuro chemistry of rats. </w:t>
      </w:r>
      <w:r>
        <w:rPr>
          <w:i/>
        </w:rPr>
        <w:t>Life Sci</w:t>
      </w:r>
      <w:r>
        <w:t>. 67: 1325–1329.</w:t>
      </w:r>
    </w:p>
    <w:p w:rsidR="004635DD" w:rsidRDefault="004635DD" w:rsidP="004635DD">
      <w:pPr>
        <w:pStyle w:val="BodyText"/>
        <w:spacing w:before="1"/>
      </w:pPr>
    </w:p>
    <w:p w:rsidR="004635DD" w:rsidRDefault="004635DD" w:rsidP="004635DD">
      <w:pPr>
        <w:pStyle w:val="BodyText"/>
        <w:ind w:left="376"/>
      </w:pPr>
      <w:r>
        <w:t>Gombos,K.,Varjas,T.,Orsós,Z.,Polyák,E.,Peredi,J.,Varga,Z.,Nowrasteh,G.,</w:t>
      </w:r>
      <w:r>
        <w:rPr>
          <w:spacing w:val="-2"/>
        </w:rPr>
        <w:t>Mucsi,</w:t>
      </w:r>
    </w:p>
    <w:p w:rsidR="004635DD" w:rsidRDefault="004635DD" w:rsidP="004635DD">
      <w:pPr>
        <w:pStyle w:val="BodyText"/>
        <w:spacing w:before="2"/>
        <w:ind w:left="1188"/>
      </w:pPr>
      <w:r>
        <w:t xml:space="preserve">G. and Ember, I. (2007). The effect of aspartame administration on oncogene and suppressor gene expressions. </w:t>
      </w:r>
      <w:r>
        <w:rPr>
          <w:i/>
        </w:rPr>
        <w:t xml:space="preserve">In Vivo </w:t>
      </w:r>
      <w:r>
        <w:t>21: 89–92.</w:t>
      </w:r>
    </w:p>
    <w:p w:rsidR="004635DD" w:rsidRDefault="004635DD" w:rsidP="004635DD">
      <w:pPr>
        <w:pStyle w:val="BodyText"/>
        <w:spacing w:before="10"/>
        <w:rPr>
          <w:sz w:val="23"/>
        </w:rPr>
      </w:pPr>
    </w:p>
    <w:p w:rsidR="004635DD" w:rsidRDefault="004635DD" w:rsidP="004635DD">
      <w:pPr>
        <w:pStyle w:val="BodyText"/>
        <w:ind w:left="1188" w:right="818" w:hanging="812"/>
        <w:jc w:val="both"/>
      </w:pPr>
      <w:r>
        <w:t xml:space="preserve">Gougeon, R., Spidel, M., Lee, K., and Field, C. J. (2004). Canadian diabetes association national nutritioncommittee technicalreview: Non-nutritive intense sweeteners in diabetes management. </w:t>
      </w:r>
      <w:r>
        <w:rPr>
          <w:i/>
        </w:rPr>
        <w:t xml:space="preserve">Canadian Journal of Diabetes </w:t>
      </w:r>
      <w:r>
        <w:t>28: 385–399.</w:t>
      </w:r>
    </w:p>
    <w:p w:rsidR="004635DD" w:rsidRDefault="004635DD" w:rsidP="004635DD">
      <w:pPr>
        <w:pStyle w:val="BodyText"/>
      </w:pPr>
    </w:p>
    <w:p w:rsidR="004635DD" w:rsidRDefault="004635DD" w:rsidP="004635DD">
      <w:pPr>
        <w:pStyle w:val="BodyText"/>
        <w:spacing w:before="1" w:line="275" w:lineRule="exact"/>
        <w:ind w:left="376"/>
      </w:pPr>
      <w:r>
        <w:t>Graham,T.E.(2001).Caffeineandexercise:metabolism,enduranceand</w:t>
      </w:r>
      <w:r>
        <w:rPr>
          <w:spacing w:val="-2"/>
        </w:rPr>
        <w:t>performance.</w:t>
      </w:r>
    </w:p>
    <w:p w:rsidR="004635DD" w:rsidRDefault="004635DD" w:rsidP="004635DD">
      <w:pPr>
        <w:spacing w:line="275" w:lineRule="exact"/>
        <w:ind w:left="1188"/>
        <w:rPr>
          <w:sz w:val="24"/>
        </w:rPr>
      </w:pPr>
      <w:r>
        <w:rPr>
          <w:i/>
          <w:sz w:val="24"/>
        </w:rPr>
        <w:t>SportsMed</w:t>
      </w:r>
      <w:r>
        <w:rPr>
          <w:sz w:val="24"/>
        </w:rPr>
        <w:t>,31:</w:t>
      </w:r>
      <w:r>
        <w:rPr>
          <w:spacing w:val="-2"/>
          <w:sz w:val="24"/>
        </w:rPr>
        <w:t>785–807.</w:t>
      </w:r>
    </w:p>
    <w:p w:rsidR="004635DD" w:rsidRDefault="004635DD" w:rsidP="004635DD">
      <w:pPr>
        <w:pStyle w:val="BodyText"/>
        <w:spacing w:before="11"/>
        <w:rPr>
          <w:sz w:val="23"/>
        </w:rPr>
      </w:pPr>
    </w:p>
    <w:p w:rsidR="004635DD" w:rsidRDefault="004635DD" w:rsidP="004635DD">
      <w:pPr>
        <w:jc w:val="both"/>
        <w:sectPr w:rsidR="004635DD">
          <w:pgSz w:w="12240" w:h="15840"/>
          <w:pgMar w:top="1360" w:right="620" w:bottom="1200" w:left="1640" w:header="0" w:footer="1012" w:gutter="0"/>
          <w:cols w:space="720"/>
        </w:sectPr>
      </w:pPr>
    </w:p>
    <w:p w:rsidR="004635DD" w:rsidRDefault="004635DD" w:rsidP="004635DD">
      <w:pPr>
        <w:pStyle w:val="BodyText"/>
        <w:spacing w:before="74" w:line="237" w:lineRule="auto"/>
        <w:ind w:left="1188" w:right="831" w:hanging="812"/>
        <w:jc w:val="both"/>
      </w:pPr>
      <w:r>
        <w:lastRenderedPageBreak/>
        <w:t xml:space="preserve">Hamilton, I. M., Gilmore, W. S., Strain, J. J., (2000). Marginal copper deficiency and atherosclerosis. </w:t>
      </w:r>
      <w:r>
        <w:rPr>
          <w:i/>
        </w:rPr>
        <w:t>Biol. Trace Elem. Res</w:t>
      </w:r>
      <w:r>
        <w:t>. 78: 179–189.</w:t>
      </w:r>
    </w:p>
    <w:p w:rsidR="004635DD" w:rsidRDefault="004635DD" w:rsidP="004635DD">
      <w:pPr>
        <w:pStyle w:val="BodyText"/>
        <w:spacing w:before="1"/>
      </w:pPr>
    </w:p>
    <w:p w:rsidR="004635DD" w:rsidRDefault="004635DD" w:rsidP="004635DD">
      <w:pPr>
        <w:pStyle w:val="BodyText"/>
        <w:spacing w:line="242" w:lineRule="auto"/>
        <w:ind w:left="1188" w:right="830" w:hanging="812"/>
        <w:jc w:val="both"/>
      </w:pPr>
      <w:r>
        <w:t xml:space="preserve">Hartley, T. R., Lovallo, W. R., Whitsett, T. L. (2004). Cardiovasculareffectsofcaffeine in men and women. </w:t>
      </w:r>
      <w:r>
        <w:rPr>
          <w:i/>
        </w:rPr>
        <w:t xml:space="preserve">Am J Cardiol, </w:t>
      </w:r>
      <w:r>
        <w:t>93: 1022-6.</w:t>
      </w:r>
    </w:p>
    <w:p w:rsidR="004635DD" w:rsidRDefault="004635DD" w:rsidP="004635DD">
      <w:pPr>
        <w:pStyle w:val="BodyText"/>
      </w:pPr>
    </w:p>
    <w:p w:rsidR="004635DD" w:rsidRDefault="004635DD" w:rsidP="004635DD">
      <w:pPr>
        <w:spacing w:line="237" w:lineRule="auto"/>
        <w:ind w:left="1188" w:right="816" w:hanging="812"/>
        <w:jc w:val="both"/>
        <w:rPr>
          <w:sz w:val="24"/>
        </w:rPr>
      </w:pPr>
      <w:r>
        <w:rPr>
          <w:sz w:val="24"/>
        </w:rPr>
        <w:t xml:space="preserve">Haschemeyer, R. H. and Haschemeyer, A. E. V. (1973). </w:t>
      </w:r>
      <w:r>
        <w:rPr>
          <w:i/>
          <w:sz w:val="24"/>
        </w:rPr>
        <w:t xml:space="preserve">Proteins: A guide to study by physical and chemical methods </w:t>
      </w:r>
      <w:r>
        <w:rPr>
          <w:sz w:val="24"/>
        </w:rPr>
        <w:t>vol I (New York: John Wiley and Sons) pp 1–30</w:t>
      </w:r>
    </w:p>
    <w:p w:rsidR="004635DD" w:rsidRDefault="004635DD" w:rsidP="004635DD">
      <w:pPr>
        <w:pStyle w:val="BodyText"/>
        <w:spacing w:before="1"/>
      </w:pPr>
    </w:p>
    <w:p w:rsidR="004635DD" w:rsidRDefault="004635DD" w:rsidP="004635DD">
      <w:pPr>
        <w:pStyle w:val="BodyText"/>
        <w:spacing w:line="242" w:lineRule="auto"/>
        <w:ind w:left="1188" w:right="819" w:hanging="812"/>
        <w:jc w:val="both"/>
      </w:pPr>
      <w:r>
        <w:t xml:space="preserve">Hasegawa, N. and Mori, M. (2000). Effect of powdered green tea and its caffeine content on lipogenesis and lipolysis in 3T3-L1 cell. </w:t>
      </w:r>
      <w:r>
        <w:rPr>
          <w:i/>
        </w:rPr>
        <w:t xml:space="preserve">J Health Sci </w:t>
      </w:r>
      <w:r>
        <w:t>46: 153–5.</w:t>
      </w:r>
    </w:p>
    <w:p w:rsidR="004635DD" w:rsidRDefault="004635DD" w:rsidP="004635DD">
      <w:pPr>
        <w:pStyle w:val="BodyText"/>
        <w:spacing w:before="11"/>
        <w:rPr>
          <w:sz w:val="23"/>
        </w:rPr>
      </w:pPr>
    </w:p>
    <w:p w:rsidR="004635DD" w:rsidRDefault="004635DD" w:rsidP="004635DD">
      <w:pPr>
        <w:spacing w:line="237" w:lineRule="auto"/>
        <w:ind w:left="1188" w:right="815" w:hanging="812"/>
        <w:jc w:val="both"/>
        <w:rPr>
          <w:sz w:val="24"/>
        </w:rPr>
      </w:pPr>
      <w:r>
        <w:rPr>
          <w:sz w:val="24"/>
        </w:rPr>
        <w:t xml:space="preserve">Hawkes, C. (2010). The worldwide battle against soft drinks in school. </w:t>
      </w:r>
      <w:r>
        <w:rPr>
          <w:i/>
          <w:sz w:val="24"/>
        </w:rPr>
        <w:t xml:space="preserve">Medical journal of preventive medicine. </w:t>
      </w:r>
      <w:r>
        <w:rPr>
          <w:sz w:val="24"/>
        </w:rPr>
        <w:t>38(4): 457-61.</w:t>
      </w:r>
    </w:p>
    <w:p w:rsidR="004635DD" w:rsidRDefault="004635DD" w:rsidP="004635DD">
      <w:pPr>
        <w:pStyle w:val="BodyText"/>
        <w:spacing w:before="1"/>
      </w:pPr>
    </w:p>
    <w:p w:rsidR="004635DD" w:rsidRDefault="004635DD" w:rsidP="004635DD">
      <w:pPr>
        <w:pStyle w:val="BodyText"/>
        <w:spacing w:line="242" w:lineRule="auto"/>
        <w:ind w:left="1188" w:right="820" w:hanging="812"/>
        <w:jc w:val="both"/>
      </w:pPr>
      <w:r>
        <w:t xml:space="preserve">Health Canada. (2010). </w:t>
      </w:r>
      <w:r>
        <w:rPr>
          <w:i/>
        </w:rPr>
        <w:t>Caffeine</w:t>
      </w:r>
      <w:r>
        <w:t xml:space="preserve">. Retrieved from: </w:t>
      </w:r>
      <w:hyperlink r:id="rId13">
        <w:r>
          <w:t>http://www.hc-sc.gc.ca/hl-vs/iyh-</w:t>
        </w:r>
      </w:hyperlink>
      <w:r>
        <w:rPr>
          <w:spacing w:val="-2"/>
        </w:rPr>
        <w:t>vsv/food-aliment/caffeine-eng.php</w:t>
      </w:r>
    </w:p>
    <w:p w:rsidR="004635DD" w:rsidRDefault="004635DD" w:rsidP="004635DD">
      <w:pPr>
        <w:pStyle w:val="BodyText"/>
        <w:spacing w:before="9"/>
        <w:rPr>
          <w:sz w:val="23"/>
        </w:rPr>
      </w:pPr>
    </w:p>
    <w:p w:rsidR="004635DD" w:rsidRDefault="004635DD" w:rsidP="004635DD">
      <w:pPr>
        <w:pStyle w:val="BodyText"/>
        <w:ind w:left="1188" w:right="815" w:hanging="812"/>
        <w:jc w:val="both"/>
      </w:pPr>
      <w:r>
        <w:t xml:space="preserve">Heckman, M. A., Weil, J., Gonzalez de Mejia, E., (2010). Caffeine (1, 3, 7- trimethylxanthine) in foods: a comprehensive review on consumption, functionality, safety, and regulatory matters. </w:t>
      </w:r>
      <w:r>
        <w:rPr>
          <w:i/>
        </w:rPr>
        <w:t xml:space="preserve">J. Food Sci. </w:t>
      </w:r>
      <w:r>
        <w:t>75: R77–R87.</w:t>
      </w:r>
    </w:p>
    <w:p w:rsidR="004635DD" w:rsidRDefault="004635DD" w:rsidP="004635DD">
      <w:pPr>
        <w:pStyle w:val="BodyText"/>
      </w:pPr>
    </w:p>
    <w:p w:rsidR="004635DD" w:rsidRDefault="004635DD" w:rsidP="004635DD">
      <w:pPr>
        <w:pStyle w:val="BodyText"/>
        <w:spacing w:before="1"/>
        <w:ind w:left="1188" w:right="811" w:hanging="812"/>
        <w:jc w:val="both"/>
      </w:pPr>
      <w:r>
        <w:t xml:space="preserve">Hodgson, J. M., Burke, V., Puddey, I. B. (2005). Acute effects of tea on fasting and postprandial vascular functionand blood pressure in humans. </w:t>
      </w:r>
      <w:r>
        <w:rPr>
          <w:i/>
        </w:rPr>
        <w:t xml:space="preserve">J Hypertens, </w:t>
      </w:r>
      <w:r>
        <w:t xml:space="preserve">23: 47- </w:t>
      </w:r>
      <w:r>
        <w:rPr>
          <w:spacing w:val="-4"/>
        </w:rPr>
        <w:t>54.</w:t>
      </w:r>
    </w:p>
    <w:p w:rsidR="004635DD" w:rsidRDefault="004635DD" w:rsidP="004635DD">
      <w:pPr>
        <w:pStyle w:val="BodyText"/>
        <w:spacing w:before="11"/>
        <w:rPr>
          <w:sz w:val="23"/>
        </w:rPr>
      </w:pPr>
    </w:p>
    <w:p w:rsidR="004635DD" w:rsidRDefault="004635DD" w:rsidP="004635DD">
      <w:pPr>
        <w:pStyle w:val="BodyText"/>
        <w:ind w:left="1188" w:right="819" w:hanging="812"/>
        <w:jc w:val="both"/>
      </w:pPr>
      <w:r>
        <w:t xml:space="preserve">Homler, J. (1984). Aspartame: implications for the food scientist. In: Aspartame. Physiologyand biochemistry. Eds Stegink .L D. and Filer L. </w:t>
      </w:r>
      <w:r>
        <w:rPr>
          <w:i/>
        </w:rPr>
        <w:t xml:space="preserve">J. Jr. Marcel Dekker Inc, New York, </w:t>
      </w:r>
      <w:r>
        <w:t>USA. 247-262.</w:t>
      </w:r>
    </w:p>
    <w:p w:rsidR="004635DD" w:rsidRDefault="004635DD" w:rsidP="004635DD">
      <w:pPr>
        <w:pStyle w:val="BodyText"/>
        <w:spacing w:before="3" w:line="550" w:lineRule="atLeast"/>
        <w:ind w:left="376" w:right="836"/>
        <w:jc w:val="both"/>
      </w:pPr>
      <w:r>
        <w:t>Huxtable, R. J. (1992). Physiological actions of taurine.</w:t>
      </w:r>
      <w:r>
        <w:rPr>
          <w:i/>
        </w:rPr>
        <w:t xml:space="preserve">Physiol Rev; </w:t>
      </w:r>
      <w:r>
        <w:t>72:101–63. Imagawa,T.F.,Hirano,I.,Utsuki,K.,Horie,M.,Naka,A.,Matsumoto,K.,Imagawa,</w:t>
      </w:r>
      <w:r>
        <w:rPr>
          <w:spacing w:val="-5"/>
        </w:rPr>
        <w:t>S.</w:t>
      </w:r>
    </w:p>
    <w:p w:rsidR="004635DD" w:rsidRDefault="004635DD" w:rsidP="004635DD">
      <w:pPr>
        <w:pStyle w:val="BodyText"/>
        <w:spacing w:line="242" w:lineRule="auto"/>
        <w:ind w:left="1188" w:right="816"/>
        <w:jc w:val="both"/>
      </w:pPr>
      <w:r>
        <w:t xml:space="preserve">(2009). Caffeine and taurine enhance endurance performance. </w:t>
      </w:r>
      <w:r>
        <w:rPr>
          <w:i/>
        </w:rPr>
        <w:t>Int J Sports Med</w:t>
      </w:r>
      <w:r>
        <w:t>, 30: 485–8.</w:t>
      </w:r>
    </w:p>
    <w:p w:rsidR="004635DD" w:rsidRDefault="004635DD" w:rsidP="004635DD">
      <w:pPr>
        <w:pStyle w:val="BodyText"/>
        <w:spacing w:before="8"/>
        <w:rPr>
          <w:sz w:val="23"/>
        </w:rPr>
      </w:pPr>
    </w:p>
    <w:p w:rsidR="004635DD" w:rsidRDefault="004635DD" w:rsidP="004635DD">
      <w:pPr>
        <w:pStyle w:val="BodyText"/>
        <w:ind w:left="1188" w:right="819" w:hanging="812"/>
        <w:jc w:val="both"/>
      </w:pPr>
      <w:r>
        <w:t>Institute of Medicine (2001). Food and Nutrition Board. Dietary Reference Intakes for Vitamin A, Vitamin K, Arsenic, Boron, Chromium, Copper, Iodine, Iron, Manganese,Molybdenum,Nickel,Silicon,Vanadium,andZinc. Washington,DC: National Academy Press. Pp 7-30</w:t>
      </w:r>
    </w:p>
    <w:p w:rsidR="004635DD" w:rsidRDefault="004635DD" w:rsidP="004635DD">
      <w:pPr>
        <w:pStyle w:val="BodyText"/>
        <w:spacing w:before="10"/>
        <w:rPr>
          <w:sz w:val="23"/>
        </w:rPr>
      </w:pPr>
    </w:p>
    <w:p w:rsidR="004635DD" w:rsidRDefault="004635DD" w:rsidP="004635DD">
      <w:pPr>
        <w:pStyle w:val="BodyText"/>
        <w:spacing w:line="242" w:lineRule="auto"/>
        <w:ind w:left="1188" w:right="820" w:hanging="812"/>
        <w:jc w:val="both"/>
      </w:pPr>
      <w:r>
        <w:t xml:space="preserve">Iyadurai, S. J. and Chung, S. S. (2007). New-onset seizures in adults: possible association with consumption of popular energy drinks. </w:t>
      </w:r>
      <w:r>
        <w:rPr>
          <w:i/>
        </w:rPr>
        <w:t>Epilepsy Behav</w:t>
      </w:r>
      <w:r>
        <w:t>. 10(3): 504–508.</w:t>
      </w:r>
    </w:p>
    <w:p w:rsidR="004635DD" w:rsidRDefault="004635DD" w:rsidP="004635DD">
      <w:pPr>
        <w:pStyle w:val="BodyText"/>
        <w:spacing w:before="10"/>
        <w:rPr>
          <w:sz w:val="23"/>
        </w:rPr>
      </w:pPr>
    </w:p>
    <w:p w:rsidR="004635DD" w:rsidRDefault="004635DD" w:rsidP="004635DD">
      <w:pPr>
        <w:spacing w:line="237" w:lineRule="auto"/>
        <w:jc w:val="both"/>
        <w:sectPr w:rsidR="004635DD">
          <w:pgSz w:w="12240" w:h="15840"/>
          <w:pgMar w:top="1360" w:right="620" w:bottom="1200" w:left="1640" w:header="0" w:footer="1012" w:gutter="0"/>
          <w:cols w:space="720"/>
        </w:sectPr>
      </w:pPr>
    </w:p>
    <w:p w:rsidR="004635DD" w:rsidRDefault="004635DD" w:rsidP="004635DD">
      <w:pPr>
        <w:pStyle w:val="BodyText"/>
        <w:spacing w:before="66" w:line="242" w:lineRule="auto"/>
        <w:ind w:left="1188" w:right="830" w:hanging="812"/>
        <w:jc w:val="both"/>
      </w:pPr>
      <w:r>
        <w:lastRenderedPageBreak/>
        <w:t xml:space="preserve">James, J. E. (2004). Critical review of dietary caffeine and blood pressure: A relationship that should be taken more seriously. </w:t>
      </w:r>
      <w:r>
        <w:rPr>
          <w:i/>
        </w:rPr>
        <w:t>Psychosom. Med</w:t>
      </w:r>
      <w:r>
        <w:t>., 66:63–71.</w:t>
      </w:r>
    </w:p>
    <w:p w:rsidR="004635DD" w:rsidRDefault="004635DD" w:rsidP="004635DD">
      <w:pPr>
        <w:pStyle w:val="BodyText"/>
        <w:spacing w:before="11"/>
        <w:rPr>
          <w:sz w:val="23"/>
        </w:rPr>
      </w:pPr>
    </w:p>
    <w:p w:rsidR="004635DD" w:rsidRDefault="004635DD" w:rsidP="004635DD">
      <w:pPr>
        <w:pStyle w:val="BodyText"/>
        <w:spacing w:line="237" w:lineRule="auto"/>
        <w:ind w:left="1188" w:right="822" w:hanging="812"/>
        <w:jc w:val="both"/>
      </w:pPr>
      <w:r>
        <w:t>Jarup, L., Berglund, M. Elinder, C. Nordberg ,G. and Vahter, M. (1998). Health effects of cadmiumexposure-areviewoftheliteratureandariskestimate</w:t>
      </w:r>
      <w:r>
        <w:rPr>
          <w:spacing w:val="-4"/>
        </w:rPr>
        <w:t>Scan</w:t>
      </w:r>
    </w:p>
    <w:p w:rsidR="004635DD" w:rsidRDefault="004635DD" w:rsidP="004635DD">
      <w:pPr>
        <w:spacing w:before="3"/>
        <w:ind w:left="1188"/>
        <w:rPr>
          <w:sz w:val="24"/>
        </w:rPr>
      </w:pPr>
      <w:r>
        <w:rPr>
          <w:i/>
          <w:sz w:val="24"/>
        </w:rPr>
        <w:t>.J.WorkEnviron.Health</w:t>
      </w:r>
      <w:r>
        <w:rPr>
          <w:sz w:val="24"/>
        </w:rPr>
        <w:t>24:1-</w:t>
      </w:r>
      <w:r>
        <w:rPr>
          <w:spacing w:val="-5"/>
          <w:sz w:val="24"/>
        </w:rPr>
        <w:t>51.</w:t>
      </w:r>
    </w:p>
    <w:p w:rsidR="004635DD" w:rsidRDefault="004635DD" w:rsidP="004635DD">
      <w:pPr>
        <w:pStyle w:val="BodyText"/>
        <w:spacing w:before="2"/>
      </w:pPr>
    </w:p>
    <w:p w:rsidR="004635DD" w:rsidRDefault="004635DD" w:rsidP="004635DD">
      <w:pPr>
        <w:pStyle w:val="BodyText"/>
        <w:spacing w:before="1" w:line="237" w:lineRule="auto"/>
        <w:ind w:left="1188" w:right="814" w:hanging="812"/>
        <w:jc w:val="both"/>
        <w:rPr>
          <w:i/>
        </w:rPr>
      </w:pPr>
      <w:r>
        <w:t>Jeganathan, P. S. andNamasivayam, A. (1998). Methanolinduced biogenicaminechanges indiscreteareasofratbrain:Roleofsimultaneousethanoladministration.</w:t>
      </w:r>
      <w:r>
        <w:rPr>
          <w:i/>
          <w:spacing w:val="-2"/>
        </w:rPr>
        <w:t>Indian</w:t>
      </w:r>
    </w:p>
    <w:p w:rsidR="004635DD" w:rsidRDefault="004635DD" w:rsidP="004635DD">
      <w:pPr>
        <w:spacing w:before="3"/>
        <w:ind w:left="1188"/>
        <w:rPr>
          <w:sz w:val="24"/>
        </w:rPr>
      </w:pPr>
      <w:r>
        <w:rPr>
          <w:i/>
          <w:sz w:val="24"/>
        </w:rPr>
        <w:t>J.Physiol.Pharmacol.</w:t>
      </w:r>
      <w:r>
        <w:rPr>
          <w:sz w:val="24"/>
        </w:rPr>
        <w:t>32:</w:t>
      </w:r>
      <w:r>
        <w:rPr>
          <w:spacing w:val="-4"/>
          <w:sz w:val="24"/>
        </w:rPr>
        <w:t xml:space="preserve"> 1–10</w:t>
      </w:r>
    </w:p>
    <w:p w:rsidR="004635DD" w:rsidRDefault="004635DD" w:rsidP="004635DD">
      <w:pPr>
        <w:pStyle w:val="BodyText"/>
      </w:pPr>
    </w:p>
    <w:p w:rsidR="004635DD" w:rsidRDefault="004635DD" w:rsidP="004635DD">
      <w:pPr>
        <w:pStyle w:val="BodyText"/>
        <w:ind w:left="1188" w:right="815" w:hanging="812"/>
        <w:jc w:val="both"/>
      </w:pPr>
      <w:r>
        <w:t xml:space="preserve">Jensdorttir,T.,Arnadottir,B.,Thordottir,I.Bardow,A.Gudmundsson, K.Theodor,A.and Holbrook, W. K. (2004). Relationship between dental erosion, soft drink consumption and gastro esophageal reflux among Icelanders. </w:t>
      </w:r>
      <w:r>
        <w:rPr>
          <w:i/>
        </w:rPr>
        <w:t xml:space="preserve">Clinical oral investigation. </w:t>
      </w:r>
      <w:r>
        <w:t>8(2): 91-6.</w:t>
      </w:r>
    </w:p>
    <w:p w:rsidR="004635DD" w:rsidRDefault="004635DD" w:rsidP="004635DD">
      <w:pPr>
        <w:pStyle w:val="BodyText"/>
        <w:spacing w:before="10"/>
        <w:rPr>
          <w:sz w:val="23"/>
        </w:rPr>
      </w:pPr>
    </w:p>
    <w:p w:rsidR="004635DD" w:rsidRDefault="004635DD" w:rsidP="004635DD">
      <w:pPr>
        <w:pStyle w:val="BodyText"/>
        <w:ind w:left="1188" w:right="814" w:hanging="812"/>
        <w:jc w:val="both"/>
      </w:pPr>
      <w:r>
        <w:t xml:space="preserve">Johnson, R. K., Appel, L. J., Brands, M., (2009). Dietarysugars intake and cardiovascular health: a scientific statement from the American Heart Association. </w:t>
      </w:r>
      <w:r>
        <w:rPr>
          <w:i/>
        </w:rPr>
        <w:t>Circulation.</w:t>
      </w:r>
      <w:r>
        <w:t xml:space="preserve">; </w:t>
      </w:r>
      <w:r>
        <w:rPr>
          <w:spacing w:val="-2"/>
        </w:rPr>
        <w:t>120:1011-20.</w:t>
      </w:r>
    </w:p>
    <w:p w:rsidR="004635DD" w:rsidRDefault="004635DD" w:rsidP="004635DD">
      <w:pPr>
        <w:pStyle w:val="BodyText"/>
      </w:pPr>
    </w:p>
    <w:p w:rsidR="004635DD" w:rsidRDefault="004635DD" w:rsidP="004635DD">
      <w:pPr>
        <w:spacing w:line="242" w:lineRule="auto"/>
        <w:ind w:left="1188" w:right="809" w:hanging="812"/>
        <w:jc w:val="both"/>
        <w:rPr>
          <w:sz w:val="24"/>
        </w:rPr>
      </w:pPr>
      <w:r>
        <w:rPr>
          <w:sz w:val="24"/>
        </w:rPr>
        <w:t xml:space="preserve">Kaminer, Y. (2010). Problematic use of energy drinks by adolescents. </w:t>
      </w:r>
      <w:r>
        <w:rPr>
          <w:i/>
          <w:sz w:val="24"/>
        </w:rPr>
        <w:t>Child and Adolescent Psychiatric Clinics of North America</w:t>
      </w:r>
      <w:r>
        <w:rPr>
          <w:sz w:val="24"/>
        </w:rPr>
        <w:t>. 19(3): 643-650.</w:t>
      </w:r>
    </w:p>
    <w:p w:rsidR="004635DD" w:rsidRDefault="004635DD" w:rsidP="004635DD">
      <w:pPr>
        <w:pStyle w:val="BodyText"/>
        <w:spacing w:before="9"/>
        <w:rPr>
          <w:sz w:val="23"/>
        </w:rPr>
      </w:pPr>
    </w:p>
    <w:p w:rsidR="004635DD" w:rsidRDefault="004635DD" w:rsidP="004635DD">
      <w:pPr>
        <w:pStyle w:val="BodyText"/>
        <w:ind w:left="1188" w:right="810" w:hanging="812"/>
        <w:jc w:val="both"/>
      </w:pPr>
      <w:r>
        <w:t xml:space="preserve">Kanumakala, S., Boneh, A., and Zacharin, M., (2002). Pamidronate treatment improves bone mineral density in children with Menkes disease. </w:t>
      </w:r>
      <w:r>
        <w:rPr>
          <w:i/>
        </w:rPr>
        <w:t>J. Inherit. Metab. Dis</w:t>
      </w:r>
      <w:r>
        <w:t xml:space="preserve">. 25: </w:t>
      </w:r>
      <w:r>
        <w:rPr>
          <w:spacing w:val="-2"/>
        </w:rPr>
        <w:t>391–398.</w:t>
      </w:r>
    </w:p>
    <w:p w:rsidR="004635DD" w:rsidRDefault="004635DD" w:rsidP="004635DD">
      <w:pPr>
        <w:pStyle w:val="BodyText"/>
      </w:pPr>
    </w:p>
    <w:p w:rsidR="004635DD" w:rsidRDefault="004635DD" w:rsidP="004635DD">
      <w:pPr>
        <w:pStyle w:val="BodyText"/>
        <w:spacing w:before="1"/>
        <w:ind w:left="1188" w:right="822" w:hanging="812"/>
        <w:jc w:val="both"/>
      </w:pPr>
      <w:r>
        <w:t>Kaplan, G. B., Greenblatt, D. J., Ehrenberg, B. L., Goddard, J. E., Cotreau, M. M., Harmatz, J. S., and Shader, R. I. (1997). Dose-dependent, pharmacokinetics and psychomotor effects of caffeine in humans. Pp 608-620.</w:t>
      </w:r>
    </w:p>
    <w:p w:rsidR="004635DD" w:rsidRDefault="004635DD" w:rsidP="004635DD">
      <w:pPr>
        <w:pStyle w:val="BodyText"/>
        <w:rPr>
          <w:sz w:val="26"/>
        </w:rPr>
      </w:pPr>
    </w:p>
    <w:p w:rsidR="004635DD" w:rsidRDefault="004635DD" w:rsidP="004635DD">
      <w:pPr>
        <w:pStyle w:val="BodyText"/>
        <w:spacing w:before="178"/>
        <w:ind w:left="1188" w:right="821" w:hanging="812"/>
        <w:jc w:val="both"/>
      </w:pPr>
      <w:r>
        <w:t xml:space="preserve">Karatzis, E, Papaioannou, T. G, and Aznaouridis, K. (2005). Acute effects of caffeine on blood pressure and wave reflections in healthy subjects: should we consider morning central blood pressure? </w:t>
      </w:r>
      <w:r>
        <w:rPr>
          <w:i/>
        </w:rPr>
        <w:t xml:space="preserve">Int J Cardiol, </w:t>
      </w:r>
      <w:r>
        <w:t>98: 425-30.</w:t>
      </w:r>
    </w:p>
    <w:p w:rsidR="004635DD" w:rsidRDefault="004635DD" w:rsidP="004635DD">
      <w:pPr>
        <w:pStyle w:val="BodyText"/>
        <w:spacing w:before="7"/>
        <w:rPr>
          <w:sz w:val="23"/>
        </w:rPr>
      </w:pPr>
    </w:p>
    <w:p w:rsidR="004635DD" w:rsidRDefault="004635DD" w:rsidP="004635DD">
      <w:pPr>
        <w:pStyle w:val="BodyText"/>
        <w:spacing w:before="1"/>
        <w:ind w:left="1188" w:right="814" w:hanging="812"/>
        <w:jc w:val="both"/>
      </w:pPr>
      <w:r>
        <w:t xml:space="preserve">Kennedy D. O., and Scholey, A. B. (2004). A glucose-caffeine 'energy drink' ameliorates subjective and performance deficits during prolonged cognitive demand. </w:t>
      </w:r>
      <w:r>
        <w:rPr>
          <w:i/>
        </w:rPr>
        <w:t>Appetite</w:t>
      </w:r>
      <w:r>
        <w:t>; 42: 331-3.</w:t>
      </w:r>
    </w:p>
    <w:p w:rsidR="004635DD" w:rsidRDefault="004635DD" w:rsidP="004635DD">
      <w:pPr>
        <w:pStyle w:val="BodyText"/>
      </w:pPr>
    </w:p>
    <w:p w:rsidR="004635DD" w:rsidRDefault="004635DD" w:rsidP="004635DD">
      <w:pPr>
        <w:pStyle w:val="BodyText"/>
        <w:spacing w:line="242" w:lineRule="auto"/>
        <w:ind w:left="1188" w:right="827" w:hanging="812"/>
        <w:jc w:val="both"/>
      </w:pPr>
      <w:r>
        <w:t xml:space="preserve">Khaw, K. T., Barrett-Connor. (1984). Dietary Potassium and Blood Pressure in a Population. </w:t>
      </w:r>
      <w:r>
        <w:rPr>
          <w:i/>
        </w:rPr>
        <w:t xml:space="preserve">Am J. Clin. Nutr. </w:t>
      </w:r>
      <w:r>
        <w:t>39: 963-68</w:t>
      </w:r>
    </w:p>
    <w:p w:rsidR="004635DD" w:rsidRDefault="004635DD" w:rsidP="004635DD">
      <w:pPr>
        <w:pStyle w:val="BodyText"/>
        <w:spacing w:before="8"/>
        <w:rPr>
          <w:sz w:val="23"/>
        </w:rPr>
      </w:pPr>
    </w:p>
    <w:p w:rsidR="004635DD" w:rsidRDefault="004635DD" w:rsidP="004635DD">
      <w:pPr>
        <w:jc w:val="both"/>
        <w:sectPr w:rsidR="004635DD">
          <w:pgSz w:w="12240" w:h="15840"/>
          <w:pgMar w:top="1640" w:right="620" w:bottom="1200" w:left="1640" w:header="0" w:footer="1012" w:gutter="0"/>
          <w:cols w:space="720"/>
        </w:sectPr>
      </w:pPr>
    </w:p>
    <w:p w:rsidR="004635DD" w:rsidRDefault="004635DD" w:rsidP="004635DD">
      <w:pPr>
        <w:pStyle w:val="BodyText"/>
        <w:spacing w:before="72"/>
        <w:ind w:left="1188" w:right="820" w:hanging="812"/>
        <w:jc w:val="both"/>
      </w:pPr>
      <w:r>
        <w:lastRenderedPageBreak/>
        <w:t xml:space="preserve">Krejpcio, Z., Sıonkowski, S., Bartela, J. (2005). Safety of fresh fruits and juices available on the Polish market as determined by heavy metal residues. </w:t>
      </w:r>
      <w:r>
        <w:rPr>
          <w:i/>
        </w:rPr>
        <w:t xml:space="preserve">Polish Journal of Environmental Studies, </w:t>
      </w:r>
      <w:r>
        <w:t>14: 877–81.</w:t>
      </w:r>
    </w:p>
    <w:p w:rsidR="004635DD" w:rsidRDefault="004635DD" w:rsidP="004635DD">
      <w:pPr>
        <w:pStyle w:val="BodyText"/>
        <w:spacing w:before="3"/>
      </w:pPr>
    </w:p>
    <w:p w:rsidR="004635DD" w:rsidRDefault="004635DD" w:rsidP="004635DD">
      <w:pPr>
        <w:pStyle w:val="BodyText"/>
        <w:spacing w:line="237" w:lineRule="auto"/>
        <w:ind w:left="1188" w:right="823" w:hanging="812"/>
        <w:jc w:val="both"/>
      </w:pPr>
      <w:r>
        <w:t>Křižek, M., Senft, M., and Motan, J. (1997): Měď a lidsketělo. Časopislekařůčeskych, 136: 698–701.</w:t>
      </w:r>
    </w:p>
    <w:p w:rsidR="004635DD" w:rsidRDefault="004635DD" w:rsidP="004635DD">
      <w:pPr>
        <w:pStyle w:val="BodyText"/>
        <w:spacing w:before="1"/>
      </w:pPr>
    </w:p>
    <w:p w:rsidR="004635DD" w:rsidRDefault="004635DD" w:rsidP="004635DD">
      <w:pPr>
        <w:pStyle w:val="BodyText"/>
        <w:ind w:left="1188" w:right="822" w:hanging="812"/>
        <w:jc w:val="both"/>
      </w:pPr>
      <w:r>
        <w:t xml:space="preserve">Krul, C., and Hageman, G. 1998. Analysis of urinary caffeine metabolites to assess biotransformation enzyme activities by reversed-phase highperformance liquid chromatography. </w:t>
      </w:r>
      <w:r>
        <w:rPr>
          <w:i/>
        </w:rPr>
        <w:t>J. Chromatogr B Biomed Sci. Appl</w:t>
      </w:r>
      <w:r>
        <w:t>., 709: 27–34.</w:t>
      </w:r>
    </w:p>
    <w:p w:rsidR="004635DD" w:rsidRDefault="004635DD" w:rsidP="004635DD">
      <w:pPr>
        <w:pStyle w:val="BodyText"/>
        <w:rPr>
          <w:sz w:val="26"/>
        </w:rPr>
      </w:pPr>
    </w:p>
    <w:p w:rsidR="004635DD" w:rsidRDefault="004635DD" w:rsidP="004635DD">
      <w:pPr>
        <w:spacing w:before="165"/>
        <w:ind w:left="376"/>
        <w:rPr>
          <w:sz w:val="24"/>
        </w:rPr>
      </w:pPr>
      <w:r>
        <w:rPr>
          <w:sz w:val="24"/>
        </w:rPr>
        <w:t>Kruse, J. A. (1992).Methanolpoisoning.</w:t>
      </w:r>
      <w:r>
        <w:rPr>
          <w:i/>
          <w:sz w:val="24"/>
        </w:rPr>
        <w:t>IntensiveCareMed</w:t>
      </w:r>
      <w:r>
        <w:rPr>
          <w:sz w:val="24"/>
        </w:rPr>
        <w:t>. 18:</w:t>
      </w:r>
      <w:r>
        <w:rPr>
          <w:spacing w:val="-2"/>
          <w:sz w:val="24"/>
        </w:rPr>
        <w:t>391–397</w:t>
      </w:r>
    </w:p>
    <w:p w:rsidR="004635DD" w:rsidRDefault="004635DD" w:rsidP="004635DD">
      <w:pPr>
        <w:pStyle w:val="BodyText"/>
        <w:spacing w:before="11"/>
        <w:rPr>
          <w:sz w:val="23"/>
        </w:rPr>
      </w:pPr>
    </w:p>
    <w:p w:rsidR="004635DD" w:rsidRDefault="004635DD" w:rsidP="004635DD">
      <w:pPr>
        <w:pStyle w:val="BodyText"/>
        <w:ind w:left="1188" w:right="811" w:hanging="812"/>
        <w:jc w:val="both"/>
      </w:pPr>
      <w:r>
        <w:t xml:space="preserve">Kusumi, E., Shoji, M., Endou, S., Kishi, Y., Shibata, T., Murashige, N., Hamaki, T., Matsumura, N., Yuji, K., Yoneyama, A., Kami, M. (2006). Prevelance of anemia among healthy women in metropolitan areas in Japan. </w:t>
      </w:r>
      <w:r>
        <w:rPr>
          <w:i/>
        </w:rPr>
        <w:t xml:space="preserve">Int. J. Hematol. </w:t>
      </w:r>
      <w:r>
        <w:t xml:space="preserve">84: 217- </w:t>
      </w:r>
      <w:r>
        <w:rPr>
          <w:spacing w:val="-4"/>
        </w:rPr>
        <w:t>219.</w:t>
      </w:r>
    </w:p>
    <w:p w:rsidR="004635DD" w:rsidRDefault="004635DD" w:rsidP="004635DD">
      <w:pPr>
        <w:pStyle w:val="BodyText"/>
        <w:spacing w:before="10"/>
        <w:rPr>
          <w:sz w:val="23"/>
        </w:rPr>
      </w:pPr>
    </w:p>
    <w:p w:rsidR="004635DD" w:rsidRDefault="004635DD" w:rsidP="004635DD">
      <w:pPr>
        <w:pStyle w:val="BodyText"/>
        <w:ind w:left="376"/>
      </w:pPr>
      <w:r>
        <w:t>Lal,G.G.(2007).Gettingspecificwithfunctionalbeverages.FoodTechnol</w:t>
      </w:r>
      <w:r>
        <w:rPr>
          <w:spacing w:val="-2"/>
        </w:rPr>
        <w:t>61(12):25–31.</w:t>
      </w:r>
    </w:p>
    <w:p w:rsidR="004635DD" w:rsidRDefault="004635DD" w:rsidP="004635DD">
      <w:pPr>
        <w:pStyle w:val="BodyText"/>
      </w:pPr>
    </w:p>
    <w:p w:rsidR="004635DD" w:rsidRDefault="004635DD" w:rsidP="004635DD">
      <w:pPr>
        <w:pStyle w:val="BodyText"/>
        <w:ind w:left="1188" w:right="819" w:hanging="812"/>
        <w:jc w:val="both"/>
      </w:pPr>
      <w:r>
        <w:t xml:space="preserve">Larsson, S. C., Bergkvist, L., Wolk, A. (2006). Consumptionofsugarandsugar-sweetened foods and the risk of pancreatic cancer in a prospective study. </w:t>
      </w:r>
      <w:r>
        <w:rPr>
          <w:i/>
        </w:rPr>
        <w:t>Am J Clin Nutr</w:t>
      </w:r>
      <w:r>
        <w:t>, 84:1171 - 1176.</w:t>
      </w:r>
    </w:p>
    <w:p w:rsidR="004635DD" w:rsidRDefault="004635DD" w:rsidP="004635DD">
      <w:pPr>
        <w:pStyle w:val="BodyText"/>
      </w:pPr>
    </w:p>
    <w:p w:rsidR="004635DD" w:rsidRDefault="004635DD" w:rsidP="004635DD">
      <w:pPr>
        <w:pStyle w:val="BodyText"/>
        <w:spacing w:before="1" w:line="242" w:lineRule="auto"/>
        <w:ind w:left="1188" w:right="831" w:hanging="812"/>
        <w:jc w:val="both"/>
      </w:pPr>
      <w:r>
        <w:t xml:space="preserve">Lee, T. K., Johnke, R. M., Allison, P. R., Obrien, K. F., Dobbs L. (2005). Radioprotective potential of ginseng. </w:t>
      </w:r>
      <w:r>
        <w:rPr>
          <w:i/>
        </w:rPr>
        <w:t>Mutagenesis</w:t>
      </w:r>
      <w:r>
        <w:t>, 20:237–43.</w:t>
      </w:r>
    </w:p>
    <w:p w:rsidR="004635DD" w:rsidRDefault="004635DD" w:rsidP="004635DD">
      <w:pPr>
        <w:pStyle w:val="BodyText"/>
        <w:spacing w:before="10"/>
        <w:rPr>
          <w:sz w:val="23"/>
        </w:rPr>
      </w:pPr>
    </w:p>
    <w:p w:rsidR="004635DD" w:rsidRDefault="004635DD" w:rsidP="004635DD">
      <w:pPr>
        <w:pStyle w:val="BodyText"/>
        <w:spacing w:before="1" w:line="237" w:lineRule="auto"/>
        <w:ind w:left="1188" w:right="832" w:hanging="812"/>
        <w:jc w:val="both"/>
      </w:pPr>
      <w:r>
        <w:t>Levy, G. and Tapsell, L. (2007). Shifts in purchasing pattern 0f non alcoholic water based beverages in Australia.</w:t>
      </w:r>
      <w:r>
        <w:rPr>
          <w:i/>
        </w:rPr>
        <w:t xml:space="preserve">Nutrition diabetes. </w:t>
      </w:r>
      <w:r>
        <w:t>Vol (64)4.</w:t>
      </w:r>
    </w:p>
    <w:p w:rsidR="004635DD" w:rsidRDefault="004635DD" w:rsidP="004635DD">
      <w:pPr>
        <w:pStyle w:val="BodyText"/>
      </w:pPr>
    </w:p>
    <w:p w:rsidR="004635DD" w:rsidRDefault="004635DD" w:rsidP="004635DD">
      <w:pPr>
        <w:pStyle w:val="BodyText"/>
        <w:spacing w:before="1"/>
        <w:ind w:left="1188" w:right="825" w:hanging="812"/>
        <w:jc w:val="both"/>
      </w:pPr>
      <w:r>
        <w:t>Lima, W. P., Carnevali, L. C., Eder, R., Fernando, L., Costa Rosa, B. P., Bacch,i E. M., Seelaender, M. C. L. (2005). Lipid metabolism in trained rats: effect of guarana (</w:t>
      </w:r>
      <w:r>
        <w:rPr>
          <w:i/>
        </w:rPr>
        <w:t>Paulliniacupana Mart.</w:t>
      </w:r>
      <w:r>
        <w:t xml:space="preserve">) supplementation. </w:t>
      </w:r>
      <w:r>
        <w:rPr>
          <w:i/>
        </w:rPr>
        <w:t>Clin Nutr</w:t>
      </w:r>
      <w:r>
        <w:t>24: 1019–28.</w:t>
      </w:r>
    </w:p>
    <w:p w:rsidR="004635DD" w:rsidRDefault="004635DD" w:rsidP="004635DD">
      <w:pPr>
        <w:pStyle w:val="BodyText"/>
      </w:pPr>
    </w:p>
    <w:p w:rsidR="004635DD" w:rsidRDefault="004635DD" w:rsidP="004635DD">
      <w:pPr>
        <w:pStyle w:val="BodyText"/>
        <w:ind w:left="376"/>
      </w:pPr>
      <w:r>
        <w:t>Lopez-Garcia,E.,VanDam,R.M.,Rajpathak,S.,Willett,W.C.,Manson,J.E.,and</w:t>
      </w:r>
      <w:r>
        <w:rPr>
          <w:spacing w:val="-5"/>
        </w:rPr>
        <w:t>Hu,</w:t>
      </w:r>
    </w:p>
    <w:p w:rsidR="004635DD" w:rsidRDefault="004635DD" w:rsidP="004635DD">
      <w:pPr>
        <w:pStyle w:val="BodyText"/>
        <w:spacing w:before="5" w:line="237" w:lineRule="auto"/>
        <w:ind w:left="1188" w:right="775"/>
      </w:pPr>
      <w:r>
        <w:t xml:space="preserve">F. B. (2006). Changes in caffeine intake and long-termweight change in men and women. </w:t>
      </w:r>
      <w:r>
        <w:rPr>
          <w:i/>
        </w:rPr>
        <w:t>Am J Clin Nutr</w:t>
      </w:r>
      <w:r>
        <w:t>, 83:674–80.</w:t>
      </w:r>
    </w:p>
    <w:p w:rsidR="004635DD" w:rsidRDefault="004635DD" w:rsidP="004635DD">
      <w:pPr>
        <w:pStyle w:val="BodyText"/>
        <w:spacing w:before="1"/>
      </w:pPr>
    </w:p>
    <w:p w:rsidR="004635DD" w:rsidRDefault="004635DD" w:rsidP="004635DD">
      <w:pPr>
        <w:pStyle w:val="BodyText"/>
        <w:spacing w:line="242" w:lineRule="auto"/>
        <w:ind w:left="1188" w:right="820" w:hanging="812"/>
        <w:jc w:val="both"/>
      </w:pPr>
      <w:r>
        <w:t xml:space="preserve">Lorist, M., and Tops, M. M. (2003). Caffeine, fatigue and cognition. </w:t>
      </w:r>
      <w:r>
        <w:rPr>
          <w:i/>
        </w:rPr>
        <w:t>Brain Cogn</w:t>
      </w:r>
      <w:r>
        <w:t xml:space="preserve">53: 82– </w:t>
      </w:r>
      <w:r>
        <w:rPr>
          <w:spacing w:val="-4"/>
        </w:rPr>
        <w:t>94.</w:t>
      </w:r>
    </w:p>
    <w:p w:rsidR="004635DD" w:rsidRDefault="004635DD" w:rsidP="004635DD">
      <w:pPr>
        <w:pStyle w:val="BodyText"/>
        <w:spacing w:before="9"/>
        <w:rPr>
          <w:sz w:val="23"/>
        </w:rPr>
      </w:pPr>
    </w:p>
    <w:p w:rsidR="004635DD" w:rsidRDefault="004635DD" w:rsidP="004635DD">
      <w:pPr>
        <w:ind w:left="376"/>
        <w:rPr>
          <w:sz w:val="24"/>
        </w:rPr>
      </w:pPr>
      <w:r>
        <w:rPr>
          <w:sz w:val="24"/>
        </w:rPr>
        <w:t>LovettR.,(2005).TheDemondrink:</w:t>
      </w:r>
      <w:r>
        <w:rPr>
          <w:i/>
          <w:sz w:val="24"/>
        </w:rPr>
        <w:t>NewScience</w:t>
      </w:r>
      <w:r>
        <w:rPr>
          <w:sz w:val="24"/>
        </w:rPr>
        <w:t>.</w:t>
      </w:r>
      <w:r>
        <w:rPr>
          <w:spacing w:val="-2"/>
          <w:sz w:val="24"/>
        </w:rPr>
        <w:t>2518.</w:t>
      </w:r>
    </w:p>
    <w:p w:rsidR="004635DD" w:rsidRDefault="004635DD" w:rsidP="004635DD">
      <w:pPr>
        <w:pStyle w:val="BodyText"/>
        <w:spacing w:before="2"/>
      </w:pPr>
    </w:p>
    <w:p w:rsidR="004635DD" w:rsidRDefault="004635DD" w:rsidP="004635DD">
      <w:pPr>
        <w:spacing w:line="237" w:lineRule="auto"/>
        <w:ind w:left="1188" w:right="827" w:hanging="812"/>
        <w:jc w:val="both"/>
        <w:rPr>
          <w:sz w:val="24"/>
        </w:rPr>
      </w:pPr>
      <w:r>
        <w:rPr>
          <w:sz w:val="24"/>
        </w:rPr>
        <w:lastRenderedPageBreak/>
        <w:t xml:space="preserve">Ludwig, D. S., Ebbeling, C. B.,Peterson, K. E. and Gprtmaker, S. L. (2004). Hard facts about soft drinks. </w:t>
      </w:r>
      <w:r>
        <w:rPr>
          <w:i/>
          <w:sz w:val="24"/>
        </w:rPr>
        <w:t xml:space="preserve">Archives and adolescent medicine. </w:t>
      </w:r>
      <w:r>
        <w:rPr>
          <w:sz w:val="24"/>
        </w:rPr>
        <w:t>Vol 158(3): 290.</w:t>
      </w:r>
    </w:p>
    <w:p w:rsidR="004635DD" w:rsidRDefault="004635DD" w:rsidP="004635DD">
      <w:pPr>
        <w:spacing w:line="237" w:lineRule="auto"/>
        <w:jc w:val="both"/>
        <w:rPr>
          <w:sz w:val="24"/>
        </w:rPr>
        <w:sectPr w:rsidR="004635DD">
          <w:pgSz w:w="12240" w:h="15840"/>
          <w:pgMar w:top="1360" w:right="620" w:bottom="1200" w:left="1640" w:header="0" w:footer="1012" w:gutter="0"/>
          <w:cols w:space="720"/>
        </w:sectPr>
      </w:pPr>
    </w:p>
    <w:p w:rsidR="004635DD" w:rsidRDefault="004635DD" w:rsidP="004635DD">
      <w:pPr>
        <w:pStyle w:val="BodyText"/>
        <w:spacing w:before="72"/>
        <w:ind w:left="1188" w:right="822" w:hanging="812"/>
        <w:jc w:val="both"/>
      </w:pPr>
      <w:r>
        <w:lastRenderedPageBreak/>
        <w:t xml:space="preserve">Ludwig, D. S., Peterson, K. E. and Gprtmaker, S. L. (2001). Relationship between comsumption of sugar sweetened beverages and childhood obesity: a prospective observational analysis. </w:t>
      </w:r>
      <w:r>
        <w:rPr>
          <w:i/>
        </w:rPr>
        <w:t>Lancet</w:t>
      </w:r>
      <w:r>
        <w:t>. Vol 357: 505-8.</w:t>
      </w:r>
    </w:p>
    <w:p w:rsidR="004635DD" w:rsidRDefault="004635DD" w:rsidP="004635DD">
      <w:pPr>
        <w:pStyle w:val="BodyText"/>
        <w:spacing w:before="1"/>
      </w:pPr>
    </w:p>
    <w:p w:rsidR="004635DD" w:rsidRDefault="004635DD" w:rsidP="004635DD">
      <w:pPr>
        <w:ind w:left="1188" w:right="819" w:hanging="812"/>
        <w:jc w:val="both"/>
        <w:rPr>
          <w:sz w:val="24"/>
        </w:rPr>
      </w:pPr>
      <w:r>
        <w:rPr>
          <w:sz w:val="24"/>
        </w:rPr>
        <w:t xml:space="preserve">Mackenzie, R. and Erik, S. (2011). Simultaneous determination of aspartame, benzoicacid, caffeine, and saccharin in sugar-free beverages using HPLC. </w:t>
      </w:r>
      <w:r>
        <w:rPr>
          <w:i/>
          <w:sz w:val="24"/>
        </w:rPr>
        <w:t xml:space="preserve">Concordia College Journal of Analytical Chemistry </w:t>
      </w:r>
      <w:r>
        <w:rPr>
          <w:sz w:val="24"/>
        </w:rPr>
        <w:t>I, 73-77.</w:t>
      </w:r>
    </w:p>
    <w:p w:rsidR="004635DD" w:rsidRDefault="004635DD" w:rsidP="004635DD">
      <w:pPr>
        <w:pStyle w:val="BodyText"/>
      </w:pPr>
    </w:p>
    <w:p w:rsidR="004635DD" w:rsidRDefault="004635DD" w:rsidP="004635DD">
      <w:pPr>
        <w:pStyle w:val="BodyText"/>
        <w:ind w:left="1188" w:right="823" w:hanging="812"/>
        <w:jc w:val="both"/>
      </w:pPr>
      <w:r>
        <w:t xml:space="preserve">Maduabuchi, J. M. U., Nzegwu, C. N., Adıgba, E. O., Aloke, R. U., Ezomike, C. N., Okocha, C. E.,Obi, E., and Orisakwe, O. E.(2006). Lead and cadmiumexposures from canned and non-canned beverages in Nigeria: A public health concern. </w:t>
      </w:r>
      <w:r>
        <w:rPr>
          <w:i/>
        </w:rPr>
        <w:t xml:space="preserve">Science Total of Environment, </w:t>
      </w:r>
      <w:r>
        <w:t>366: 621–626.</w:t>
      </w:r>
    </w:p>
    <w:p w:rsidR="004635DD" w:rsidRDefault="004635DD" w:rsidP="004635DD">
      <w:pPr>
        <w:pStyle w:val="BodyText"/>
        <w:spacing w:before="9"/>
        <w:rPr>
          <w:sz w:val="23"/>
        </w:rPr>
      </w:pPr>
    </w:p>
    <w:p w:rsidR="004635DD" w:rsidRDefault="004635DD" w:rsidP="004635DD">
      <w:pPr>
        <w:pStyle w:val="BodyText"/>
        <w:ind w:left="1188" w:right="819" w:hanging="812"/>
        <w:jc w:val="both"/>
      </w:pPr>
      <w:r>
        <w:t xml:space="preserve">Maduabuchi, J. M. U., Nzegwu, C. N., Adıgba, E. O., Aloke, R. U., Ezomike, C. N., Okocha C. E., Obi, E., and Orisakwe, O. E. (2008). Iron, Manganese and Nickel exposures from canned and non-canned beverages in Nigeria: A public health concern. </w:t>
      </w:r>
      <w:r>
        <w:rPr>
          <w:i/>
        </w:rPr>
        <w:t xml:space="preserve">Journal of public heath Science, </w:t>
      </w:r>
      <w:r>
        <w:t>54(2)335-338</w:t>
      </w:r>
    </w:p>
    <w:p w:rsidR="004635DD" w:rsidRDefault="004635DD" w:rsidP="004635DD">
      <w:pPr>
        <w:pStyle w:val="BodyText"/>
        <w:spacing w:before="6"/>
      </w:pPr>
    </w:p>
    <w:p w:rsidR="004635DD" w:rsidRDefault="004635DD" w:rsidP="004635DD">
      <w:pPr>
        <w:pStyle w:val="BodyText"/>
        <w:spacing w:line="237" w:lineRule="auto"/>
        <w:ind w:left="1188" w:right="827" w:hanging="812"/>
        <w:jc w:val="both"/>
      </w:pPr>
      <w:r>
        <w:t>MAFF (1998). Ministry of Agriculture, Fisheries and Food. Metals and other elements in beverages. Food Surveillance Information Sheet. Geneva. vol. 165.</w:t>
      </w:r>
    </w:p>
    <w:p w:rsidR="004635DD" w:rsidRDefault="004635DD" w:rsidP="004635DD">
      <w:pPr>
        <w:pStyle w:val="BodyText"/>
        <w:spacing w:before="1"/>
      </w:pPr>
    </w:p>
    <w:p w:rsidR="004635DD" w:rsidRDefault="004635DD" w:rsidP="004635DD">
      <w:pPr>
        <w:pStyle w:val="BodyText"/>
        <w:spacing w:line="242" w:lineRule="auto"/>
        <w:ind w:left="1188" w:right="829" w:hanging="812"/>
        <w:jc w:val="both"/>
      </w:pPr>
      <w:r>
        <w:t xml:space="preserve">Maher, T. J. and Wurtman, R. J. (1987). Possible neurologiceffectsofaspartame, awidely used food additive. </w:t>
      </w:r>
      <w:r>
        <w:rPr>
          <w:i/>
        </w:rPr>
        <w:t xml:space="preserve">Environ. Health Perspect. </w:t>
      </w:r>
      <w:r>
        <w:t>75: 3–57</w:t>
      </w:r>
    </w:p>
    <w:p w:rsidR="004635DD" w:rsidRDefault="004635DD" w:rsidP="004635DD">
      <w:pPr>
        <w:pStyle w:val="BodyText"/>
        <w:spacing w:before="8"/>
        <w:rPr>
          <w:sz w:val="23"/>
        </w:rPr>
      </w:pPr>
    </w:p>
    <w:p w:rsidR="004635DD" w:rsidRDefault="004635DD" w:rsidP="004635DD">
      <w:pPr>
        <w:spacing w:before="1"/>
        <w:ind w:left="1188" w:right="821" w:hanging="812"/>
        <w:jc w:val="both"/>
        <w:rPr>
          <w:sz w:val="24"/>
        </w:rPr>
      </w:pPr>
      <w:r>
        <w:rPr>
          <w:sz w:val="24"/>
        </w:rPr>
        <w:t xml:space="preserve">Malik, V. S., Schulze, M. B., and Hu, F. B. (2006). Intake of sugar sweetened beverages and weight gain: a systematic review, </w:t>
      </w:r>
      <w:r>
        <w:rPr>
          <w:i/>
          <w:sz w:val="24"/>
        </w:rPr>
        <w:t xml:space="preserve">American Journal ofClinical Nutrition, </w:t>
      </w:r>
      <w:r>
        <w:rPr>
          <w:sz w:val="24"/>
        </w:rPr>
        <w:t>Vol. 84(2): 274-88.</w:t>
      </w:r>
    </w:p>
    <w:p w:rsidR="004635DD" w:rsidRDefault="004635DD" w:rsidP="004635DD">
      <w:pPr>
        <w:pStyle w:val="BodyText"/>
      </w:pPr>
    </w:p>
    <w:p w:rsidR="004635DD" w:rsidRDefault="004635DD" w:rsidP="004635DD">
      <w:pPr>
        <w:pStyle w:val="BodyText"/>
        <w:spacing w:line="275" w:lineRule="exact"/>
        <w:ind w:left="376"/>
      </w:pPr>
      <w:r>
        <w:t>Malinauskas,B.M.,Aeby,V.G.,Overton,R.F.,Carpenter-Aeby,T.,andBarber-</w:t>
      </w:r>
      <w:r>
        <w:rPr>
          <w:spacing w:val="-2"/>
        </w:rPr>
        <w:t>Heidal,</w:t>
      </w:r>
    </w:p>
    <w:p w:rsidR="004635DD" w:rsidRDefault="004635DD" w:rsidP="004635DD">
      <w:pPr>
        <w:pStyle w:val="BodyText"/>
        <w:spacing w:line="242" w:lineRule="auto"/>
        <w:ind w:left="1188" w:right="775"/>
      </w:pPr>
      <w:r>
        <w:t xml:space="preserve">K.(2007).Asurveyofenergydrinksconsumptionpatternsamongcollege students. </w:t>
      </w:r>
      <w:r>
        <w:rPr>
          <w:i/>
        </w:rPr>
        <w:t xml:space="preserve">Nutritional Journal, </w:t>
      </w:r>
      <w:r>
        <w:t>6: 1-7.</w:t>
      </w:r>
    </w:p>
    <w:p w:rsidR="004635DD" w:rsidRDefault="004635DD" w:rsidP="004635DD">
      <w:pPr>
        <w:pStyle w:val="BodyText"/>
        <w:spacing w:before="9"/>
        <w:rPr>
          <w:sz w:val="23"/>
        </w:rPr>
      </w:pPr>
    </w:p>
    <w:p w:rsidR="004635DD" w:rsidRDefault="004635DD" w:rsidP="004635DD">
      <w:pPr>
        <w:spacing w:before="1" w:line="237" w:lineRule="auto"/>
        <w:ind w:left="1188" w:right="820" w:hanging="812"/>
        <w:jc w:val="both"/>
        <w:rPr>
          <w:sz w:val="24"/>
        </w:rPr>
      </w:pPr>
      <w:r>
        <w:rPr>
          <w:sz w:val="24"/>
        </w:rPr>
        <w:t xml:space="preserve">Marschner, H. (1995). </w:t>
      </w:r>
      <w:r>
        <w:rPr>
          <w:i/>
          <w:sz w:val="24"/>
        </w:rPr>
        <w:t xml:space="preserve">Mineral nutrition of higher plants. </w:t>
      </w:r>
      <w:r>
        <w:rPr>
          <w:sz w:val="24"/>
        </w:rPr>
        <w:t>Oxford University Press, London. 14: 13-20</w:t>
      </w:r>
    </w:p>
    <w:p w:rsidR="004635DD" w:rsidRDefault="004635DD" w:rsidP="004635DD">
      <w:pPr>
        <w:pStyle w:val="BodyText"/>
        <w:spacing w:before="1"/>
      </w:pPr>
    </w:p>
    <w:p w:rsidR="004635DD" w:rsidRDefault="004635DD" w:rsidP="004635DD">
      <w:pPr>
        <w:pStyle w:val="BodyText"/>
        <w:ind w:left="1188" w:right="816" w:hanging="812"/>
        <w:jc w:val="both"/>
      </w:pPr>
      <w:r>
        <w:t xml:space="preserve">Marshall, T. A., S. M. Levy, B. Broffit, J. J. Warren, J. M. Eichenberger-Gilmore, T. L. Burns, and Stambo, P. J. (2003). Dental carries and beverage consumption in young children. </w:t>
      </w:r>
      <w:r>
        <w:rPr>
          <w:i/>
        </w:rPr>
        <w:t xml:space="preserve">Pediatrics, </w:t>
      </w:r>
      <w:r>
        <w:t>112: 184-189.</w:t>
      </w:r>
    </w:p>
    <w:p w:rsidR="004635DD" w:rsidRDefault="004635DD" w:rsidP="004635DD">
      <w:pPr>
        <w:pStyle w:val="BodyText"/>
      </w:pPr>
    </w:p>
    <w:p w:rsidR="004635DD" w:rsidRDefault="004635DD" w:rsidP="004635DD">
      <w:pPr>
        <w:pStyle w:val="BodyText"/>
        <w:ind w:left="1188" w:right="820" w:hanging="812"/>
        <w:jc w:val="both"/>
      </w:pPr>
      <w:r>
        <w:t xml:space="preserve">Matthews, D. M. (1984). Absorption of peptides, amino acids, and their methylated derivatives. In </w:t>
      </w:r>
      <w:r>
        <w:rPr>
          <w:i/>
        </w:rPr>
        <w:t xml:space="preserve">Aspartame: Physiology and Biochemistry </w:t>
      </w:r>
      <w:r>
        <w:t>(L. D. Stegink and L. J. Filer Jr., Eds.). Marcel Dekker, New York, pp. 29–46.</w:t>
      </w:r>
    </w:p>
    <w:p w:rsidR="004635DD" w:rsidRDefault="004635DD" w:rsidP="004635DD">
      <w:pPr>
        <w:pStyle w:val="BodyText"/>
        <w:spacing w:before="1"/>
      </w:pPr>
    </w:p>
    <w:p w:rsidR="004635DD" w:rsidRDefault="004635DD" w:rsidP="004635DD">
      <w:pPr>
        <w:spacing w:line="242" w:lineRule="auto"/>
        <w:jc w:val="both"/>
        <w:rPr>
          <w:sz w:val="24"/>
        </w:rPr>
        <w:sectPr w:rsidR="004635DD">
          <w:pgSz w:w="12240" w:h="15840"/>
          <w:pgMar w:top="1360" w:right="620" w:bottom="1200" w:left="1640" w:header="0" w:footer="1012" w:gutter="0"/>
          <w:cols w:space="720"/>
        </w:sectPr>
      </w:pPr>
    </w:p>
    <w:p w:rsidR="004635DD" w:rsidRDefault="004635DD" w:rsidP="004635DD">
      <w:pPr>
        <w:pStyle w:val="BodyText"/>
        <w:spacing w:before="74" w:line="237" w:lineRule="auto"/>
        <w:ind w:left="1188" w:right="831" w:hanging="812"/>
        <w:jc w:val="both"/>
      </w:pPr>
      <w:r>
        <w:lastRenderedPageBreak/>
        <w:t xml:space="preserve">Meese, R. B. (1987). Epidemiologic Association between Dietary Calcium intake and Blood Pressure in Primary Hypertension. </w:t>
      </w:r>
      <w:r>
        <w:rPr>
          <w:i/>
        </w:rPr>
        <w:t xml:space="preserve">Am. J. Med.sci. </w:t>
      </w:r>
      <w:r>
        <w:t>29: 4219-24</w:t>
      </w:r>
    </w:p>
    <w:p w:rsidR="004635DD" w:rsidRDefault="004635DD" w:rsidP="004635DD">
      <w:pPr>
        <w:pStyle w:val="BodyText"/>
        <w:spacing w:before="1"/>
      </w:pPr>
    </w:p>
    <w:p w:rsidR="004635DD" w:rsidRDefault="004635DD" w:rsidP="004635DD">
      <w:pPr>
        <w:pStyle w:val="BodyText"/>
        <w:ind w:left="1188" w:right="811" w:hanging="812"/>
        <w:jc w:val="both"/>
      </w:pPr>
      <w:r>
        <w:t xml:space="preserve">Mei, M. A., Mawahib, E., Mawahib,Mohammed, I .T., Badawi, A. Z. and Abdalla, A. E. (2012). Determination of caffeine in Some Sudanese Beverages by High Performance Liquid Chromatography. </w:t>
      </w:r>
      <w:r>
        <w:rPr>
          <w:i/>
        </w:rPr>
        <w:t>Pakistan Journal of Nutrition</w:t>
      </w:r>
      <w:r>
        <w:t xml:space="preserve">. 11(4): 336- </w:t>
      </w:r>
      <w:r>
        <w:rPr>
          <w:spacing w:val="-4"/>
        </w:rPr>
        <w:t>342.</w:t>
      </w:r>
    </w:p>
    <w:p w:rsidR="004635DD" w:rsidRDefault="004635DD" w:rsidP="004635DD">
      <w:pPr>
        <w:pStyle w:val="BodyText"/>
        <w:spacing w:before="3"/>
      </w:pPr>
    </w:p>
    <w:p w:rsidR="004635DD" w:rsidRDefault="004635DD" w:rsidP="004635DD">
      <w:pPr>
        <w:pStyle w:val="BodyText"/>
        <w:spacing w:line="275" w:lineRule="exact"/>
        <w:ind w:left="376"/>
      </w:pPr>
      <w:r>
        <w:t>Miller,G.L.(1959).Useofdinitrosalicylatereagentfordeterminationofreducing</w:t>
      </w:r>
      <w:r>
        <w:rPr>
          <w:spacing w:val="-2"/>
        </w:rPr>
        <w:t>sugar.</w:t>
      </w:r>
    </w:p>
    <w:p w:rsidR="004635DD" w:rsidRDefault="004635DD" w:rsidP="004635DD">
      <w:pPr>
        <w:spacing w:line="275" w:lineRule="exact"/>
        <w:ind w:left="1188"/>
        <w:rPr>
          <w:sz w:val="24"/>
        </w:rPr>
      </w:pPr>
      <w:r>
        <w:rPr>
          <w:i/>
          <w:sz w:val="24"/>
        </w:rPr>
        <w:t>AnnalChem</w:t>
      </w:r>
      <w:r>
        <w:rPr>
          <w:sz w:val="24"/>
        </w:rPr>
        <w:t>.,31:427-</w:t>
      </w:r>
      <w:r>
        <w:rPr>
          <w:spacing w:val="-4"/>
          <w:sz w:val="24"/>
        </w:rPr>
        <w:t>431.</w:t>
      </w:r>
    </w:p>
    <w:p w:rsidR="004635DD" w:rsidRDefault="004635DD" w:rsidP="004635DD">
      <w:pPr>
        <w:pStyle w:val="BodyText"/>
        <w:spacing w:before="1"/>
      </w:pPr>
    </w:p>
    <w:p w:rsidR="004635DD" w:rsidRDefault="004635DD" w:rsidP="004635DD">
      <w:pPr>
        <w:pStyle w:val="BodyText"/>
        <w:ind w:left="1188" w:right="813" w:hanging="812"/>
        <w:jc w:val="both"/>
      </w:pPr>
      <w:r>
        <w:t xml:space="preserve">Mohammed, S. G., Al-Hashimi, A. G. and Al-Hussainy, K. S. (2012). Determination of Caffeine and Trace Minerals Contents in Soft and Energy Drinks Available in Basrah Markets. </w:t>
      </w:r>
      <w:r>
        <w:rPr>
          <w:i/>
        </w:rPr>
        <w:t xml:space="preserve">Pakistan Journal of Nutrition </w:t>
      </w:r>
      <w:r>
        <w:t>11 (9): 747-750, 2012</w:t>
      </w:r>
    </w:p>
    <w:p w:rsidR="004635DD" w:rsidRDefault="004635DD" w:rsidP="004635DD">
      <w:pPr>
        <w:pStyle w:val="BodyText"/>
      </w:pPr>
    </w:p>
    <w:p w:rsidR="004635DD" w:rsidRDefault="004635DD" w:rsidP="004635DD">
      <w:pPr>
        <w:pStyle w:val="BodyText"/>
        <w:ind w:left="1188" w:right="827" w:hanging="812"/>
        <w:jc w:val="both"/>
      </w:pPr>
      <w:r>
        <w:t xml:space="preserve">Mortada, W. I., Sobh, M. A., El-Defrawy, M. M., Farahat, S. E. (2001). Study of lead exposure from automobile exhaust as a risk for nephrotoxicity among traffic policemen. </w:t>
      </w:r>
      <w:r>
        <w:rPr>
          <w:i/>
        </w:rPr>
        <w:t>Am J Nephrol</w:t>
      </w:r>
      <w:r>
        <w:t>; 21: 274–9</w:t>
      </w:r>
    </w:p>
    <w:p w:rsidR="004635DD" w:rsidRDefault="004635DD" w:rsidP="004635DD">
      <w:pPr>
        <w:pStyle w:val="BodyText"/>
      </w:pPr>
    </w:p>
    <w:p w:rsidR="004635DD" w:rsidRDefault="004635DD" w:rsidP="004635DD">
      <w:pPr>
        <w:pStyle w:val="BodyText"/>
        <w:spacing w:before="1" w:line="242" w:lineRule="auto"/>
        <w:ind w:left="1188" w:right="824" w:hanging="812"/>
        <w:jc w:val="both"/>
      </w:pPr>
      <w:r>
        <w:t xml:space="preserve">Murray, R., Frankowski, B. and Taras, H. (2005). Are soft drinks a scapegoat for childhood obeity? </w:t>
      </w:r>
      <w:r>
        <w:rPr>
          <w:i/>
        </w:rPr>
        <w:t xml:space="preserve">Journal of pediatrics. </w:t>
      </w:r>
      <w:r>
        <w:t>Vol 146(5): 586-90.</w:t>
      </w:r>
    </w:p>
    <w:p w:rsidR="004635DD" w:rsidRDefault="004635DD" w:rsidP="004635DD">
      <w:pPr>
        <w:pStyle w:val="BodyText"/>
        <w:spacing w:before="8"/>
        <w:rPr>
          <w:sz w:val="23"/>
        </w:rPr>
      </w:pPr>
    </w:p>
    <w:p w:rsidR="004635DD" w:rsidRDefault="004635DD" w:rsidP="004635DD">
      <w:pPr>
        <w:pStyle w:val="BodyText"/>
        <w:spacing w:line="275" w:lineRule="exact"/>
        <w:ind w:left="376"/>
      </w:pPr>
      <w:r>
        <w:t>Nam,M.H.,Kim,S.I.,Liu,J.R.,Yang,D.C.,Lim,P.Y.,Kwon,K.H.,Yoo,J.S.,</w:t>
      </w:r>
      <w:r>
        <w:rPr>
          <w:spacing w:val="-2"/>
        </w:rPr>
        <w:t>Park,</w:t>
      </w:r>
    </w:p>
    <w:p w:rsidR="004635DD" w:rsidRDefault="004635DD" w:rsidP="004635DD">
      <w:pPr>
        <w:pStyle w:val="BodyText"/>
        <w:spacing w:line="275" w:lineRule="exact"/>
        <w:ind w:left="1188"/>
      </w:pPr>
      <w:r>
        <w:t>Y.M.(2005).ProteomicanalysisofKoreanginseng(</w:t>
      </w:r>
      <w:r>
        <w:rPr>
          <w:i/>
        </w:rPr>
        <w:t>Panaxginseng</w:t>
      </w:r>
      <w:r>
        <w:t>C.A.</w:t>
      </w:r>
      <w:r>
        <w:rPr>
          <w:spacing w:val="-2"/>
        </w:rPr>
        <w:t>Meyer).</w:t>
      </w:r>
    </w:p>
    <w:p w:rsidR="004635DD" w:rsidRDefault="004635DD" w:rsidP="004635DD">
      <w:pPr>
        <w:spacing w:before="3"/>
        <w:ind w:left="1188"/>
        <w:rPr>
          <w:sz w:val="24"/>
        </w:rPr>
      </w:pPr>
      <w:r>
        <w:rPr>
          <w:i/>
          <w:sz w:val="24"/>
        </w:rPr>
        <w:t>JChromatogr</w:t>
      </w:r>
      <w:r>
        <w:rPr>
          <w:sz w:val="24"/>
        </w:rPr>
        <w:t>;815:</w:t>
      </w:r>
      <w:r>
        <w:rPr>
          <w:spacing w:val="-2"/>
          <w:sz w:val="24"/>
        </w:rPr>
        <w:t xml:space="preserve"> 147–55.</w:t>
      </w:r>
    </w:p>
    <w:p w:rsidR="004635DD" w:rsidRDefault="004635DD" w:rsidP="004635DD">
      <w:pPr>
        <w:pStyle w:val="BodyText"/>
      </w:pPr>
    </w:p>
    <w:p w:rsidR="004635DD" w:rsidRDefault="004635DD" w:rsidP="004635DD">
      <w:pPr>
        <w:pStyle w:val="BodyText"/>
        <w:ind w:left="376"/>
      </w:pPr>
      <w:r>
        <w:t>Nash,J. (1992)."HealthContenders."</w:t>
      </w:r>
      <w:r>
        <w:rPr>
          <w:i/>
        </w:rPr>
        <w:t>Essence</w:t>
      </w:r>
      <w:r>
        <w:t>.23:79-</w:t>
      </w:r>
      <w:r>
        <w:rPr>
          <w:spacing w:val="-5"/>
        </w:rPr>
        <w:t>81.</w:t>
      </w:r>
    </w:p>
    <w:p w:rsidR="004635DD" w:rsidRDefault="004635DD" w:rsidP="004635DD">
      <w:pPr>
        <w:pStyle w:val="BodyText"/>
        <w:spacing w:before="2"/>
      </w:pPr>
    </w:p>
    <w:p w:rsidR="004635DD" w:rsidRDefault="004635DD" w:rsidP="004635DD">
      <w:pPr>
        <w:pStyle w:val="BodyText"/>
        <w:spacing w:before="1" w:line="237" w:lineRule="auto"/>
        <w:ind w:left="1188" w:right="835" w:hanging="812"/>
        <w:jc w:val="both"/>
      </w:pPr>
      <w:r>
        <w:t xml:space="preserve">Nawrot, P., Jordan, S., Eastwood, J., Rotstein, J., Hugenholtz, A., Feeley. M. (2003).Effects of caffeine on human health. </w:t>
      </w:r>
      <w:r>
        <w:rPr>
          <w:i/>
        </w:rPr>
        <w:t>Food AdditContam</w:t>
      </w:r>
      <w:r>
        <w:t>; 20(1):1-30.</w:t>
      </w:r>
    </w:p>
    <w:p w:rsidR="004635DD" w:rsidRDefault="004635DD" w:rsidP="004635DD">
      <w:pPr>
        <w:pStyle w:val="BodyText"/>
      </w:pPr>
    </w:p>
    <w:p w:rsidR="004635DD" w:rsidRDefault="004635DD" w:rsidP="004635DD">
      <w:pPr>
        <w:pStyle w:val="BodyText"/>
        <w:spacing w:before="1"/>
        <w:ind w:left="376"/>
      </w:pPr>
      <w:r>
        <w:t xml:space="preserve">Nestle,M.(2005).Preventingchildhooddiabetics: The needforpublichealth </w:t>
      </w:r>
      <w:r>
        <w:rPr>
          <w:spacing w:val="-2"/>
        </w:rPr>
        <w:t>intervention.</w:t>
      </w:r>
    </w:p>
    <w:p w:rsidR="004635DD" w:rsidRDefault="004635DD" w:rsidP="004635DD">
      <w:pPr>
        <w:spacing w:before="2"/>
        <w:ind w:left="1188"/>
        <w:rPr>
          <w:sz w:val="24"/>
        </w:rPr>
      </w:pPr>
      <w:r>
        <w:rPr>
          <w:i/>
          <w:sz w:val="24"/>
        </w:rPr>
        <w:t>Americamjournalofpublichealth.</w:t>
      </w:r>
      <w:r>
        <w:rPr>
          <w:sz w:val="24"/>
        </w:rPr>
        <w:t>95(9):1497-</w:t>
      </w:r>
      <w:r>
        <w:rPr>
          <w:spacing w:val="-5"/>
          <w:sz w:val="24"/>
        </w:rPr>
        <w:t>9.</w:t>
      </w:r>
    </w:p>
    <w:p w:rsidR="004635DD" w:rsidRDefault="004635DD" w:rsidP="004635DD">
      <w:pPr>
        <w:pStyle w:val="BodyText"/>
      </w:pPr>
    </w:p>
    <w:p w:rsidR="004635DD" w:rsidRDefault="004635DD" w:rsidP="004635DD">
      <w:pPr>
        <w:pStyle w:val="BodyText"/>
        <w:spacing w:before="1"/>
        <w:ind w:left="1188" w:right="812" w:hanging="812"/>
        <w:jc w:val="both"/>
      </w:pPr>
      <w:r>
        <w:t>Newsome, R. L. (1986). Sweeteners: Nutritive and non-nutritive; in The Scientific status summaries ofthe Institute ofFood Technologies Expert Panelon Food Safetyand Nutrition (Chicago: Institutive of Food Technologies). Pp 180.</w:t>
      </w:r>
    </w:p>
    <w:p w:rsidR="004635DD" w:rsidRDefault="004635DD" w:rsidP="004635DD">
      <w:pPr>
        <w:pStyle w:val="BodyText"/>
        <w:spacing w:before="11"/>
        <w:rPr>
          <w:sz w:val="23"/>
        </w:rPr>
      </w:pPr>
    </w:p>
    <w:p w:rsidR="004635DD" w:rsidRDefault="004635DD" w:rsidP="004635DD">
      <w:pPr>
        <w:pStyle w:val="BodyText"/>
        <w:ind w:left="1188" w:right="826" w:hanging="812"/>
        <w:jc w:val="both"/>
      </w:pPr>
      <w:r>
        <w:t xml:space="preserve">Norbiato, G., Bevilacqua M., Merino R. (1984). Effects of Potassium supplementation on Insulin Binding Action in Human Obesity: Protein Modified fast and Feeding. </w:t>
      </w:r>
      <w:r>
        <w:rPr>
          <w:i/>
        </w:rPr>
        <w:t xml:space="preserve">Europe J. Clin. Invest. </w:t>
      </w:r>
      <w:r>
        <w:t>44: 414-19.</w:t>
      </w:r>
    </w:p>
    <w:p w:rsidR="004635DD" w:rsidRDefault="004635DD" w:rsidP="004635DD">
      <w:pPr>
        <w:pStyle w:val="BodyText"/>
        <w:spacing w:before="3"/>
      </w:pPr>
    </w:p>
    <w:p w:rsidR="004635DD" w:rsidRDefault="004635DD" w:rsidP="004635DD">
      <w:pPr>
        <w:pStyle w:val="BodyText"/>
        <w:spacing w:line="237" w:lineRule="auto"/>
        <w:ind w:left="1188" w:right="823" w:hanging="812"/>
        <w:jc w:val="both"/>
      </w:pPr>
      <w:r>
        <w:t xml:space="preserve">Obuzor, G. U. and Ajaezi, N. E.(2010). Nutritional content of popular malt drinks produced in Nigeria. </w:t>
      </w:r>
      <w:r>
        <w:rPr>
          <w:i/>
        </w:rPr>
        <w:t xml:space="preserve">African Journal of Food Science </w:t>
      </w:r>
      <w:r>
        <w:t>Vol. 4(9), pp. 585 – 590.</w:t>
      </w:r>
    </w:p>
    <w:p w:rsidR="004635DD" w:rsidRDefault="004635DD" w:rsidP="004635DD">
      <w:pPr>
        <w:spacing w:line="237" w:lineRule="auto"/>
        <w:jc w:val="both"/>
        <w:sectPr w:rsidR="004635DD">
          <w:pgSz w:w="12240" w:h="15840"/>
          <w:pgMar w:top="1360" w:right="620" w:bottom="1200" w:left="1640" w:header="0" w:footer="1012" w:gutter="0"/>
          <w:cols w:space="720"/>
        </w:sectPr>
      </w:pPr>
    </w:p>
    <w:p w:rsidR="004635DD" w:rsidRDefault="004635DD" w:rsidP="004635DD">
      <w:pPr>
        <w:pStyle w:val="BodyText"/>
        <w:spacing w:before="74" w:line="237" w:lineRule="auto"/>
        <w:ind w:left="1188" w:right="828" w:hanging="812"/>
        <w:jc w:val="both"/>
      </w:pPr>
      <w:r>
        <w:lastRenderedPageBreak/>
        <w:t xml:space="preserve">O'DeaJ.A. (2003). Consumptionofnutritionalsupplementsamong adolescents:usage and perceived benefits. </w:t>
      </w:r>
      <w:r>
        <w:rPr>
          <w:i/>
        </w:rPr>
        <w:t>Health Education Research</w:t>
      </w:r>
      <w:r>
        <w:t>; 18: 98-107.</w:t>
      </w:r>
    </w:p>
    <w:p w:rsidR="004635DD" w:rsidRDefault="004635DD" w:rsidP="004635DD">
      <w:pPr>
        <w:pStyle w:val="BodyText"/>
        <w:spacing w:before="1"/>
      </w:pPr>
    </w:p>
    <w:p w:rsidR="004635DD" w:rsidRDefault="004635DD" w:rsidP="004635DD">
      <w:pPr>
        <w:pStyle w:val="BodyText"/>
        <w:spacing w:line="242" w:lineRule="auto"/>
        <w:ind w:left="1188" w:right="821" w:hanging="812"/>
        <w:jc w:val="both"/>
      </w:pPr>
      <w:r>
        <w:t xml:space="preserve">Olney, J. W., Labruyere, J. and De Gubareff, T. (1980). Brain damage in mice from voluntary ingestion of glutamate and aspartate. </w:t>
      </w:r>
      <w:r>
        <w:rPr>
          <w:i/>
        </w:rPr>
        <w:t>Neurobehav. Toxicol</w:t>
      </w:r>
      <w:r>
        <w:t>. 2: 125–129.</w:t>
      </w:r>
    </w:p>
    <w:p w:rsidR="004635DD" w:rsidRDefault="004635DD" w:rsidP="004635DD">
      <w:pPr>
        <w:pStyle w:val="BodyText"/>
        <w:spacing w:before="9"/>
        <w:rPr>
          <w:sz w:val="23"/>
        </w:rPr>
      </w:pPr>
    </w:p>
    <w:p w:rsidR="004635DD" w:rsidRDefault="004635DD" w:rsidP="004635DD">
      <w:pPr>
        <w:pStyle w:val="BodyText"/>
        <w:ind w:left="1188" w:right="814" w:hanging="812"/>
        <w:jc w:val="both"/>
      </w:pPr>
      <w:r>
        <w:t xml:space="preserve">Onianwa, P. C., Adeyemo, A. O., Idowu, E. O., Ogabiela, E. E. (2001). Copper and Zinc Content of Nigeria Food and Etsimate of the Adult Dictionary intakes. </w:t>
      </w:r>
      <w:r>
        <w:rPr>
          <w:i/>
        </w:rPr>
        <w:t xml:space="preserve">FoodChem. </w:t>
      </w:r>
      <w:r>
        <w:t>72: 89 – 95.</w:t>
      </w:r>
    </w:p>
    <w:p w:rsidR="004635DD" w:rsidRDefault="004635DD" w:rsidP="004635DD">
      <w:pPr>
        <w:pStyle w:val="BodyText"/>
        <w:spacing w:before="1"/>
      </w:pPr>
    </w:p>
    <w:p w:rsidR="004635DD" w:rsidRDefault="004635DD" w:rsidP="004635DD">
      <w:pPr>
        <w:pStyle w:val="BodyText"/>
        <w:ind w:left="1188" w:right="819" w:hanging="812"/>
        <w:jc w:val="both"/>
      </w:pPr>
      <w:r>
        <w:t xml:space="preserve">Onianwa, P. C., Adetol, I. G., Iwebue, C. M. A., Oto, M. F., Tella, O. O. (1999). Trace heavy metals composition of some Nigerian beverages and food drinks. </w:t>
      </w:r>
      <w:r>
        <w:rPr>
          <w:i/>
        </w:rPr>
        <w:t>Food Chemistry,</w:t>
      </w:r>
      <w:r>
        <w:t>66: 275-279.</w:t>
      </w:r>
    </w:p>
    <w:p w:rsidR="004635DD" w:rsidRDefault="004635DD" w:rsidP="004635DD">
      <w:pPr>
        <w:pStyle w:val="BodyText"/>
        <w:spacing w:before="2"/>
      </w:pPr>
    </w:p>
    <w:p w:rsidR="004635DD" w:rsidRDefault="004635DD" w:rsidP="004635DD">
      <w:pPr>
        <w:pStyle w:val="BodyText"/>
        <w:spacing w:line="237" w:lineRule="auto"/>
        <w:ind w:left="1188" w:right="828" w:hanging="812"/>
        <w:jc w:val="both"/>
      </w:pPr>
      <w:r>
        <w:t xml:space="preserve">Oppermann, J. A., Muldoon, E., and Ranney, R. E. (1973). Metabolism of aspartame in monkeys. </w:t>
      </w:r>
      <w:r>
        <w:rPr>
          <w:i/>
        </w:rPr>
        <w:t xml:space="preserve">Journal of Nutrition </w:t>
      </w:r>
      <w:r>
        <w:t>103: 1454–1459.</w:t>
      </w:r>
    </w:p>
    <w:p w:rsidR="004635DD" w:rsidRDefault="004635DD" w:rsidP="004635DD">
      <w:pPr>
        <w:pStyle w:val="BodyText"/>
        <w:spacing w:before="1"/>
      </w:pPr>
    </w:p>
    <w:p w:rsidR="004635DD" w:rsidRDefault="004635DD" w:rsidP="004635DD">
      <w:pPr>
        <w:pStyle w:val="BodyText"/>
        <w:spacing w:before="1"/>
        <w:ind w:left="1188" w:right="816" w:hanging="812"/>
        <w:jc w:val="both"/>
      </w:pPr>
      <w:r>
        <w:t xml:space="preserve">Pan-Hou H., Suda Y., Ohe Y., Sumi, M. and Yoshioka, M. (1990). Effect of aspartame on N-methyl-D-aspartate-sensitiveL-[3H]glutamatebindingsitesinratbrainsynaptic membranes. </w:t>
      </w:r>
      <w:r>
        <w:rPr>
          <w:i/>
        </w:rPr>
        <w:t xml:space="preserve">Brain Res. </w:t>
      </w:r>
      <w:r>
        <w:t>520: 351–353</w:t>
      </w:r>
    </w:p>
    <w:p w:rsidR="004635DD" w:rsidRDefault="004635DD" w:rsidP="004635DD">
      <w:pPr>
        <w:pStyle w:val="BodyText"/>
      </w:pPr>
    </w:p>
    <w:p w:rsidR="004635DD" w:rsidRDefault="004635DD" w:rsidP="004635DD">
      <w:pPr>
        <w:spacing w:line="242" w:lineRule="auto"/>
        <w:ind w:left="1188" w:right="827" w:hanging="812"/>
        <w:jc w:val="both"/>
        <w:rPr>
          <w:sz w:val="24"/>
        </w:rPr>
      </w:pPr>
      <w:r>
        <w:rPr>
          <w:sz w:val="24"/>
        </w:rPr>
        <w:t xml:space="preserve">Penland, J. G., Johnson, P. E. (1993). Dietary Calcium and Manganese, Effects on Menstrual Cycle Symptoms. </w:t>
      </w:r>
      <w:r>
        <w:rPr>
          <w:i/>
          <w:sz w:val="24"/>
        </w:rPr>
        <w:t xml:space="preserve">Am JournObstet Gynecol. 168: </w:t>
      </w:r>
      <w:r>
        <w:rPr>
          <w:sz w:val="24"/>
        </w:rPr>
        <w:t>1417-23.</w:t>
      </w:r>
    </w:p>
    <w:p w:rsidR="004635DD" w:rsidRDefault="004635DD" w:rsidP="004635DD">
      <w:pPr>
        <w:pStyle w:val="BodyText"/>
        <w:spacing w:before="8"/>
        <w:rPr>
          <w:sz w:val="23"/>
        </w:rPr>
      </w:pPr>
    </w:p>
    <w:p w:rsidR="004635DD" w:rsidRDefault="004635DD" w:rsidP="004635DD">
      <w:pPr>
        <w:pStyle w:val="BodyText"/>
        <w:spacing w:before="1" w:line="275" w:lineRule="exact"/>
        <w:ind w:left="376"/>
      </w:pPr>
      <w:r>
        <w:t>Pennay,A.,Lubman,I.D.,andMiller,P.(2011).CombiningEnergyDrinksand</w:t>
      </w:r>
      <w:r>
        <w:rPr>
          <w:spacing w:val="-2"/>
        </w:rPr>
        <w:t>Alcohol.</w:t>
      </w:r>
    </w:p>
    <w:p w:rsidR="004635DD" w:rsidRDefault="004635DD" w:rsidP="004635DD">
      <w:pPr>
        <w:spacing w:line="275" w:lineRule="exact"/>
        <w:ind w:left="1188"/>
        <w:rPr>
          <w:sz w:val="24"/>
        </w:rPr>
      </w:pPr>
      <w:r>
        <w:rPr>
          <w:i/>
          <w:sz w:val="24"/>
        </w:rPr>
        <w:t>AustralianFamilyPhysician</w:t>
      </w:r>
      <w:r>
        <w:rPr>
          <w:sz w:val="24"/>
        </w:rPr>
        <w:t>. 40:104-</w:t>
      </w:r>
      <w:r>
        <w:rPr>
          <w:spacing w:val="-5"/>
          <w:sz w:val="24"/>
        </w:rPr>
        <w:t>105</w:t>
      </w:r>
    </w:p>
    <w:p w:rsidR="004635DD" w:rsidRDefault="004635DD" w:rsidP="004635DD">
      <w:pPr>
        <w:pStyle w:val="BodyText"/>
        <w:spacing w:before="11"/>
        <w:rPr>
          <w:sz w:val="23"/>
        </w:rPr>
      </w:pPr>
    </w:p>
    <w:p w:rsidR="004635DD" w:rsidRDefault="004635DD" w:rsidP="004635DD">
      <w:pPr>
        <w:pStyle w:val="BodyText"/>
        <w:ind w:left="376"/>
      </w:pPr>
      <w:r>
        <w:t>Pettenuzzo,L.F.,Noschang,C.,VonPozzerToigo,E.,Fachin,A.,Vendite,D.,</w:t>
      </w:r>
      <w:r>
        <w:rPr>
          <w:spacing w:val="-2"/>
        </w:rPr>
        <w:t>Dalmaz,</w:t>
      </w:r>
    </w:p>
    <w:p w:rsidR="004635DD" w:rsidRDefault="004635DD" w:rsidP="004635DD">
      <w:pPr>
        <w:pStyle w:val="BodyText"/>
        <w:spacing w:before="5" w:line="237" w:lineRule="auto"/>
        <w:ind w:left="1188" w:right="775"/>
      </w:pPr>
      <w:r>
        <w:t xml:space="preserve">C.(2008).Effectsofchronicadministrationofcaffeineandstressonfeeding behavior of rats. </w:t>
      </w:r>
      <w:r>
        <w:rPr>
          <w:i/>
        </w:rPr>
        <w:t xml:space="preserve">PhysiolBehav. </w:t>
      </w:r>
      <w:r>
        <w:t>95: 295–301.</w:t>
      </w:r>
    </w:p>
    <w:p w:rsidR="004635DD" w:rsidRDefault="004635DD" w:rsidP="004635DD">
      <w:pPr>
        <w:pStyle w:val="BodyText"/>
        <w:spacing w:before="1"/>
      </w:pPr>
    </w:p>
    <w:p w:rsidR="004635DD" w:rsidRDefault="004635DD" w:rsidP="004635DD">
      <w:pPr>
        <w:pStyle w:val="BodyText"/>
        <w:spacing w:line="242" w:lineRule="auto"/>
        <w:ind w:left="1188" w:right="830" w:hanging="812"/>
        <w:jc w:val="both"/>
      </w:pPr>
      <w:r>
        <w:t>Prankerd, R. J. (2002). Aspartame. AnalyticalProfiles of Drug Substances and Excipients, 29: 7-55.</w:t>
      </w:r>
    </w:p>
    <w:p w:rsidR="004635DD" w:rsidRDefault="004635DD" w:rsidP="004635DD">
      <w:pPr>
        <w:pStyle w:val="BodyText"/>
        <w:spacing w:before="9"/>
        <w:rPr>
          <w:sz w:val="23"/>
        </w:rPr>
      </w:pPr>
    </w:p>
    <w:p w:rsidR="004635DD" w:rsidRDefault="004635DD" w:rsidP="004635DD">
      <w:pPr>
        <w:pStyle w:val="BodyText"/>
        <w:ind w:left="376"/>
      </w:pPr>
      <w:r>
        <w:t xml:space="preserve">Prasad,A.S.(1995).Zinc:anoverview. </w:t>
      </w:r>
      <w:r>
        <w:rPr>
          <w:i/>
        </w:rPr>
        <w:t>Nutrition</w:t>
      </w:r>
      <w:r>
        <w:t>;11:93-</w:t>
      </w:r>
      <w:r>
        <w:rPr>
          <w:spacing w:val="-5"/>
        </w:rPr>
        <w:t>99.</w:t>
      </w:r>
    </w:p>
    <w:p w:rsidR="004635DD" w:rsidRDefault="004635DD" w:rsidP="004635DD">
      <w:pPr>
        <w:pStyle w:val="BodyText"/>
        <w:spacing w:before="2"/>
      </w:pPr>
    </w:p>
    <w:p w:rsidR="004635DD" w:rsidRDefault="004635DD" w:rsidP="004635DD">
      <w:pPr>
        <w:pStyle w:val="BodyText"/>
        <w:spacing w:line="237" w:lineRule="auto"/>
        <w:ind w:left="1188" w:right="823" w:hanging="812"/>
        <w:jc w:val="both"/>
      </w:pPr>
      <w:r>
        <w:t xml:space="preserve">Rabin, O., Hegedus, L., Bourre, J. M., Smith, Q. R., (1993). Rapid brain uptake of manganese(II) across the blood–brain barrier. </w:t>
      </w:r>
      <w:r>
        <w:rPr>
          <w:i/>
        </w:rPr>
        <w:t xml:space="preserve">J. Neurochem. </w:t>
      </w:r>
      <w:r>
        <w:t>61: 509–517.</w:t>
      </w:r>
    </w:p>
    <w:p w:rsidR="004635DD" w:rsidRDefault="004635DD" w:rsidP="004635DD">
      <w:pPr>
        <w:pStyle w:val="BodyText"/>
        <w:spacing w:before="1"/>
      </w:pPr>
    </w:p>
    <w:p w:rsidR="004635DD" w:rsidRDefault="004635DD" w:rsidP="004635DD">
      <w:pPr>
        <w:pStyle w:val="BodyText"/>
        <w:spacing w:line="242" w:lineRule="auto"/>
        <w:ind w:left="1188" w:right="834" w:hanging="812"/>
        <w:jc w:val="both"/>
      </w:pPr>
      <w:r>
        <w:t xml:space="preserve">Rachel, R. M., Bruce, A. G., Edward, J. C. (2006). Caffeine Content of Energy Drinks, Carbonared Sodas and other Beverages. </w:t>
      </w:r>
      <w:r>
        <w:rPr>
          <w:i/>
        </w:rPr>
        <w:t>Journal of analytical toxicology</w:t>
      </w:r>
      <w:r>
        <w:t>. Vol. 30</w:t>
      </w:r>
    </w:p>
    <w:p w:rsidR="004635DD" w:rsidRDefault="004635DD" w:rsidP="004635DD">
      <w:pPr>
        <w:pStyle w:val="BodyText"/>
        <w:spacing w:before="9"/>
        <w:rPr>
          <w:sz w:val="23"/>
        </w:rPr>
      </w:pPr>
    </w:p>
    <w:p w:rsidR="004635DD" w:rsidRDefault="004635DD" w:rsidP="004635DD">
      <w:pPr>
        <w:pStyle w:val="BodyText"/>
        <w:ind w:left="1188" w:right="821" w:hanging="812"/>
        <w:jc w:val="both"/>
      </w:pPr>
      <w:r>
        <w:t xml:space="preserve">Rangan, A. M., Randall, D., Hector, D. J., Gill, T. P. And Webb, K. L. (2008). Consumption of extra food by Australian children: types, quantities and contribution to energy and nutrients intake. </w:t>
      </w:r>
      <w:r>
        <w:rPr>
          <w:i/>
        </w:rPr>
        <w:t xml:space="preserve">European Journal of </w:t>
      </w:r>
      <w:r>
        <w:rPr>
          <w:i/>
        </w:rPr>
        <w:lastRenderedPageBreak/>
        <w:t>clinicalNutrition.</w:t>
      </w:r>
      <w:r>
        <w:t>62(3): 356-64</w:t>
      </w:r>
    </w:p>
    <w:p w:rsidR="004635DD" w:rsidRDefault="004635DD" w:rsidP="004635DD">
      <w:pPr>
        <w:jc w:val="both"/>
        <w:sectPr w:rsidR="004635DD">
          <w:pgSz w:w="12240" w:h="15840"/>
          <w:pgMar w:top="1360" w:right="620" w:bottom="1200" w:left="1640" w:header="0" w:footer="1012" w:gutter="0"/>
          <w:cols w:space="720"/>
        </w:sectPr>
      </w:pPr>
    </w:p>
    <w:p w:rsidR="004635DD" w:rsidRDefault="004635DD" w:rsidP="004635DD">
      <w:pPr>
        <w:spacing w:before="66"/>
        <w:ind w:left="1188" w:right="817" w:hanging="812"/>
        <w:jc w:val="both"/>
        <w:rPr>
          <w:sz w:val="24"/>
        </w:rPr>
      </w:pPr>
      <w:r>
        <w:rPr>
          <w:sz w:val="24"/>
        </w:rPr>
        <w:lastRenderedPageBreak/>
        <w:t xml:space="preserve">Ranney, R. E., and Oppermann, J. A. (1979). A review of the metabolism of the aspartyl moiety of aspartame in experimental animals and man. </w:t>
      </w:r>
      <w:r>
        <w:rPr>
          <w:i/>
          <w:sz w:val="24"/>
        </w:rPr>
        <w:t xml:space="preserve">Journal of Environmental Pathology and Toxicology </w:t>
      </w:r>
      <w:r>
        <w:rPr>
          <w:sz w:val="24"/>
        </w:rPr>
        <w:t>2: 979– 985.</w:t>
      </w:r>
    </w:p>
    <w:p w:rsidR="004635DD" w:rsidRDefault="004635DD" w:rsidP="004635DD">
      <w:pPr>
        <w:pStyle w:val="BodyText"/>
      </w:pPr>
    </w:p>
    <w:p w:rsidR="004635DD" w:rsidRDefault="004635DD" w:rsidP="004635DD">
      <w:pPr>
        <w:ind w:left="1188" w:right="815" w:hanging="812"/>
        <w:jc w:val="both"/>
        <w:rPr>
          <w:sz w:val="24"/>
        </w:rPr>
      </w:pPr>
      <w:r>
        <w:rPr>
          <w:sz w:val="24"/>
        </w:rPr>
        <w:t xml:space="preserve">Rath, M. (2012). Energy drinks: What is all the hype? The dangers of energy drink consumption. </w:t>
      </w:r>
      <w:r>
        <w:rPr>
          <w:i/>
          <w:sz w:val="24"/>
        </w:rPr>
        <w:t>Journal Of The American Academy Of Nurse Practitioners</w:t>
      </w:r>
      <w:r>
        <w:rPr>
          <w:sz w:val="24"/>
        </w:rPr>
        <w:t xml:space="preserve">, 24(2): </w:t>
      </w:r>
      <w:r>
        <w:rPr>
          <w:spacing w:val="-2"/>
          <w:sz w:val="24"/>
        </w:rPr>
        <w:t>70-76.</w:t>
      </w:r>
    </w:p>
    <w:p w:rsidR="004635DD" w:rsidRDefault="004635DD" w:rsidP="004635DD">
      <w:pPr>
        <w:pStyle w:val="BodyText"/>
      </w:pPr>
    </w:p>
    <w:p w:rsidR="004635DD" w:rsidRDefault="004635DD" w:rsidP="004635DD">
      <w:pPr>
        <w:pStyle w:val="BodyText"/>
        <w:ind w:left="1188" w:right="811" w:hanging="812"/>
        <w:jc w:val="both"/>
      </w:pPr>
      <w:r>
        <w:t>Reid, I. R. (1995). Long Term Effects of Calcium Supplementation on Bone Loss and fractures I Post-Menopausal Women. A Randomized Control Trial</w:t>
      </w:r>
      <w:r>
        <w:rPr>
          <w:i/>
        </w:rPr>
        <w:t xml:space="preserve">. Am. J. Med Sci. </w:t>
      </w:r>
      <w:r>
        <w:t>98: 331-35.</w:t>
      </w:r>
    </w:p>
    <w:p w:rsidR="004635DD" w:rsidRDefault="004635DD" w:rsidP="004635DD">
      <w:pPr>
        <w:pStyle w:val="BodyText"/>
        <w:rPr>
          <w:sz w:val="26"/>
        </w:rPr>
      </w:pPr>
    </w:p>
    <w:p w:rsidR="004635DD" w:rsidRDefault="004635DD" w:rsidP="004635DD">
      <w:pPr>
        <w:pStyle w:val="BodyText"/>
        <w:spacing w:before="223" w:line="271" w:lineRule="auto"/>
        <w:ind w:left="1188" w:right="819" w:hanging="812"/>
        <w:jc w:val="both"/>
      </w:pPr>
      <w:r>
        <w:t xml:space="preserve">Reissig, C. J., Strain, E. C., Griffiths, R. R. (2008). Caffeinatedenergydrinks – Agrowing problem. </w:t>
      </w:r>
      <w:r>
        <w:rPr>
          <w:i/>
        </w:rPr>
        <w:t>Drug and Alcohol Dependence</w:t>
      </w:r>
      <w:r>
        <w:t>. 99: 1-10.</w:t>
      </w:r>
    </w:p>
    <w:p w:rsidR="004635DD" w:rsidRDefault="004635DD" w:rsidP="004635DD">
      <w:pPr>
        <w:pStyle w:val="BodyText"/>
        <w:spacing w:before="214" w:line="237" w:lineRule="auto"/>
        <w:ind w:left="1188" w:right="825" w:hanging="812"/>
        <w:jc w:val="both"/>
      </w:pPr>
      <w:r>
        <w:t xml:space="preserve">Reyner, L. A., and Horne, J. A. (2002). Efficacy of a 'functional energy drink' in counteracting driver sleepiness. </w:t>
      </w:r>
      <w:r>
        <w:rPr>
          <w:i/>
        </w:rPr>
        <w:t>PhysiolBehav.</w:t>
      </w:r>
      <w:r>
        <w:t>; 75: 331-5.</w:t>
      </w:r>
    </w:p>
    <w:p w:rsidR="004635DD" w:rsidRDefault="004635DD" w:rsidP="004635DD">
      <w:pPr>
        <w:pStyle w:val="BodyText"/>
        <w:spacing w:before="1"/>
      </w:pPr>
    </w:p>
    <w:p w:rsidR="004635DD" w:rsidRDefault="004635DD" w:rsidP="004635DD">
      <w:pPr>
        <w:pStyle w:val="BodyText"/>
        <w:spacing w:line="242" w:lineRule="auto"/>
        <w:ind w:left="1188" w:right="828" w:hanging="812"/>
        <w:jc w:val="both"/>
      </w:pPr>
      <w:r>
        <w:t xml:space="preserve">Riesenhuber, A, Boehm, M, Posch, M, Aufricht, C. (2006). Diuretic potential of energy drinks. </w:t>
      </w:r>
      <w:r>
        <w:rPr>
          <w:i/>
        </w:rPr>
        <w:t>Amino Acids</w:t>
      </w:r>
      <w:r>
        <w:t>, 31: 81–3.</w:t>
      </w:r>
    </w:p>
    <w:p w:rsidR="004635DD" w:rsidRDefault="004635DD" w:rsidP="004635DD">
      <w:pPr>
        <w:pStyle w:val="BodyText"/>
        <w:spacing w:before="9"/>
        <w:rPr>
          <w:sz w:val="23"/>
        </w:rPr>
      </w:pPr>
    </w:p>
    <w:p w:rsidR="004635DD" w:rsidRDefault="004635DD" w:rsidP="004635DD">
      <w:pPr>
        <w:pStyle w:val="BodyText"/>
        <w:ind w:left="1188" w:right="815" w:hanging="812"/>
        <w:jc w:val="both"/>
      </w:pPr>
      <w:r>
        <w:t xml:space="preserve">Rubio, C., Hardisson, A., Reguera, J. I., Revert, C., Lafuente ,M. A., Gonzalez-Iglesias T. (2006). Cadmiumdietary intake in the Canary Islands, Spain. </w:t>
      </w:r>
      <w:r>
        <w:rPr>
          <w:i/>
        </w:rPr>
        <w:t xml:space="preserve">Environmental Research, </w:t>
      </w:r>
      <w:r>
        <w:t>100: 123–129.</w:t>
      </w:r>
    </w:p>
    <w:p w:rsidR="004635DD" w:rsidRDefault="004635DD" w:rsidP="004635DD">
      <w:pPr>
        <w:pStyle w:val="BodyText"/>
      </w:pPr>
    </w:p>
    <w:p w:rsidR="004635DD" w:rsidRDefault="004635DD" w:rsidP="004635DD">
      <w:pPr>
        <w:pStyle w:val="BodyText"/>
        <w:ind w:left="1188" w:right="819" w:hanging="812"/>
        <w:jc w:val="both"/>
      </w:pPr>
      <w:r>
        <w:t xml:space="preserve">Ryan-Harshman, M., Aldoori, W. (2005). Health benefits of selected minerals, </w:t>
      </w:r>
      <w:r>
        <w:rPr>
          <w:i/>
        </w:rPr>
        <w:t xml:space="preserve">Can. Fam Physician. </w:t>
      </w:r>
      <w:r>
        <w:t>51(5): 673–675.</w:t>
      </w:r>
    </w:p>
    <w:p w:rsidR="004635DD" w:rsidRDefault="004635DD" w:rsidP="004635DD">
      <w:pPr>
        <w:pStyle w:val="BodyText"/>
        <w:spacing w:before="9"/>
        <w:rPr>
          <w:sz w:val="23"/>
        </w:rPr>
      </w:pPr>
    </w:p>
    <w:p w:rsidR="004635DD" w:rsidRDefault="004635DD" w:rsidP="004635DD">
      <w:pPr>
        <w:pStyle w:val="BodyText"/>
        <w:spacing w:before="1"/>
        <w:ind w:left="1188" w:right="815" w:hanging="812"/>
        <w:jc w:val="both"/>
      </w:pPr>
      <w:r>
        <w:t xml:space="preserve">Satarug, S., and Moore, M. R. (2004). Adverse health effects of chronic exposure to low- level cadmium in foodstuffs and cigarette smoke. </w:t>
      </w:r>
      <w:r>
        <w:rPr>
          <w:i/>
        </w:rPr>
        <w:t xml:space="preserve">Environ. Health Prespect. </w:t>
      </w:r>
      <w:r>
        <w:t>112(10): 1099.</w:t>
      </w:r>
    </w:p>
    <w:p w:rsidR="004635DD" w:rsidRDefault="004635DD" w:rsidP="004635DD">
      <w:pPr>
        <w:pStyle w:val="BodyText"/>
      </w:pPr>
    </w:p>
    <w:p w:rsidR="004635DD" w:rsidRDefault="004635DD" w:rsidP="004635DD">
      <w:pPr>
        <w:pStyle w:val="BodyText"/>
        <w:ind w:left="1188" w:right="813" w:hanging="812"/>
        <w:jc w:val="both"/>
      </w:pPr>
      <w:r>
        <w:t xml:space="preserve">Savoca, M. R., Evans, C. D., Wilson, M. E., Harshfield, G. A., Ludwig, D. A. (2004). The association of caffeinated beverages with blood pressure in adolescents. </w:t>
      </w:r>
      <w:r>
        <w:rPr>
          <w:i/>
        </w:rPr>
        <w:t>Arch PediatrAdolesc Med</w:t>
      </w:r>
      <w:r>
        <w:t>.; 158: 473-7.</w:t>
      </w:r>
    </w:p>
    <w:p w:rsidR="004635DD" w:rsidRDefault="004635DD" w:rsidP="004635DD">
      <w:pPr>
        <w:pStyle w:val="BodyText"/>
      </w:pPr>
    </w:p>
    <w:p w:rsidR="004635DD" w:rsidRDefault="004635DD" w:rsidP="004635DD">
      <w:pPr>
        <w:pStyle w:val="BodyText"/>
        <w:ind w:left="1188" w:right="817" w:hanging="812"/>
        <w:jc w:val="both"/>
      </w:pPr>
      <w:r>
        <w:t xml:space="preserve">Schernhammer, E. S., Hu, F. B., Giovannuci, E., Michaud, D. S., Colditdz, G. A., Stampfer, M. J. and Fuchus, C. S. (2005). Sugar sweetened soft drinks consumption and risk of pancreatic cancer in two perspectives, </w:t>
      </w:r>
      <w:r>
        <w:rPr>
          <w:i/>
        </w:rPr>
        <w:t>Cancer epidemiology, Biomarkers and Prevention</w:t>
      </w:r>
      <w:r>
        <w:t>. 14(7): 2098-105.</w:t>
      </w:r>
    </w:p>
    <w:p w:rsidR="004635DD" w:rsidRDefault="004635DD" w:rsidP="004635DD">
      <w:pPr>
        <w:pStyle w:val="BodyText"/>
        <w:spacing w:before="5"/>
      </w:pPr>
    </w:p>
    <w:p w:rsidR="004635DD" w:rsidRDefault="004635DD" w:rsidP="004635DD">
      <w:pPr>
        <w:spacing w:line="237" w:lineRule="auto"/>
        <w:jc w:val="both"/>
        <w:sectPr w:rsidR="004635DD">
          <w:pgSz w:w="12240" w:h="15840"/>
          <w:pgMar w:top="1640" w:right="620" w:bottom="1200" w:left="1640" w:header="0" w:footer="1012" w:gutter="0"/>
          <w:cols w:space="720"/>
        </w:sectPr>
      </w:pPr>
    </w:p>
    <w:p w:rsidR="004635DD" w:rsidRDefault="004635DD" w:rsidP="004635DD">
      <w:pPr>
        <w:pStyle w:val="BodyText"/>
        <w:spacing w:before="72"/>
        <w:ind w:left="1188" w:right="818" w:hanging="812"/>
        <w:jc w:val="both"/>
      </w:pPr>
      <w:r>
        <w:lastRenderedPageBreak/>
        <w:t xml:space="preserve">Schulze, M. B., Manson, J. E., Ludwig, D. S., Colditz, G. A., Stampfer, M. J., Willett, W. C., Hu, F.B. (2004). Sugar-sweetened beverages, weight gain, and incidence of type 2 diabetes in young and middle-aged women. </w:t>
      </w:r>
      <w:r>
        <w:rPr>
          <w:i/>
        </w:rPr>
        <w:t>JAMA</w:t>
      </w:r>
      <w:r>
        <w:t>, 292(8): 927 - 934.</w:t>
      </w:r>
    </w:p>
    <w:p w:rsidR="004635DD" w:rsidRDefault="004635DD" w:rsidP="004635DD">
      <w:pPr>
        <w:pStyle w:val="BodyText"/>
        <w:spacing w:before="3"/>
      </w:pPr>
    </w:p>
    <w:p w:rsidR="004635DD" w:rsidRDefault="004635DD" w:rsidP="004635DD">
      <w:pPr>
        <w:pStyle w:val="BodyText"/>
        <w:spacing w:line="237" w:lineRule="auto"/>
        <w:ind w:left="1188" w:right="820" w:hanging="812"/>
        <w:jc w:val="both"/>
      </w:pPr>
      <w:r>
        <w:t xml:space="preserve">Seidal, K., Jorgensen, N., Elinder, C. G., Sjogren, B., Vahter, M. (1993). Fatal cadmium- induced pneumonitis. </w:t>
      </w:r>
      <w:r>
        <w:rPr>
          <w:i/>
        </w:rPr>
        <w:t>Scand J Work Environ Health</w:t>
      </w:r>
      <w:r>
        <w:t>; 19: 429–31</w:t>
      </w:r>
    </w:p>
    <w:p w:rsidR="004635DD" w:rsidRDefault="004635DD" w:rsidP="004635DD">
      <w:pPr>
        <w:pStyle w:val="BodyText"/>
        <w:spacing w:before="1"/>
      </w:pPr>
    </w:p>
    <w:p w:rsidR="004635DD" w:rsidRDefault="004635DD" w:rsidP="004635DD">
      <w:pPr>
        <w:pStyle w:val="BodyText"/>
        <w:ind w:left="1188" w:right="813" w:hanging="812"/>
        <w:jc w:val="both"/>
      </w:pPr>
      <w:r>
        <w:t>Senesse. P., Meance, S., Cottet, V., Faivre, J., Boutron-Ruault, M. C. (2004). High dietary iron and copper and risk of colorectal cancer: a case-control study in Burgundy, France.</w:t>
      </w:r>
      <w:r>
        <w:rPr>
          <w:i/>
        </w:rPr>
        <w:t xml:space="preserve">Nutr. Cancer. </w:t>
      </w:r>
      <w:r>
        <w:t>49: 66-71</w:t>
      </w:r>
    </w:p>
    <w:p w:rsidR="004635DD" w:rsidRDefault="004635DD" w:rsidP="004635DD">
      <w:pPr>
        <w:pStyle w:val="BodyText"/>
      </w:pPr>
    </w:p>
    <w:p w:rsidR="004635DD" w:rsidRDefault="004635DD" w:rsidP="004635DD">
      <w:pPr>
        <w:pStyle w:val="BodyText"/>
        <w:ind w:left="1188" w:right="814" w:hanging="812"/>
        <w:jc w:val="both"/>
      </w:pPr>
      <w:r>
        <w:rPr>
          <w:color w:val="211E1F"/>
        </w:rPr>
        <w:t xml:space="preserve">Serdar, M. and Knežević, Z. (2011). Hplc determination of artifical sweeteners in beverages and special nutritional Products using high performance liquid Chromatography. </w:t>
      </w:r>
      <w:r>
        <w:rPr>
          <w:i/>
          <w:color w:val="211E1F"/>
        </w:rPr>
        <w:t xml:space="preserve">ArhHig Rada Toksikol; </w:t>
      </w:r>
      <w:r>
        <w:rPr>
          <w:color w:val="211E1F"/>
        </w:rPr>
        <w:t>62: 169-173.</w:t>
      </w:r>
    </w:p>
    <w:p w:rsidR="004635DD" w:rsidRDefault="004635DD" w:rsidP="004635DD">
      <w:pPr>
        <w:pStyle w:val="BodyText"/>
      </w:pPr>
    </w:p>
    <w:p w:rsidR="004635DD" w:rsidRDefault="004635DD" w:rsidP="004635DD">
      <w:pPr>
        <w:pStyle w:val="BodyText"/>
        <w:spacing w:before="1" w:line="242" w:lineRule="auto"/>
        <w:ind w:left="1188" w:right="832" w:hanging="812"/>
        <w:jc w:val="both"/>
      </w:pPr>
      <w:r>
        <w:t>Shapiro. R. B. (1988). Statement for the labor and humanresourcescommittee, US Senate (Washington, DC, Government Printing Office). 12: 5-7</w:t>
      </w:r>
    </w:p>
    <w:p w:rsidR="004635DD" w:rsidRDefault="004635DD" w:rsidP="004635DD">
      <w:pPr>
        <w:pStyle w:val="BodyText"/>
        <w:spacing w:before="8"/>
        <w:rPr>
          <w:sz w:val="23"/>
        </w:rPr>
      </w:pPr>
    </w:p>
    <w:p w:rsidR="004635DD" w:rsidRDefault="004635DD" w:rsidP="004635DD">
      <w:pPr>
        <w:pStyle w:val="BodyText"/>
        <w:spacing w:before="1"/>
        <w:ind w:left="1188" w:right="811" w:hanging="812"/>
        <w:jc w:val="both"/>
      </w:pPr>
      <w:r>
        <w:t xml:space="preserve">Shenkin, J. D., Heller, K.E., Warren, J. J., and Marshal, T. A. (2003). Soft drink consumptionand carries in childrenand adolescents. </w:t>
      </w:r>
      <w:r>
        <w:rPr>
          <w:i/>
        </w:rPr>
        <w:t xml:space="preserve">General dentistry. </w:t>
      </w:r>
      <w:r>
        <w:t xml:space="preserve">51(1): 30- </w:t>
      </w:r>
      <w:r>
        <w:rPr>
          <w:spacing w:val="-6"/>
        </w:rPr>
        <w:t>6.</w:t>
      </w:r>
    </w:p>
    <w:p w:rsidR="004635DD" w:rsidRDefault="004635DD" w:rsidP="004635DD">
      <w:pPr>
        <w:pStyle w:val="BodyText"/>
        <w:spacing w:before="2"/>
      </w:pPr>
    </w:p>
    <w:p w:rsidR="004635DD" w:rsidRDefault="004635DD" w:rsidP="004635DD">
      <w:pPr>
        <w:pStyle w:val="BodyText"/>
        <w:spacing w:line="237" w:lineRule="auto"/>
        <w:ind w:left="1188" w:right="814" w:hanging="812"/>
        <w:jc w:val="both"/>
      </w:pPr>
      <w:r>
        <w:t xml:space="preserve">Siegel R. K. (1979). Ginseng abuse syndrome. Problems with the panacea. </w:t>
      </w:r>
      <w:r>
        <w:rPr>
          <w:i/>
        </w:rPr>
        <w:t xml:space="preserve">JAMA; </w:t>
      </w:r>
      <w:r>
        <w:t xml:space="preserve">241: </w:t>
      </w:r>
      <w:r>
        <w:rPr>
          <w:spacing w:val="-2"/>
        </w:rPr>
        <w:t>1614-5.</w:t>
      </w:r>
    </w:p>
    <w:p w:rsidR="004635DD" w:rsidRDefault="004635DD" w:rsidP="004635DD">
      <w:pPr>
        <w:pStyle w:val="BodyText"/>
        <w:spacing w:before="1"/>
      </w:pPr>
    </w:p>
    <w:p w:rsidR="004635DD" w:rsidRDefault="004635DD" w:rsidP="004635DD">
      <w:pPr>
        <w:pStyle w:val="BodyText"/>
        <w:spacing w:line="242" w:lineRule="auto"/>
        <w:ind w:left="1188" w:right="822" w:hanging="812"/>
        <w:jc w:val="both"/>
      </w:pPr>
      <w:r>
        <w:t xml:space="preserve">Smith, H. J. and Rogers, P. J. (2002). Effects of energy drinks on mood and mental performance: critical methodology. </w:t>
      </w:r>
      <w:r>
        <w:rPr>
          <w:i/>
        </w:rPr>
        <w:t>Food Qual Pref</w:t>
      </w:r>
      <w:r>
        <w:t>, 13: 317–26.</w:t>
      </w:r>
    </w:p>
    <w:p w:rsidR="004635DD" w:rsidRDefault="004635DD" w:rsidP="004635DD">
      <w:pPr>
        <w:pStyle w:val="BodyText"/>
        <w:rPr>
          <w:sz w:val="26"/>
        </w:rPr>
      </w:pPr>
    </w:p>
    <w:p w:rsidR="004635DD" w:rsidRDefault="004635DD" w:rsidP="004635DD">
      <w:pPr>
        <w:pStyle w:val="BodyText"/>
        <w:spacing w:before="176"/>
        <w:ind w:left="1188" w:right="815" w:hanging="812"/>
        <w:jc w:val="both"/>
      </w:pPr>
      <w:r>
        <w:t xml:space="preserve">Sower, J. R. (1989). Calcium and Hypertention. </w:t>
      </w:r>
      <w:r>
        <w:rPr>
          <w:i/>
        </w:rPr>
        <w:t xml:space="preserve">Journal Lab Clin. Med. </w:t>
      </w:r>
      <w:r>
        <w:t xml:space="preserve">114: 338- 48Stegink, L. D., Brummel, M. C., Filer, L. J. and Baker, G. L. (1983). Blood methanol concentrations in one year old infants administered graded doses of aspartame. </w:t>
      </w:r>
      <w:r>
        <w:rPr>
          <w:i/>
        </w:rPr>
        <w:t xml:space="preserve">J. Nutr. </w:t>
      </w:r>
      <w:r>
        <w:t>113 1600–1606.</w:t>
      </w:r>
    </w:p>
    <w:p w:rsidR="004635DD" w:rsidRDefault="004635DD" w:rsidP="004635DD">
      <w:pPr>
        <w:pStyle w:val="BodyText"/>
        <w:spacing w:before="10"/>
        <w:rPr>
          <w:sz w:val="23"/>
        </w:rPr>
      </w:pPr>
    </w:p>
    <w:p w:rsidR="004635DD" w:rsidRDefault="004635DD" w:rsidP="004635DD">
      <w:pPr>
        <w:pStyle w:val="BodyText"/>
        <w:spacing w:line="242" w:lineRule="auto"/>
        <w:ind w:left="1188" w:right="819" w:hanging="812"/>
        <w:jc w:val="both"/>
      </w:pPr>
      <w:r>
        <w:t xml:space="preserve">Spiller, M. A. (1998). The Chemical Components of Coffee. In: </w:t>
      </w:r>
      <w:r>
        <w:rPr>
          <w:i/>
        </w:rPr>
        <w:t>Caffeine</w:t>
      </w:r>
      <w:r>
        <w:t>. Spiller, G. A., Ed., CRC Press, Boca Raton. 97–161.</w:t>
      </w:r>
    </w:p>
    <w:p w:rsidR="004635DD" w:rsidRDefault="004635DD" w:rsidP="004635DD">
      <w:pPr>
        <w:pStyle w:val="BodyText"/>
        <w:spacing w:before="3"/>
        <w:rPr>
          <w:sz w:val="23"/>
        </w:rPr>
      </w:pPr>
    </w:p>
    <w:p w:rsidR="004635DD" w:rsidRDefault="004635DD" w:rsidP="004635DD">
      <w:pPr>
        <w:spacing w:before="1" w:line="242" w:lineRule="auto"/>
        <w:ind w:left="1188" w:right="826" w:hanging="812"/>
        <w:jc w:val="both"/>
        <w:rPr>
          <w:sz w:val="24"/>
        </w:rPr>
      </w:pPr>
      <w:r>
        <w:rPr>
          <w:sz w:val="24"/>
        </w:rPr>
        <w:t xml:space="preserve">Stegink, L. D. (1987). The aspartame story: A model for the clinical testing of a food additive. </w:t>
      </w:r>
      <w:r>
        <w:rPr>
          <w:i/>
          <w:sz w:val="24"/>
        </w:rPr>
        <w:t xml:space="preserve">American Journal of Clinical Nutrition </w:t>
      </w:r>
      <w:r>
        <w:rPr>
          <w:sz w:val="24"/>
        </w:rPr>
        <w:t>46: 204–215.</w:t>
      </w:r>
    </w:p>
    <w:p w:rsidR="004635DD" w:rsidRDefault="004635DD" w:rsidP="004635DD">
      <w:pPr>
        <w:pStyle w:val="BodyText"/>
        <w:spacing w:before="11"/>
        <w:rPr>
          <w:sz w:val="23"/>
        </w:rPr>
      </w:pPr>
    </w:p>
    <w:p w:rsidR="004635DD" w:rsidRDefault="004635DD" w:rsidP="004635DD">
      <w:pPr>
        <w:pStyle w:val="BodyText"/>
        <w:spacing w:line="237" w:lineRule="auto"/>
        <w:ind w:left="1188" w:right="826" w:hanging="812"/>
        <w:jc w:val="both"/>
      </w:pPr>
      <w:r>
        <w:t xml:space="preserve">Stipanuk, M. H. (2004). Role of liver in the regulationof bodycysteine and taurine levels: a brief review. </w:t>
      </w:r>
      <w:r>
        <w:rPr>
          <w:i/>
        </w:rPr>
        <w:t>Neurochem Res</w:t>
      </w:r>
      <w:r>
        <w:t>, 29:105–10.</w:t>
      </w:r>
    </w:p>
    <w:p w:rsidR="004635DD" w:rsidRDefault="004635DD" w:rsidP="004635DD">
      <w:pPr>
        <w:pStyle w:val="BodyText"/>
        <w:spacing w:before="1"/>
      </w:pPr>
    </w:p>
    <w:p w:rsidR="004635DD" w:rsidRDefault="004635DD" w:rsidP="004635DD">
      <w:pPr>
        <w:pStyle w:val="BodyText"/>
        <w:ind w:left="1188" w:right="826" w:hanging="812"/>
        <w:jc w:val="both"/>
      </w:pPr>
      <w:r>
        <w:t xml:space="preserve">Striegel-Moore, R. H, Thompson, D., Affenitto, S. G., Franko, D. L., Obarzanek, E., Barton, B. A., Daniels, S. R., Schmidt, M. and Crawford, P. B. (2006). Correlates of beverage intake in adolescent girls: The National Heart, Lung, and Blood </w:t>
      </w:r>
      <w:r>
        <w:lastRenderedPageBreak/>
        <w:t xml:space="preserve">Institute Growth and Health Study, </w:t>
      </w:r>
      <w:r>
        <w:rPr>
          <w:i/>
        </w:rPr>
        <w:t xml:space="preserve">Journal of pediatrics. </w:t>
      </w:r>
      <w:r>
        <w:t>Vol. 148: 183-7.</w:t>
      </w:r>
    </w:p>
    <w:p w:rsidR="004635DD" w:rsidRDefault="004635DD" w:rsidP="004635DD">
      <w:pPr>
        <w:jc w:val="both"/>
        <w:sectPr w:rsidR="004635DD">
          <w:pgSz w:w="12240" w:h="15840"/>
          <w:pgMar w:top="1360" w:right="620" w:bottom="1200" w:left="1640" w:header="0" w:footer="1012" w:gutter="0"/>
          <w:cols w:space="720"/>
        </w:sectPr>
      </w:pPr>
    </w:p>
    <w:p w:rsidR="004635DD" w:rsidRDefault="004635DD" w:rsidP="004635DD">
      <w:pPr>
        <w:pStyle w:val="BodyText"/>
        <w:spacing w:before="74" w:line="237" w:lineRule="auto"/>
        <w:ind w:left="1188" w:right="814" w:hanging="812"/>
      </w:pPr>
      <w:r>
        <w:lastRenderedPageBreak/>
        <w:t xml:space="preserve">Takagi,I.(1991).CalciumTreatmentofEssentialHypertensioninElderlyPatients Evaluated by 24H Monitoring. </w:t>
      </w:r>
      <w:r>
        <w:rPr>
          <w:i/>
        </w:rPr>
        <w:t xml:space="preserve">Am J. Hypertens. </w:t>
      </w:r>
      <w:r>
        <w:t>4: 836-9</w:t>
      </w:r>
    </w:p>
    <w:p w:rsidR="004635DD" w:rsidRDefault="004635DD" w:rsidP="004635DD">
      <w:pPr>
        <w:pStyle w:val="BodyText"/>
        <w:spacing w:before="1"/>
      </w:pPr>
    </w:p>
    <w:p w:rsidR="004635DD" w:rsidRDefault="004635DD" w:rsidP="004635DD">
      <w:pPr>
        <w:pStyle w:val="BodyText"/>
        <w:spacing w:line="242" w:lineRule="auto"/>
        <w:ind w:left="1188" w:hanging="812"/>
      </w:pPr>
      <w:r>
        <w:t xml:space="preserve">Thys-Jocos,S.(1989).CalciumSupplementationinPre-MenstrualSyndrome.A Randomized Cross Over trial. </w:t>
      </w:r>
      <w:r>
        <w:rPr>
          <w:i/>
        </w:rPr>
        <w:t xml:space="preserve">Gen. Intern. Med. </w:t>
      </w:r>
      <w:r>
        <w:t>4: 183-9</w:t>
      </w:r>
    </w:p>
    <w:p w:rsidR="004635DD" w:rsidRDefault="004635DD" w:rsidP="004635DD">
      <w:pPr>
        <w:pStyle w:val="BodyText"/>
      </w:pPr>
    </w:p>
    <w:p w:rsidR="004635DD" w:rsidRDefault="004635DD" w:rsidP="004635DD">
      <w:pPr>
        <w:pStyle w:val="BodyText"/>
        <w:spacing w:line="237" w:lineRule="auto"/>
        <w:ind w:left="1457" w:hanging="1080"/>
      </w:pPr>
      <w:r>
        <w:t xml:space="preserve">TimbrellJ.A.,SeabraV.,WaterfieldC.J.(1995).Theinvivoandinvitroprotective properties of taurine. </w:t>
      </w:r>
      <w:r>
        <w:rPr>
          <w:i/>
        </w:rPr>
        <w:t>Gen Pharmac</w:t>
      </w:r>
      <w:r>
        <w:t>. 26:453–62.</w:t>
      </w:r>
    </w:p>
    <w:p w:rsidR="004635DD" w:rsidRDefault="004635DD" w:rsidP="004635DD">
      <w:pPr>
        <w:pStyle w:val="BodyText"/>
        <w:spacing w:before="1"/>
      </w:pPr>
    </w:p>
    <w:p w:rsidR="004635DD" w:rsidRDefault="004635DD" w:rsidP="004635DD">
      <w:pPr>
        <w:pStyle w:val="BodyText"/>
        <w:spacing w:line="242" w:lineRule="auto"/>
        <w:ind w:left="1188" w:right="814" w:hanging="812"/>
      </w:pPr>
      <w:r>
        <w:t xml:space="preserve">Tremblay, A., Masson, E., Leduc, S., Houde, A., Despres, J. P. (1988). Caffeine reducesspontaneous energy intake in men but not in women. </w:t>
      </w:r>
      <w:r>
        <w:rPr>
          <w:i/>
        </w:rPr>
        <w:t xml:space="preserve">Nutr Res </w:t>
      </w:r>
      <w:r>
        <w:t>8: 553–8.</w:t>
      </w:r>
    </w:p>
    <w:p w:rsidR="004635DD" w:rsidRDefault="004635DD" w:rsidP="004635DD">
      <w:pPr>
        <w:pStyle w:val="BodyText"/>
        <w:spacing w:before="9"/>
        <w:rPr>
          <w:sz w:val="23"/>
        </w:rPr>
      </w:pPr>
    </w:p>
    <w:p w:rsidR="004635DD" w:rsidRDefault="004635DD" w:rsidP="004635DD">
      <w:pPr>
        <w:pStyle w:val="BodyText"/>
        <w:spacing w:line="275" w:lineRule="exact"/>
        <w:ind w:left="86" w:right="528"/>
        <w:jc w:val="center"/>
      </w:pPr>
      <w:r>
        <w:t>(USEPA)(UnitedStateEnvironmentalProtectionAgency)(1985).Consumerfact</w:t>
      </w:r>
      <w:r>
        <w:rPr>
          <w:spacing w:val="-2"/>
        </w:rPr>
        <w:t>sheet.</w:t>
      </w:r>
    </w:p>
    <w:p w:rsidR="004635DD" w:rsidRDefault="004635DD" w:rsidP="004635DD">
      <w:pPr>
        <w:pStyle w:val="BodyText"/>
        <w:spacing w:line="275" w:lineRule="exact"/>
        <w:ind w:left="1188"/>
      </w:pPr>
      <w:r>
        <w:t>ProtectionAgency,EnvironmentalCriteriaandAssessmentOffice.Pp10-</w:t>
      </w:r>
      <w:r>
        <w:rPr>
          <w:spacing w:val="-5"/>
        </w:rPr>
        <w:t>20.</w:t>
      </w:r>
    </w:p>
    <w:p w:rsidR="004635DD" w:rsidRDefault="004635DD" w:rsidP="004635DD">
      <w:pPr>
        <w:pStyle w:val="BodyText"/>
      </w:pPr>
    </w:p>
    <w:p w:rsidR="004635DD" w:rsidRDefault="004635DD" w:rsidP="004635DD">
      <w:pPr>
        <w:pStyle w:val="BodyText"/>
        <w:tabs>
          <w:tab w:val="left" w:pos="5220"/>
          <w:tab w:val="left" w:pos="8923"/>
        </w:tabs>
        <w:spacing w:line="276" w:lineRule="auto"/>
        <w:ind w:left="1188" w:right="810" w:hanging="812"/>
      </w:pPr>
      <w:r>
        <w:t xml:space="preserve">(USFDA)(2010).(UnitedStateFoodandDrugAdministrationOverviewofdietary </w:t>
      </w:r>
      <w:r>
        <w:rPr>
          <w:spacing w:val="-2"/>
        </w:rPr>
        <w:t>supplements.</w:t>
      </w:r>
      <w:r>
        <w:tab/>
      </w:r>
      <w:r>
        <w:rPr>
          <w:spacing w:val="-2"/>
        </w:rPr>
        <w:t>Available</w:t>
      </w:r>
      <w:r>
        <w:tab/>
      </w:r>
      <w:r>
        <w:rPr>
          <w:spacing w:val="-4"/>
        </w:rPr>
        <w:t xml:space="preserve">at: </w:t>
      </w:r>
      <w:hyperlink r:id="rId14">
        <w:r>
          <w:rPr>
            <w:color w:val="0000FF"/>
            <w:spacing w:val="-2"/>
            <w:u w:val="single" w:color="0000FF"/>
          </w:rPr>
          <w:t>www.fda.gov/Food/DietarySupplements/ConsumerInformation/ucm110417.htm</w:t>
        </w:r>
      </w:hyperlink>
      <w:r>
        <w:t>Accessed January 17, 2011</w:t>
      </w:r>
    </w:p>
    <w:p w:rsidR="004635DD" w:rsidRDefault="004635DD" w:rsidP="004635DD">
      <w:pPr>
        <w:spacing w:before="205"/>
        <w:ind w:left="1188" w:right="816" w:hanging="812"/>
        <w:jc w:val="both"/>
        <w:rPr>
          <w:sz w:val="24"/>
        </w:rPr>
      </w:pPr>
      <w:r>
        <w:rPr>
          <w:sz w:val="24"/>
        </w:rPr>
        <w:t xml:space="preserve">USDA/HHS, (U.S. Department of Agriculture/U.S. Department of Health and Human Services). 2000. </w:t>
      </w:r>
      <w:r>
        <w:rPr>
          <w:i/>
          <w:sz w:val="24"/>
        </w:rPr>
        <w:t>Nutrition and Your Health: Dietary Guidelines for Americans</w:t>
      </w:r>
      <w:r>
        <w:rPr>
          <w:sz w:val="24"/>
        </w:rPr>
        <w:t>. Washington, DC: U.S. Government Printing Office. Home and Garden Bulletin No. 232.</w:t>
      </w:r>
    </w:p>
    <w:p w:rsidR="004635DD" w:rsidRDefault="004635DD" w:rsidP="004635DD">
      <w:pPr>
        <w:pStyle w:val="BodyText"/>
        <w:spacing w:before="9"/>
        <w:rPr>
          <w:sz w:val="23"/>
        </w:rPr>
      </w:pPr>
    </w:p>
    <w:p w:rsidR="004635DD" w:rsidRDefault="004635DD" w:rsidP="004635DD">
      <w:pPr>
        <w:pStyle w:val="BodyText"/>
        <w:spacing w:line="242" w:lineRule="auto"/>
        <w:ind w:left="1188" w:right="825" w:hanging="812"/>
        <w:jc w:val="both"/>
      </w:pPr>
      <w:r>
        <w:t>Van den Eynde, F., Van Baelen, P. C., Portzky, M.Audenaert, K. (2008). The effects of energy drinks on cognitive performance.Psychiatric, 50(5): 273-281.</w:t>
      </w:r>
    </w:p>
    <w:p w:rsidR="004635DD" w:rsidRDefault="004635DD" w:rsidP="004635DD">
      <w:pPr>
        <w:pStyle w:val="BodyText"/>
        <w:spacing w:before="9"/>
        <w:rPr>
          <w:sz w:val="23"/>
        </w:rPr>
      </w:pPr>
    </w:p>
    <w:p w:rsidR="004635DD" w:rsidRDefault="004635DD" w:rsidP="004635DD">
      <w:pPr>
        <w:pStyle w:val="BodyText"/>
        <w:ind w:left="1188" w:right="813" w:hanging="812"/>
        <w:jc w:val="both"/>
      </w:pPr>
      <w:r>
        <w:t xml:space="preserve">Vartanian, L. R., Schwartz, M.B., Brownell, K.D. (2007). Effects of soft drinkconsumptiononnutritionand health: Asystematic reviewand meta-analysis. </w:t>
      </w:r>
      <w:r>
        <w:rPr>
          <w:i/>
        </w:rPr>
        <w:t>AmJ Public Health</w:t>
      </w:r>
      <w:r>
        <w:t>, 97, 667 - 675.</w:t>
      </w:r>
    </w:p>
    <w:p w:rsidR="004635DD" w:rsidRDefault="004635DD" w:rsidP="004635DD">
      <w:pPr>
        <w:pStyle w:val="BodyText"/>
      </w:pPr>
    </w:p>
    <w:p w:rsidR="004635DD" w:rsidRDefault="004635DD" w:rsidP="004635DD">
      <w:pPr>
        <w:spacing w:line="275" w:lineRule="exact"/>
        <w:ind w:left="90" w:right="528"/>
        <w:jc w:val="center"/>
        <w:rPr>
          <w:i/>
          <w:sz w:val="24"/>
        </w:rPr>
      </w:pPr>
      <w:r>
        <w:rPr>
          <w:sz w:val="24"/>
        </w:rPr>
        <w:t>Wardlaw,G.M.andSmith,A.M.(2009).</w:t>
      </w:r>
      <w:r>
        <w:rPr>
          <w:i/>
          <w:sz w:val="24"/>
        </w:rPr>
        <w:t>Contemporarynutritionafunctional</w:t>
      </w:r>
      <w:r>
        <w:rPr>
          <w:i/>
          <w:spacing w:val="-2"/>
          <w:sz w:val="24"/>
        </w:rPr>
        <w:t>approach.</w:t>
      </w:r>
    </w:p>
    <w:p w:rsidR="004635DD" w:rsidRDefault="004635DD" w:rsidP="004635DD">
      <w:pPr>
        <w:pStyle w:val="BodyText"/>
        <w:spacing w:line="275" w:lineRule="exact"/>
        <w:ind w:left="1188"/>
      </w:pPr>
      <w:r>
        <w:t>NewYork:McGraw-Hill.Pp18-</w:t>
      </w:r>
      <w:r>
        <w:rPr>
          <w:spacing w:val="-5"/>
        </w:rPr>
        <w:t>22.</w:t>
      </w:r>
    </w:p>
    <w:p w:rsidR="004635DD" w:rsidRDefault="004635DD" w:rsidP="004635DD">
      <w:pPr>
        <w:pStyle w:val="BodyText"/>
        <w:spacing w:before="3"/>
      </w:pPr>
    </w:p>
    <w:p w:rsidR="004635DD" w:rsidRDefault="004635DD" w:rsidP="004635DD">
      <w:pPr>
        <w:pStyle w:val="BodyText"/>
        <w:spacing w:line="237" w:lineRule="auto"/>
        <w:ind w:left="1188" w:right="824" w:hanging="812"/>
        <w:jc w:val="both"/>
      </w:pPr>
      <w:r>
        <w:t>WHO, (World Health Organization) (1995).</w:t>
      </w:r>
      <w:r>
        <w:rPr>
          <w:i/>
        </w:rPr>
        <w:t xml:space="preserve">Lead: </w:t>
      </w:r>
      <w:r>
        <w:t>Environmental Health Criteria,: World Health Organization, Geneva. vol. 165.</w:t>
      </w:r>
    </w:p>
    <w:p w:rsidR="004635DD" w:rsidRDefault="004635DD" w:rsidP="004635DD">
      <w:pPr>
        <w:pStyle w:val="BodyText"/>
        <w:spacing w:before="1"/>
      </w:pPr>
    </w:p>
    <w:p w:rsidR="004635DD" w:rsidRDefault="004635DD" w:rsidP="004635DD">
      <w:pPr>
        <w:pStyle w:val="BodyText"/>
        <w:spacing w:line="242" w:lineRule="auto"/>
        <w:ind w:left="1188" w:right="820" w:hanging="812"/>
        <w:jc w:val="both"/>
      </w:pPr>
      <w:r>
        <w:t>WHO, (World Health Organization) (1993). Micronutrient deficiency. Battling iron deficiency anemia [online] Nutritional program. Geneva. vol. 16.</w:t>
      </w:r>
    </w:p>
    <w:p w:rsidR="004635DD" w:rsidRDefault="004635DD" w:rsidP="004635DD">
      <w:pPr>
        <w:spacing w:line="271" w:lineRule="exact"/>
        <w:ind w:left="376"/>
        <w:rPr>
          <w:sz w:val="24"/>
        </w:rPr>
      </w:pPr>
    </w:p>
    <w:p w:rsidR="004635DD" w:rsidRDefault="004635DD" w:rsidP="004635DD">
      <w:pPr>
        <w:pStyle w:val="BodyText"/>
      </w:pPr>
    </w:p>
    <w:p w:rsidR="004635DD" w:rsidRDefault="004635DD" w:rsidP="004635DD">
      <w:pPr>
        <w:jc w:val="both"/>
        <w:sectPr w:rsidR="004635DD">
          <w:pgSz w:w="12240" w:h="15840"/>
          <w:pgMar w:top="1360" w:right="620" w:bottom="1200" w:left="1640" w:header="0" w:footer="1012" w:gutter="0"/>
          <w:cols w:space="720"/>
        </w:sectPr>
      </w:pPr>
    </w:p>
    <w:p w:rsidR="004635DD" w:rsidRDefault="004635DD" w:rsidP="004635DD">
      <w:pPr>
        <w:pStyle w:val="BodyText"/>
        <w:spacing w:before="72"/>
        <w:ind w:left="1188" w:right="813" w:hanging="812"/>
        <w:jc w:val="both"/>
      </w:pPr>
      <w:r>
        <w:lastRenderedPageBreak/>
        <w:t xml:space="preserve">Zheng, G., Sayama, K., Okubo, T., Juneja, L. R., Oguni, I. (2004). Anti-obesity effects of three major components ofgreen tea, catechins, caffeine and theanine, in mice. </w:t>
      </w:r>
      <w:r>
        <w:rPr>
          <w:i/>
        </w:rPr>
        <w:t xml:space="preserve">In Vivo, </w:t>
      </w:r>
      <w:r>
        <w:t>18: 55–62.</w:t>
      </w:r>
    </w:p>
    <w:p w:rsidR="004635DD" w:rsidRDefault="004635DD" w:rsidP="004635DD">
      <w:pPr>
        <w:pStyle w:val="BodyText"/>
        <w:spacing w:before="1"/>
      </w:pPr>
    </w:p>
    <w:p w:rsidR="004635DD" w:rsidRDefault="004635DD" w:rsidP="004635DD">
      <w:pPr>
        <w:pStyle w:val="BodyText"/>
        <w:ind w:left="1188" w:right="826" w:hanging="812"/>
        <w:jc w:val="both"/>
      </w:pPr>
      <w:r>
        <w:t xml:space="preserve">Zołtaszek, R., Hanausek, M., Kilian´ska, Z. M., Walaszek, Z. (2008). The biological roleof D-glucaric acid and its derivatives: potential use in medicine [in Polish]. </w:t>
      </w:r>
      <w:r>
        <w:rPr>
          <w:i/>
        </w:rPr>
        <w:t>PostepyHig Med Dosw (Online)</w:t>
      </w:r>
      <w:r>
        <w:t>. 62: 451-462.</w:t>
      </w:r>
    </w:p>
    <w:p w:rsidR="004635DD" w:rsidRPr="005E3800" w:rsidRDefault="004635DD" w:rsidP="00EB08CC">
      <w:pPr>
        <w:pStyle w:val="BodyText"/>
        <w:spacing w:before="170" w:line="480" w:lineRule="auto"/>
        <w:ind w:right="810"/>
        <w:jc w:val="both"/>
        <w:rPr>
          <w:b/>
          <w:bCs/>
        </w:rPr>
      </w:pPr>
    </w:p>
    <w:sectPr w:rsidR="004635DD" w:rsidRPr="005E3800" w:rsidSect="00C230C8">
      <w:footerReference w:type="default" r:id="rId15"/>
      <w:pgSz w:w="12240" w:h="15840"/>
      <w:pgMar w:top="1440" w:right="576"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66E8" w:rsidRDefault="000466E8" w:rsidP="00EC5628">
      <w:pPr>
        <w:spacing w:after="0" w:line="240" w:lineRule="auto"/>
      </w:pPr>
      <w:r>
        <w:separator/>
      </w:r>
    </w:p>
  </w:endnote>
  <w:endnote w:type="continuationSeparator" w:id="1">
    <w:p w:rsidR="000466E8" w:rsidRDefault="000466E8" w:rsidP="00EC56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default"/>
    <w:sig w:usb0="00000000"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7083037"/>
      <w:docPartObj>
        <w:docPartGallery w:val="Page Numbers (Bottom of Page)"/>
        <w:docPartUnique/>
      </w:docPartObj>
    </w:sdtPr>
    <w:sdtEndPr>
      <w:rPr>
        <w:noProof/>
      </w:rPr>
    </w:sdtEndPr>
    <w:sdtContent>
      <w:p w:rsidR="00B560FA" w:rsidRDefault="00A665CF">
        <w:pPr>
          <w:pStyle w:val="Footer"/>
          <w:jc w:val="center"/>
        </w:pPr>
        <w:fldSimple w:instr=" PAGE   \* MERGEFORMAT ">
          <w:r w:rsidR="00EE02A2">
            <w:rPr>
              <w:noProof/>
            </w:rPr>
            <w:t>1</w:t>
          </w:r>
        </w:fldSimple>
      </w:p>
    </w:sdtContent>
  </w:sdt>
  <w:p w:rsidR="00B560FA" w:rsidRDefault="00B560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0FA" w:rsidRDefault="00A665CF">
    <w:pPr>
      <w:pStyle w:val="Footer"/>
      <w:jc w:val="center"/>
    </w:pPr>
    <w:fldSimple w:instr=" PAGE   \* MERGEFORMAT ">
      <w:r w:rsidR="00B865C3">
        <w:rPr>
          <w:noProof/>
        </w:rPr>
        <w:t>62</w:t>
      </w:r>
    </w:fldSimple>
  </w:p>
  <w:p w:rsidR="00B560FA" w:rsidRDefault="00B560FA">
    <w:pPr>
      <w:pStyle w:val="Footer"/>
    </w:pPr>
  </w:p>
  <w:p w:rsidR="00B560FA" w:rsidRDefault="00B560F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66E8" w:rsidRDefault="000466E8" w:rsidP="00EC5628">
      <w:pPr>
        <w:spacing w:after="0" w:line="240" w:lineRule="auto"/>
      </w:pPr>
      <w:r>
        <w:separator/>
      </w:r>
    </w:p>
  </w:footnote>
  <w:footnote w:type="continuationSeparator" w:id="1">
    <w:p w:rsidR="000466E8" w:rsidRDefault="000466E8" w:rsidP="00EC56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823BA"/>
    <w:multiLevelType w:val="multilevel"/>
    <w:tmpl w:val="B07C0EE2"/>
    <w:lvl w:ilvl="0">
      <w:start w:val="3"/>
      <w:numFmt w:val="decimal"/>
      <w:lvlText w:val="%1"/>
      <w:lvlJc w:val="left"/>
      <w:pPr>
        <w:ind w:left="1097" w:hanging="720"/>
      </w:pPr>
      <w:rPr>
        <w:rFonts w:hint="default"/>
        <w:lang w:val="en-US" w:eastAsia="en-US" w:bidi="ar-SA"/>
      </w:rPr>
    </w:lvl>
    <w:lvl w:ilvl="1">
      <w:numFmt w:val="decimal"/>
      <w:lvlText w:val="%1.%2"/>
      <w:lvlJc w:val="left"/>
      <w:pPr>
        <w:ind w:left="1097" w:hanging="72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377" w:hanging="720"/>
      </w:pPr>
      <w:rPr>
        <w:rFonts w:ascii="Times New Roman" w:eastAsia="Times New Roman" w:hAnsi="Times New Roman" w:cs="Times New Roman" w:hint="default"/>
        <w:b/>
        <w:bCs/>
        <w:i w:val="0"/>
        <w:iCs w:val="0"/>
        <w:w w:val="100"/>
        <w:sz w:val="24"/>
        <w:szCs w:val="24"/>
        <w:lang w:val="en-US" w:eastAsia="en-US" w:bidi="ar-SA"/>
      </w:rPr>
    </w:lvl>
    <w:lvl w:ilvl="3">
      <w:start w:val="1"/>
      <w:numFmt w:val="decimal"/>
      <w:lvlText w:val="%1.%2.%3.%4"/>
      <w:lvlJc w:val="left"/>
      <w:pPr>
        <w:ind w:left="1097" w:hanging="720"/>
      </w:pPr>
      <w:rPr>
        <w:rFonts w:ascii="Times New Roman" w:eastAsia="Times New Roman" w:hAnsi="Times New Roman" w:cs="Times New Roman" w:hint="default"/>
        <w:b/>
        <w:bCs/>
        <w:i w:val="0"/>
        <w:iCs w:val="0"/>
        <w:spacing w:val="-5"/>
        <w:w w:val="100"/>
        <w:sz w:val="24"/>
        <w:szCs w:val="24"/>
        <w:lang w:val="en-US" w:eastAsia="en-US" w:bidi="ar-SA"/>
      </w:rPr>
    </w:lvl>
    <w:lvl w:ilvl="4">
      <w:numFmt w:val="bullet"/>
      <w:lvlText w:val="•"/>
      <w:lvlJc w:val="left"/>
      <w:pPr>
        <w:ind w:left="4060" w:hanging="720"/>
      </w:pPr>
      <w:rPr>
        <w:rFonts w:hint="default"/>
        <w:lang w:val="en-US" w:eastAsia="en-US" w:bidi="ar-SA"/>
      </w:rPr>
    </w:lvl>
    <w:lvl w:ilvl="5">
      <w:numFmt w:val="bullet"/>
      <w:lvlText w:val="•"/>
      <w:lvlJc w:val="left"/>
      <w:pPr>
        <w:ind w:left="5046" w:hanging="720"/>
      </w:pPr>
      <w:rPr>
        <w:rFonts w:hint="default"/>
        <w:lang w:val="en-US" w:eastAsia="en-US" w:bidi="ar-SA"/>
      </w:rPr>
    </w:lvl>
    <w:lvl w:ilvl="6">
      <w:numFmt w:val="bullet"/>
      <w:lvlText w:val="•"/>
      <w:lvlJc w:val="left"/>
      <w:pPr>
        <w:ind w:left="6033" w:hanging="720"/>
      </w:pPr>
      <w:rPr>
        <w:rFonts w:hint="default"/>
        <w:lang w:val="en-US" w:eastAsia="en-US" w:bidi="ar-SA"/>
      </w:rPr>
    </w:lvl>
    <w:lvl w:ilvl="7">
      <w:numFmt w:val="bullet"/>
      <w:lvlText w:val="•"/>
      <w:lvlJc w:val="left"/>
      <w:pPr>
        <w:ind w:left="7020" w:hanging="720"/>
      </w:pPr>
      <w:rPr>
        <w:rFonts w:hint="default"/>
        <w:lang w:val="en-US" w:eastAsia="en-US" w:bidi="ar-SA"/>
      </w:rPr>
    </w:lvl>
    <w:lvl w:ilvl="8">
      <w:numFmt w:val="bullet"/>
      <w:lvlText w:val="•"/>
      <w:lvlJc w:val="left"/>
      <w:pPr>
        <w:ind w:left="8006" w:hanging="720"/>
      </w:pPr>
      <w:rPr>
        <w:rFonts w:hint="default"/>
        <w:lang w:val="en-US" w:eastAsia="en-US" w:bidi="ar-SA"/>
      </w:rPr>
    </w:lvl>
  </w:abstractNum>
  <w:abstractNum w:abstractNumId="1">
    <w:nsid w:val="06A217FE"/>
    <w:multiLevelType w:val="multilevel"/>
    <w:tmpl w:val="B07C0EE2"/>
    <w:lvl w:ilvl="0">
      <w:start w:val="3"/>
      <w:numFmt w:val="decimal"/>
      <w:lvlText w:val="%1"/>
      <w:lvlJc w:val="left"/>
      <w:pPr>
        <w:ind w:left="1097" w:hanging="720"/>
      </w:pPr>
      <w:rPr>
        <w:rFonts w:hint="default"/>
        <w:lang w:val="en-US" w:eastAsia="en-US" w:bidi="ar-SA"/>
      </w:rPr>
    </w:lvl>
    <w:lvl w:ilvl="1">
      <w:numFmt w:val="decimal"/>
      <w:lvlText w:val="%1.%2"/>
      <w:lvlJc w:val="left"/>
      <w:pPr>
        <w:ind w:left="1097" w:hanging="72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377" w:hanging="720"/>
      </w:pPr>
      <w:rPr>
        <w:rFonts w:ascii="Times New Roman" w:eastAsia="Times New Roman" w:hAnsi="Times New Roman" w:cs="Times New Roman" w:hint="default"/>
        <w:b/>
        <w:bCs/>
        <w:i w:val="0"/>
        <w:iCs w:val="0"/>
        <w:w w:val="100"/>
        <w:sz w:val="24"/>
        <w:szCs w:val="24"/>
        <w:lang w:val="en-US" w:eastAsia="en-US" w:bidi="ar-SA"/>
      </w:rPr>
    </w:lvl>
    <w:lvl w:ilvl="3">
      <w:start w:val="1"/>
      <w:numFmt w:val="decimal"/>
      <w:lvlText w:val="%1.%2.%3.%4"/>
      <w:lvlJc w:val="left"/>
      <w:pPr>
        <w:ind w:left="1097" w:hanging="720"/>
      </w:pPr>
      <w:rPr>
        <w:rFonts w:ascii="Times New Roman" w:eastAsia="Times New Roman" w:hAnsi="Times New Roman" w:cs="Times New Roman" w:hint="default"/>
        <w:b/>
        <w:bCs/>
        <w:i w:val="0"/>
        <w:iCs w:val="0"/>
        <w:spacing w:val="-5"/>
        <w:w w:val="100"/>
        <w:sz w:val="24"/>
        <w:szCs w:val="24"/>
        <w:lang w:val="en-US" w:eastAsia="en-US" w:bidi="ar-SA"/>
      </w:rPr>
    </w:lvl>
    <w:lvl w:ilvl="4">
      <w:numFmt w:val="bullet"/>
      <w:lvlText w:val="•"/>
      <w:lvlJc w:val="left"/>
      <w:pPr>
        <w:ind w:left="4060" w:hanging="720"/>
      </w:pPr>
      <w:rPr>
        <w:rFonts w:hint="default"/>
        <w:lang w:val="en-US" w:eastAsia="en-US" w:bidi="ar-SA"/>
      </w:rPr>
    </w:lvl>
    <w:lvl w:ilvl="5">
      <w:numFmt w:val="bullet"/>
      <w:lvlText w:val="•"/>
      <w:lvlJc w:val="left"/>
      <w:pPr>
        <w:ind w:left="5046" w:hanging="720"/>
      </w:pPr>
      <w:rPr>
        <w:rFonts w:hint="default"/>
        <w:lang w:val="en-US" w:eastAsia="en-US" w:bidi="ar-SA"/>
      </w:rPr>
    </w:lvl>
    <w:lvl w:ilvl="6">
      <w:numFmt w:val="bullet"/>
      <w:lvlText w:val="•"/>
      <w:lvlJc w:val="left"/>
      <w:pPr>
        <w:ind w:left="6033" w:hanging="720"/>
      </w:pPr>
      <w:rPr>
        <w:rFonts w:hint="default"/>
        <w:lang w:val="en-US" w:eastAsia="en-US" w:bidi="ar-SA"/>
      </w:rPr>
    </w:lvl>
    <w:lvl w:ilvl="7">
      <w:numFmt w:val="bullet"/>
      <w:lvlText w:val="•"/>
      <w:lvlJc w:val="left"/>
      <w:pPr>
        <w:ind w:left="7020" w:hanging="720"/>
      </w:pPr>
      <w:rPr>
        <w:rFonts w:hint="default"/>
        <w:lang w:val="en-US" w:eastAsia="en-US" w:bidi="ar-SA"/>
      </w:rPr>
    </w:lvl>
    <w:lvl w:ilvl="8">
      <w:numFmt w:val="bullet"/>
      <w:lvlText w:val="•"/>
      <w:lvlJc w:val="left"/>
      <w:pPr>
        <w:ind w:left="8006" w:hanging="720"/>
      </w:pPr>
      <w:rPr>
        <w:rFonts w:hint="default"/>
        <w:lang w:val="en-US" w:eastAsia="en-US" w:bidi="ar-SA"/>
      </w:rPr>
    </w:lvl>
  </w:abstractNum>
  <w:abstractNum w:abstractNumId="2">
    <w:nsid w:val="0B4A4DDD"/>
    <w:multiLevelType w:val="multilevel"/>
    <w:tmpl w:val="711E1288"/>
    <w:lvl w:ilvl="0">
      <w:start w:val="6"/>
      <w:numFmt w:val="decimal"/>
      <w:lvlText w:val="%1"/>
      <w:lvlJc w:val="left"/>
      <w:pPr>
        <w:ind w:left="1097" w:hanging="720"/>
        <w:jc w:val="left"/>
      </w:pPr>
      <w:rPr>
        <w:rFonts w:hint="default"/>
        <w:lang w:val="en-US" w:eastAsia="en-US" w:bidi="ar-SA"/>
      </w:rPr>
    </w:lvl>
    <w:lvl w:ilvl="1">
      <w:numFmt w:val="decimal"/>
      <w:lvlText w:val="%1.%2"/>
      <w:lvlJc w:val="left"/>
      <w:pPr>
        <w:ind w:left="1097" w:hanging="720"/>
        <w:jc w:val="left"/>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2876" w:hanging="720"/>
      </w:pPr>
      <w:rPr>
        <w:rFonts w:hint="default"/>
        <w:lang w:val="en-US" w:eastAsia="en-US" w:bidi="ar-SA"/>
      </w:rPr>
    </w:lvl>
    <w:lvl w:ilvl="3">
      <w:numFmt w:val="bullet"/>
      <w:lvlText w:val="•"/>
      <w:lvlJc w:val="left"/>
      <w:pPr>
        <w:ind w:left="3764" w:hanging="720"/>
      </w:pPr>
      <w:rPr>
        <w:rFonts w:hint="default"/>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3">
    <w:nsid w:val="131B1F4A"/>
    <w:multiLevelType w:val="multilevel"/>
    <w:tmpl w:val="1CB487D8"/>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0384B11"/>
    <w:multiLevelType w:val="multilevel"/>
    <w:tmpl w:val="2D522052"/>
    <w:lvl w:ilvl="0">
      <w:start w:val="3"/>
      <w:numFmt w:val="decimal"/>
      <w:lvlText w:val="%1"/>
      <w:lvlJc w:val="left"/>
      <w:pPr>
        <w:ind w:left="420" w:hanging="420"/>
      </w:pPr>
      <w:rPr>
        <w:rFonts w:hint="default"/>
      </w:rPr>
    </w:lvl>
    <w:lvl w:ilvl="1">
      <w:start w:val="2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73A1BFE"/>
    <w:multiLevelType w:val="multilevel"/>
    <w:tmpl w:val="51AE012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7FB154F"/>
    <w:multiLevelType w:val="multilevel"/>
    <w:tmpl w:val="580419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0266BD4"/>
    <w:multiLevelType w:val="multilevel"/>
    <w:tmpl w:val="FF3C65F6"/>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57E5E8E"/>
    <w:multiLevelType w:val="multilevel"/>
    <w:tmpl w:val="B07C0EE2"/>
    <w:lvl w:ilvl="0">
      <w:start w:val="3"/>
      <w:numFmt w:val="decimal"/>
      <w:lvlText w:val="%1"/>
      <w:lvlJc w:val="left"/>
      <w:pPr>
        <w:ind w:left="1097" w:hanging="720"/>
      </w:pPr>
      <w:rPr>
        <w:rFonts w:hint="default"/>
        <w:lang w:val="en-US" w:eastAsia="en-US" w:bidi="ar-SA"/>
      </w:rPr>
    </w:lvl>
    <w:lvl w:ilvl="1">
      <w:numFmt w:val="decimal"/>
      <w:lvlText w:val="%1.%2"/>
      <w:lvlJc w:val="left"/>
      <w:pPr>
        <w:ind w:left="1097" w:hanging="72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377" w:hanging="720"/>
      </w:pPr>
      <w:rPr>
        <w:rFonts w:ascii="Times New Roman" w:eastAsia="Times New Roman" w:hAnsi="Times New Roman" w:cs="Times New Roman" w:hint="default"/>
        <w:b/>
        <w:bCs/>
        <w:i w:val="0"/>
        <w:iCs w:val="0"/>
        <w:w w:val="100"/>
        <w:sz w:val="24"/>
        <w:szCs w:val="24"/>
        <w:lang w:val="en-US" w:eastAsia="en-US" w:bidi="ar-SA"/>
      </w:rPr>
    </w:lvl>
    <w:lvl w:ilvl="3">
      <w:start w:val="1"/>
      <w:numFmt w:val="decimal"/>
      <w:lvlText w:val="%1.%2.%3.%4"/>
      <w:lvlJc w:val="left"/>
      <w:pPr>
        <w:ind w:left="1097" w:hanging="720"/>
      </w:pPr>
      <w:rPr>
        <w:rFonts w:ascii="Times New Roman" w:eastAsia="Times New Roman" w:hAnsi="Times New Roman" w:cs="Times New Roman" w:hint="default"/>
        <w:b/>
        <w:bCs/>
        <w:i w:val="0"/>
        <w:iCs w:val="0"/>
        <w:spacing w:val="-5"/>
        <w:w w:val="100"/>
        <w:sz w:val="24"/>
        <w:szCs w:val="24"/>
        <w:lang w:val="en-US" w:eastAsia="en-US" w:bidi="ar-SA"/>
      </w:rPr>
    </w:lvl>
    <w:lvl w:ilvl="4">
      <w:numFmt w:val="bullet"/>
      <w:lvlText w:val="•"/>
      <w:lvlJc w:val="left"/>
      <w:pPr>
        <w:ind w:left="4060" w:hanging="720"/>
      </w:pPr>
      <w:rPr>
        <w:rFonts w:hint="default"/>
        <w:lang w:val="en-US" w:eastAsia="en-US" w:bidi="ar-SA"/>
      </w:rPr>
    </w:lvl>
    <w:lvl w:ilvl="5">
      <w:numFmt w:val="bullet"/>
      <w:lvlText w:val="•"/>
      <w:lvlJc w:val="left"/>
      <w:pPr>
        <w:ind w:left="5046" w:hanging="720"/>
      </w:pPr>
      <w:rPr>
        <w:rFonts w:hint="default"/>
        <w:lang w:val="en-US" w:eastAsia="en-US" w:bidi="ar-SA"/>
      </w:rPr>
    </w:lvl>
    <w:lvl w:ilvl="6">
      <w:numFmt w:val="bullet"/>
      <w:lvlText w:val="•"/>
      <w:lvlJc w:val="left"/>
      <w:pPr>
        <w:ind w:left="6033" w:hanging="720"/>
      </w:pPr>
      <w:rPr>
        <w:rFonts w:hint="default"/>
        <w:lang w:val="en-US" w:eastAsia="en-US" w:bidi="ar-SA"/>
      </w:rPr>
    </w:lvl>
    <w:lvl w:ilvl="7">
      <w:numFmt w:val="bullet"/>
      <w:lvlText w:val="•"/>
      <w:lvlJc w:val="left"/>
      <w:pPr>
        <w:ind w:left="7020" w:hanging="720"/>
      </w:pPr>
      <w:rPr>
        <w:rFonts w:hint="default"/>
        <w:lang w:val="en-US" w:eastAsia="en-US" w:bidi="ar-SA"/>
      </w:rPr>
    </w:lvl>
    <w:lvl w:ilvl="8">
      <w:numFmt w:val="bullet"/>
      <w:lvlText w:val="•"/>
      <w:lvlJc w:val="left"/>
      <w:pPr>
        <w:ind w:left="8006" w:hanging="720"/>
      </w:pPr>
      <w:rPr>
        <w:rFonts w:hint="default"/>
        <w:lang w:val="en-US" w:eastAsia="en-US" w:bidi="ar-SA"/>
      </w:rPr>
    </w:lvl>
  </w:abstractNum>
  <w:abstractNum w:abstractNumId="9">
    <w:nsid w:val="380E2703"/>
    <w:multiLevelType w:val="hybridMultilevel"/>
    <w:tmpl w:val="B9D475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6A2753"/>
    <w:multiLevelType w:val="multilevel"/>
    <w:tmpl w:val="602A92BC"/>
    <w:lvl w:ilvl="0">
      <w:start w:val="2"/>
      <w:numFmt w:val="decimal"/>
      <w:lvlText w:val="%1"/>
      <w:lvlJc w:val="left"/>
      <w:pPr>
        <w:ind w:left="1097" w:hanging="720"/>
        <w:jc w:val="left"/>
      </w:pPr>
      <w:rPr>
        <w:rFonts w:hint="default"/>
        <w:lang w:val="en-US" w:eastAsia="en-US" w:bidi="ar-SA"/>
      </w:rPr>
    </w:lvl>
    <w:lvl w:ilvl="1">
      <w:numFmt w:val="decimal"/>
      <w:lvlText w:val="%1.%2"/>
      <w:lvlJc w:val="left"/>
      <w:pPr>
        <w:ind w:left="1097" w:hanging="720"/>
        <w:jc w:val="left"/>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097" w:hanging="720"/>
        <w:jc w:val="left"/>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764" w:hanging="720"/>
      </w:pPr>
      <w:rPr>
        <w:rFonts w:hint="default"/>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11">
    <w:nsid w:val="3C1C4CD0"/>
    <w:multiLevelType w:val="multilevel"/>
    <w:tmpl w:val="9DDA33F0"/>
    <w:lvl w:ilvl="0">
      <w:start w:val="3"/>
      <w:numFmt w:val="decimal"/>
      <w:lvlText w:val="%1"/>
      <w:lvlJc w:val="left"/>
      <w:pPr>
        <w:ind w:left="1097" w:hanging="720"/>
        <w:jc w:val="left"/>
      </w:pPr>
      <w:rPr>
        <w:rFonts w:hint="default"/>
        <w:lang w:val="en-US" w:eastAsia="en-US" w:bidi="ar-SA"/>
      </w:rPr>
    </w:lvl>
    <w:lvl w:ilvl="1">
      <w:numFmt w:val="decimal"/>
      <w:lvlText w:val="%1.%2"/>
      <w:lvlJc w:val="left"/>
      <w:pPr>
        <w:ind w:left="1097" w:hanging="720"/>
        <w:jc w:val="left"/>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097" w:hanging="720"/>
        <w:jc w:val="left"/>
      </w:pPr>
      <w:rPr>
        <w:rFonts w:ascii="Times New Roman" w:eastAsia="Times New Roman" w:hAnsi="Times New Roman" w:cs="Times New Roman" w:hint="default"/>
        <w:b w:val="0"/>
        <w:bCs w:val="0"/>
        <w:i w:val="0"/>
        <w:iCs w:val="0"/>
        <w:w w:val="100"/>
        <w:sz w:val="24"/>
        <w:szCs w:val="24"/>
        <w:lang w:val="en-US" w:eastAsia="en-US" w:bidi="ar-SA"/>
      </w:rPr>
    </w:lvl>
    <w:lvl w:ilvl="3">
      <w:start w:val="1"/>
      <w:numFmt w:val="decimal"/>
      <w:lvlText w:val="%1.%2.%3.%4"/>
      <w:lvlJc w:val="left"/>
      <w:pPr>
        <w:ind w:left="1097" w:hanging="720"/>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12">
    <w:nsid w:val="4784445B"/>
    <w:multiLevelType w:val="multilevel"/>
    <w:tmpl w:val="F0300D2E"/>
    <w:lvl w:ilvl="0">
      <w:start w:val="6"/>
      <w:numFmt w:val="decimal"/>
      <w:lvlText w:val="%1"/>
      <w:lvlJc w:val="left"/>
      <w:pPr>
        <w:ind w:left="1097" w:hanging="720"/>
        <w:jc w:val="left"/>
      </w:pPr>
      <w:rPr>
        <w:rFonts w:hint="default"/>
        <w:lang w:val="en-US" w:eastAsia="en-US" w:bidi="ar-SA"/>
      </w:rPr>
    </w:lvl>
    <w:lvl w:ilvl="1">
      <w:numFmt w:val="decimal"/>
      <w:lvlText w:val="%1.%2"/>
      <w:lvlJc w:val="left"/>
      <w:pPr>
        <w:ind w:left="1097" w:hanging="720"/>
        <w:jc w:val="left"/>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2876" w:hanging="720"/>
      </w:pPr>
      <w:rPr>
        <w:rFonts w:hint="default"/>
        <w:lang w:val="en-US" w:eastAsia="en-US" w:bidi="ar-SA"/>
      </w:rPr>
    </w:lvl>
    <w:lvl w:ilvl="3">
      <w:numFmt w:val="bullet"/>
      <w:lvlText w:val="•"/>
      <w:lvlJc w:val="left"/>
      <w:pPr>
        <w:ind w:left="3764" w:hanging="720"/>
      </w:pPr>
      <w:rPr>
        <w:rFonts w:hint="default"/>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13">
    <w:nsid w:val="491A36BD"/>
    <w:multiLevelType w:val="multilevel"/>
    <w:tmpl w:val="17BCD43C"/>
    <w:lvl w:ilvl="0">
      <w:start w:val="5"/>
      <w:numFmt w:val="decimal"/>
      <w:lvlText w:val="%1"/>
      <w:lvlJc w:val="left"/>
      <w:pPr>
        <w:ind w:left="1188" w:hanging="812"/>
        <w:jc w:val="left"/>
      </w:pPr>
      <w:rPr>
        <w:rFonts w:hint="default"/>
        <w:lang w:val="en-US" w:eastAsia="en-US" w:bidi="ar-SA"/>
      </w:rPr>
    </w:lvl>
    <w:lvl w:ilvl="1">
      <w:numFmt w:val="decimal"/>
      <w:lvlText w:val="%1.%2"/>
      <w:lvlJc w:val="left"/>
      <w:pPr>
        <w:ind w:left="1188" w:hanging="812"/>
        <w:jc w:val="left"/>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188" w:hanging="812"/>
        <w:jc w:val="left"/>
      </w:pPr>
      <w:rPr>
        <w:rFonts w:ascii="Times New Roman" w:eastAsia="Times New Roman" w:hAnsi="Times New Roman" w:cs="Times New Roman" w:hint="default"/>
        <w:b w:val="0"/>
        <w:bCs w:val="0"/>
        <w:i w:val="0"/>
        <w:iCs w:val="0"/>
        <w:w w:val="100"/>
        <w:sz w:val="24"/>
        <w:szCs w:val="24"/>
        <w:lang w:val="en-US" w:eastAsia="en-US" w:bidi="ar-SA"/>
      </w:rPr>
    </w:lvl>
    <w:lvl w:ilvl="3">
      <w:start w:val="1"/>
      <w:numFmt w:val="decimal"/>
      <w:lvlText w:val="%1.%2.%3.%4"/>
      <w:lvlJc w:val="left"/>
      <w:pPr>
        <w:ind w:left="1188" w:hanging="812"/>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4">
      <w:numFmt w:val="bullet"/>
      <w:lvlText w:val="•"/>
      <w:lvlJc w:val="left"/>
      <w:pPr>
        <w:ind w:left="3440" w:hanging="812"/>
      </w:pPr>
      <w:rPr>
        <w:rFonts w:hint="default"/>
        <w:lang w:val="en-US" w:eastAsia="en-US" w:bidi="ar-SA"/>
      </w:rPr>
    </w:lvl>
    <w:lvl w:ilvl="5">
      <w:numFmt w:val="bullet"/>
      <w:lvlText w:val="•"/>
      <w:lvlJc w:val="left"/>
      <w:pPr>
        <w:ind w:left="4530" w:hanging="812"/>
      </w:pPr>
      <w:rPr>
        <w:rFonts w:hint="default"/>
        <w:lang w:val="en-US" w:eastAsia="en-US" w:bidi="ar-SA"/>
      </w:rPr>
    </w:lvl>
    <w:lvl w:ilvl="6">
      <w:numFmt w:val="bullet"/>
      <w:lvlText w:val="•"/>
      <w:lvlJc w:val="left"/>
      <w:pPr>
        <w:ind w:left="5620" w:hanging="812"/>
      </w:pPr>
      <w:rPr>
        <w:rFonts w:hint="default"/>
        <w:lang w:val="en-US" w:eastAsia="en-US" w:bidi="ar-SA"/>
      </w:rPr>
    </w:lvl>
    <w:lvl w:ilvl="7">
      <w:numFmt w:val="bullet"/>
      <w:lvlText w:val="•"/>
      <w:lvlJc w:val="left"/>
      <w:pPr>
        <w:ind w:left="6710" w:hanging="812"/>
      </w:pPr>
      <w:rPr>
        <w:rFonts w:hint="default"/>
        <w:lang w:val="en-US" w:eastAsia="en-US" w:bidi="ar-SA"/>
      </w:rPr>
    </w:lvl>
    <w:lvl w:ilvl="8">
      <w:numFmt w:val="bullet"/>
      <w:lvlText w:val="•"/>
      <w:lvlJc w:val="left"/>
      <w:pPr>
        <w:ind w:left="7800" w:hanging="812"/>
      </w:pPr>
      <w:rPr>
        <w:rFonts w:hint="default"/>
        <w:lang w:val="en-US" w:eastAsia="en-US" w:bidi="ar-SA"/>
      </w:rPr>
    </w:lvl>
  </w:abstractNum>
  <w:abstractNum w:abstractNumId="14">
    <w:nsid w:val="522765D1"/>
    <w:multiLevelType w:val="multilevel"/>
    <w:tmpl w:val="8820BE04"/>
    <w:lvl w:ilvl="0">
      <w:start w:val="2"/>
      <w:numFmt w:val="decimal"/>
      <w:lvlText w:val="%1"/>
      <w:lvlJc w:val="left"/>
      <w:pPr>
        <w:ind w:left="1097" w:hanging="720"/>
      </w:pPr>
      <w:rPr>
        <w:rFonts w:hint="default"/>
        <w:lang w:val="en-US" w:eastAsia="en-US" w:bidi="ar-SA"/>
      </w:rPr>
    </w:lvl>
    <w:lvl w:ilvl="1">
      <w:numFmt w:val="decimal"/>
      <w:lvlText w:val="%1.%2"/>
      <w:lvlJc w:val="left"/>
      <w:pPr>
        <w:ind w:left="1097" w:hanging="720"/>
      </w:pPr>
      <w:rPr>
        <w:rFonts w:hint="default"/>
        <w:w w:val="99"/>
        <w:lang w:val="en-US" w:eastAsia="en-US" w:bidi="ar-SA"/>
      </w:rPr>
    </w:lvl>
    <w:lvl w:ilvl="2">
      <w:start w:val="1"/>
      <w:numFmt w:val="decimal"/>
      <w:lvlText w:val="%1.%2.%3"/>
      <w:lvlJc w:val="left"/>
      <w:pPr>
        <w:ind w:left="720" w:hanging="720"/>
      </w:pPr>
      <w:rPr>
        <w:rFonts w:ascii="Times New Roman" w:eastAsia="Times New Roman" w:hAnsi="Times New Roman" w:cs="Times New Roman" w:hint="default"/>
        <w:b/>
        <w:bCs/>
        <w:i w:val="0"/>
        <w:iCs w:val="0"/>
        <w:w w:val="100"/>
        <w:sz w:val="24"/>
        <w:szCs w:val="24"/>
        <w:lang w:val="en-US" w:eastAsia="en-US" w:bidi="ar-SA"/>
      </w:rPr>
    </w:lvl>
    <w:lvl w:ilvl="3">
      <w:numFmt w:val="bullet"/>
      <w:lvlText w:val="•"/>
      <w:lvlJc w:val="left"/>
      <w:pPr>
        <w:ind w:left="3764" w:hanging="720"/>
      </w:pPr>
      <w:rPr>
        <w:rFonts w:hint="default"/>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15">
    <w:nsid w:val="54CE3B17"/>
    <w:multiLevelType w:val="multilevel"/>
    <w:tmpl w:val="20081FF2"/>
    <w:lvl w:ilvl="0">
      <w:start w:val="3"/>
      <w:numFmt w:val="decimal"/>
      <w:lvlText w:val="%1"/>
      <w:lvlJc w:val="left"/>
      <w:pPr>
        <w:ind w:left="1097" w:hanging="720"/>
        <w:jc w:val="left"/>
      </w:pPr>
      <w:rPr>
        <w:rFonts w:hint="default"/>
        <w:lang w:val="en-US" w:eastAsia="en-US" w:bidi="ar-SA"/>
      </w:rPr>
    </w:lvl>
    <w:lvl w:ilvl="1">
      <w:start w:val="5"/>
      <w:numFmt w:val="decimal"/>
      <w:lvlText w:val="%1.%2"/>
      <w:lvlJc w:val="left"/>
      <w:pPr>
        <w:ind w:left="1097" w:hanging="720"/>
        <w:jc w:val="left"/>
      </w:pPr>
      <w:rPr>
        <w:rFonts w:hint="default"/>
        <w:lang w:val="en-US" w:eastAsia="en-US" w:bidi="ar-SA"/>
      </w:rPr>
    </w:lvl>
    <w:lvl w:ilvl="2">
      <w:start w:val="4"/>
      <w:numFmt w:val="decimal"/>
      <w:lvlText w:val="%1.%2.%3"/>
      <w:lvlJc w:val="left"/>
      <w:pPr>
        <w:ind w:left="1097" w:hanging="720"/>
        <w:jc w:val="left"/>
      </w:pPr>
      <w:rPr>
        <w:rFonts w:ascii="Times New Roman" w:eastAsia="Times New Roman" w:hAnsi="Times New Roman" w:cs="Times New Roman" w:hint="default"/>
        <w:b/>
        <w:bCs/>
        <w:i w:val="0"/>
        <w:iCs w:val="0"/>
        <w:w w:val="100"/>
        <w:sz w:val="24"/>
        <w:szCs w:val="24"/>
        <w:lang w:val="en-US" w:eastAsia="en-US" w:bidi="ar-SA"/>
      </w:rPr>
    </w:lvl>
    <w:lvl w:ilvl="3">
      <w:numFmt w:val="bullet"/>
      <w:lvlText w:val="•"/>
      <w:lvlJc w:val="left"/>
      <w:pPr>
        <w:ind w:left="3764" w:hanging="720"/>
      </w:pPr>
      <w:rPr>
        <w:rFonts w:hint="default"/>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16">
    <w:nsid w:val="58B55D94"/>
    <w:multiLevelType w:val="multilevel"/>
    <w:tmpl w:val="DE446A36"/>
    <w:lvl w:ilvl="0">
      <w:start w:val="1"/>
      <w:numFmt w:val="decimal"/>
      <w:lvlText w:val="%1"/>
      <w:lvlJc w:val="left"/>
      <w:pPr>
        <w:ind w:left="1097" w:hanging="720"/>
        <w:jc w:val="left"/>
      </w:pPr>
      <w:rPr>
        <w:rFonts w:hint="default"/>
        <w:lang w:val="en-US" w:eastAsia="en-US" w:bidi="ar-SA"/>
      </w:rPr>
    </w:lvl>
    <w:lvl w:ilvl="1">
      <w:numFmt w:val="decimal"/>
      <w:lvlText w:val="%1.%2"/>
      <w:lvlJc w:val="left"/>
      <w:pPr>
        <w:ind w:left="1097" w:hanging="720"/>
        <w:jc w:val="left"/>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097" w:hanging="720"/>
        <w:jc w:val="left"/>
      </w:pPr>
      <w:rPr>
        <w:rFonts w:hint="default"/>
        <w:w w:val="100"/>
        <w:lang w:val="en-US" w:eastAsia="en-US" w:bidi="ar-SA"/>
      </w:rPr>
    </w:lvl>
    <w:lvl w:ilvl="3">
      <w:numFmt w:val="bullet"/>
      <w:lvlText w:val="•"/>
      <w:lvlJc w:val="left"/>
      <w:pPr>
        <w:ind w:left="3764" w:hanging="720"/>
      </w:pPr>
      <w:rPr>
        <w:rFonts w:hint="default"/>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17">
    <w:nsid w:val="59EF6CB8"/>
    <w:multiLevelType w:val="multilevel"/>
    <w:tmpl w:val="524A692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ACC081A"/>
    <w:multiLevelType w:val="multilevel"/>
    <w:tmpl w:val="038C4D86"/>
    <w:lvl w:ilvl="0">
      <w:start w:val="5"/>
      <w:numFmt w:val="decimal"/>
      <w:lvlText w:val="%1"/>
      <w:lvlJc w:val="left"/>
      <w:pPr>
        <w:ind w:left="1188" w:hanging="812"/>
        <w:jc w:val="left"/>
      </w:pPr>
      <w:rPr>
        <w:rFonts w:hint="default"/>
        <w:lang w:val="en-US" w:eastAsia="en-US" w:bidi="ar-SA"/>
      </w:rPr>
    </w:lvl>
    <w:lvl w:ilvl="1">
      <w:numFmt w:val="decimal"/>
      <w:lvlText w:val="%1.%2"/>
      <w:lvlJc w:val="left"/>
      <w:pPr>
        <w:ind w:left="1188" w:hanging="812"/>
        <w:jc w:val="left"/>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188" w:hanging="812"/>
        <w:jc w:val="left"/>
      </w:pPr>
      <w:rPr>
        <w:rFonts w:ascii="Times New Roman" w:eastAsia="Times New Roman" w:hAnsi="Times New Roman" w:cs="Times New Roman" w:hint="default"/>
        <w:b/>
        <w:bCs/>
        <w:i w:val="0"/>
        <w:iCs w:val="0"/>
        <w:w w:val="100"/>
        <w:sz w:val="24"/>
        <w:szCs w:val="24"/>
        <w:lang w:val="en-US" w:eastAsia="en-US" w:bidi="ar-SA"/>
      </w:rPr>
    </w:lvl>
    <w:lvl w:ilvl="3">
      <w:start w:val="1"/>
      <w:numFmt w:val="decimal"/>
      <w:lvlText w:val="%1.%2.%3.%4"/>
      <w:lvlJc w:val="left"/>
      <w:pPr>
        <w:ind w:left="1188" w:hanging="812"/>
        <w:jc w:val="left"/>
      </w:pPr>
      <w:rPr>
        <w:rFonts w:ascii="Times New Roman" w:eastAsia="Times New Roman" w:hAnsi="Times New Roman" w:cs="Times New Roman" w:hint="default"/>
        <w:b/>
        <w:bCs/>
        <w:i w:val="0"/>
        <w:iCs w:val="0"/>
        <w:spacing w:val="-5"/>
        <w:w w:val="100"/>
        <w:sz w:val="24"/>
        <w:szCs w:val="24"/>
        <w:lang w:val="en-US" w:eastAsia="en-US" w:bidi="ar-SA"/>
      </w:rPr>
    </w:lvl>
    <w:lvl w:ilvl="4">
      <w:numFmt w:val="bullet"/>
      <w:lvlText w:val="•"/>
      <w:lvlJc w:val="left"/>
      <w:pPr>
        <w:ind w:left="3380" w:hanging="812"/>
      </w:pPr>
      <w:rPr>
        <w:rFonts w:hint="default"/>
        <w:lang w:val="en-US" w:eastAsia="en-US" w:bidi="ar-SA"/>
      </w:rPr>
    </w:lvl>
    <w:lvl w:ilvl="5">
      <w:numFmt w:val="bullet"/>
      <w:lvlText w:val="•"/>
      <w:lvlJc w:val="left"/>
      <w:pPr>
        <w:ind w:left="4480" w:hanging="812"/>
      </w:pPr>
      <w:rPr>
        <w:rFonts w:hint="default"/>
        <w:lang w:val="en-US" w:eastAsia="en-US" w:bidi="ar-SA"/>
      </w:rPr>
    </w:lvl>
    <w:lvl w:ilvl="6">
      <w:numFmt w:val="bullet"/>
      <w:lvlText w:val="•"/>
      <w:lvlJc w:val="left"/>
      <w:pPr>
        <w:ind w:left="5580" w:hanging="812"/>
      </w:pPr>
      <w:rPr>
        <w:rFonts w:hint="default"/>
        <w:lang w:val="en-US" w:eastAsia="en-US" w:bidi="ar-SA"/>
      </w:rPr>
    </w:lvl>
    <w:lvl w:ilvl="7">
      <w:numFmt w:val="bullet"/>
      <w:lvlText w:val="•"/>
      <w:lvlJc w:val="left"/>
      <w:pPr>
        <w:ind w:left="6680" w:hanging="812"/>
      </w:pPr>
      <w:rPr>
        <w:rFonts w:hint="default"/>
        <w:lang w:val="en-US" w:eastAsia="en-US" w:bidi="ar-SA"/>
      </w:rPr>
    </w:lvl>
    <w:lvl w:ilvl="8">
      <w:numFmt w:val="bullet"/>
      <w:lvlText w:val="•"/>
      <w:lvlJc w:val="left"/>
      <w:pPr>
        <w:ind w:left="7780" w:hanging="812"/>
      </w:pPr>
      <w:rPr>
        <w:rFonts w:hint="default"/>
        <w:lang w:val="en-US" w:eastAsia="en-US" w:bidi="ar-SA"/>
      </w:rPr>
    </w:lvl>
  </w:abstractNum>
  <w:abstractNum w:abstractNumId="19">
    <w:nsid w:val="5EA4788A"/>
    <w:multiLevelType w:val="multilevel"/>
    <w:tmpl w:val="23FA87C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44D2548"/>
    <w:multiLevelType w:val="multilevel"/>
    <w:tmpl w:val="C55A7F3E"/>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AC83989"/>
    <w:multiLevelType w:val="multilevel"/>
    <w:tmpl w:val="0C86DC1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C903021"/>
    <w:multiLevelType w:val="multilevel"/>
    <w:tmpl w:val="3DB23596"/>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E2F531E"/>
    <w:multiLevelType w:val="hybridMultilevel"/>
    <w:tmpl w:val="FA02CF80"/>
    <w:lvl w:ilvl="0" w:tplc="EFEA8740">
      <w:start w:val="1"/>
      <w:numFmt w:val="lowerLetter"/>
      <w:lvlText w:val="%1."/>
      <w:lvlJc w:val="left"/>
      <w:pPr>
        <w:ind w:left="1140" w:hanging="360"/>
      </w:pPr>
      <w:rPr>
        <w:rFonts w:hint="default"/>
        <w:spacing w:val="-1"/>
        <w:w w:val="100"/>
        <w:lang w:val="en-US" w:eastAsia="en-US" w:bidi="ar-SA"/>
      </w:rPr>
    </w:lvl>
    <w:lvl w:ilvl="1" w:tplc="2592C918">
      <w:numFmt w:val="bullet"/>
      <w:lvlText w:val="•"/>
      <w:lvlJc w:val="left"/>
      <w:pPr>
        <w:ind w:left="2024" w:hanging="360"/>
      </w:pPr>
      <w:rPr>
        <w:rFonts w:hint="default"/>
        <w:lang w:val="en-US" w:eastAsia="en-US" w:bidi="ar-SA"/>
      </w:rPr>
    </w:lvl>
    <w:lvl w:ilvl="2" w:tplc="404ACFEE">
      <w:numFmt w:val="bullet"/>
      <w:lvlText w:val="•"/>
      <w:lvlJc w:val="left"/>
      <w:pPr>
        <w:ind w:left="2908" w:hanging="360"/>
      </w:pPr>
      <w:rPr>
        <w:rFonts w:hint="default"/>
        <w:lang w:val="en-US" w:eastAsia="en-US" w:bidi="ar-SA"/>
      </w:rPr>
    </w:lvl>
    <w:lvl w:ilvl="3" w:tplc="6ADAADBC">
      <w:numFmt w:val="bullet"/>
      <w:lvlText w:val="•"/>
      <w:lvlJc w:val="left"/>
      <w:pPr>
        <w:ind w:left="3792" w:hanging="360"/>
      </w:pPr>
      <w:rPr>
        <w:rFonts w:hint="default"/>
        <w:lang w:val="en-US" w:eastAsia="en-US" w:bidi="ar-SA"/>
      </w:rPr>
    </w:lvl>
    <w:lvl w:ilvl="4" w:tplc="7FE03098">
      <w:numFmt w:val="bullet"/>
      <w:lvlText w:val="•"/>
      <w:lvlJc w:val="left"/>
      <w:pPr>
        <w:ind w:left="4676" w:hanging="360"/>
      </w:pPr>
      <w:rPr>
        <w:rFonts w:hint="default"/>
        <w:lang w:val="en-US" w:eastAsia="en-US" w:bidi="ar-SA"/>
      </w:rPr>
    </w:lvl>
    <w:lvl w:ilvl="5" w:tplc="B52A93F4">
      <w:numFmt w:val="bullet"/>
      <w:lvlText w:val="•"/>
      <w:lvlJc w:val="left"/>
      <w:pPr>
        <w:ind w:left="5560" w:hanging="360"/>
      </w:pPr>
      <w:rPr>
        <w:rFonts w:hint="default"/>
        <w:lang w:val="en-US" w:eastAsia="en-US" w:bidi="ar-SA"/>
      </w:rPr>
    </w:lvl>
    <w:lvl w:ilvl="6" w:tplc="A2AE87F8">
      <w:numFmt w:val="bullet"/>
      <w:lvlText w:val="•"/>
      <w:lvlJc w:val="left"/>
      <w:pPr>
        <w:ind w:left="6444" w:hanging="360"/>
      </w:pPr>
      <w:rPr>
        <w:rFonts w:hint="default"/>
        <w:lang w:val="en-US" w:eastAsia="en-US" w:bidi="ar-SA"/>
      </w:rPr>
    </w:lvl>
    <w:lvl w:ilvl="7" w:tplc="D6A4C8AA">
      <w:numFmt w:val="bullet"/>
      <w:lvlText w:val="•"/>
      <w:lvlJc w:val="left"/>
      <w:pPr>
        <w:ind w:left="7328" w:hanging="360"/>
      </w:pPr>
      <w:rPr>
        <w:rFonts w:hint="default"/>
        <w:lang w:val="en-US" w:eastAsia="en-US" w:bidi="ar-SA"/>
      </w:rPr>
    </w:lvl>
    <w:lvl w:ilvl="8" w:tplc="A770FFA4">
      <w:numFmt w:val="bullet"/>
      <w:lvlText w:val="•"/>
      <w:lvlJc w:val="left"/>
      <w:pPr>
        <w:ind w:left="8212" w:hanging="360"/>
      </w:pPr>
      <w:rPr>
        <w:rFonts w:hint="default"/>
        <w:lang w:val="en-US" w:eastAsia="en-US" w:bidi="ar-SA"/>
      </w:rPr>
    </w:lvl>
  </w:abstractNum>
  <w:abstractNum w:abstractNumId="24">
    <w:nsid w:val="7092508B"/>
    <w:multiLevelType w:val="multilevel"/>
    <w:tmpl w:val="7C261EF4"/>
    <w:lvl w:ilvl="0">
      <w:start w:val="4"/>
      <w:numFmt w:val="decimal"/>
      <w:lvlText w:val="%1"/>
      <w:lvlJc w:val="left"/>
      <w:pPr>
        <w:ind w:left="1188" w:hanging="812"/>
      </w:pPr>
      <w:rPr>
        <w:rFonts w:hint="default"/>
        <w:lang w:val="en-US" w:eastAsia="en-US" w:bidi="ar-SA"/>
      </w:rPr>
    </w:lvl>
    <w:lvl w:ilvl="1">
      <w:numFmt w:val="decimal"/>
      <w:lvlText w:val="%1.%2"/>
      <w:lvlJc w:val="left"/>
      <w:pPr>
        <w:ind w:left="1188" w:hanging="812"/>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188" w:hanging="812"/>
      </w:pPr>
      <w:rPr>
        <w:rFonts w:ascii="Times New Roman" w:eastAsia="Times New Roman" w:hAnsi="Times New Roman" w:cs="Times New Roman" w:hint="default"/>
        <w:b/>
        <w:bCs/>
        <w:i w:val="0"/>
        <w:iCs w:val="0"/>
        <w:w w:val="100"/>
        <w:sz w:val="24"/>
        <w:szCs w:val="24"/>
        <w:lang w:val="en-US" w:eastAsia="en-US" w:bidi="ar-SA"/>
      </w:rPr>
    </w:lvl>
    <w:lvl w:ilvl="3">
      <w:numFmt w:val="bullet"/>
      <w:lvlText w:val="•"/>
      <w:lvlJc w:val="left"/>
      <w:pPr>
        <w:ind w:left="3820" w:hanging="812"/>
      </w:pPr>
      <w:rPr>
        <w:rFonts w:hint="default"/>
        <w:lang w:val="en-US" w:eastAsia="en-US" w:bidi="ar-SA"/>
      </w:rPr>
    </w:lvl>
    <w:lvl w:ilvl="4">
      <w:numFmt w:val="bullet"/>
      <w:lvlText w:val="•"/>
      <w:lvlJc w:val="left"/>
      <w:pPr>
        <w:ind w:left="4700" w:hanging="812"/>
      </w:pPr>
      <w:rPr>
        <w:rFonts w:hint="default"/>
        <w:lang w:val="en-US" w:eastAsia="en-US" w:bidi="ar-SA"/>
      </w:rPr>
    </w:lvl>
    <w:lvl w:ilvl="5">
      <w:numFmt w:val="bullet"/>
      <w:lvlText w:val="•"/>
      <w:lvlJc w:val="left"/>
      <w:pPr>
        <w:ind w:left="5580" w:hanging="812"/>
      </w:pPr>
      <w:rPr>
        <w:rFonts w:hint="default"/>
        <w:lang w:val="en-US" w:eastAsia="en-US" w:bidi="ar-SA"/>
      </w:rPr>
    </w:lvl>
    <w:lvl w:ilvl="6">
      <w:numFmt w:val="bullet"/>
      <w:lvlText w:val="•"/>
      <w:lvlJc w:val="left"/>
      <w:pPr>
        <w:ind w:left="6460" w:hanging="812"/>
      </w:pPr>
      <w:rPr>
        <w:rFonts w:hint="default"/>
        <w:lang w:val="en-US" w:eastAsia="en-US" w:bidi="ar-SA"/>
      </w:rPr>
    </w:lvl>
    <w:lvl w:ilvl="7">
      <w:numFmt w:val="bullet"/>
      <w:lvlText w:val="•"/>
      <w:lvlJc w:val="left"/>
      <w:pPr>
        <w:ind w:left="7340" w:hanging="812"/>
      </w:pPr>
      <w:rPr>
        <w:rFonts w:hint="default"/>
        <w:lang w:val="en-US" w:eastAsia="en-US" w:bidi="ar-SA"/>
      </w:rPr>
    </w:lvl>
    <w:lvl w:ilvl="8">
      <w:numFmt w:val="bullet"/>
      <w:lvlText w:val="•"/>
      <w:lvlJc w:val="left"/>
      <w:pPr>
        <w:ind w:left="8220" w:hanging="812"/>
      </w:pPr>
      <w:rPr>
        <w:rFonts w:hint="default"/>
        <w:lang w:val="en-US" w:eastAsia="en-US" w:bidi="ar-SA"/>
      </w:rPr>
    </w:lvl>
  </w:abstractNum>
  <w:abstractNum w:abstractNumId="25">
    <w:nsid w:val="716876BF"/>
    <w:multiLevelType w:val="multilevel"/>
    <w:tmpl w:val="859C443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25324F5"/>
    <w:multiLevelType w:val="multilevel"/>
    <w:tmpl w:val="23D4FCB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2AB59C4"/>
    <w:multiLevelType w:val="multilevel"/>
    <w:tmpl w:val="F3F0D640"/>
    <w:lvl w:ilvl="0">
      <w:start w:val="4"/>
      <w:numFmt w:val="decimal"/>
      <w:lvlText w:val="%1"/>
      <w:lvlJc w:val="left"/>
      <w:pPr>
        <w:ind w:left="1005" w:hanging="629"/>
        <w:jc w:val="left"/>
      </w:pPr>
      <w:rPr>
        <w:rFonts w:hint="default"/>
        <w:lang w:val="en-US" w:eastAsia="en-US" w:bidi="ar-SA"/>
      </w:rPr>
    </w:lvl>
    <w:lvl w:ilvl="1">
      <w:numFmt w:val="decimal"/>
      <w:lvlText w:val="%1.%2"/>
      <w:lvlJc w:val="left"/>
      <w:pPr>
        <w:ind w:left="1005" w:hanging="629"/>
        <w:jc w:val="left"/>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188" w:hanging="812"/>
        <w:jc w:val="left"/>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135" w:hanging="812"/>
      </w:pPr>
      <w:rPr>
        <w:rFonts w:hint="default"/>
        <w:lang w:val="en-US" w:eastAsia="en-US" w:bidi="ar-SA"/>
      </w:rPr>
    </w:lvl>
    <w:lvl w:ilvl="4">
      <w:numFmt w:val="bullet"/>
      <w:lvlText w:val="•"/>
      <w:lvlJc w:val="left"/>
      <w:pPr>
        <w:ind w:left="4113" w:hanging="812"/>
      </w:pPr>
      <w:rPr>
        <w:rFonts w:hint="default"/>
        <w:lang w:val="en-US" w:eastAsia="en-US" w:bidi="ar-SA"/>
      </w:rPr>
    </w:lvl>
    <w:lvl w:ilvl="5">
      <w:numFmt w:val="bullet"/>
      <w:lvlText w:val="•"/>
      <w:lvlJc w:val="left"/>
      <w:pPr>
        <w:ind w:left="5091" w:hanging="812"/>
      </w:pPr>
      <w:rPr>
        <w:rFonts w:hint="default"/>
        <w:lang w:val="en-US" w:eastAsia="en-US" w:bidi="ar-SA"/>
      </w:rPr>
    </w:lvl>
    <w:lvl w:ilvl="6">
      <w:numFmt w:val="bullet"/>
      <w:lvlText w:val="•"/>
      <w:lvlJc w:val="left"/>
      <w:pPr>
        <w:ind w:left="6068" w:hanging="812"/>
      </w:pPr>
      <w:rPr>
        <w:rFonts w:hint="default"/>
        <w:lang w:val="en-US" w:eastAsia="en-US" w:bidi="ar-SA"/>
      </w:rPr>
    </w:lvl>
    <w:lvl w:ilvl="7">
      <w:numFmt w:val="bullet"/>
      <w:lvlText w:val="•"/>
      <w:lvlJc w:val="left"/>
      <w:pPr>
        <w:ind w:left="7046" w:hanging="812"/>
      </w:pPr>
      <w:rPr>
        <w:rFonts w:hint="default"/>
        <w:lang w:val="en-US" w:eastAsia="en-US" w:bidi="ar-SA"/>
      </w:rPr>
    </w:lvl>
    <w:lvl w:ilvl="8">
      <w:numFmt w:val="bullet"/>
      <w:lvlText w:val="•"/>
      <w:lvlJc w:val="left"/>
      <w:pPr>
        <w:ind w:left="8024" w:hanging="812"/>
      </w:pPr>
      <w:rPr>
        <w:rFonts w:hint="default"/>
        <w:lang w:val="en-US" w:eastAsia="en-US" w:bidi="ar-SA"/>
      </w:rPr>
    </w:lvl>
  </w:abstractNum>
  <w:abstractNum w:abstractNumId="28">
    <w:nsid w:val="7308577A"/>
    <w:multiLevelType w:val="multilevel"/>
    <w:tmpl w:val="01662536"/>
    <w:lvl w:ilvl="0">
      <w:start w:val="2"/>
      <w:numFmt w:val="decimal"/>
      <w:lvlText w:val="%1"/>
      <w:lvlJc w:val="left"/>
      <w:pPr>
        <w:ind w:left="1097" w:hanging="720"/>
        <w:jc w:val="left"/>
      </w:pPr>
      <w:rPr>
        <w:rFonts w:hint="default"/>
        <w:lang w:val="en-US" w:eastAsia="en-US" w:bidi="ar-SA"/>
      </w:rPr>
    </w:lvl>
    <w:lvl w:ilvl="1">
      <w:start w:val="5"/>
      <w:numFmt w:val="decimal"/>
      <w:lvlText w:val="%1.%2"/>
      <w:lvlJc w:val="left"/>
      <w:pPr>
        <w:ind w:left="1097" w:hanging="720"/>
        <w:jc w:val="left"/>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097" w:hanging="720"/>
        <w:jc w:val="left"/>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764" w:hanging="720"/>
      </w:pPr>
      <w:rPr>
        <w:rFonts w:hint="default"/>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29">
    <w:nsid w:val="77497A7A"/>
    <w:multiLevelType w:val="multilevel"/>
    <w:tmpl w:val="061A6DF8"/>
    <w:lvl w:ilvl="0">
      <w:start w:val="1"/>
      <w:numFmt w:val="decimal"/>
      <w:lvlText w:val="%1"/>
      <w:lvlJc w:val="left"/>
      <w:pPr>
        <w:ind w:left="1097" w:hanging="720"/>
      </w:pPr>
      <w:rPr>
        <w:rFonts w:hint="default"/>
        <w:lang w:val="en-US" w:eastAsia="en-US" w:bidi="ar-SA"/>
      </w:rPr>
    </w:lvl>
    <w:lvl w:ilvl="1">
      <w:numFmt w:val="decimal"/>
      <w:lvlText w:val="%1.%2"/>
      <w:lvlJc w:val="left"/>
      <w:pPr>
        <w:ind w:left="1097" w:hanging="72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097" w:hanging="720"/>
      </w:pPr>
      <w:rPr>
        <w:rFonts w:hint="default"/>
        <w:w w:val="100"/>
        <w:lang w:val="en-US" w:eastAsia="en-US" w:bidi="ar-SA"/>
      </w:rPr>
    </w:lvl>
    <w:lvl w:ilvl="3">
      <w:numFmt w:val="bullet"/>
      <w:lvlText w:val="•"/>
      <w:lvlJc w:val="left"/>
      <w:pPr>
        <w:ind w:left="3764" w:hanging="720"/>
      </w:pPr>
      <w:rPr>
        <w:rFonts w:hint="default"/>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30">
    <w:nsid w:val="79AD2D46"/>
    <w:multiLevelType w:val="multilevel"/>
    <w:tmpl w:val="3B30122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num>
  <w:num w:numId="2">
    <w:abstractNumId w:val="23"/>
  </w:num>
  <w:num w:numId="3">
    <w:abstractNumId w:val="14"/>
  </w:num>
  <w:num w:numId="4">
    <w:abstractNumId w:val="1"/>
  </w:num>
  <w:num w:numId="5">
    <w:abstractNumId w:val="8"/>
  </w:num>
  <w:num w:numId="6">
    <w:abstractNumId w:val="0"/>
  </w:num>
  <w:num w:numId="7">
    <w:abstractNumId w:val="24"/>
  </w:num>
  <w:num w:numId="8">
    <w:abstractNumId w:val="19"/>
  </w:num>
  <w:num w:numId="9">
    <w:abstractNumId w:val="9"/>
  </w:num>
  <w:num w:numId="10">
    <w:abstractNumId w:val="25"/>
  </w:num>
  <w:num w:numId="11">
    <w:abstractNumId w:val="30"/>
  </w:num>
  <w:num w:numId="12">
    <w:abstractNumId w:val="3"/>
  </w:num>
  <w:num w:numId="13">
    <w:abstractNumId w:val="6"/>
  </w:num>
  <w:num w:numId="14">
    <w:abstractNumId w:val="26"/>
  </w:num>
  <w:num w:numId="15">
    <w:abstractNumId w:val="4"/>
  </w:num>
  <w:num w:numId="16">
    <w:abstractNumId w:val="20"/>
  </w:num>
  <w:num w:numId="17">
    <w:abstractNumId w:val="5"/>
  </w:num>
  <w:num w:numId="18">
    <w:abstractNumId w:val="21"/>
  </w:num>
  <w:num w:numId="19">
    <w:abstractNumId w:val="17"/>
  </w:num>
  <w:num w:numId="20">
    <w:abstractNumId w:val="22"/>
  </w:num>
  <w:num w:numId="21">
    <w:abstractNumId w:val="18"/>
  </w:num>
  <w:num w:numId="22">
    <w:abstractNumId w:val="7"/>
  </w:num>
  <w:num w:numId="23">
    <w:abstractNumId w:val="12"/>
  </w:num>
  <w:num w:numId="24">
    <w:abstractNumId w:val="15"/>
  </w:num>
  <w:num w:numId="25">
    <w:abstractNumId w:val="2"/>
  </w:num>
  <w:num w:numId="26">
    <w:abstractNumId w:val="13"/>
  </w:num>
  <w:num w:numId="27">
    <w:abstractNumId w:val="27"/>
  </w:num>
  <w:num w:numId="28">
    <w:abstractNumId w:val="11"/>
  </w:num>
  <w:num w:numId="29">
    <w:abstractNumId w:val="28"/>
  </w:num>
  <w:num w:numId="30">
    <w:abstractNumId w:val="10"/>
  </w:num>
  <w:num w:numId="3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C5628"/>
    <w:rsid w:val="000466E8"/>
    <w:rsid w:val="00091B16"/>
    <w:rsid w:val="001260A0"/>
    <w:rsid w:val="00174B38"/>
    <w:rsid w:val="001F61AD"/>
    <w:rsid w:val="00225C9B"/>
    <w:rsid w:val="002F391D"/>
    <w:rsid w:val="00360F94"/>
    <w:rsid w:val="00370B79"/>
    <w:rsid w:val="00407665"/>
    <w:rsid w:val="004635DD"/>
    <w:rsid w:val="004E71E5"/>
    <w:rsid w:val="004F0502"/>
    <w:rsid w:val="004F69FF"/>
    <w:rsid w:val="00511B0F"/>
    <w:rsid w:val="0053539B"/>
    <w:rsid w:val="00544465"/>
    <w:rsid w:val="005E3800"/>
    <w:rsid w:val="0061530B"/>
    <w:rsid w:val="006745EC"/>
    <w:rsid w:val="006A27CE"/>
    <w:rsid w:val="006C5F69"/>
    <w:rsid w:val="0072094E"/>
    <w:rsid w:val="007E37AE"/>
    <w:rsid w:val="008A474D"/>
    <w:rsid w:val="00920D18"/>
    <w:rsid w:val="00976E89"/>
    <w:rsid w:val="009A6AE5"/>
    <w:rsid w:val="009B33FF"/>
    <w:rsid w:val="00A07A64"/>
    <w:rsid w:val="00A07D36"/>
    <w:rsid w:val="00A4129B"/>
    <w:rsid w:val="00A665CF"/>
    <w:rsid w:val="00AB691C"/>
    <w:rsid w:val="00AC182C"/>
    <w:rsid w:val="00AD406B"/>
    <w:rsid w:val="00AF03EE"/>
    <w:rsid w:val="00B560FA"/>
    <w:rsid w:val="00B865C3"/>
    <w:rsid w:val="00BC2BA1"/>
    <w:rsid w:val="00BE2CEA"/>
    <w:rsid w:val="00C230C8"/>
    <w:rsid w:val="00C40354"/>
    <w:rsid w:val="00C61779"/>
    <w:rsid w:val="00C92DEA"/>
    <w:rsid w:val="00DD179E"/>
    <w:rsid w:val="00EA5D58"/>
    <w:rsid w:val="00EB08CC"/>
    <w:rsid w:val="00EC5628"/>
    <w:rsid w:val="00EE02A2"/>
    <w:rsid w:val="00F037E2"/>
    <w:rsid w:val="00F23703"/>
    <w:rsid w:val="00F42382"/>
    <w:rsid w:val="00F52810"/>
    <w:rsid w:val="00F643D2"/>
    <w:rsid w:val="00F91632"/>
    <w:rsid w:val="00FD02FB"/>
    <w:rsid w:val="00FF4D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3D2"/>
  </w:style>
  <w:style w:type="paragraph" w:styleId="Heading1">
    <w:name w:val="heading 1"/>
    <w:basedOn w:val="Normal"/>
    <w:link w:val="Heading1Char"/>
    <w:uiPriority w:val="9"/>
    <w:qFormat/>
    <w:rsid w:val="00EC5628"/>
    <w:pPr>
      <w:widowControl w:val="0"/>
      <w:autoSpaceDE w:val="0"/>
      <w:autoSpaceDN w:val="0"/>
      <w:spacing w:before="58" w:after="0" w:line="240" w:lineRule="auto"/>
      <w:ind w:left="385"/>
      <w:jc w:val="center"/>
      <w:outlineLvl w:val="0"/>
    </w:pPr>
    <w:rPr>
      <w:rFonts w:ascii="Times New Roman" w:eastAsia="Times New Roman" w:hAnsi="Times New Roman" w:cs="Times New Roman"/>
      <w:b/>
      <w:bCs/>
      <w:sz w:val="28"/>
      <w:szCs w:val="28"/>
    </w:rPr>
  </w:style>
  <w:style w:type="paragraph" w:styleId="Heading2">
    <w:name w:val="heading 2"/>
    <w:basedOn w:val="Normal"/>
    <w:link w:val="Heading2Char"/>
    <w:uiPriority w:val="9"/>
    <w:unhideWhenUsed/>
    <w:qFormat/>
    <w:rsid w:val="00EC5628"/>
    <w:pPr>
      <w:widowControl w:val="0"/>
      <w:autoSpaceDE w:val="0"/>
      <w:autoSpaceDN w:val="0"/>
      <w:spacing w:after="0" w:line="240" w:lineRule="auto"/>
      <w:ind w:left="385"/>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EC56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28"/>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EC562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EC562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C562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C56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628"/>
  </w:style>
  <w:style w:type="paragraph" w:styleId="Footer">
    <w:name w:val="footer"/>
    <w:basedOn w:val="Normal"/>
    <w:link w:val="FooterChar"/>
    <w:uiPriority w:val="99"/>
    <w:unhideWhenUsed/>
    <w:rsid w:val="00EC56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628"/>
  </w:style>
  <w:style w:type="character" w:customStyle="1" w:styleId="Heading3Char">
    <w:name w:val="Heading 3 Char"/>
    <w:basedOn w:val="DefaultParagraphFont"/>
    <w:link w:val="Heading3"/>
    <w:uiPriority w:val="9"/>
    <w:rsid w:val="00EC562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1"/>
    <w:qFormat/>
    <w:rsid w:val="00EC5628"/>
    <w:pPr>
      <w:widowControl w:val="0"/>
      <w:autoSpaceDE w:val="0"/>
      <w:autoSpaceDN w:val="0"/>
      <w:spacing w:after="0" w:line="240" w:lineRule="auto"/>
      <w:ind w:left="1097" w:hanging="721"/>
    </w:pPr>
    <w:rPr>
      <w:rFonts w:ascii="Times New Roman" w:eastAsia="Times New Roman" w:hAnsi="Times New Roman" w:cs="Times New Roman"/>
    </w:rPr>
  </w:style>
  <w:style w:type="table" w:styleId="TableGrid">
    <w:name w:val="Table Grid"/>
    <w:basedOn w:val="TableNormal"/>
    <w:uiPriority w:val="39"/>
    <w:rsid w:val="00F91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uiPriority w:val="1"/>
    <w:qFormat/>
    <w:rsid w:val="004635DD"/>
    <w:pPr>
      <w:widowControl w:val="0"/>
      <w:autoSpaceDE w:val="0"/>
      <w:autoSpaceDN w:val="0"/>
      <w:spacing w:before="276" w:after="0" w:line="240" w:lineRule="auto"/>
      <w:ind w:right="504"/>
      <w:jc w:val="center"/>
    </w:pPr>
    <w:rPr>
      <w:rFonts w:ascii="Times New Roman" w:eastAsia="Times New Roman" w:hAnsi="Times New Roman" w:cs="Times New Roman"/>
      <w:sz w:val="24"/>
      <w:szCs w:val="24"/>
    </w:rPr>
  </w:style>
  <w:style w:type="paragraph" w:styleId="TOC2">
    <w:name w:val="toc 2"/>
    <w:basedOn w:val="Normal"/>
    <w:uiPriority w:val="1"/>
    <w:qFormat/>
    <w:rsid w:val="004635DD"/>
    <w:pPr>
      <w:widowControl w:val="0"/>
      <w:autoSpaceDE w:val="0"/>
      <w:autoSpaceDN w:val="0"/>
      <w:spacing w:before="276" w:after="0" w:line="240" w:lineRule="auto"/>
      <w:ind w:left="1097" w:hanging="721"/>
    </w:pPr>
    <w:rPr>
      <w:rFonts w:ascii="Times New Roman" w:eastAsia="Times New Roman" w:hAnsi="Times New Roman" w:cs="Times New Roman"/>
      <w:b/>
      <w:bCs/>
      <w:sz w:val="24"/>
      <w:szCs w:val="24"/>
    </w:rPr>
  </w:style>
  <w:style w:type="paragraph" w:styleId="TOC3">
    <w:name w:val="toc 3"/>
    <w:basedOn w:val="Normal"/>
    <w:uiPriority w:val="1"/>
    <w:qFormat/>
    <w:rsid w:val="004635DD"/>
    <w:pPr>
      <w:widowControl w:val="0"/>
      <w:autoSpaceDE w:val="0"/>
      <w:autoSpaceDN w:val="0"/>
      <w:spacing w:before="276" w:after="0" w:line="240" w:lineRule="auto"/>
      <w:ind w:left="1097" w:hanging="721"/>
    </w:pPr>
    <w:rPr>
      <w:rFonts w:ascii="Times New Roman" w:eastAsia="Times New Roman" w:hAnsi="Times New Roman" w:cs="Times New Roman"/>
      <w:b/>
      <w:bCs/>
      <w:sz w:val="24"/>
      <w:szCs w:val="24"/>
    </w:rPr>
  </w:style>
  <w:style w:type="paragraph" w:styleId="TOC4">
    <w:name w:val="toc 4"/>
    <w:basedOn w:val="Normal"/>
    <w:uiPriority w:val="1"/>
    <w:qFormat/>
    <w:rsid w:val="004635DD"/>
    <w:pPr>
      <w:widowControl w:val="0"/>
      <w:autoSpaceDE w:val="0"/>
      <w:autoSpaceDN w:val="0"/>
      <w:spacing w:before="276" w:after="0" w:line="240" w:lineRule="auto"/>
      <w:ind w:left="1097" w:hanging="721"/>
    </w:pPr>
    <w:rPr>
      <w:rFonts w:ascii="Times New Roman" w:eastAsia="Times New Roman" w:hAnsi="Times New Roman" w:cs="Times New Roman"/>
      <w:sz w:val="24"/>
      <w:szCs w:val="24"/>
    </w:rPr>
  </w:style>
  <w:style w:type="paragraph" w:styleId="TOC5">
    <w:name w:val="toc 5"/>
    <w:basedOn w:val="Normal"/>
    <w:uiPriority w:val="1"/>
    <w:qFormat/>
    <w:rsid w:val="004635DD"/>
    <w:pPr>
      <w:widowControl w:val="0"/>
      <w:autoSpaceDE w:val="0"/>
      <w:autoSpaceDN w:val="0"/>
      <w:spacing w:before="828" w:after="0" w:line="240" w:lineRule="auto"/>
      <w:ind w:left="385" w:right="826"/>
      <w:jc w:val="center"/>
    </w:pPr>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4635DD"/>
    <w:pPr>
      <w:widowControl w:val="0"/>
      <w:autoSpaceDE w:val="0"/>
      <w:autoSpaceDN w:val="0"/>
      <w:spacing w:before="133" w:after="0" w:line="240" w:lineRule="auto"/>
    </w:pPr>
    <w:rPr>
      <w:rFonts w:ascii="Times New Roman" w:eastAsia="Times New Roman" w:hAnsi="Times New Roman" w:cs="Times New Roman"/>
    </w:rPr>
  </w:style>
  <w:style w:type="paragraph" w:styleId="TOCHeading">
    <w:name w:val="TOC Heading"/>
    <w:basedOn w:val="Heading1"/>
    <w:next w:val="Normal"/>
    <w:uiPriority w:val="39"/>
    <w:semiHidden/>
    <w:unhideWhenUsed/>
    <w:qFormat/>
    <w:rsid w:val="00FD02FB"/>
    <w:pPr>
      <w:keepNext/>
      <w:keepLines/>
      <w:widowControl/>
      <w:autoSpaceDE/>
      <w:autoSpaceDN/>
      <w:spacing w:before="480" w:line="259" w:lineRule="auto"/>
      <w:ind w:left="0"/>
      <w:jc w:val="left"/>
      <w:outlineLvl w:val="9"/>
    </w:pPr>
    <w:rPr>
      <w:rFonts w:asciiTheme="majorHAnsi" w:eastAsiaTheme="majorEastAsia" w:hAnsiTheme="majorHAnsi" w:cstheme="majorBidi"/>
      <w:color w:val="2F5496" w:themeColor="accent1" w:themeShade="BF"/>
    </w:rPr>
  </w:style>
  <w:style w:type="character" w:styleId="Hyperlink">
    <w:name w:val="Hyperlink"/>
    <w:uiPriority w:val="99"/>
    <w:unhideWhenUsed/>
    <w:rsid w:val="00FD02FB"/>
    <w:rPr>
      <w:color w:val="0000FF"/>
      <w:u w:val="single"/>
    </w:rPr>
  </w:style>
  <w:style w:type="paragraph" w:styleId="BalloonText">
    <w:name w:val="Balloon Text"/>
    <w:basedOn w:val="Normal"/>
    <w:link w:val="BalloonTextChar"/>
    <w:uiPriority w:val="99"/>
    <w:semiHidden/>
    <w:unhideWhenUsed/>
    <w:rsid w:val="00B865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5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hc-sc.gc.ca/hl-vs/iyh-"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coffeefaq.com/site/node/1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cessdata.fda.gov/scripts/cder/iig/index.cf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modernmedicine.com/modernmedicine/"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fda.gov/Food/DietarySupplements/ConsumerInformation/ucm11041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13142</Words>
  <Characters>74914</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waschem06@gmail.com</dc:creator>
  <cp:lastModifiedBy>HP</cp:lastModifiedBy>
  <cp:revision>2</cp:revision>
  <dcterms:created xsi:type="dcterms:W3CDTF">2025-09-23T10:01:00Z</dcterms:created>
  <dcterms:modified xsi:type="dcterms:W3CDTF">2025-09-23T10:01:00Z</dcterms:modified>
</cp:coreProperties>
</file>