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2D0" w:rsidRPr="006D61A9" w:rsidRDefault="006942D0" w:rsidP="006D61A9">
      <w:pPr>
        <w:autoSpaceDE w:val="0"/>
        <w:autoSpaceDN w:val="0"/>
        <w:adjustRightInd w:val="0"/>
        <w:spacing w:after="0" w:line="240" w:lineRule="auto"/>
        <w:jc w:val="center"/>
        <w:rPr>
          <w:rFonts w:ascii="Arial Black" w:hAnsi="Arial Black" w:cs="Times New Roman"/>
          <w:sz w:val="34"/>
          <w:szCs w:val="34"/>
        </w:rPr>
      </w:pPr>
      <w:r w:rsidRPr="006D61A9">
        <w:rPr>
          <w:rFonts w:ascii="Arial Black" w:hAnsi="Arial Black" w:cs="Times New Roman"/>
          <w:sz w:val="34"/>
          <w:szCs w:val="34"/>
        </w:rPr>
        <w:t>IMPACT OF SOCIAL RESPONSIBILITIES ON FIRMS PERFORMANCE: A CASE STUDY OF NIGERIAN FLOUR MILLS</w:t>
      </w:r>
    </w:p>
    <w:p w:rsidR="006D61A9" w:rsidRDefault="006D61A9" w:rsidP="006D61A9">
      <w:pPr>
        <w:autoSpaceDE w:val="0"/>
        <w:autoSpaceDN w:val="0"/>
        <w:adjustRightInd w:val="0"/>
        <w:spacing w:line="200" w:lineRule="atLeast"/>
      </w:pPr>
    </w:p>
    <w:p w:rsidR="006D61A9" w:rsidRDefault="006D61A9" w:rsidP="006D61A9">
      <w:pPr>
        <w:autoSpaceDE w:val="0"/>
        <w:autoSpaceDN w:val="0"/>
        <w:adjustRightInd w:val="0"/>
        <w:spacing w:line="200" w:lineRule="atLeast"/>
      </w:pPr>
    </w:p>
    <w:p w:rsidR="006D61A9" w:rsidRDefault="006D61A9" w:rsidP="006D61A9">
      <w:pPr>
        <w:autoSpaceDE w:val="0"/>
        <w:autoSpaceDN w:val="0"/>
        <w:adjustRightInd w:val="0"/>
        <w:spacing w:line="200" w:lineRule="atLeast"/>
      </w:pPr>
    </w:p>
    <w:p w:rsidR="006D61A9" w:rsidRDefault="006D61A9" w:rsidP="006D61A9">
      <w:pPr>
        <w:autoSpaceDE w:val="0"/>
        <w:autoSpaceDN w:val="0"/>
        <w:adjustRightInd w:val="0"/>
        <w:spacing w:line="200" w:lineRule="atLeast"/>
      </w:pPr>
    </w:p>
    <w:p w:rsidR="004C5274" w:rsidRDefault="004C5274" w:rsidP="004C5274">
      <w:pPr>
        <w:autoSpaceDE w:val="0"/>
        <w:autoSpaceDN w:val="0"/>
        <w:adjustRightInd w:val="0"/>
        <w:spacing w:line="200" w:lineRule="atLeast"/>
        <w:jc w:val="center"/>
      </w:pPr>
    </w:p>
    <w:p w:rsidR="004C5274" w:rsidRDefault="004C5274" w:rsidP="004C5274">
      <w:pPr>
        <w:jc w:val="center"/>
        <w:rPr>
          <w:rFonts w:ascii="Bookman Old Style" w:hAnsi="Bookman Old Style"/>
          <w:b/>
          <w:sz w:val="36"/>
          <w:szCs w:val="36"/>
        </w:rPr>
      </w:pPr>
      <w:r>
        <w:rPr>
          <w:rFonts w:ascii="Bookman Old Style" w:hAnsi="Bookman Old Style"/>
          <w:b/>
          <w:sz w:val="36"/>
          <w:szCs w:val="36"/>
        </w:rPr>
        <w:t>GANIYU MONSURAT AYOMIDE</w:t>
      </w:r>
    </w:p>
    <w:p w:rsidR="004C5274" w:rsidRDefault="004C5274" w:rsidP="004C5274">
      <w:pPr>
        <w:jc w:val="center"/>
        <w:rPr>
          <w:rFonts w:ascii="Bookman Old Style" w:hAnsi="Bookman Old Style"/>
          <w:b/>
          <w:sz w:val="36"/>
          <w:szCs w:val="36"/>
        </w:rPr>
      </w:pPr>
      <w:r>
        <w:rPr>
          <w:rFonts w:ascii="Bookman Old Style" w:hAnsi="Bookman Old Style"/>
          <w:b/>
          <w:sz w:val="36"/>
          <w:szCs w:val="36"/>
        </w:rPr>
        <w:t>ND/23/BAM/PT/0696</w:t>
      </w:r>
    </w:p>
    <w:p w:rsidR="004C5274" w:rsidRDefault="004C5274" w:rsidP="004C5274">
      <w:pPr>
        <w:spacing w:line="480" w:lineRule="auto"/>
        <w:jc w:val="center"/>
        <w:rPr>
          <w:rFonts w:ascii="Arial" w:hAnsi="Arial" w:cs="Arial"/>
          <w:b/>
          <w:sz w:val="28"/>
          <w:szCs w:val="28"/>
        </w:rPr>
      </w:pPr>
    </w:p>
    <w:p w:rsidR="004C5274" w:rsidRDefault="004C5274" w:rsidP="004C5274">
      <w:pPr>
        <w:spacing w:line="240" w:lineRule="auto"/>
        <w:jc w:val="center"/>
        <w:rPr>
          <w:rFonts w:ascii="Arial" w:hAnsi="Arial" w:cs="Arial"/>
          <w:b/>
          <w:sz w:val="28"/>
          <w:szCs w:val="28"/>
        </w:rPr>
      </w:pPr>
      <w:r>
        <w:rPr>
          <w:rFonts w:ascii="Arial" w:hAnsi="Arial" w:cs="Arial"/>
          <w:b/>
          <w:sz w:val="28"/>
          <w:szCs w:val="28"/>
        </w:rPr>
        <w:t>BEING A RESEARCH PROJECT SUBMITTED TO THE DEPARTMENT OF BUSINESS ADMINISTRATION AND MANAGEMENT, INSTITUTE OF FINANCE AND MANAGEMENT STUDIES, KWARA STATE POLYTECHNIC, ILORIN.</w:t>
      </w:r>
    </w:p>
    <w:p w:rsidR="004C5274" w:rsidRDefault="004C5274" w:rsidP="004C5274">
      <w:pPr>
        <w:spacing w:line="240" w:lineRule="auto"/>
        <w:jc w:val="center"/>
        <w:rPr>
          <w:b/>
          <w:sz w:val="28"/>
          <w:szCs w:val="28"/>
        </w:rPr>
      </w:pPr>
    </w:p>
    <w:p w:rsidR="004C5274" w:rsidRDefault="004C5274" w:rsidP="004C5274">
      <w:pPr>
        <w:jc w:val="center"/>
        <w:rPr>
          <w:b/>
          <w:sz w:val="18"/>
          <w:szCs w:val="28"/>
        </w:rPr>
      </w:pPr>
    </w:p>
    <w:p w:rsidR="004C5274" w:rsidRDefault="004C5274" w:rsidP="004C5274">
      <w:pPr>
        <w:jc w:val="center"/>
        <w:rPr>
          <w:b/>
          <w:sz w:val="32"/>
          <w:szCs w:val="32"/>
        </w:rPr>
      </w:pPr>
      <w:r>
        <w:rPr>
          <w:b/>
          <w:sz w:val="32"/>
          <w:szCs w:val="32"/>
        </w:rPr>
        <w:t xml:space="preserve">IN PARTIAL FUFILMENT OF THE REQUIREMENTS FOR THE AWARD OF NATIONAL DIPLOMA (ND) IN BUSINESS ADMINISTRATION </w:t>
      </w:r>
    </w:p>
    <w:p w:rsidR="004C5274" w:rsidRDefault="004C5274" w:rsidP="004C5274">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4C5274" w:rsidRDefault="004C5274" w:rsidP="004C5274">
      <w:pPr>
        <w:jc w:val="right"/>
        <w:rPr>
          <w:rFonts w:ascii="Bookman Old Style" w:hAnsi="Bookman Old Style"/>
          <w:sz w:val="28"/>
          <w:szCs w:val="28"/>
        </w:rPr>
      </w:pPr>
      <w:r>
        <w:rPr>
          <w:b/>
          <w:sz w:val="28"/>
          <w:szCs w:val="28"/>
        </w:rPr>
        <w:t>S</w:t>
      </w:r>
      <w:r>
        <w:rPr>
          <w:b/>
          <w:sz w:val="28"/>
          <w:szCs w:val="28"/>
        </w:rPr>
        <w:tab/>
        <w:t>JUNE, 2025</w:t>
      </w:r>
      <w:r>
        <w:rPr>
          <w:rFonts w:ascii="Bookman Old Style" w:hAnsi="Bookman Old Style"/>
          <w:sz w:val="28"/>
          <w:szCs w:val="28"/>
        </w:rPr>
        <w:br w:type="page"/>
      </w:r>
    </w:p>
    <w:p w:rsidR="004C5274" w:rsidRDefault="004C5274" w:rsidP="004C5274">
      <w:pPr>
        <w:pStyle w:val="ListParagraph"/>
        <w:spacing w:line="360" w:lineRule="auto"/>
        <w:ind w:left="360"/>
        <w:jc w:val="center"/>
        <w:rPr>
          <w:b/>
          <w:sz w:val="32"/>
          <w:szCs w:val="32"/>
        </w:rPr>
      </w:pPr>
      <w:r>
        <w:rPr>
          <w:b/>
          <w:sz w:val="32"/>
          <w:szCs w:val="32"/>
        </w:rPr>
        <w:lastRenderedPageBreak/>
        <w:t>CERTIFICATION</w:t>
      </w:r>
    </w:p>
    <w:p w:rsidR="004C5274" w:rsidRDefault="004C5274" w:rsidP="004C5274">
      <w:pPr>
        <w:pStyle w:val="ListParagraph"/>
        <w:tabs>
          <w:tab w:val="left" w:pos="90"/>
        </w:tabs>
        <w:spacing w:line="360" w:lineRule="auto"/>
        <w:ind w:left="0"/>
        <w:jc w:val="both"/>
        <w:rPr>
          <w:sz w:val="32"/>
          <w:szCs w:val="32"/>
        </w:rPr>
      </w:pPr>
      <w:r>
        <w:rPr>
          <w:sz w:val="32"/>
          <w:szCs w:val="32"/>
        </w:rPr>
        <w:t xml:space="preserve">This is to certify that this research work has been read and approved as meeting part of the requirements for the award of National Diploma (ND) in Business Administration by the Department of Business Administration and Management, Institute of Finance and Management Studies, Kwara State Polytechnic, Ilorin. </w:t>
      </w:r>
    </w:p>
    <w:p w:rsidR="004C5274" w:rsidRDefault="004C5274" w:rsidP="004C5274">
      <w:pPr>
        <w:pStyle w:val="ListParagraph"/>
        <w:numPr>
          <w:ilvl w:val="0"/>
          <w:numId w:val="2"/>
        </w:numPr>
        <w:spacing w:after="0" w:line="480" w:lineRule="auto"/>
        <w:jc w:val="both"/>
        <w:rPr>
          <w:sz w:val="2"/>
          <w:szCs w:val="28"/>
        </w:rPr>
      </w:pPr>
    </w:p>
    <w:p w:rsidR="004C5274" w:rsidRDefault="004C5274" w:rsidP="004C5274">
      <w:pPr>
        <w:rPr>
          <w:sz w:val="28"/>
          <w:szCs w:val="28"/>
        </w:rPr>
      </w:pPr>
      <w:r>
        <w:pict>
          <v:shapetype id="_x0000_t32" coordsize="21600,21600" o:spt="32" o:oned="t" path="m,l21600,21600e" filled="f">
            <v:path arrowok="t" fillok="f" o:connecttype="none"/>
            <o:lock v:ext="edit" shapetype="t"/>
          </v:shapetype>
          <v:shape id="_x0000_s1032" type="#_x0000_t32" style="position:absolute;margin-left:1.85pt;margin-top:29.5pt;width:184.25pt;height:0;z-index:251660288" o:connectortype="straight" strokeweight="1pt"/>
        </w:pict>
      </w:r>
      <w:r>
        <w:pict>
          <v:shape id="_x0000_s1033" type="#_x0000_t32" style="position:absolute;margin-left:287.75pt;margin-top:31.2pt;width:111pt;height:0;z-index:251661312" o:connectortype="straight" strokeweight="1pt"/>
        </w:pict>
      </w:r>
    </w:p>
    <w:p w:rsidR="004C5274" w:rsidRDefault="004C5274" w:rsidP="004C5274">
      <w:pPr>
        <w:pStyle w:val="ListParagraph"/>
        <w:spacing w:line="240" w:lineRule="auto"/>
        <w:ind w:left="360"/>
        <w:rPr>
          <w:b/>
          <w:sz w:val="28"/>
          <w:szCs w:val="28"/>
        </w:rPr>
      </w:pPr>
      <w:r>
        <w:rPr>
          <w:b/>
          <w:sz w:val="28"/>
          <w:szCs w:val="28"/>
        </w:rPr>
        <w:t>MR. BELLO ABDULGANIYU A.</w:t>
      </w:r>
      <w:r>
        <w:rPr>
          <w:b/>
          <w:sz w:val="28"/>
          <w:szCs w:val="28"/>
        </w:rPr>
        <w:tab/>
      </w:r>
      <w:r>
        <w:rPr>
          <w:b/>
          <w:sz w:val="28"/>
          <w:szCs w:val="28"/>
        </w:rPr>
        <w:tab/>
      </w:r>
      <w:r>
        <w:rPr>
          <w:b/>
          <w:sz w:val="28"/>
          <w:szCs w:val="28"/>
        </w:rPr>
        <w:tab/>
        <w:t xml:space="preserve">            </w:t>
      </w:r>
      <w:r>
        <w:rPr>
          <w:sz w:val="28"/>
          <w:szCs w:val="28"/>
        </w:rPr>
        <w:t>DATE</w:t>
      </w:r>
    </w:p>
    <w:p w:rsidR="004C5274" w:rsidRDefault="004C5274" w:rsidP="004C5274">
      <w:pPr>
        <w:pStyle w:val="ListParagraph"/>
        <w:spacing w:line="240" w:lineRule="auto"/>
        <w:ind w:left="360"/>
        <w:rPr>
          <w:sz w:val="28"/>
          <w:szCs w:val="28"/>
        </w:rPr>
      </w:pPr>
      <w:r>
        <w:rPr>
          <w:sz w:val="28"/>
          <w:szCs w:val="28"/>
        </w:rPr>
        <w:t>PROJECT SUPERVISOR</w:t>
      </w:r>
    </w:p>
    <w:p w:rsidR="004C5274" w:rsidRDefault="004C5274" w:rsidP="004C5274">
      <w:pPr>
        <w:rPr>
          <w:sz w:val="28"/>
          <w:szCs w:val="28"/>
        </w:rPr>
      </w:pPr>
    </w:p>
    <w:p w:rsidR="004C5274" w:rsidRDefault="004C5274" w:rsidP="004C5274">
      <w:pPr>
        <w:pStyle w:val="ListParagraph"/>
        <w:ind w:left="360"/>
        <w:rPr>
          <w:sz w:val="28"/>
          <w:szCs w:val="28"/>
        </w:rPr>
      </w:pPr>
    </w:p>
    <w:p w:rsidR="004C5274" w:rsidRDefault="004C5274" w:rsidP="004C5274">
      <w:pPr>
        <w:pStyle w:val="ListParagraph"/>
        <w:spacing w:line="240" w:lineRule="auto"/>
        <w:ind w:left="360"/>
        <w:rPr>
          <w:b/>
          <w:sz w:val="28"/>
          <w:szCs w:val="28"/>
        </w:rPr>
      </w:pPr>
      <w:r>
        <w:pict>
          <v:shape id="_x0000_s1034" type="#_x0000_t32" style="position:absolute;left:0;text-align:left;margin-left:-7.65pt;margin-top:0;width:157.1pt;height:0;z-index:251662336" o:connectortype="straight" strokeweight="1pt"/>
        </w:pict>
      </w:r>
      <w:r>
        <w:pict>
          <v:shape id="_x0000_s1035" type="#_x0000_t32" style="position:absolute;left:0;text-align:left;margin-left:297.95pt;margin-top:0;width:111pt;height:0;z-index:251663360" o:connectortype="straight" strokeweight="1pt"/>
        </w:pict>
      </w:r>
      <w:r>
        <w:rPr>
          <w:b/>
          <w:sz w:val="28"/>
          <w:szCs w:val="28"/>
        </w:rPr>
        <w:t xml:space="preserve">MR. KUDABO M. I. </w:t>
      </w:r>
      <w:r>
        <w:rPr>
          <w:b/>
          <w:sz w:val="28"/>
          <w:szCs w:val="28"/>
        </w:rPr>
        <w:tab/>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4C5274" w:rsidRDefault="004C5274" w:rsidP="004C5274">
      <w:pPr>
        <w:pStyle w:val="ListParagraph"/>
        <w:spacing w:line="240" w:lineRule="auto"/>
        <w:ind w:left="360"/>
        <w:rPr>
          <w:sz w:val="28"/>
          <w:szCs w:val="28"/>
        </w:rPr>
      </w:pPr>
      <w:r>
        <w:rPr>
          <w:sz w:val="28"/>
          <w:szCs w:val="28"/>
        </w:rPr>
        <w:t xml:space="preserve">PART TIME CO-ORDINATOR </w:t>
      </w:r>
    </w:p>
    <w:p w:rsidR="004C5274" w:rsidRDefault="004C5274" w:rsidP="004C5274">
      <w:pPr>
        <w:spacing w:line="240" w:lineRule="auto"/>
        <w:rPr>
          <w:sz w:val="28"/>
          <w:szCs w:val="28"/>
        </w:rPr>
      </w:pPr>
    </w:p>
    <w:p w:rsidR="004C5274" w:rsidRDefault="004C5274" w:rsidP="004C5274">
      <w:pPr>
        <w:spacing w:line="240" w:lineRule="auto"/>
        <w:rPr>
          <w:sz w:val="28"/>
          <w:szCs w:val="28"/>
        </w:rPr>
      </w:pPr>
      <w:r>
        <w:pict>
          <v:shape id="_x0000_s1036" type="#_x0000_t32" style="position:absolute;margin-left:287.75pt;margin-top:11.65pt;width:111pt;height:0;z-index:251664384" o:connectortype="straight" strokeweight="1pt"/>
        </w:pict>
      </w:r>
      <w:r>
        <w:pict>
          <v:shape id="_x0000_s1037" type="#_x0000_t32" style="position:absolute;margin-left:-2.8pt;margin-top:11.65pt;width:152.25pt;height:0;z-index:251665408" o:connectortype="straight" strokeweight="1pt"/>
        </w:pict>
      </w:r>
    </w:p>
    <w:p w:rsidR="004C5274" w:rsidRDefault="004C5274" w:rsidP="004C5274">
      <w:pPr>
        <w:spacing w:after="120" w:line="240" w:lineRule="auto"/>
        <w:rPr>
          <w:sz w:val="28"/>
          <w:szCs w:val="28"/>
        </w:rPr>
      </w:pPr>
      <w:r>
        <w:rPr>
          <w:b/>
          <w:sz w:val="28"/>
          <w:szCs w:val="28"/>
        </w:rPr>
        <w:t xml:space="preserve">    MR. ALAKOSO  I. K. </w:t>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4C5274" w:rsidRDefault="004C5274" w:rsidP="004C5274">
      <w:pPr>
        <w:spacing w:after="120" w:line="240" w:lineRule="auto"/>
        <w:rPr>
          <w:sz w:val="28"/>
          <w:szCs w:val="28"/>
        </w:rPr>
      </w:pPr>
      <w:r>
        <w:rPr>
          <w:sz w:val="28"/>
          <w:szCs w:val="28"/>
        </w:rPr>
        <w:t xml:space="preserve">    HEAD OF DEPARTMENT</w:t>
      </w:r>
    </w:p>
    <w:p w:rsidR="004C5274" w:rsidRDefault="004C5274" w:rsidP="004C5274">
      <w:pPr>
        <w:spacing w:after="120" w:line="240" w:lineRule="auto"/>
        <w:rPr>
          <w:sz w:val="28"/>
          <w:szCs w:val="28"/>
        </w:rPr>
      </w:pPr>
    </w:p>
    <w:p w:rsidR="004C5274" w:rsidRDefault="004C5274" w:rsidP="004C5274">
      <w:pPr>
        <w:spacing w:line="240" w:lineRule="auto"/>
        <w:rPr>
          <w:rFonts w:ascii="Bookman Old Style" w:hAnsi="Bookman Old Style"/>
          <w:b/>
          <w:sz w:val="28"/>
          <w:szCs w:val="28"/>
        </w:rPr>
      </w:pPr>
      <w:r>
        <w:rPr>
          <w:rFonts w:ascii="Bookman Old Style" w:hAnsi="Bookman Old Style"/>
          <w:b/>
          <w:sz w:val="28"/>
          <w:szCs w:val="28"/>
        </w:rPr>
        <w:t>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_______________</w:t>
      </w:r>
    </w:p>
    <w:p w:rsidR="004C5274" w:rsidRDefault="004C5274" w:rsidP="004C5274">
      <w:pPr>
        <w:spacing w:line="240" w:lineRule="auto"/>
        <w:rPr>
          <w:rFonts w:ascii="Bookman Old Style" w:hAnsi="Bookman Old Style"/>
          <w:sz w:val="28"/>
          <w:szCs w:val="28"/>
        </w:rPr>
      </w:pPr>
      <w:r>
        <w:rPr>
          <w:rFonts w:ascii="Bookman Old Style" w:hAnsi="Bookman Old Style"/>
          <w:sz w:val="28"/>
          <w:szCs w:val="28"/>
        </w:rPr>
        <w:t xml:space="preserve">   </w:t>
      </w:r>
      <w:r>
        <w:rPr>
          <w:rFonts w:ascii="Bookman Old Style" w:hAnsi="Bookman Old Style"/>
          <w:b/>
          <w:sz w:val="28"/>
          <w:szCs w:val="28"/>
        </w:rPr>
        <w:t>EXTERNAL EXAMINER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DATE</w:t>
      </w:r>
    </w:p>
    <w:p w:rsidR="004C5274" w:rsidRDefault="004C5274" w:rsidP="004C5274">
      <w:pPr>
        <w:rPr>
          <w:rFonts w:ascii="Bookman Old Style" w:hAnsi="Bookman Old Style"/>
          <w:b/>
          <w:sz w:val="28"/>
          <w:szCs w:val="28"/>
        </w:rPr>
      </w:pPr>
      <w:r>
        <w:rPr>
          <w:rFonts w:ascii="Bookman Old Style" w:hAnsi="Bookman Old Style"/>
          <w:b/>
          <w:sz w:val="28"/>
          <w:szCs w:val="28"/>
        </w:rPr>
        <w:br w:type="page"/>
      </w:r>
    </w:p>
    <w:p w:rsidR="004C5274" w:rsidRDefault="004C5274" w:rsidP="004C5274">
      <w:pPr>
        <w:jc w:val="center"/>
        <w:rPr>
          <w:rFonts w:asciiTheme="majorHAnsi" w:hAnsiTheme="majorHAnsi"/>
          <w:b/>
          <w:sz w:val="28"/>
          <w:szCs w:val="28"/>
        </w:rPr>
      </w:pPr>
      <w:r>
        <w:rPr>
          <w:rFonts w:asciiTheme="majorHAnsi" w:hAnsiTheme="majorHAnsi"/>
          <w:b/>
          <w:sz w:val="28"/>
          <w:szCs w:val="28"/>
        </w:rPr>
        <w:lastRenderedPageBreak/>
        <w:t>DEDICATION</w:t>
      </w:r>
    </w:p>
    <w:p w:rsidR="004C5274" w:rsidRDefault="004C5274" w:rsidP="004C5274">
      <w:pPr>
        <w:jc w:val="both"/>
        <w:rPr>
          <w:rFonts w:asciiTheme="majorHAnsi" w:hAnsiTheme="majorHAnsi"/>
          <w:sz w:val="28"/>
          <w:szCs w:val="28"/>
        </w:rPr>
      </w:pPr>
      <w:r>
        <w:rPr>
          <w:rFonts w:asciiTheme="majorHAnsi" w:hAnsiTheme="majorHAnsi"/>
          <w:sz w:val="28"/>
          <w:szCs w:val="28"/>
        </w:rPr>
        <w:t xml:space="preserve">This work is dedicated to Almighty God and my parents </w:t>
      </w:r>
    </w:p>
    <w:p w:rsidR="004C5274" w:rsidRDefault="004C5274" w:rsidP="004C5274">
      <w:pPr>
        <w:rPr>
          <w:rFonts w:asciiTheme="majorHAnsi" w:hAnsiTheme="majorHAnsi"/>
          <w:sz w:val="28"/>
          <w:szCs w:val="28"/>
        </w:rPr>
      </w:pPr>
      <w:r>
        <w:rPr>
          <w:rFonts w:asciiTheme="majorHAnsi" w:hAnsiTheme="majorHAnsi"/>
          <w:sz w:val="28"/>
          <w:szCs w:val="28"/>
        </w:rPr>
        <w:br w:type="page"/>
      </w:r>
    </w:p>
    <w:p w:rsidR="004C5274" w:rsidRDefault="004C5274" w:rsidP="004C5274">
      <w:pPr>
        <w:jc w:val="both"/>
        <w:rPr>
          <w:rFonts w:asciiTheme="majorHAnsi" w:hAnsiTheme="majorHAnsi"/>
          <w:sz w:val="28"/>
          <w:szCs w:val="28"/>
        </w:rPr>
      </w:pPr>
    </w:p>
    <w:p w:rsidR="004C5274" w:rsidRDefault="004C5274" w:rsidP="004C5274">
      <w:pPr>
        <w:jc w:val="center"/>
        <w:rPr>
          <w:rFonts w:asciiTheme="majorHAnsi" w:hAnsiTheme="majorHAnsi"/>
          <w:sz w:val="28"/>
          <w:szCs w:val="28"/>
        </w:rPr>
      </w:pPr>
      <w:r>
        <w:rPr>
          <w:rFonts w:asciiTheme="majorHAnsi" w:hAnsiTheme="majorHAnsi"/>
          <w:b/>
          <w:sz w:val="28"/>
          <w:szCs w:val="28"/>
        </w:rPr>
        <w:t>ACKNOWLEDGEMENT</w:t>
      </w:r>
    </w:p>
    <w:p w:rsidR="004C5274" w:rsidRDefault="004C5274" w:rsidP="004C5274">
      <w:pPr>
        <w:jc w:val="both"/>
        <w:rPr>
          <w:rFonts w:asciiTheme="majorHAnsi" w:hAnsiTheme="majorHAnsi"/>
          <w:sz w:val="28"/>
          <w:szCs w:val="28"/>
        </w:rPr>
      </w:pPr>
      <w:r>
        <w:rPr>
          <w:rFonts w:asciiTheme="majorHAnsi" w:hAnsiTheme="majorHAnsi"/>
          <w:sz w:val="28"/>
          <w:szCs w:val="28"/>
        </w:rPr>
        <w:t>I would like to first and foremost express my profound thanks to the Almighty God for His protection, mercies and grace that has enabled me to successfully complete this work.</w:t>
      </w:r>
    </w:p>
    <w:p w:rsidR="004C5274" w:rsidRDefault="004C5274" w:rsidP="004C5274">
      <w:pPr>
        <w:jc w:val="both"/>
        <w:rPr>
          <w:rFonts w:asciiTheme="majorHAnsi" w:hAnsiTheme="majorHAnsi"/>
          <w:sz w:val="28"/>
          <w:szCs w:val="28"/>
        </w:rPr>
      </w:pPr>
      <w:r>
        <w:rPr>
          <w:rFonts w:asciiTheme="majorHAnsi" w:hAnsiTheme="majorHAnsi"/>
          <w:sz w:val="28"/>
          <w:szCs w:val="28"/>
        </w:rPr>
        <w:t xml:space="preserve">My profound gratitude also goes to my supervisor Mr. Bello A. A.  for taking time to supervise this project. Also to my entire lecturers that taught me in the polytechnic. Thank you all  </w:t>
      </w:r>
    </w:p>
    <w:p w:rsidR="004C5274" w:rsidRDefault="004C5274" w:rsidP="004C5274">
      <w:pPr>
        <w:jc w:val="both"/>
        <w:rPr>
          <w:rFonts w:asciiTheme="majorHAnsi" w:hAnsiTheme="majorHAnsi"/>
          <w:sz w:val="28"/>
          <w:szCs w:val="28"/>
        </w:rPr>
      </w:pPr>
      <w:r>
        <w:rPr>
          <w:rFonts w:asciiTheme="majorHAnsi" w:hAnsiTheme="majorHAnsi"/>
          <w:sz w:val="28"/>
          <w:szCs w:val="28"/>
        </w:rPr>
        <w:t>My sincere thanks also extends to my parents . May God continue to be with them.</w:t>
      </w:r>
    </w:p>
    <w:p w:rsidR="004C5274" w:rsidRDefault="004C5274" w:rsidP="004C5274">
      <w:pPr>
        <w:jc w:val="both"/>
        <w:rPr>
          <w:rFonts w:asciiTheme="majorHAnsi" w:hAnsiTheme="majorHAnsi"/>
          <w:sz w:val="28"/>
          <w:szCs w:val="28"/>
        </w:rPr>
      </w:pPr>
      <w:r>
        <w:rPr>
          <w:rFonts w:asciiTheme="majorHAnsi" w:hAnsiTheme="majorHAnsi"/>
          <w:sz w:val="28"/>
          <w:szCs w:val="28"/>
        </w:rPr>
        <w:t>Appreciation extends to all who in diverse ways assisted me to successful accomplish the realization of this project work most especially</w:t>
      </w:r>
    </w:p>
    <w:p w:rsidR="004C5274" w:rsidRDefault="004C5274" w:rsidP="004C5274">
      <w:pPr>
        <w:jc w:val="both"/>
        <w:rPr>
          <w:rFonts w:asciiTheme="majorHAnsi" w:hAnsiTheme="majorHAnsi"/>
          <w:sz w:val="28"/>
          <w:szCs w:val="28"/>
        </w:rPr>
      </w:pPr>
      <w:r>
        <w:rPr>
          <w:rFonts w:asciiTheme="majorHAnsi" w:hAnsiTheme="majorHAnsi"/>
          <w:sz w:val="28"/>
          <w:szCs w:val="28"/>
        </w:rPr>
        <w:t>It is not complete if I did not mention my friends. God bless you all.</w:t>
      </w:r>
    </w:p>
    <w:p w:rsidR="004C5274" w:rsidRDefault="004C5274" w:rsidP="004C5274">
      <w:pPr>
        <w:jc w:val="center"/>
        <w:rPr>
          <w:rFonts w:ascii="Bookman Old Style" w:hAnsi="Bookman Old Style"/>
          <w:sz w:val="28"/>
          <w:szCs w:val="28"/>
        </w:rPr>
      </w:pPr>
    </w:p>
    <w:p w:rsidR="004C5274" w:rsidRDefault="004C5274" w:rsidP="004C5274">
      <w:pPr>
        <w:autoSpaceDE w:val="0"/>
        <w:autoSpaceDN w:val="0"/>
        <w:adjustRightInd w:val="0"/>
        <w:spacing w:after="200" w:line="240" w:lineRule="auto"/>
        <w:jc w:val="center"/>
        <w:rPr>
          <w:rFonts w:ascii="Times New Roman" w:hAnsi="Times New Roman" w:cs="Times New Roman"/>
          <w:b/>
          <w:bCs/>
          <w:sz w:val="24"/>
          <w:szCs w:val="24"/>
        </w:rPr>
      </w:pPr>
    </w:p>
    <w:p w:rsidR="004C5274" w:rsidRDefault="004C5274" w:rsidP="004C5274">
      <w:pPr>
        <w:autoSpaceDE w:val="0"/>
        <w:autoSpaceDN w:val="0"/>
        <w:adjustRightInd w:val="0"/>
        <w:spacing w:after="200" w:line="240" w:lineRule="auto"/>
        <w:jc w:val="center"/>
        <w:rPr>
          <w:rFonts w:ascii="Times New Roman" w:hAnsi="Times New Roman" w:cs="Times New Roman"/>
          <w:b/>
          <w:bCs/>
          <w:sz w:val="24"/>
          <w:szCs w:val="24"/>
        </w:rPr>
      </w:pPr>
    </w:p>
    <w:p w:rsidR="004C5274" w:rsidRDefault="004C5274" w:rsidP="004C5274">
      <w:pPr>
        <w:autoSpaceDE w:val="0"/>
        <w:autoSpaceDN w:val="0"/>
        <w:adjustRightInd w:val="0"/>
        <w:spacing w:after="200" w:line="240" w:lineRule="auto"/>
        <w:jc w:val="center"/>
        <w:rPr>
          <w:rFonts w:ascii="Times New Roman" w:hAnsi="Times New Roman" w:cs="Times New Roman"/>
          <w:b/>
          <w:bCs/>
          <w:sz w:val="24"/>
          <w:szCs w:val="24"/>
        </w:rPr>
      </w:pPr>
    </w:p>
    <w:p w:rsidR="004C5274" w:rsidRDefault="004C5274" w:rsidP="004C5274">
      <w:pPr>
        <w:autoSpaceDE w:val="0"/>
        <w:autoSpaceDN w:val="0"/>
        <w:adjustRightInd w:val="0"/>
        <w:spacing w:after="200" w:line="240" w:lineRule="auto"/>
        <w:jc w:val="center"/>
        <w:rPr>
          <w:rFonts w:ascii="Times New Roman" w:hAnsi="Times New Roman" w:cs="Times New Roman"/>
          <w:b/>
          <w:bCs/>
          <w:sz w:val="24"/>
          <w:szCs w:val="24"/>
        </w:rPr>
      </w:pPr>
    </w:p>
    <w:p w:rsidR="004C5274" w:rsidRDefault="004C5274" w:rsidP="004C5274">
      <w:pPr>
        <w:autoSpaceDE w:val="0"/>
        <w:autoSpaceDN w:val="0"/>
        <w:adjustRightInd w:val="0"/>
        <w:spacing w:after="200" w:line="240" w:lineRule="auto"/>
        <w:jc w:val="center"/>
        <w:rPr>
          <w:rFonts w:ascii="Times New Roman" w:hAnsi="Times New Roman" w:cs="Times New Roman"/>
          <w:b/>
          <w:bCs/>
          <w:sz w:val="24"/>
          <w:szCs w:val="24"/>
        </w:rPr>
      </w:pPr>
    </w:p>
    <w:p w:rsidR="004C5274" w:rsidRDefault="004C5274" w:rsidP="004C5274">
      <w:pPr>
        <w:autoSpaceDE w:val="0"/>
        <w:autoSpaceDN w:val="0"/>
        <w:adjustRightInd w:val="0"/>
        <w:spacing w:after="200" w:line="240" w:lineRule="auto"/>
        <w:jc w:val="center"/>
        <w:rPr>
          <w:rFonts w:ascii="Times New Roman" w:hAnsi="Times New Roman" w:cs="Times New Roman"/>
          <w:b/>
          <w:bCs/>
          <w:sz w:val="24"/>
          <w:szCs w:val="24"/>
        </w:rPr>
      </w:pPr>
    </w:p>
    <w:p w:rsidR="004C5274" w:rsidRDefault="004C5274" w:rsidP="004C5274">
      <w:pPr>
        <w:autoSpaceDE w:val="0"/>
        <w:autoSpaceDN w:val="0"/>
        <w:adjustRightInd w:val="0"/>
        <w:spacing w:after="200" w:line="240" w:lineRule="auto"/>
        <w:jc w:val="center"/>
        <w:rPr>
          <w:rFonts w:ascii="Times New Roman" w:hAnsi="Times New Roman" w:cs="Times New Roman"/>
          <w:b/>
          <w:bCs/>
          <w:sz w:val="24"/>
          <w:szCs w:val="24"/>
        </w:rPr>
      </w:pPr>
    </w:p>
    <w:p w:rsidR="004C5274" w:rsidRDefault="004C5274" w:rsidP="004C5274">
      <w:pPr>
        <w:autoSpaceDE w:val="0"/>
        <w:autoSpaceDN w:val="0"/>
        <w:adjustRightInd w:val="0"/>
        <w:spacing w:after="200" w:line="240" w:lineRule="auto"/>
        <w:jc w:val="center"/>
        <w:rPr>
          <w:rFonts w:ascii="Times New Roman" w:hAnsi="Times New Roman" w:cs="Times New Roman"/>
          <w:b/>
          <w:bCs/>
          <w:sz w:val="24"/>
          <w:szCs w:val="24"/>
        </w:rPr>
      </w:pPr>
    </w:p>
    <w:p w:rsidR="004C5274" w:rsidRDefault="004C5274" w:rsidP="004C5274">
      <w:pPr>
        <w:autoSpaceDE w:val="0"/>
        <w:autoSpaceDN w:val="0"/>
        <w:adjustRightInd w:val="0"/>
        <w:spacing w:after="200" w:line="240" w:lineRule="auto"/>
        <w:jc w:val="center"/>
        <w:rPr>
          <w:rFonts w:ascii="Times New Roman" w:hAnsi="Times New Roman" w:cs="Times New Roman"/>
          <w:b/>
          <w:bCs/>
          <w:sz w:val="24"/>
          <w:szCs w:val="24"/>
        </w:rPr>
      </w:pPr>
    </w:p>
    <w:p w:rsidR="004C5274" w:rsidRDefault="004C5274" w:rsidP="004C5274">
      <w:pPr>
        <w:autoSpaceDE w:val="0"/>
        <w:autoSpaceDN w:val="0"/>
        <w:adjustRightInd w:val="0"/>
        <w:spacing w:after="200" w:line="240" w:lineRule="auto"/>
        <w:jc w:val="center"/>
        <w:rPr>
          <w:rFonts w:ascii="Times New Roman" w:hAnsi="Times New Roman" w:cs="Times New Roman"/>
          <w:b/>
          <w:bCs/>
          <w:sz w:val="24"/>
          <w:szCs w:val="24"/>
        </w:rPr>
      </w:pPr>
    </w:p>
    <w:p w:rsidR="004C5274" w:rsidRDefault="004C5274" w:rsidP="004C5274">
      <w:pPr>
        <w:autoSpaceDE w:val="0"/>
        <w:autoSpaceDN w:val="0"/>
        <w:adjustRightInd w:val="0"/>
        <w:spacing w:after="200" w:line="240" w:lineRule="auto"/>
        <w:jc w:val="center"/>
        <w:rPr>
          <w:rFonts w:ascii="Times New Roman" w:hAnsi="Times New Roman" w:cs="Times New Roman"/>
          <w:b/>
          <w:bCs/>
          <w:sz w:val="24"/>
          <w:szCs w:val="24"/>
        </w:rPr>
      </w:pPr>
    </w:p>
    <w:p w:rsidR="009E6C10" w:rsidRDefault="009E6C10" w:rsidP="004C5274">
      <w:pPr>
        <w:autoSpaceDE w:val="0"/>
        <w:autoSpaceDN w:val="0"/>
        <w:adjustRightInd w:val="0"/>
        <w:spacing w:after="200" w:line="240" w:lineRule="auto"/>
        <w:rPr>
          <w:rFonts w:ascii="Times New Roman" w:hAnsi="Times New Roman" w:cs="Times New Roman"/>
          <w:b/>
          <w:bCs/>
          <w:sz w:val="24"/>
          <w:szCs w:val="24"/>
        </w:rPr>
      </w:pPr>
    </w:p>
    <w:p w:rsidR="004C5274" w:rsidRDefault="004C5274" w:rsidP="004C5274">
      <w:pPr>
        <w:autoSpaceDE w:val="0"/>
        <w:autoSpaceDN w:val="0"/>
        <w:adjustRightInd w:val="0"/>
        <w:spacing w:after="200" w:line="240" w:lineRule="auto"/>
        <w:rPr>
          <w:rFonts w:ascii="Times New Roman" w:hAnsi="Times New Roman" w:cs="Times New Roman"/>
          <w:b/>
          <w:bCs/>
          <w:sz w:val="24"/>
          <w:szCs w:val="24"/>
        </w:rPr>
      </w:pPr>
    </w:p>
    <w:p w:rsidR="00DF3090" w:rsidRPr="006D61A9" w:rsidRDefault="00DF3090" w:rsidP="006D61A9">
      <w:pPr>
        <w:autoSpaceDE w:val="0"/>
        <w:autoSpaceDN w:val="0"/>
        <w:adjustRightInd w:val="0"/>
        <w:spacing w:after="200" w:line="240" w:lineRule="auto"/>
        <w:jc w:val="center"/>
        <w:rPr>
          <w:rFonts w:ascii="Times New Roman" w:hAnsi="Times New Roman" w:cs="Times New Roman"/>
          <w:b/>
          <w:bCs/>
          <w:sz w:val="24"/>
          <w:szCs w:val="24"/>
        </w:rPr>
      </w:pPr>
      <w:r w:rsidRPr="006D61A9">
        <w:rPr>
          <w:rFonts w:ascii="Times New Roman" w:hAnsi="Times New Roman" w:cs="Times New Roman"/>
          <w:b/>
          <w:bCs/>
          <w:sz w:val="24"/>
          <w:szCs w:val="24"/>
        </w:rPr>
        <w:lastRenderedPageBreak/>
        <w:t>ABSTRACT</w:t>
      </w:r>
    </w:p>
    <w:p w:rsidR="006D61A9" w:rsidRDefault="00DF3090" w:rsidP="006D61A9">
      <w:pPr>
        <w:autoSpaceDE w:val="0"/>
        <w:autoSpaceDN w:val="0"/>
        <w:adjustRightInd w:val="0"/>
        <w:spacing w:after="200" w:line="240" w:lineRule="auto"/>
        <w:jc w:val="both"/>
        <w:rPr>
          <w:rFonts w:ascii="Times New Roman" w:hAnsi="Times New Roman" w:cs="Times New Roman"/>
          <w:i/>
          <w:iCs/>
          <w:sz w:val="24"/>
          <w:szCs w:val="24"/>
        </w:rPr>
      </w:pPr>
      <w:r>
        <w:rPr>
          <w:rFonts w:ascii="Times New Roman" w:hAnsi="Times New Roman" w:cs="Times New Roman"/>
          <w:i/>
          <w:iCs/>
          <w:sz w:val="24"/>
          <w:szCs w:val="24"/>
        </w:rPr>
        <w:t>Achieving organizational objectives in the long run and maximizing firm performance and effectiveness, requires giving full attention to corporate social responsibility (CSR). The societies where business is located occupy a central place in corporate culture affecting the firm performance thus necessitating change in the internal organization structures, processes and behavior.</w:t>
      </w:r>
      <w:r>
        <w:rPr>
          <w:rFonts w:ascii="Times New Roman" w:hAnsi="Times New Roman" w:cs="Times New Roman"/>
          <w:i/>
          <w:iCs/>
          <w:color w:val="000000"/>
          <w:sz w:val="24"/>
          <w:szCs w:val="24"/>
        </w:rPr>
        <w:t xml:space="preserve"> The findings from this study with reference to Nigerian Flour Mills reveals that corporate social responsibility directed toward welfare expenditure was found to be higher than the infrastructure development expenditure, charity expenditure and community development expenditure. The explanatory variables, CSRs seem to be more potent and efficient in predicting the Earnings growth than profits, equity and sales as shown in the analysis at 5% level of significant. </w:t>
      </w:r>
      <w:r>
        <w:rPr>
          <w:rFonts w:ascii="Times New Roman" w:hAnsi="Times New Roman" w:cs="Times New Roman"/>
          <w:i/>
          <w:iCs/>
          <w:sz w:val="24"/>
          <w:szCs w:val="24"/>
        </w:rPr>
        <w:t>A theoretical review of CSR practices revealed a strong link between a firm’s CSR practices and its performance. It is therefore recommended that CSR environment has got significant impact on organization performance and that management of Nigerian Flour Mills should further devise appropriate policy in place for establishing positive organizational culture and social responsible mindset of staff members.</w:t>
      </w:r>
    </w:p>
    <w:p w:rsidR="006D61A9" w:rsidRDefault="006D61A9" w:rsidP="006D61A9">
      <w:pPr>
        <w:autoSpaceDE w:val="0"/>
        <w:autoSpaceDN w:val="0"/>
        <w:adjustRightInd w:val="0"/>
        <w:spacing w:after="200" w:line="240" w:lineRule="auto"/>
        <w:jc w:val="both"/>
        <w:rPr>
          <w:rFonts w:ascii="Times New Roman" w:hAnsi="Times New Roman" w:cs="Times New Roman"/>
          <w:i/>
          <w:iCs/>
          <w:sz w:val="24"/>
          <w:szCs w:val="24"/>
        </w:rPr>
      </w:pPr>
    </w:p>
    <w:p w:rsidR="006D61A9" w:rsidRDefault="006D61A9" w:rsidP="006D61A9">
      <w:pPr>
        <w:autoSpaceDE w:val="0"/>
        <w:autoSpaceDN w:val="0"/>
        <w:adjustRightInd w:val="0"/>
        <w:spacing w:after="200" w:line="240" w:lineRule="auto"/>
        <w:jc w:val="both"/>
        <w:rPr>
          <w:rFonts w:ascii="Times New Roman" w:hAnsi="Times New Roman" w:cs="Times New Roman"/>
          <w:i/>
          <w:iCs/>
          <w:sz w:val="24"/>
          <w:szCs w:val="24"/>
        </w:rPr>
      </w:pPr>
    </w:p>
    <w:p w:rsidR="006D61A9" w:rsidRDefault="006D61A9" w:rsidP="006D61A9">
      <w:pPr>
        <w:autoSpaceDE w:val="0"/>
        <w:autoSpaceDN w:val="0"/>
        <w:adjustRightInd w:val="0"/>
        <w:spacing w:after="200" w:line="240" w:lineRule="auto"/>
        <w:jc w:val="both"/>
        <w:rPr>
          <w:rFonts w:ascii="Times New Roman" w:hAnsi="Times New Roman" w:cs="Times New Roman"/>
          <w:i/>
          <w:iCs/>
          <w:sz w:val="24"/>
          <w:szCs w:val="24"/>
        </w:rPr>
      </w:pPr>
    </w:p>
    <w:p w:rsidR="006D61A9" w:rsidRDefault="006D61A9" w:rsidP="006D61A9">
      <w:pPr>
        <w:autoSpaceDE w:val="0"/>
        <w:autoSpaceDN w:val="0"/>
        <w:adjustRightInd w:val="0"/>
        <w:spacing w:after="200" w:line="240" w:lineRule="auto"/>
        <w:jc w:val="both"/>
        <w:rPr>
          <w:rFonts w:ascii="Times New Roman" w:hAnsi="Times New Roman" w:cs="Times New Roman"/>
          <w:i/>
          <w:iCs/>
          <w:sz w:val="24"/>
          <w:szCs w:val="24"/>
        </w:rPr>
      </w:pPr>
    </w:p>
    <w:p w:rsidR="006D61A9" w:rsidRDefault="006D61A9" w:rsidP="006D61A9">
      <w:pPr>
        <w:autoSpaceDE w:val="0"/>
        <w:autoSpaceDN w:val="0"/>
        <w:adjustRightInd w:val="0"/>
        <w:spacing w:after="200" w:line="240" w:lineRule="auto"/>
        <w:jc w:val="both"/>
        <w:rPr>
          <w:rFonts w:ascii="Times New Roman" w:hAnsi="Times New Roman" w:cs="Times New Roman"/>
          <w:i/>
          <w:iCs/>
          <w:sz w:val="24"/>
          <w:szCs w:val="24"/>
        </w:rPr>
      </w:pPr>
    </w:p>
    <w:p w:rsidR="006D61A9" w:rsidRDefault="006D61A9" w:rsidP="006D61A9">
      <w:pPr>
        <w:autoSpaceDE w:val="0"/>
        <w:autoSpaceDN w:val="0"/>
        <w:adjustRightInd w:val="0"/>
        <w:spacing w:after="200" w:line="240" w:lineRule="auto"/>
        <w:jc w:val="both"/>
        <w:rPr>
          <w:rFonts w:ascii="Times New Roman" w:hAnsi="Times New Roman" w:cs="Times New Roman"/>
          <w:i/>
          <w:iCs/>
          <w:sz w:val="24"/>
          <w:szCs w:val="24"/>
        </w:rPr>
      </w:pPr>
    </w:p>
    <w:p w:rsidR="006D61A9" w:rsidRDefault="006D61A9" w:rsidP="006D61A9">
      <w:pPr>
        <w:autoSpaceDE w:val="0"/>
        <w:autoSpaceDN w:val="0"/>
        <w:adjustRightInd w:val="0"/>
        <w:spacing w:after="200" w:line="240" w:lineRule="auto"/>
        <w:jc w:val="both"/>
        <w:rPr>
          <w:rFonts w:ascii="Times New Roman" w:hAnsi="Times New Roman" w:cs="Times New Roman"/>
          <w:i/>
          <w:iCs/>
          <w:sz w:val="24"/>
          <w:szCs w:val="24"/>
        </w:rPr>
      </w:pPr>
    </w:p>
    <w:p w:rsidR="006D61A9" w:rsidRDefault="006D61A9" w:rsidP="006D61A9">
      <w:pPr>
        <w:autoSpaceDE w:val="0"/>
        <w:autoSpaceDN w:val="0"/>
        <w:adjustRightInd w:val="0"/>
        <w:spacing w:after="200" w:line="240" w:lineRule="auto"/>
        <w:jc w:val="both"/>
        <w:rPr>
          <w:rFonts w:ascii="Times New Roman" w:hAnsi="Times New Roman" w:cs="Times New Roman"/>
          <w:i/>
          <w:iCs/>
          <w:sz w:val="24"/>
          <w:szCs w:val="24"/>
        </w:rPr>
      </w:pPr>
    </w:p>
    <w:p w:rsidR="006D61A9" w:rsidRDefault="006D61A9" w:rsidP="006D61A9">
      <w:pPr>
        <w:autoSpaceDE w:val="0"/>
        <w:autoSpaceDN w:val="0"/>
        <w:adjustRightInd w:val="0"/>
        <w:spacing w:after="200" w:line="240" w:lineRule="auto"/>
        <w:jc w:val="both"/>
        <w:rPr>
          <w:rFonts w:ascii="Times New Roman" w:hAnsi="Times New Roman" w:cs="Times New Roman"/>
          <w:i/>
          <w:iCs/>
          <w:sz w:val="24"/>
          <w:szCs w:val="24"/>
        </w:rPr>
      </w:pPr>
    </w:p>
    <w:p w:rsidR="006D61A9" w:rsidRDefault="006D61A9" w:rsidP="006D61A9">
      <w:pPr>
        <w:autoSpaceDE w:val="0"/>
        <w:autoSpaceDN w:val="0"/>
        <w:adjustRightInd w:val="0"/>
        <w:spacing w:after="200" w:line="240" w:lineRule="auto"/>
        <w:jc w:val="both"/>
        <w:rPr>
          <w:rFonts w:ascii="Times New Roman" w:hAnsi="Times New Roman" w:cs="Times New Roman"/>
          <w:i/>
          <w:iCs/>
          <w:sz w:val="24"/>
          <w:szCs w:val="24"/>
        </w:rPr>
      </w:pPr>
    </w:p>
    <w:p w:rsidR="006D61A9" w:rsidRDefault="006D61A9" w:rsidP="006D61A9">
      <w:pPr>
        <w:autoSpaceDE w:val="0"/>
        <w:autoSpaceDN w:val="0"/>
        <w:adjustRightInd w:val="0"/>
        <w:spacing w:after="200" w:line="240" w:lineRule="auto"/>
        <w:jc w:val="both"/>
        <w:rPr>
          <w:rFonts w:ascii="Times New Roman" w:hAnsi="Times New Roman" w:cs="Times New Roman"/>
          <w:i/>
          <w:iCs/>
          <w:sz w:val="24"/>
          <w:szCs w:val="24"/>
        </w:rPr>
      </w:pPr>
    </w:p>
    <w:p w:rsidR="006D61A9" w:rsidRDefault="006D61A9" w:rsidP="006D61A9">
      <w:pPr>
        <w:autoSpaceDE w:val="0"/>
        <w:autoSpaceDN w:val="0"/>
        <w:adjustRightInd w:val="0"/>
        <w:spacing w:after="200" w:line="240" w:lineRule="auto"/>
        <w:jc w:val="both"/>
        <w:rPr>
          <w:rFonts w:ascii="Times New Roman" w:hAnsi="Times New Roman" w:cs="Times New Roman"/>
          <w:i/>
          <w:iCs/>
          <w:sz w:val="24"/>
          <w:szCs w:val="24"/>
        </w:rPr>
      </w:pPr>
    </w:p>
    <w:p w:rsidR="006D61A9" w:rsidRDefault="006D61A9" w:rsidP="006D61A9">
      <w:pPr>
        <w:autoSpaceDE w:val="0"/>
        <w:autoSpaceDN w:val="0"/>
        <w:adjustRightInd w:val="0"/>
        <w:spacing w:after="200" w:line="240" w:lineRule="auto"/>
        <w:jc w:val="both"/>
        <w:rPr>
          <w:rFonts w:ascii="Times New Roman" w:hAnsi="Times New Roman" w:cs="Times New Roman"/>
          <w:i/>
          <w:iCs/>
          <w:sz w:val="24"/>
          <w:szCs w:val="24"/>
        </w:rPr>
      </w:pPr>
    </w:p>
    <w:p w:rsidR="006D61A9" w:rsidRDefault="006D61A9" w:rsidP="006D61A9">
      <w:pPr>
        <w:autoSpaceDE w:val="0"/>
        <w:autoSpaceDN w:val="0"/>
        <w:adjustRightInd w:val="0"/>
        <w:spacing w:after="200" w:line="240" w:lineRule="auto"/>
        <w:jc w:val="both"/>
        <w:rPr>
          <w:rFonts w:ascii="Times New Roman" w:hAnsi="Times New Roman" w:cs="Times New Roman"/>
          <w:i/>
          <w:iCs/>
          <w:sz w:val="24"/>
          <w:szCs w:val="24"/>
        </w:rPr>
      </w:pPr>
    </w:p>
    <w:p w:rsidR="006D61A9" w:rsidRDefault="006D61A9" w:rsidP="006D61A9">
      <w:pPr>
        <w:autoSpaceDE w:val="0"/>
        <w:autoSpaceDN w:val="0"/>
        <w:adjustRightInd w:val="0"/>
        <w:spacing w:after="200" w:line="240" w:lineRule="auto"/>
        <w:jc w:val="both"/>
        <w:rPr>
          <w:rFonts w:ascii="Times New Roman" w:hAnsi="Times New Roman" w:cs="Times New Roman"/>
          <w:i/>
          <w:iCs/>
          <w:sz w:val="24"/>
          <w:szCs w:val="24"/>
        </w:rPr>
      </w:pPr>
    </w:p>
    <w:p w:rsidR="006D61A9" w:rsidRDefault="006D61A9" w:rsidP="006D61A9">
      <w:pPr>
        <w:autoSpaceDE w:val="0"/>
        <w:autoSpaceDN w:val="0"/>
        <w:adjustRightInd w:val="0"/>
        <w:spacing w:after="200" w:line="240" w:lineRule="auto"/>
        <w:jc w:val="both"/>
        <w:rPr>
          <w:rFonts w:ascii="Times New Roman" w:hAnsi="Times New Roman" w:cs="Times New Roman"/>
          <w:i/>
          <w:iCs/>
          <w:sz w:val="24"/>
          <w:szCs w:val="24"/>
        </w:rPr>
      </w:pPr>
    </w:p>
    <w:p w:rsidR="006D61A9" w:rsidRPr="006D61A9" w:rsidRDefault="006D61A9" w:rsidP="006D61A9">
      <w:pPr>
        <w:autoSpaceDE w:val="0"/>
        <w:autoSpaceDN w:val="0"/>
        <w:adjustRightInd w:val="0"/>
        <w:spacing w:after="200" w:line="240" w:lineRule="auto"/>
        <w:jc w:val="both"/>
        <w:rPr>
          <w:rFonts w:ascii="Times New Roman" w:hAnsi="Times New Roman" w:cs="Times New Roman"/>
          <w:i/>
          <w:iCs/>
          <w:sz w:val="24"/>
          <w:szCs w:val="24"/>
        </w:rPr>
        <w:sectPr w:rsidR="006D61A9" w:rsidRPr="006D61A9" w:rsidSect="006D61A9">
          <w:footerReference w:type="default" r:id="rId7"/>
          <w:pgSz w:w="12240" w:h="15840"/>
          <w:pgMar w:top="1440" w:right="1440" w:bottom="1440" w:left="1440" w:header="720" w:footer="1440" w:gutter="0"/>
          <w:pgNumType w:fmt="lowerRoman" w:start="1"/>
          <w:cols w:space="720"/>
          <w:docGrid w:linePitch="360"/>
        </w:sectPr>
      </w:pPr>
    </w:p>
    <w:p w:rsidR="00DB2CD6" w:rsidRDefault="00DB2CD6" w:rsidP="00DB2CD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rsidR="00DB2CD6" w:rsidRDefault="00DB2CD6" w:rsidP="00DB2CD6">
      <w:pPr>
        <w:spacing w:after="0" w:line="360" w:lineRule="auto"/>
        <w:ind w:right="-151"/>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DB2CD6" w:rsidRDefault="00DB2CD6" w:rsidP="00DB2CD6">
      <w:pPr>
        <w:spacing w:after="0" w:line="360" w:lineRule="auto"/>
        <w:ind w:right="-151"/>
        <w:jc w:val="both"/>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DB2CD6" w:rsidRDefault="00DB2CD6" w:rsidP="00DB2CD6">
      <w:pPr>
        <w:spacing w:after="0" w:line="360" w:lineRule="auto"/>
        <w:ind w:right="-151"/>
        <w:jc w:val="both"/>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DB2CD6" w:rsidRDefault="00DB2CD6" w:rsidP="00DB2CD6">
      <w:pPr>
        <w:spacing w:after="0" w:line="360" w:lineRule="auto"/>
        <w:ind w:right="-151"/>
        <w:jc w:val="both"/>
        <w:rPr>
          <w:rFonts w:ascii="Times New Roman" w:hAnsi="Times New Roman" w:cs="Times New Roman"/>
          <w:sz w:val="24"/>
          <w:szCs w:val="24"/>
        </w:rPr>
      </w:pPr>
      <w:r>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DB2CD6" w:rsidRDefault="00DB2CD6" w:rsidP="00DB2CD6">
      <w:pPr>
        <w:spacing w:after="0" w:line="360" w:lineRule="auto"/>
        <w:ind w:right="-151"/>
        <w:jc w:val="both"/>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DB2CD6" w:rsidRDefault="00DB2CD6" w:rsidP="00DB2CD6">
      <w:pPr>
        <w:spacing w:after="0" w:line="360" w:lineRule="auto"/>
        <w:ind w:right="-151"/>
        <w:jc w:val="both"/>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w:t>
      </w:r>
    </w:p>
    <w:p w:rsidR="00DB2CD6" w:rsidRDefault="00DB2CD6" w:rsidP="00DB2CD6">
      <w:pPr>
        <w:spacing w:after="0" w:line="360" w:lineRule="auto"/>
        <w:ind w:right="-151"/>
        <w:jc w:val="both"/>
        <w:rPr>
          <w:rFonts w:ascii="Times New Roman" w:hAnsi="Times New Roman" w:cs="Times New Roman"/>
          <w:b/>
          <w:sz w:val="24"/>
          <w:szCs w:val="24"/>
        </w:rPr>
      </w:pPr>
    </w:p>
    <w:p w:rsidR="00DB2CD6" w:rsidRDefault="00DB2CD6" w:rsidP="00DB2CD6">
      <w:pPr>
        <w:spacing w:after="0" w:line="360" w:lineRule="auto"/>
        <w:ind w:right="-151"/>
        <w:jc w:val="both"/>
        <w:rPr>
          <w:rFonts w:ascii="Times New Roman" w:hAnsi="Times New Roman" w:cs="Times New Roman"/>
          <w:b/>
          <w:sz w:val="24"/>
          <w:szCs w:val="24"/>
        </w:rPr>
      </w:pPr>
      <w:r>
        <w:rPr>
          <w:rFonts w:ascii="Times New Roman" w:hAnsi="Times New Roman" w:cs="Times New Roman"/>
          <w:b/>
          <w:sz w:val="24"/>
          <w:szCs w:val="24"/>
        </w:rPr>
        <w:t>CHAPTER ONE</w:t>
      </w:r>
    </w:p>
    <w:p w:rsidR="00DB2CD6" w:rsidRDefault="00DB2CD6" w:rsidP="00DB2CD6">
      <w:pPr>
        <w:spacing w:after="0" w:line="360" w:lineRule="auto"/>
        <w:ind w:right="-151"/>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DB2CD6" w:rsidRDefault="00DB2CD6" w:rsidP="00DB2CD6">
      <w:pPr>
        <w:spacing w:after="0" w:line="360" w:lineRule="auto"/>
        <w:ind w:right="-151"/>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Background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DB2CD6" w:rsidRDefault="00DB2CD6" w:rsidP="00DB2CD6">
      <w:pPr>
        <w:spacing w:after="0" w:line="360" w:lineRule="auto"/>
        <w:ind w:right="-151"/>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Statement of the Problems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r>
        <w:rPr>
          <w:rFonts w:ascii="Times New Roman" w:hAnsi="Times New Roman" w:cs="Times New Roman"/>
          <w:sz w:val="24"/>
          <w:szCs w:val="24"/>
        </w:rPr>
        <w:tab/>
      </w:r>
    </w:p>
    <w:p w:rsidR="00DB2CD6" w:rsidRDefault="00DB2CD6" w:rsidP="00DB2CD6">
      <w:pPr>
        <w:spacing w:after="0" w:line="360" w:lineRule="auto"/>
        <w:ind w:right="-151"/>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DB2CD6" w:rsidRDefault="00DB2CD6" w:rsidP="00DB2CD6">
      <w:pPr>
        <w:spacing w:after="0" w:line="360" w:lineRule="auto"/>
        <w:ind w:right="-151"/>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r>
        <w:rPr>
          <w:rFonts w:ascii="Times New Roman" w:hAnsi="Times New Roman" w:cs="Times New Roman"/>
          <w:sz w:val="24"/>
          <w:szCs w:val="24"/>
        </w:rPr>
        <w:tab/>
      </w:r>
    </w:p>
    <w:p w:rsidR="00DB2CD6" w:rsidRDefault="00DB2CD6" w:rsidP="00DB2CD6">
      <w:pPr>
        <w:spacing w:after="0" w:line="360" w:lineRule="auto"/>
        <w:ind w:right="-151"/>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Research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DB2CD6" w:rsidRDefault="00DB2CD6" w:rsidP="00DB2CD6">
      <w:pPr>
        <w:spacing w:after="0" w:line="360" w:lineRule="auto"/>
        <w:ind w:right="-151"/>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DB2CD6" w:rsidRDefault="00DB2CD6" w:rsidP="00DB2CD6">
      <w:pPr>
        <w:tabs>
          <w:tab w:val="left" w:pos="720"/>
          <w:tab w:val="left" w:pos="1440"/>
          <w:tab w:val="left" w:pos="2160"/>
          <w:tab w:val="left" w:pos="2880"/>
          <w:tab w:val="left" w:pos="3600"/>
        </w:tabs>
        <w:spacing w:after="0" w:line="360" w:lineRule="auto"/>
        <w:ind w:right="-151"/>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DB2CD6" w:rsidRDefault="00DB2CD6" w:rsidP="00DB2CD6">
      <w:pPr>
        <w:autoSpaceDE w:val="0"/>
        <w:autoSpaceDN w:val="0"/>
        <w:adjustRightInd w:val="0"/>
        <w:spacing w:after="200" w:line="276" w:lineRule="auto"/>
        <w:rPr>
          <w:rFonts w:ascii="Times New Roman" w:hAnsi="Times New Roman" w:cs="Times New Roman"/>
          <w:b/>
          <w:bCs/>
          <w:sz w:val="24"/>
          <w:szCs w:val="24"/>
        </w:rPr>
      </w:pPr>
    </w:p>
    <w:p w:rsidR="00DB2CD6" w:rsidRDefault="00DB2CD6" w:rsidP="00DB2CD6">
      <w:pPr>
        <w:autoSpaceDE w:val="0"/>
        <w:autoSpaceDN w:val="0"/>
        <w:adjustRightInd w:val="0"/>
        <w:spacing w:after="200" w:line="276" w:lineRule="auto"/>
        <w:rPr>
          <w:rFonts w:ascii="Times New Roman" w:hAnsi="Times New Roman" w:cs="Times New Roman"/>
          <w:b/>
          <w:bCs/>
          <w:sz w:val="24"/>
          <w:szCs w:val="24"/>
        </w:rPr>
      </w:pPr>
      <w:r>
        <w:rPr>
          <w:rFonts w:ascii="Times New Roman" w:hAnsi="Times New Roman" w:cs="Times New Roman"/>
          <w:b/>
          <w:bCs/>
          <w:sz w:val="24"/>
          <w:szCs w:val="24"/>
        </w:rPr>
        <w:t xml:space="preserve"> CHAPTER TWO: LITERATURE REVIEW</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Conceptual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Meaning of Business Growth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Internal and External Factors that Influence  Business Growth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t>Profile of Selected Flour Mill Companies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t>Review of Nigeria Business Environment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2.7</w:t>
      </w:r>
      <w:r>
        <w:rPr>
          <w:rFonts w:ascii="Times New Roman" w:hAnsi="Times New Roman" w:cs="Times New Roman"/>
          <w:sz w:val="24"/>
          <w:szCs w:val="24"/>
        </w:rPr>
        <w:tab/>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2.8</w:t>
      </w:r>
      <w:r>
        <w:rPr>
          <w:rFonts w:ascii="Times New Roman" w:hAnsi="Times New Roman" w:cs="Times New Roman"/>
          <w:sz w:val="24"/>
          <w:szCs w:val="24"/>
        </w:rPr>
        <w:tab/>
        <w:t>Empirical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lastRenderedPageBreak/>
        <w:t>2.9</w:t>
      </w:r>
      <w:r>
        <w:rPr>
          <w:rFonts w:ascii="Times New Roman" w:hAnsi="Times New Roman" w:cs="Times New Roman"/>
          <w:sz w:val="24"/>
          <w:szCs w:val="24"/>
        </w:rPr>
        <w:tab/>
        <w:t>Research Gap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2.10</w:t>
      </w:r>
      <w:r>
        <w:rPr>
          <w:rFonts w:ascii="Times New Roman" w:hAnsi="Times New Roman" w:cs="Times New Roman"/>
          <w:sz w:val="24"/>
          <w:szCs w:val="24"/>
        </w:rPr>
        <w:tab/>
        <w:t>The study’s Conceptualization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39</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p>
    <w:p w:rsidR="00DB2CD6" w:rsidRDefault="00DB2CD6" w:rsidP="00DB2CD6">
      <w:pPr>
        <w:autoSpaceDE w:val="0"/>
        <w:autoSpaceDN w:val="0"/>
        <w:adjustRightInd w:val="0"/>
        <w:spacing w:after="200" w:line="276" w:lineRule="auto"/>
        <w:rPr>
          <w:rFonts w:ascii="Times New Roman" w:hAnsi="Times New Roman" w:cs="Times New Roman"/>
          <w:b/>
          <w:bCs/>
          <w:sz w:val="24"/>
          <w:szCs w:val="24"/>
        </w:rPr>
      </w:pPr>
      <w:r>
        <w:rPr>
          <w:rFonts w:ascii="Times New Roman" w:hAnsi="Times New Roman" w:cs="Times New Roman"/>
          <w:b/>
          <w:bCs/>
          <w:sz w:val="24"/>
          <w:szCs w:val="24"/>
        </w:rPr>
        <w:t>CHAPTER THREE: METHODOLOGY</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Sampling Techniques and Sampling Size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Method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Method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p>
    <w:p w:rsidR="00DB2CD6" w:rsidRDefault="00DB2CD6" w:rsidP="00DB2CD6">
      <w:pPr>
        <w:autoSpaceDE w:val="0"/>
        <w:autoSpaceDN w:val="0"/>
        <w:adjustRightInd w:val="0"/>
        <w:spacing w:after="200" w:line="276" w:lineRule="auto"/>
        <w:rPr>
          <w:rFonts w:ascii="Times New Roman" w:hAnsi="Times New Roman" w:cs="Times New Roman"/>
          <w:b/>
          <w:bCs/>
          <w:sz w:val="24"/>
          <w:szCs w:val="24"/>
        </w:rPr>
      </w:pPr>
      <w:r>
        <w:rPr>
          <w:rFonts w:ascii="Times New Roman" w:hAnsi="Times New Roman" w:cs="Times New Roman"/>
          <w:b/>
          <w:bCs/>
          <w:sz w:val="24"/>
          <w:szCs w:val="24"/>
        </w:rPr>
        <w:t>CHAPTER FOUR: DATA ANALYSIS AND INTERPRETATIONS</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p>
    <w:p w:rsidR="00DB2CD6" w:rsidRDefault="00DB2CD6" w:rsidP="00DB2CD6">
      <w:pPr>
        <w:autoSpaceDE w:val="0"/>
        <w:autoSpaceDN w:val="0"/>
        <w:adjustRightInd w:val="0"/>
        <w:spacing w:after="200" w:line="276" w:lineRule="auto"/>
        <w:rPr>
          <w:rFonts w:ascii="Times New Roman" w:hAnsi="Times New Roman" w:cs="Times New Roman"/>
          <w:b/>
          <w:bCs/>
          <w:sz w:val="24"/>
          <w:szCs w:val="24"/>
        </w:rPr>
      </w:pPr>
      <w:r>
        <w:rPr>
          <w:rFonts w:ascii="Times New Roman" w:hAnsi="Times New Roman" w:cs="Times New Roman"/>
          <w:b/>
          <w:bCs/>
          <w:sz w:val="24"/>
          <w:szCs w:val="24"/>
        </w:rPr>
        <w:t>CHAPTER FIVE: SUMMARY, CONCLUSION AND RECOMMENDATIONS</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52</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52</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53</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ab/>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54</w:t>
      </w:r>
    </w:p>
    <w:p w:rsidR="00DB2CD6" w:rsidRDefault="00DB2CD6" w:rsidP="00DB2CD6">
      <w:pPr>
        <w:autoSpaceDE w:val="0"/>
        <w:autoSpaceDN w:val="0"/>
        <w:adjustRightInd w:val="0"/>
        <w:spacing w:after="20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DB2CD6" w:rsidRDefault="00DB2CD6" w:rsidP="00DB2CD6">
      <w:pPr>
        <w:autoSpaceDE w:val="0"/>
        <w:autoSpaceDN w:val="0"/>
        <w:adjustRightInd w:val="0"/>
        <w:spacing w:after="200" w:line="276" w:lineRule="auto"/>
        <w:jc w:val="center"/>
        <w:rPr>
          <w:rFonts w:ascii="Times New Roman" w:hAnsi="Times New Roman" w:cs="Times New Roman"/>
          <w:i/>
          <w:iCs/>
          <w:sz w:val="24"/>
          <w:szCs w:val="24"/>
        </w:rPr>
      </w:pPr>
    </w:p>
    <w:p w:rsidR="00DB2CD6" w:rsidRDefault="00DB2CD6" w:rsidP="00DB2CD6">
      <w:pPr>
        <w:autoSpaceDE w:val="0"/>
        <w:autoSpaceDN w:val="0"/>
        <w:adjustRightInd w:val="0"/>
        <w:spacing w:after="200" w:line="276" w:lineRule="auto"/>
        <w:jc w:val="center"/>
        <w:rPr>
          <w:rFonts w:ascii="Times New Roman" w:hAnsi="Times New Roman" w:cs="Times New Roman"/>
          <w:i/>
          <w:iCs/>
          <w:sz w:val="24"/>
          <w:szCs w:val="24"/>
        </w:rPr>
      </w:pPr>
    </w:p>
    <w:p w:rsidR="00DB2CD6" w:rsidRDefault="00DB2CD6" w:rsidP="00C57DAB">
      <w:pPr>
        <w:autoSpaceDE w:val="0"/>
        <w:autoSpaceDN w:val="0"/>
        <w:adjustRightInd w:val="0"/>
        <w:spacing w:after="0" w:line="480" w:lineRule="auto"/>
        <w:ind w:left="2880" w:firstLine="720"/>
        <w:jc w:val="both"/>
        <w:rPr>
          <w:rFonts w:ascii="Times New Roman" w:hAnsi="Times New Roman" w:cs="Times New Roman"/>
          <w:b/>
          <w:bCs/>
          <w:sz w:val="24"/>
          <w:szCs w:val="24"/>
        </w:rPr>
      </w:pPr>
    </w:p>
    <w:p w:rsidR="00B44B07" w:rsidRPr="00B44B07" w:rsidRDefault="00B44B07" w:rsidP="00C57DAB">
      <w:pPr>
        <w:autoSpaceDE w:val="0"/>
        <w:autoSpaceDN w:val="0"/>
        <w:adjustRightInd w:val="0"/>
        <w:spacing w:after="0" w:line="480" w:lineRule="auto"/>
        <w:ind w:left="2880" w:firstLine="720"/>
        <w:jc w:val="both"/>
        <w:rPr>
          <w:rFonts w:ascii="Times New Roman" w:hAnsi="Times New Roman" w:cs="Times New Roman"/>
          <w:b/>
          <w:bCs/>
          <w:sz w:val="24"/>
          <w:szCs w:val="24"/>
        </w:rPr>
      </w:pPr>
      <w:r w:rsidRPr="00B44B07">
        <w:rPr>
          <w:rFonts w:ascii="Times New Roman" w:hAnsi="Times New Roman" w:cs="Times New Roman"/>
          <w:b/>
          <w:bCs/>
          <w:sz w:val="24"/>
          <w:szCs w:val="24"/>
        </w:rPr>
        <w:lastRenderedPageBreak/>
        <w:t>CHAPTER ONE</w:t>
      </w:r>
    </w:p>
    <w:p w:rsidR="00B44B07" w:rsidRPr="00B44B07" w:rsidRDefault="00B44B07" w:rsidP="00C57DAB">
      <w:pPr>
        <w:autoSpaceDE w:val="0"/>
        <w:autoSpaceDN w:val="0"/>
        <w:adjustRightInd w:val="0"/>
        <w:spacing w:after="0" w:line="480" w:lineRule="auto"/>
        <w:ind w:left="2880" w:firstLine="720"/>
        <w:jc w:val="both"/>
        <w:rPr>
          <w:rFonts w:ascii="Times New Roman" w:hAnsi="Times New Roman" w:cs="Times New Roman"/>
          <w:b/>
          <w:bCs/>
          <w:sz w:val="24"/>
          <w:szCs w:val="24"/>
        </w:rPr>
      </w:pPr>
      <w:r w:rsidRPr="00B44B07">
        <w:rPr>
          <w:rFonts w:ascii="Times New Roman" w:hAnsi="Times New Roman" w:cs="Times New Roman"/>
          <w:b/>
          <w:bCs/>
          <w:sz w:val="24"/>
          <w:szCs w:val="24"/>
        </w:rPr>
        <w:t>INTRODUCTION</w:t>
      </w:r>
    </w:p>
    <w:p w:rsidR="00B44B07" w:rsidRPr="00B44B07" w:rsidRDefault="00B44B07" w:rsidP="00C57DAB">
      <w:pPr>
        <w:autoSpaceDE w:val="0"/>
        <w:autoSpaceDN w:val="0"/>
        <w:adjustRightInd w:val="0"/>
        <w:spacing w:after="0" w:line="480" w:lineRule="auto"/>
        <w:jc w:val="both"/>
        <w:rPr>
          <w:rFonts w:ascii="Times New Roman" w:hAnsi="Times New Roman" w:cs="Times New Roman"/>
          <w:b/>
          <w:bCs/>
          <w:sz w:val="24"/>
          <w:szCs w:val="24"/>
        </w:rPr>
      </w:pPr>
      <w:r w:rsidRPr="00B44B07">
        <w:rPr>
          <w:rFonts w:ascii="Times New Roman" w:hAnsi="Times New Roman" w:cs="Times New Roman"/>
          <w:b/>
          <w:bCs/>
          <w:sz w:val="24"/>
          <w:szCs w:val="24"/>
        </w:rPr>
        <w:t xml:space="preserve">1.1 </w:t>
      </w:r>
      <w:r>
        <w:rPr>
          <w:rFonts w:ascii="Times New Roman" w:hAnsi="Times New Roman" w:cs="Times New Roman"/>
          <w:b/>
          <w:bCs/>
          <w:sz w:val="24"/>
          <w:szCs w:val="24"/>
        </w:rPr>
        <w:tab/>
      </w:r>
      <w:r w:rsidRPr="00B44B07">
        <w:rPr>
          <w:rFonts w:ascii="Times New Roman" w:hAnsi="Times New Roman" w:cs="Times New Roman"/>
          <w:b/>
          <w:bCs/>
          <w:sz w:val="24"/>
          <w:szCs w:val="24"/>
        </w:rPr>
        <w:t>Background to the study</w:t>
      </w:r>
    </w:p>
    <w:p w:rsidR="00B44B07" w:rsidRDefault="00B44B07" w:rsidP="00C57DAB">
      <w:pPr>
        <w:autoSpaceDE w:val="0"/>
        <w:autoSpaceDN w:val="0"/>
        <w:adjustRightInd w:val="0"/>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The study was prompted by a clear observation of interaction between Corporate Social Responsibility (CSR) and business growth. The primary goal of a company is to maximize profit. To make more profit, companies make good products, invest money to retain competent employees and develop new technology and retain customers. These efforts have not only benefited businesses economically, but have also contributed to the development of modern society. This social contribution concept of passive social responsibility has governed the mind of business owners until recently.</w:t>
      </w:r>
    </w:p>
    <w:p w:rsidR="00B44B07" w:rsidRDefault="00B44B07" w:rsidP="00C57DAB">
      <w:pPr>
        <w:autoSpaceDE w:val="0"/>
        <w:autoSpaceDN w:val="0"/>
        <w:adjustRightInd w:val="0"/>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Undoubtedly, Corporate Social responsibility (CSR) is a technique which has been and still to date much used in many organizations to communicate with the public indirectly about the existence of a certain firm and its products and/or services being offered. In most cases CSR is carried out as way to show gratitude to the community by giving back little of their profit. CSR, therefore, is a marketing concept often used globally and in Nigeria is no exception by many organizations to engage in a philanthropic work by giving back to the community to be seen as a good neighbor by the immediate community next to the organization in question. Quite often than not, CSR has been implemented in many organizations majorly to help the society and not the companies necessarily benefiting from the exercise; but only to enhance favorable view of the public (clients or customers) towards that particular firm (Kotler&amp; Armstrong 2008).</w:t>
      </w:r>
    </w:p>
    <w:p w:rsidR="00B44B07" w:rsidRDefault="00B44B07" w:rsidP="00C57DAB">
      <w:pPr>
        <w:autoSpaceDE w:val="0"/>
        <w:autoSpaceDN w:val="0"/>
        <w:adjustRightInd w:val="0"/>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Globally, with businesses focusing on generating profits, corporate social responsibility growth was not a popular concern among companies up until recently. Now, in an era of globalization, multinational corporations (those that conduct business in more than one country) </w:t>
      </w:r>
      <w:r>
        <w:rPr>
          <w:rFonts w:ascii="Times New Roman" w:hAnsi="Times New Roman" w:cs="Times New Roman"/>
          <w:color w:val="000000"/>
          <w:sz w:val="24"/>
          <w:szCs w:val="24"/>
        </w:rPr>
        <w:lastRenderedPageBreak/>
        <w:t>and local businesses are no longer able to conduct destructive and unethical practices, such as polluting the environment, without attracting negative feedback from the general public (Jatana&amp;Crowther, 2007). With increased media attention, pressure from non-governmental organizations, and rapid global information sharing, there is a surging demand from civil society, consumers, governments, and others for corporations to conduct sustainable business practices (Barkin, 2002). In addition, in order to attract and retain employees and customers, companies are beginning to realize the importance of being ethical while running their daily operations.</w:t>
      </w:r>
    </w:p>
    <w:p w:rsidR="00B44B07" w:rsidRDefault="00B44B07" w:rsidP="00C57DAB">
      <w:pPr>
        <w:autoSpaceDE w:val="0"/>
        <w:autoSpaceDN w:val="0"/>
        <w:adjustRightInd w:val="0"/>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The corporate response has often meant an adoption of 'a new consciousness', and this has been known as Corporate Social Responsibility (CSR) since the 1970s (Kotler&amp; Keller, 2006). Sorsa (2008) argues that in any case, companies are now expected to perform well in non-financial areas such as human rights, social welfare, environmental development, corporate contributions, community development, corporate governance, and workplace issues. Some examples of CSR are safe working conditions for employees, environmental stewardship, and contributions to community groups and charities. Moser &amp; Miller (2001) further reveal that the problem is that many companies that claim to be socially responsible often do not live up to such a standard. Because CSR is becoming more commonplace among corporations, there are concerns that some companies promote an image of CSR whether or not they have a true strategy in place and the results to show for. Accountability and transparency are keys to conducting business in a responsible manner (Kapoor&amp;Sandhu 2010).</w:t>
      </w:r>
    </w:p>
    <w:p w:rsidR="00B44B07" w:rsidRDefault="00B44B07" w:rsidP="00C57DAB">
      <w:pPr>
        <w:autoSpaceDE w:val="0"/>
        <w:autoSpaceDN w:val="0"/>
        <w:adjustRightInd w:val="0"/>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Africa, for example, the Nigerian government is busy with legislation which, if passed, will make it mandatory for companies to pay 3.5% of their gross profit to corporate social responsibility initiatives (Idemudia 2011). The proposed Corporate Social Responsibility Bill allows for a great deal of state meddling in companies' affairs and suggests onerous punishments </w:t>
      </w:r>
      <w:r>
        <w:rPr>
          <w:rFonts w:ascii="Times New Roman" w:hAnsi="Times New Roman" w:cs="Times New Roman"/>
          <w:color w:val="000000"/>
          <w:sz w:val="24"/>
          <w:szCs w:val="24"/>
        </w:rPr>
        <w:lastRenderedPageBreak/>
        <w:t xml:space="preserve">for noncompliance, including hefty fines. CSR is generally viewed as the building of schools, clinics, soccer pitches, offering bursaries, and others (Ite 2004). These ad hoc interventions just feed the view that such spending is window dressing for exploitative business behaviour that produces outrageous profits. But many budgets are significant and could be harnessed more meaningfully for development and growth in collaborative engagement between government and companies. </w:t>
      </w:r>
    </w:p>
    <w:p w:rsidR="00B44B07" w:rsidRDefault="00B44B07" w:rsidP="00C57DAB">
      <w:pPr>
        <w:autoSpaceDE w:val="0"/>
        <w:autoSpaceDN w:val="0"/>
        <w:adjustRightInd w:val="0"/>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In looking at CSR growth, the changing scenario of business across the world due to globalization has instigated governments to regulate business and develop policies compliant to this emerging situation. These policies target traditional corporate performance variables such as environmental performance, working conditions and marketing ethics etc. (Butler 2006). According to its promoters globalization is promoting democracy as well as economic growth. Companies can work with local communities for sustainable development programs by conveying clear values and principles, and accepting responsibility for workplaces and workplace conduct, companies cannot only build trust and mutual understanding with stakeholders; they can also support the role of governments (Ant 2008). As for its detractors, globalization can be contained by encouraging CSR as a foil for runaway commercialism and exploitative business practices. This is a rare convergence in support of CSR from completely opposing perspectives. Customers can be both from businesses or consumers.</w:t>
      </w:r>
    </w:p>
    <w:p w:rsidR="00B44B07" w:rsidRDefault="00B44B07" w:rsidP="00C57DAB">
      <w:pPr>
        <w:autoSpaceDE w:val="0"/>
        <w:autoSpaceDN w:val="0"/>
        <w:adjustRightInd w:val="0"/>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There is increasing awareness among business leaders in the developed economies that practicing corporate responsibility affects their corporate reputation and growth. Demand for disclosure has increased over time from the customers, investors, regulators, and community groups, environmental activists, trading partners which have resulted in a variety of social audits that explains the social performance of an organization (Choi and Grey 2008). NGO’s have also </w:t>
      </w:r>
      <w:r>
        <w:rPr>
          <w:rFonts w:ascii="Times New Roman" w:hAnsi="Times New Roman" w:cs="Times New Roman"/>
          <w:color w:val="000000"/>
          <w:sz w:val="24"/>
          <w:szCs w:val="24"/>
        </w:rPr>
        <w:lastRenderedPageBreak/>
        <w:t>played a major role in turning the spotlight on the corporate practices creating pressure for the non-compliant organization and boosting the activities of the organization practicing or planning the CSR strategy (Cavett-Goodwin 2007). Also there has been a rapid growth in the ‘CSR industry’ of consultants and accounting firms who are driving the social reporting trend, while representing that the driving force actually comes from the organization’s stakeholders. Companies that base their business decisions on profit margins alone and ignore their impact on stakeholders can pay a heavy price in both the court of public opinion and the stock markets (Branco and Rodrigues 2006).</w:t>
      </w:r>
    </w:p>
    <w:p w:rsidR="00B44B07" w:rsidRDefault="00B44B07" w:rsidP="00C57DAB">
      <w:pPr>
        <w:autoSpaceDE w:val="0"/>
        <w:autoSpaceDN w:val="0"/>
        <w:adjustRightInd w:val="0"/>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A surprising number of companies already regard corporate social responsibility as a platform for performance and differentiation.  But what is not known is whether if it (CSR) can be used as well by organizations to build on their sales, profit, equity growth as they continue practicing it, or it has become a “fashion” that each and every firm wants to be seen practicing it (CSR) without a focused objective in mind. The understanding of it (CSR) among the practitioners is also a major concern of this study.</w:t>
      </w:r>
    </w:p>
    <w:p w:rsidR="00B44B07" w:rsidRDefault="00B44B07" w:rsidP="00C57DAB">
      <w:pPr>
        <w:autoSpaceDE w:val="0"/>
        <w:autoSpaceDN w:val="0"/>
        <w:adjustRightInd w:val="0"/>
        <w:spacing w:after="0" w:line="480" w:lineRule="auto"/>
        <w:jc w:val="both"/>
        <w:rPr>
          <w:rFonts w:ascii="Times New Roman" w:hAnsi="Times New Roman" w:cs="Times New Roman"/>
          <w:b/>
          <w:bCs/>
          <w:color w:val="000000"/>
          <w:sz w:val="24"/>
          <w:szCs w:val="24"/>
        </w:rPr>
      </w:pPr>
    </w:p>
    <w:p w:rsidR="00B44B07" w:rsidRDefault="00B44B07" w:rsidP="00C57DAB">
      <w:pPr>
        <w:autoSpaceDE w:val="0"/>
        <w:autoSpaceDN w:val="0"/>
        <w:adjustRightInd w:val="0"/>
        <w:spacing w:after="0" w:line="480" w:lineRule="auto"/>
        <w:jc w:val="both"/>
        <w:rPr>
          <w:rFonts w:ascii="Times New Roman" w:hAnsi="Times New Roman" w:cs="Times New Roman"/>
          <w:color w:val="000000"/>
          <w:sz w:val="24"/>
          <w:szCs w:val="24"/>
        </w:rPr>
      </w:pPr>
      <w:r w:rsidRPr="00B44B07">
        <w:rPr>
          <w:rFonts w:ascii="Times New Roman" w:hAnsi="Times New Roman" w:cs="Times New Roman"/>
          <w:b/>
          <w:bCs/>
          <w:color w:val="000000"/>
          <w:sz w:val="24"/>
          <w:szCs w:val="24"/>
        </w:rPr>
        <w:t>1.2</w:t>
      </w:r>
      <w:r w:rsidRPr="00B44B07">
        <w:rPr>
          <w:rFonts w:ascii="Times New Roman" w:hAnsi="Times New Roman" w:cs="Times New Roman"/>
          <w:b/>
          <w:bCs/>
          <w:color w:val="000000"/>
          <w:sz w:val="24"/>
          <w:szCs w:val="24"/>
        </w:rPr>
        <w:tab/>
        <w:t>State</w:t>
      </w:r>
      <w:r>
        <w:rPr>
          <w:rFonts w:ascii="Times New Roman" w:hAnsi="Times New Roman" w:cs="Times New Roman"/>
          <w:b/>
          <w:bCs/>
          <w:color w:val="000000"/>
          <w:sz w:val="24"/>
          <w:szCs w:val="24"/>
        </w:rPr>
        <w:t>ment of the problem.</w:t>
      </w:r>
    </w:p>
    <w:p w:rsidR="00B44B07" w:rsidRDefault="00B44B07" w:rsidP="00C57DAB">
      <w:pPr>
        <w:autoSpaceDE w:val="0"/>
        <w:autoSpaceDN w:val="0"/>
        <w:adjustRightInd w:val="0"/>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With the new competent and competitive players, the Nigeria flour mills (NFM) system is now driven by advanced competition brought about by globalization, deregulation of financial services, astronomical development in Information and Communication Technology (ICT), among others, to render services according to cost-benefit criteria. This has affected flour mill customers' habits as well, while the increasing demands for clear and hard facts about the social and environmental performance of Nigeria enterprises by an increasingly well-informed breed of stakeholders have made corporate social responsibility (CSR). Nigeria flour mill perceive and </w:t>
      </w:r>
      <w:r>
        <w:rPr>
          <w:rFonts w:ascii="Times New Roman" w:hAnsi="Times New Roman" w:cs="Times New Roman"/>
          <w:color w:val="000000"/>
          <w:sz w:val="24"/>
          <w:szCs w:val="24"/>
        </w:rPr>
        <w:lastRenderedPageBreak/>
        <w:t xml:space="preserve">practice Corporate Social Responsibility as a corporate philanthropy aimed at addressing socio-economic and environmental development challenges. But then what impact does this have on the growth of the organization? </w:t>
      </w:r>
    </w:p>
    <w:p w:rsidR="00B44B07" w:rsidRDefault="00B44B07" w:rsidP="00C57DAB">
      <w:pPr>
        <w:autoSpaceDE w:val="0"/>
        <w:autoSpaceDN w:val="0"/>
        <w:adjustRightInd w:val="0"/>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It is against this background that, there is the need to find out how CSR impact on the growth of the Nigeria enterprises especially, Nigeria flour mill. More extensive studies are needed to explore the causal mechanisms linking CSR to growth and to determine whether or not those relationships hold consistently over time. The source of the connection between CSR and growth has rarely been systematically investigated. It is also important to position the timing in the relationship, since it would be valuable to investigate and to ascertain how long it takes for the impact of CSR on growth to be revealed. For the above to be realized, more data on CSR should become available. The reliability of the CSR data is also an important issue, as data from different sources have significant differences regarding how to evaluate the CSR performance of a firm.  </w:t>
      </w:r>
    </w:p>
    <w:p w:rsidR="00B44B07" w:rsidRDefault="00B44B07" w:rsidP="00C57DAB">
      <w:pPr>
        <w:autoSpaceDE w:val="0"/>
        <w:autoSpaceDN w:val="0"/>
        <w:adjustRightInd w:val="0"/>
        <w:spacing w:after="0" w:line="480" w:lineRule="auto"/>
        <w:jc w:val="both"/>
        <w:rPr>
          <w:rFonts w:ascii="Times New Roman" w:hAnsi="Times New Roman" w:cs="Times New Roman"/>
          <w:b/>
          <w:bCs/>
          <w:color w:val="000000"/>
          <w:sz w:val="24"/>
          <w:szCs w:val="24"/>
        </w:rPr>
      </w:pPr>
    </w:p>
    <w:p w:rsidR="00B44B07" w:rsidRDefault="00B44B07" w:rsidP="00C57DAB">
      <w:pPr>
        <w:autoSpaceDE w:val="0"/>
        <w:autoSpaceDN w:val="0"/>
        <w:adjustRightInd w:val="0"/>
        <w:spacing w:after="0" w:line="480" w:lineRule="auto"/>
        <w:jc w:val="both"/>
        <w:rPr>
          <w:rFonts w:ascii="Times New Roman" w:hAnsi="Times New Roman" w:cs="Times New Roman"/>
          <w:color w:val="000000"/>
          <w:sz w:val="24"/>
          <w:szCs w:val="24"/>
        </w:rPr>
      </w:pPr>
      <w:r w:rsidRPr="00B44B07">
        <w:rPr>
          <w:rFonts w:ascii="Times New Roman" w:hAnsi="Times New Roman" w:cs="Times New Roman"/>
          <w:b/>
          <w:bCs/>
          <w:color w:val="000000"/>
          <w:sz w:val="24"/>
          <w:szCs w:val="24"/>
        </w:rPr>
        <w:t xml:space="preserve">1.3 </w:t>
      </w:r>
      <w:r w:rsidRPr="00B44B07">
        <w:rPr>
          <w:rFonts w:ascii="Times New Roman" w:hAnsi="Times New Roman" w:cs="Times New Roman"/>
          <w:b/>
          <w:bCs/>
          <w:color w:val="000000"/>
          <w:sz w:val="24"/>
          <w:szCs w:val="24"/>
        </w:rPr>
        <w:tab/>
        <w:t>Resea</w:t>
      </w:r>
      <w:r>
        <w:rPr>
          <w:rFonts w:ascii="Times New Roman" w:hAnsi="Times New Roman" w:cs="Times New Roman"/>
          <w:b/>
          <w:bCs/>
          <w:color w:val="000000"/>
          <w:sz w:val="24"/>
          <w:szCs w:val="24"/>
        </w:rPr>
        <w:t>rch questions</w:t>
      </w:r>
      <w:r>
        <w:rPr>
          <w:rFonts w:ascii="Times New Roman" w:hAnsi="Times New Roman" w:cs="Times New Roman"/>
          <w:color w:val="000000"/>
          <w:sz w:val="24"/>
          <w:szCs w:val="24"/>
        </w:rPr>
        <w:tab/>
      </w:r>
    </w:p>
    <w:p w:rsidR="00B44B07" w:rsidRDefault="00B44B07" w:rsidP="00C57DAB">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Base on the research problems identified, the following research questions are to be addressed: </w:t>
      </w:r>
    </w:p>
    <w:p w:rsidR="00B44B07" w:rsidRDefault="00B44B07" w:rsidP="00C57DAB">
      <w:pPr>
        <w:autoSpaceDE w:val="0"/>
        <w:autoSpaceDN w:val="0"/>
        <w:adjustRightInd w:val="0"/>
        <w:spacing w:after="0" w:line="48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i</w:t>
      </w:r>
      <w:r>
        <w:rPr>
          <w:rFonts w:ascii="Times New Roman" w:hAnsi="Times New Roman" w:cs="Times New Roman"/>
          <w:color w:val="000000"/>
          <w:sz w:val="24"/>
          <w:szCs w:val="24"/>
        </w:rPr>
        <w:tab/>
        <w:t xml:space="preserve">Does community development expenditure has positive effect on increase in profits of Nigerian flour mill? </w:t>
      </w:r>
    </w:p>
    <w:p w:rsidR="00B44B07" w:rsidRDefault="00B44B07" w:rsidP="00C57DAB">
      <w:pPr>
        <w:autoSpaceDE w:val="0"/>
        <w:autoSpaceDN w:val="0"/>
        <w:adjustRightInd w:val="0"/>
        <w:spacing w:after="0" w:line="48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ii</w:t>
      </w:r>
      <w:r>
        <w:rPr>
          <w:rFonts w:ascii="Times New Roman" w:hAnsi="Times New Roman" w:cs="Times New Roman"/>
          <w:color w:val="000000"/>
          <w:sz w:val="24"/>
          <w:szCs w:val="24"/>
        </w:rPr>
        <w:tab/>
        <w:t xml:space="preserve">What significance does welfare expenditure has on sales growth of Nigerian flour mill? </w:t>
      </w:r>
    </w:p>
    <w:p w:rsidR="00B44B07" w:rsidRDefault="00B44B07" w:rsidP="00C57DAB">
      <w:pPr>
        <w:autoSpaceDE w:val="0"/>
        <w:autoSpaceDN w:val="0"/>
        <w:adjustRightInd w:val="0"/>
        <w:spacing w:after="0" w:line="48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iii</w:t>
      </w:r>
      <w:r>
        <w:rPr>
          <w:rFonts w:ascii="Times New Roman" w:hAnsi="Times New Roman" w:cs="Times New Roman"/>
          <w:color w:val="000000"/>
          <w:sz w:val="24"/>
          <w:szCs w:val="24"/>
        </w:rPr>
        <w:tab/>
        <w:t xml:space="preserve">What significance does infrastructural development expenditure has equity growth of Nigerian flour mill?  </w:t>
      </w:r>
    </w:p>
    <w:p w:rsidR="00B44B07" w:rsidRDefault="00B44B07" w:rsidP="00C57DAB">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iv</w:t>
      </w:r>
      <w:r>
        <w:rPr>
          <w:rFonts w:ascii="Times New Roman" w:hAnsi="Times New Roman" w:cs="Times New Roman"/>
          <w:color w:val="000000"/>
          <w:sz w:val="24"/>
          <w:szCs w:val="24"/>
        </w:rPr>
        <w:tab/>
      </w:r>
      <w:r>
        <w:rPr>
          <w:rFonts w:ascii="Times New Roman" w:hAnsi="Times New Roman" w:cs="Times New Roman"/>
          <w:sz w:val="24"/>
          <w:szCs w:val="24"/>
        </w:rPr>
        <w:t>Does charity expenditure has positive impact on increase in earnings of Nigeria flour mill?</w:t>
      </w:r>
    </w:p>
    <w:p w:rsidR="00B44B07" w:rsidRDefault="00B44B07" w:rsidP="00C57DAB">
      <w:pPr>
        <w:autoSpaceDE w:val="0"/>
        <w:autoSpaceDN w:val="0"/>
        <w:adjustRightInd w:val="0"/>
        <w:spacing w:after="0" w:line="480" w:lineRule="auto"/>
        <w:jc w:val="both"/>
        <w:rPr>
          <w:rFonts w:ascii="Times New Roman" w:hAnsi="Times New Roman" w:cs="Times New Roman"/>
          <w:b/>
          <w:bCs/>
          <w:sz w:val="24"/>
          <w:szCs w:val="24"/>
        </w:rPr>
      </w:pPr>
    </w:p>
    <w:p w:rsidR="00C57DAB" w:rsidRDefault="00C57DAB" w:rsidP="00C57DAB">
      <w:pPr>
        <w:autoSpaceDE w:val="0"/>
        <w:autoSpaceDN w:val="0"/>
        <w:adjustRightInd w:val="0"/>
        <w:spacing w:after="0" w:line="480" w:lineRule="auto"/>
        <w:jc w:val="both"/>
        <w:rPr>
          <w:rFonts w:ascii="Times New Roman" w:hAnsi="Times New Roman" w:cs="Times New Roman"/>
          <w:b/>
          <w:bCs/>
          <w:sz w:val="24"/>
          <w:szCs w:val="24"/>
        </w:rPr>
      </w:pPr>
    </w:p>
    <w:p w:rsidR="00C57DAB" w:rsidRDefault="00C57DAB" w:rsidP="00C57DAB">
      <w:pPr>
        <w:autoSpaceDE w:val="0"/>
        <w:autoSpaceDN w:val="0"/>
        <w:adjustRightInd w:val="0"/>
        <w:spacing w:after="0" w:line="480" w:lineRule="auto"/>
        <w:jc w:val="both"/>
        <w:rPr>
          <w:rFonts w:ascii="Times New Roman" w:hAnsi="Times New Roman" w:cs="Times New Roman"/>
          <w:b/>
          <w:bCs/>
          <w:sz w:val="24"/>
          <w:szCs w:val="24"/>
        </w:rPr>
      </w:pPr>
    </w:p>
    <w:p w:rsidR="00B44B07" w:rsidRDefault="00B44B07" w:rsidP="00C57DAB">
      <w:pPr>
        <w:autoSpaceDE w:val="0"/>
        <w:autoSpaceDN w:val="0"/>
        <w:adjustRightInd w:val="0"/>
        <w:spacing w:after="0" w:line="480" w:lineRule="auto"/>
        <w:jc w:val="both"/>
        <w:rPr>
          <w:rFonts w:ascii="Times New Roman" w:hAnsi="Times New Roman" w:cs="Times New Roman"/>
          <w:sz w:val="24"/>
          <w:szCs w:val="24"/>
        </w:rPr>
      </w:pPr>
      <w:r w:rsidRPr="00B44B07">
        <w:rPr>
          <w:rFonts w:ascii="Times New Roman" w:hAnsi="Times New Roman" w:cs="Times New Roman"/>
          <w:b/>
          <w:bCs/>
          <w:sz w:val="24"/>
          <w:szCs w:val="24"/>
        </w:rPr>
        <w:t xml:space="preserve">1.4   </w:t>
      </w:r>
      <w:r w:rsidR="00C35033">
        <w:rPr>
          <w:rFonts w:ascii="Times New Roman" w:hAnsi="Times New Roman" w:cs="Times New Roman"/>
          <w:b/>
          <w:bCs/>
          <w:sz w:val="24"/>
          <w:szCs w:val="24"/>
        </w:rPr>
        <w:tab/>
      </w:r>
      <w:r w:rsidRPr="00B44B07">
        <w:rPr>
          <w:rFonts w:ascii="Times New Roman" w:hAnsi="Times New Roman" w:cs="Times New Roman"/>
          <w:b/>
          <w:bCs/>
          <w:sz w:val="24"/>
          <w:szCs w:val="24"/>
        </w:rPr>
        <w:t>R</w:t>
      </w:r>
      <w:r>
        <w:rPr>
          <w:rFonts w:ascii="Times New Roman" w:hAnsi="Times New Roman" w:cs="Times New Roman"/>
          <w:b/>
          <w:bCs/>
          <w:sz w:val="24"/>
          <w:szCs w:val="24"/>
        </w:rPr>
        <w:t>esearch objectives</w:t>
      </w:r>
    </w:p>
    <w:p w:rsidR="00B44B07" w:rsidRDefault="00B44B07" w:rsidP="00C57DAB">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general objective of the study is to examine the relationship between corporate social responsibility and the growth of Nigeria flour mills.  However, specifically, the study seeks to achieve the following objectives;</w:t>
      </w:r>
    </w:p>
    <w:p w:rsidR="00B44B07" w:rsidRDefault="00B44B07" w:rsidP="00C57DAB">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to examine the effect of community development expenditure on increase in profits of Nigeria flour mill;</w:t>
      </w:r>
    </w:p>
    <w:p w:rsidR="00B44B07" w:rsidRDefault="00B44B07" w:rsidP="00C57DA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 xml:space="preserve">to examine the significant of welfare expenditure on sales growth of Nigeria flour mill; </w:t>
      </w:r>
    </w:p>
    <w:p w:rsidR="00B44B07" w:rsidRDefault="00B44B07" w:rsidP="00C57DAB">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to assess the effect of infrastructural development expenditure on increase in equity of Nigeria flour mills;</w:t>
      </w:r>
    </w:p>
    <w:p w:rsidR="00B44B07" w:rsidRDefault="00B44B07" w:rsidP="00C57DA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r>
      <w:r w:rsidR="00C35033">
        <w:rPr>
          <w:rFonts w:ascii="Times New Roman" w:hAnsi="Times New Roman" w:cs="Times New Roman"/>
          <w:sz w:val="24"/>
          <w:szCs w:val="24"/>
        </w:rPr>
        <w:t>t</w:t>
      </w:r>
      <w:r>
        <w:rPr>
          <w:rFonts w:ascii="Times New Roman" w:hAnsi="Times New Roman" w:cs="Times New Roman"/>
          <w:sz w:val="24"/>
          <w:szCs w:val="24"/>
        </w:rPr>
        <w:t>o examine the impact of charity expenditure on earnings growth of Nigeria flour mill.</w:t>
      </w:r>
    </w:p>
    <w:p w:rsidR="00B44B07" w:rsidRDefault="00B44B07" w:rsidP="00C57DAB">
      <w:pPr>
        <w:autoSpaceDE w:val="0"/>
        <w:autoSpaceDN w:val="0"/>
        <w:adjustRightInd w:val="0"/>
        <w:spacing w:after="0" w:line="480" w:lineRule="auto"/>
        <w:jc w:val="both"/>
        <w:rPr>
          <w:rFonts w:ascii="Times New Roman" w:hAnsi="Times New Roman" w:cs="Times New Roman"/>
          <w:sz w:val="24"/>
          <w:szCs w:val="24"/>
        </w:rPr>
      </w:pPr>
    </w:p>
    <w:p w:rsidR="00B44B07" w:rsidRPr="00B44B07" w:rsidRDefault="00B44B07" w:rsidP="00C57DAB">
      <w:pPr>
        <w:autoSpaceDE w:val="0"/>
        <w:autoSpaceDN w:val="0"/>
        <w:adjustRightInd w:val="0"/>
        <w:spacing w:after="0" w:line="480" w:lineRule="auto"/>
        <w:jc w:val="both"/>
        <w:rPr>
          <w:rFonts w:ascii="Times New Roman" w:hAnsi="Times New Roman" w:cs="Times New Roman"/>
          <w:b/>
          <w:bCs/>
          <w:sz w:val="24"/>
          <w:szCs w:val="24"/>
        </w:rPr>
      </w:pPr>
      <w:r w:rsidRPr="00B44B07">
        <w:rPr>
          <w:rFonts w:ascii="Times New Roman" w:hAnsi="Times New Roman" w:cs="Times New Roman"/>
          <w:b/>
          <w:bCs/>
          <w:sz w:val="24"/>
          <w:szCs w:val="24"/>
        </w:rPr>
        <w:t xml:space="preserve">1.5 </w:t>
      </w:r>
      <w:r w:rsidRPr="00B44B07">
        <w:rPr>
          <w:rFonts w:ascii="Times New Roman" w:hAnsi="Times New Roman" w:cs="Times New Roman"/>
          <w:b/>
          <w:bCs/>
          <w:sz w:val="24"/>
          <w:szCs w:val="24"/>
        </w:rPr>
        <w:tab/>
        <w:t>Research Hypotheses</w:t>
      </w:r>
    </w:p>
    <w:p w:rsidR="00B44B07" w:rsidRDefault="00B44B07" w:rsidP="00C57DAB">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following hypothesis shall be formulated for the objective of the study;</w:t>
      </w:r>
    </w:p>
    <w:p w:rsidR="00B44B07" w:rsidRDefault="00B44B07" w:rsidP="00C57DA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vertAlign w:val="subscript"/>
        </w:rPr>
        <w:t>1</w:t>
      </w:r>
      <w:r>
        <w:rPr>
          <w:rFonts w:ascii="Times New Roman" w:hAnsi="Times New Roman" w:cs="Times New Roman"/>
          <w:sz w:val="24"/>
          <w:szCs w:val="24"/>
        </w:rPr>
        <w:t xml:space="preserve"> there is no significant impact of community development expenditure on profitability growth of Nigeria flour mills.</w:t>
      </w:r>
    </w:p>
    <w:p w:rsidR="00B44B07" w:rsidRDefault="00B44B07" w:rsidP="00C57DA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vertAlign w:val="subscript"/>
        </w:rPr>
        <w:t>2</w:t>
      </w:r>
      <w:r>
        <w:rPr>
          <w:rFonts w:ascii="Times New Roman" w:hAnsi="Times New Roman" w:cs="Times New Roman"/>
          <w:sz w:val="24"/>
          <w:szCs w:val="24"/>
        </w:rPr>
        <w:t xml:space="preserve"> there is no significant effect of welfare responsibility expenditure on turnover/sales growth of Nigeria flour mills.</w:t>
      </w:r>
    </w:p>
    <w:p w:rsidR="00B44B07" w:rsidRDefault="00B44B07" w:rsidP="00C57DA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vertAlign w:val="subscript"/>
        </w:rPr>
        <w:t xml:space="preserve">3 </w:t>
      </w:r>
      <w:r>
        <w:rPr>
          <w:rFonts w:ascii="Times New Roman" w:hAnsi="Times New Roman" w:cs="Times New Roman"/>
          <w:sz w:val="24"/>
          <w:szCs w:val="24"/>
        </w:rPr>
        <w:t xml:space="preserve">there is no significant effect of infrastructure development expenditure on equity growth of Nigeria flour mills. </w:t>
      </w:r>
    </w:p>
    <w:p w:rsidR="00B44B07" w:rsidRDefault="00B44B07" w:rsidP="00C57DA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Ho</w:t>
      </w:r>
      <w:r>
        <w:rPr>
          <w:rFonts w:ascii="Times New Roman" w:hAnsi="Times New Roman" w:cs="Times New Roman"/>
          <w:sz w:val="24"/>
          <w:szCs w:val="24"/>
          <w:vertAlign w:val="subscript"/>
        </w:rPr>
        <w:t>4</w:t>
      </w:r>
      <w:r>
        <w:rPr>
          <w:rFonts w:ascii="Times New Roman" w:hAnsi="Times New Roman" w:cs="Times New Roman"/>
          <w:sz w:val="24"/>
          <w:szCs w:val="24"/>
        </w:rPr>
        <w:t xml:space="preserve"> there is no significant impact of charity expenditure on earnings growth of Nigeria flour mill.</w:t>
      </w:r>
    </w:p>
    <w:p w:rsidR="00B44B07" w:rsidRDefault="00B44B07" w:rsidP="00C57DAB">
      <w:pPr>
        <w:autoSpaceDE w:val="0"/>
        <w:autoSpaceDN w:val="0"/>
        <w:adjustRightInd w:val="0"/>
        <w:spacing w:after="0" w:line="480" w:lineRule="auto"/>
        <w:jc w:val="both"/>
        <w:rPr>
          <w:rFonts w:ascii="Times New Roman" w:hAnsi="Times New Roman" w:cs="Times New Roman"/>
          <w:b/>
          <w:bCs/>
          <w:sz w:val="24"/>
          <w:szCs w:val="24"/>
        </w:rPr>
      </w:pPr>
    </w:p>
    <w:p w:rsidR="00C57DAB" w:rsidRDefault="00C57DAB" w:rsidP="00C57DAB">
      <w:pPr>
        <w:autoSpaceDE w:val="0"/>
        <w:autoSpaceDN w:val="0"/>
        <w:adjustRightInd w:val="0"/>
        <w:spacing w:after="0" w:line="480" w:lineRule="auto"/>
        <w:jc w:val="both"/>
        <w:rPr>
          <w:rFonts w:ascii="Times New Roman" w:hAnsi="Times New Roman" w:cs="Times New Roman"/>
          <w:b/>
          <w:bCs/>
          <w:sz w:val="24"/>
          <w:szCs w:val="24"/>
        </w:rPr>
      </w:pPr>
    </w:p>
    <w:p w:rsidR="00C57DAB" w:rsidRDefault="00C57DAB" w:rsidP="00C57DAB">
      <w:pPr>
        <w:autoSpaceDE w:val="0"/>
        <w:autoSpaceDN w:val="0"/>
        <w:adjustRightInd w:val="0"/>
        <w:spacing w:after="0" w:line="480" w:lineRule="auto"/>
        <w:jc w:val="both"/>
        <w:rPr>
          <w:rFonts w:ascii="Times New Roman" w:hAnsi="Times New Roman" w:cs="Times New Roman"/>
          <w:b/>
          <w:bCs/>
          <w:sz w:val="24"/>
          <w:szCs w:val="24"/>
        </w:rPr>
      </w:pPr>
    </w:p>
    <w:p w:rsidR="00B44B07" w:rsidRDefault="00B44B07" w:rsidP="00C57DAB">
      <w:pPr>
        <w:autoSpaceDE w:val="0"/>
        <w:autoSpaceDN w:val="0"/>
        <w:adjustRightInd w:val="0"/>
        <w:spacing w:after="0" w:line="480" w:lineRule="auto"/>
        <w:jc w:val="both"/>
        <w:rPr>
          <w:rFonts w:ascii="Times New Roman" w:hAnsi="Times New Roman" w:cs="Times New Roman"/>
          <w:b/>
          <w:bCs/>
          <w:sz w:val="24"/>
          <w:szCs w:val="24"/>
        </w:rPr>
      </w:pPr>
      <w:r w:rsidRPr="00B44B07">
        <w:rPr>
          <w:rFonts w:ascii="Times New Roman" w:hAnsi="Times New Roman" w:cs="Times New Roman"/>
          <w:b/>
          <w:bCs/>
          <w:sz w:val="24"/>
          <w:szCs w:val="24"/>
        </w:rPr>
        <w:t>1.6</w:t>
      </w:r>
      <w:r w:rsidRPr="00B44B07">
        <w:rPr>
          <w:rFonts w:ascii="Times New Roman" w:hAnsi="Times New Roman" w:cs="Times New Roman"/>
          <w:b/>
          <w:bCs/>
          <w:sz w:val="24"/>
          <w:szCs w:val="24"/>
        </w:rPr>
        <w:tab/>
        <w:t>Signif</w:t>
      </w:r>
      <w:r>
        <w:rPr>
          <w:rFonts w:ascii="Times New Roman" w:hAnsi="Times New Roman" w:cs="Times New Roman"/>
          <w:b/>
          <w:bCs/>
          <w:sz w:val="24"/>
          <w:szCs w:val="24"/>
        </w:rPr>
        <w:t>icance of the study</w:t>
      </w:r>
    </w:p>
    <w:p w:rsidR="00B44B07" w:rsidRDefault="00B44B07" w:rsidP="00C57DAB">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readers of this study may conclude that CSR is most likely to contribute to long term success of business enterprises, when it is fully integrated into business strategy. The study may be of great importance to a company’s competitiveness. It could bring benefit in terms of customer relationship, human resources management and innovation capacity. Thus, the study will be of immense value to corporate firm who will find its result as effective tools to generate return on investment for their owners by means of creating value for their stakeholders and society at large. It is of important to innovation, especially in terms of development of new product and services that are commercially successful and help to address societal challenges. Thus</w:t>
      </w:r>
      <w:r w:rsidR="00C35033">
        <w:rPr>
          <w:rFonts w:ascii="Times New Roman" w:hAnsi="Times New Roman" w:cs="Times New Roman"/>
          <w:sz w:val="24"/>
          <w:szCs w:val="24"/>
        </w:rPr>
        <w:t>,</w:t>
      </w:r>
      <w:r>
        <w:rPr>
          <w:rFonts w:ascii="Times New Roman" w:hAnsi="Times New Roman" w:cs="Times New Roman"/>
          <w:sz w:val="24"/>
          <w:szCs w:val="24"/>
        </w:rPr>
        <w:t xml:space="preserve"> the study will serve as references to numerous researchers who may want to carry out further research on the topic in the future.</w:t>
      </w:r>
    </w:p>
    <w:p w:rsidR="00B44B07" w:rsidRDefault="00B44B07" w:rsidP="00C57DAB">
      <w:pPr>
        <w:autoSpaceDE w:val="0"/>
        <w:autoSpaceDN w:val="0"/>
        <w:adjustRightInd w:val="0"/>
        <w:spacing w:after="0" w:line="480" w:lineRule="auto"/>
        <w:jc w:val="both"/>
        <w:rPr>
          <w:rFonts w:ascii="Times New Roman" w:hAnsi="Times New Roman" w:cs="Times New Roman"/>
          <w:b/>
          <w:bCs/>
          <w:sz w:val="24"/>
          <w:szCs w:val="24"/>
        </w:rPr>
      </w:pPr>
    </w:p>
    <w:p w:rsidR="00B44B07" w:rsidRDefault="00B44B07" w:rsidP="00C57DAB">
      <w:pPr>
        <w:autoSpaceDE w:val="0"/>
        <w:autoSpaceDN w:val="0"/>
        <w:adjustRightInd w:val="0"/>
        <w:spacing w:after="0" w:line="480" w:lineRule="auto"/>
        <w:jc w:val="both"/>
        <w:rPr>
          <w:rFonts w:ascii="Times New Roman" w:hAnsi="Times New Roman" w:cs="Times New Roman"/>
          <w:sz w:val="24"/>
          <w:szCs w:val="24"/>
        </w:rPr>
      </w:pPr>
      <w:r w:rsidRPr="00B44B07">
        <w:rPr>
          <w:rFonts w:ascii="Times New Roman" w:hAnsi="Times New Roman" w:cs="Times New Roman"/>
          <w:b/>
          <w:bCs/>
          <w:sz w:val="24"/>
          <w:szCs w:val="24"/>
        </w:rPr>
        <w:t xml:space="preserve">1.7 </w:t>
      </w:r>
      <w:r>
        <w:rPr>
          <w:rFonts w:ascii="Times New Roman" w:hAnsi="Times New Roman" w:cs="Times New Roman"/>
          <w:b/>
          <w:bCs/>
          <w:sz w:val="24"/>
          <w:szCs w:val="24"/>
        </w:rPr>
        <w:tab/>
      </w:r>
      <w:r w:rsidRPr="00B44B07">
        <w:rPr>
          <w:rFonts w:ascii="Times New Roman" w:hAnsi="Times New Roman" w:cs="Times New Roman"/>
          <w:b/>
          <w:bCs/>
          <w:sz w:val="24"/>
          <w:szCs w:val="24"/>
        </w:rPr>
        <w:t>Scope</w:t>
      </w:r>
      <w:r>
        <w:rPr>
          <w:rFonts w:ascii="Times New Roman" w:hAnsi="Times New Roman" w:cs="Times New Roman"/>
          <w:b/>
          <w:bCs/>
          <w:sz w:val="24"/>
          <w:szCs w:val="24"/>
        </w:rPr>
        <w:t xml:space="preserve"> of the study</w:t>
      </w:r>
    </w:p>
    <w:p w:rsidR="00B44B07" w:rsidRDefault="00B44B07" w:rsidP="00C57DAB">
      <w:pPr>
        <w:autoSpaceDE w:val="0"/>
        <w:autoSpaceDN w:val="0"/>
        <w:adjustRightInd w:val="0"/>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sz w:val="24"/>
          <w:szCs w:val="24"/>
        </w:rPr>
        <w:t xml:space="preserve">The study covers four flour mill companies quoted in Nigeria stock exchange as at 31 December 2015. The data for the study covers the period between 2009 and 2015; it was extracted from annual financial reports of these companies. These periods represent the years when Nigeria flour mills adherent to CSR strategy. The Nigeria flour mills CSR activities </w:t>
      </w:r>
      <w:r>
        <w:rPr>
          <w:rFonts w:ascii="Times New Roman" w:hAnsi="Times New Roman" w:cs="Times New Roman"/>
          <w:sz w:val="24"/>
          <w:szCs w:val="24"/>
        </w:rPr>
        <w:lastRenderedPageBreak/>
        <w:t>includes;</w:t>
      </w:r>
      <w:r>
        <w:rPr>
          <w:rFonts w:ascii="Times New Roman" w:hAnsi="Times New Roman" w:cs="Times New Roman"/>
          <w:color w:val="000000"/>
          <w:sz w:val="24"/>
          <w:szCs w:val="24"/>
        </w:rPr>
        <w:t xml:space="preserve"> Education, Research, and Skill development, Environmental sustainability, Health, Safety, Welfare and Security and Infrastructural development.</w:t>
      </w:r>
    </w:p>
    <w:p w:rsidR="00B44B07" w:rsidRDefault="00B44B07" w:rsidP="00C57DAB">
      <w:pPr>
        <w:autoSpaceDE w:val="0"/>
        <w:autoSpaceDN w:val="0"/>
        <w:adjustRightInd w:val="0"/>
        <w:spacing w:after="0" w:line="480" w:lineRule="auto"/>
        <w:jc w:val="both"/>
        <w:rPr>
          <w:rFonts w:ascii="Times New Roman" w:hAnsi="Times New Roman" w:cs="Times New Roman"/>
          <w:sz w:val="24"/>
          <w:szCs w:val="24"/>
        </w:rPr>
      </w:pPr>
    </w:p>
    <w:p w:rsidR="00C57DAB" w:rsidRDefault="00C57DAB" w:rsidP="00C57DAB">
      <w:pPr>
        <w:autoSpaceDE w:val="0"/>
        <w:autoSpaceDN w:val="0"/>
        <w:adjustRightInd w:val="0"/>
        <w:spacing w:after="0" w:line="480" w:lineRule="auto"/>
        <w:jc w:val="both"/>
        <w:rPr>
          <w:rFonts w:ascii="Times New Roman" w:hAnsi="Times New Roman" w:cs="Times New Roman"/>
          <w:sz w:val="24"/>
          <w:szCs w:val="24"/>
        </w:rPr>
      </w:pPr>
    </w:p>
    <w:p w:rsidR="00C57DAB" w:rsidRDefault="00C57DAB" w:rsidP="00C57DAB">
      <w:pPr>
        <w:autoSpaceDE w:val="0"/>
        <w:autoSpaceDN w:val="0"/>
        <w:adjustRightInd w:val="0"/>
        <w:spacing w:after="0" w:line="480" w:lineRule="auto"/>
        <w:jc w:val="both"/>
        <w:rPr>
          <w:rFonts w:ascii="Times New Roman" w:hAnsi="Times New Roman" w:cs="Times New Roman"/>
          <w:sz w:val="24"/>
          <w:szCs w:val="24"/>
        </w:rPr>
      </w:pPr>
    </w:p>
    <w:p w:rsidR="00C57DAB" w:rsidRDefault="00C57DAB" w:rsidP="00C57DAB">
      <w:pPr>
        <w:autoSpaceDE w:val="0"/>
        <w:autoSpaceDN w:val="0"/>
        <w:adjustRightInd w:val="0"/>
        <w:spacing w:after="0" w:line="480" w:lineRule="auto"/>
        <w:jc w:val="both"/>
        <w:rPr>
          <w:rFonts w:ascii="Times New Roman" w:hAnsi="Times New Roman" w:cs="Times New Roman"/>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B44B07" w:rsidRDefault="00B44B07" w:rsidP="00C22851">
      <w:pPr>
        <w:autoSpaceDE w:val="0"/>
        <w:autoSpaceDN w:val="0"/>
        <w:adjustRightInd w:val="0"/>
        <w:spacing w:after="0" w:line="408" w:lineRule="auto"/>
        <w:jc w:val="center"/>
        <w:rPr>
          <w:rFonts w:ascii="Times New Roman" w:hAnsi="Times New Roman" w:cs="Times New Roman"/>
          <w:sz w:val="24"/>
          <w:szCs w:val="24"/>
        </w:rPr>
      </w:pPr>
      <w:r>
        <w:rPr>
          <w:rFonts w:ascii="Times New Roman" w:hAnsi="Times New Roman" w:cs="Times New Roman"/>
          <w:b/>
          <w:bCs/>
          <w:color w:val="000000"/>
          <w:sz w:val="24"/>
          <w:szCs w:val="24"/>
        </w:rPr>
        <w:lastRenderedPageBreak/>
        <w:t>CHAPTER TWO</w:t>
      </w:r>
    </w:p>
    <w:p w:rsidR="00B44B07" w:rsidRDefault="00B44B07" w:rsidP="00C22851">
      <w:pPr>
        <w:autoSpaceDE w:val="0"/>
        <w:autoSpaceDN w:val="0"/>
        <w:adjustRightInd w:val="0"/>
        <w:spacing w:after="0" w:line="408"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LITERATURE REVIEW</w:t>
      </w:r>
    </w:p>
    <w:p w:rsidR="00B44B07" w:rsidRDefault="00B44B07" w:rsidP="00C22851">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2.1   </w:t>
      </w:r>
      <w:r w:rsidR="00C57DAB">
        <w:rPr>
          <w:rFonts w:ascii="Times New Roman" w:hAnsi="Times New Roman" w:cs="Times New Roman"/>
          <w:b/>
          <w:bCs/>
          <w:color w:val="000000"/>
          <w:sz w:val="24"/>
          <w:szCs w:val="24"/>
        </w:rPr>
        <w:tab/>
      </w:r>
      <w:r>
        <w:rPr>
          <w:rFonts w:ascii="Times New Roman" w:hAnsi="Times New Roman" w:cs="Times New Roman"/>
          <w:b/>
          <w:bCs/>
          <w:color w:val="000000"/>
          <w:sz w:val="24"/>
          <w:szCs w:val="24"/>
        </w:rPr>
        <w:t>Introduction</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chapter, literatures relating to the variables under study were reviewed. The chapter presented conceptual framework, theoretical framework, empirical review and the study gaps. </w:t>
      </w:r>
    </w:p>
    <w:p w:rsidR="00C57DAB" w:rsidRDefault="00C57DAB" w:rsidP="00C22851">
      <w:pPr>
        <w:autoSpaceDE w:val="0"/>
        <w:autoSpaceDN w:val="0"/>
        <w:adjustRightInd w:val="0"/>
        <w:spacing w:after="0" w:line="408" w:lineRule="auto"/>
        <w:jc w:val="both"/>
        <w:rPr>
          <w:rFonts w:ascii="Times New Roman" w:hAnsi="Times New Roman" w:cs="Times New Roman"/>
          <w:sz w:val="24"/>
          <w:szCs w:val="24"/>
        </w:rPr>
      </w:pPr>
    </w:p>
    <w:p w:rsidR="00B44B07" w:rsidRPr="00C57DAB" w:rsidRDefault="00B44B07" w:rsidP="00C22851">
      <w:pPr>
        <w:autoSpaceDE w:val="0"/>
        <w:autoSpaceDN w:val="0"/>
        <w:adjustRightInd w:val="0"/>
        <w:spacing w:after="0" w:line="408" w:lineRule="auto"/>
        <w:jc w:val="both"/>
        <w:rPr>
          <w:rFonts w:ascii="Times New Roman" w:hAnsi="Times New Roman" w:cs="Times New Roman"/>
          <w:b/>
          <w:bCs/>
          <w:sz w:val="24"/>
          <w:szCs w:val="24"/>
        </w:rPr>
      </w:pPr>
      <w:r w:rsidRPr="00C57DAB">
        <w:rPr>
          <w:rFonts w:ascii="Times New Roman" w:hAnsi="Times New Roman" w:cs="Times New Roman"/>
          <w:b/>
          <w:bCs/>
          <w:sz w:val="24"/>
          <w:szCs w:val="24"/>
        </w:rPr>
        <w:t>2.2</w:t>
      </w:r>
      <w:r w:rsidRPr="00C57DAB">
        <w:rPr>
          <w:rFonts w:ascii="Times New Roman" w:hAnsi="Times New Roman" w:cs="Times New Roman"/>
          <w:b/>
          <w:bCs/>
          <w:sz w:val="24"/>
          <w:szCs w:val="24"/>
        </w:rPr>
        <w:tab/>
        <w:t>Conceptual Framework</w:t>
      </w:r>
    </w:p>
    <w:p w:rsidR="00B44B07" w:rsidRPr="00C57DAB" w:rsidRDefault="00B44B07" w:rsidP="00C22851">
      <w:pPr>
        <w:autoSpaceDE w:val="0"/>
        <w:autoSpaceDN w:val="0"/>
        <w:adjustRightInd w:val="0"/>
        <w:spacing w:after="0" w:line="408" w:lineRule="auto"/>
        <w:jc w:val="both"/>
        <w:rPr>
          <w:rFonts w:ascii="Times New Roman" w:hAnsi="Times New Roman" w:cs="Times New Roman"/>
          <w:b/>
          <w:bCs/>
          <w:sz w:val="24"/>
          <w:szCs w:val="24"/>
        </w:rPr>
      </w:pPr>
      <w:r w:rsidRPr="00C57DAB">
        <w:rPr>
          <w:rFonts w:ascii="Times New Roman" w:hAnsi="Times New Roman" w:cs="Times New Roman"/>
          <w:b/>
          <w:bCs/>
          <w:sz w:val="24"/>
          <w:szCs w:val="24"/>
        </w:rPr>
        <w:t xml:space="preserve">2.2.1 </w:t>
      </w:r>
      <w:r w:rsidR="00C57DAB">
        <w:rPr>
          <w:rFonts w:ascii="Times New Roman" w:hAnsi="Times New Roman" w:cs="Times New Roman"/>
          <w:b/>
          <w:bCs/>
          <w:sz w:val="24"/>
          <w:szCs w:val="24"/>
        </w:rPr>
        <w:tab/>
      </w:r>
      <w:r w:rsidRPr="00C57DAB">
        <w:rPr>
          <w:rFonts w:ascii="Times New Roman" w:hAnsi="Times New Roman" w:cs="Times New Roman"/>
          <w:b/>
          <w:bCs/>
          <w:sz w:val="24"/>
          <w:szCs w:val="24"/>
        </w:rPr>
        <w:t>A</w:t>
      </w:r>
      <w:r w:rsidR="00C57DAB">
        <w:rPr>
          <w:rFonts w:ascii="Times New Roman" w:hAnsi="Times New Roman" w:cs="Times New Roman"/>
          <w:b/>
          <w:bCs/>
          <w:sz w:val="24"/>
          <w:szCs w:val="24"/>
        </w:rPr>
        <w:t>n</w:t>
      </w:r>
      <w:r w:rsidRPr="00C57DAB">
        <w:rPr>
          <w:rFonts w:ascii="Times New Roman" w:hAnsi="Times New Roman" w:cs="Times New Roman"/>
          <w:b/>
          <w:bCs/>
          <w:sz w:val="24"/>
          <w:szCs w:val="24"/>
        </w:rPr>
        <w:t xml:space="preserve"> overview of </w:t>
      </w:r>
      <w:r w:rsidR="00C57DAB" w:rsidRPr="00C57DAB">
        <w:rPr>
          <w:rFonts w:ascii="Times New Roman" w:hAnsi="Times New Roman" w:cs="Times New Roman"/>
          <w:b/>
          <w:bCs/>
          <w:sz w:val="24"/>
          <w:szCs w:val="24"/>
        </w:rPr>
        <w:t xml:space="preserve">Social Responsibility </w:t>
      </w:r>
      <w:r w:rsidRPr="00C57DAB">
        <w:rPr>
          <w:rFonts w:ascii="Times New Roman" w:hAnsi="Times New Roman" w:cs="Times New Roman"/>
          <w:b/>
          <w:bCs/>
          <w:sz w:val="24"/>
          <w:szCs w:val="24"/>
        </w:rPr>
        <w:t>(SR)</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Different scholars, writers and organizations have framed different definitions on CSR depends on the writer area of focuses, although there is considerable common ground between them. </w:t>
      </w:r>
      <w:r>
        <w:rPr>
          <w:rFonts w:ascii="Times New Roman" w:hAnsi="Times New Roman" w:cs="Times New Roman"/>
          <w:color w:val="000000"/>
          <w:sz w:val="24"/>
          <w:szCs w:val="24"/>
        </w:rPr>
        <w:t xml:space="preserve">Corporate Social Responsibility (CSR) also known as corporate responsibility, corporate conscience, corporate citizenship, sustainable responsible business or corporate social performance is a form of corporate self-regulation integrated into a business model. </w:t>
      </w:r>
      <w:r>
        <w:rPr>
          <w:rFonts w:ascii="Times New Roman" w:hAnsi="Times New Roman" w:cs="Times New Roman"/>
          <w:sz w:val="24"/>
          <w:szCs w:val="24"/>
        </w:rPr>
        <w:t>Mallen baker (2004) CSR is about how companies manage the business processes to produce an overall positive impact on society. Keith davis (1960) refer CSR as business “decision and actions taken for reasons at least partially beyond the firm's direct economic or interest". Eells&amp; Walton (1961) refer csr to the "problems that arise when corporate enterprise casts its shadow on the social scene, and the ethical principles that ought to govern the relationship between the corporation and society.</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Watts &amp;Holme(2001) Posited that CSR is the continuing commitment by business to behave ethically and contribute to economic development while improving the quality of life of the workforce and their families as well as of the local community and society at large thus, CSR is about capacity building for sustainable livelihoods. It respects cultural differences and finds the business opportunities in building the skills of employees, the community and the government, csr is about business giving back to society from the Philippines. European </w:t>
      </w:r>
      <w:r>
        <w:rPr>
          <w:rFonts w:ascii="Times New Roman" w:hAnsi="Times New Roman" w:cs="Times New Roman"/>
          <w:sz w:val="24"/>
          <w:szCs w:val="24"/>
        </w:rPr>
        <w:lastRenderedPageBreak/>
        <w:t xml:space="preserve">commission (2002),as“the responsibility of enterprises for their impact on society”. Respect for applicable legislation and for collective agreements between social partners, is a prerequisite for meeting that responsibility. To fully meet their CSR, enterprises should have in place a process to integrate social, environmental, ethical, human rights and consumer concerns into their business operations and core strategy in close collaboration with their stakeholders with the aim of; maximizing the creation of shared value for their owners and for their other stakeholders and society at large; identifying, preventing and mitigating their possible adverse impacts. </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Williams’ et al (2005) CSR is a firm obligation to improve its positive effects on society and reduce its negative effects. Lamb etal (2008) a firm concerns for the way its decision affect society or concern for society welfare. Ideally, CSR policy functions as a built-in self-regulating mechanism whereby business would monitor and ensure its support to law. CSR is about managing change at company level in a socially responsible manner which can be viewed in two different dimensions: </w:t>
      </w:r>
    </w:p>
    <w:p w:rsidR="00B44B07" w:rsidRDefault="00B44B07" w:rsidP="00C22851">
      <w:pPr>
        <w:autoSpaceDE w:val="0"/>
        <w:autoSpaceDN w:val="0"/>
        <w:adjustRightInd w:val="0"/>
        <w:spacing w:after="0" w:line="408"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sidR="00C57DAB">
        <w:rPr>
          <w:rFonts w:ascii="Times New Roman" w:hAnsi="Times New Roman" w:cs="Times New Roman"/>
          <w:color w:val="000000"/>
          <w:sz w:val="24"/>
          <w:szCs w:val="24"/>
        </w:rPr>
        <w:tab/>
      </w:r>
      <w:r>
        <w:rPr>
          <w:rFonts w:ascii="Times New Roman" w:hAnsi="Times New Roman" w:cs="Times New Roman"/>
          <w:color w:val="000000"/>
          <w:sz w:val="24"/>
          <w:szCs w:val="24"/>
        </w:rPr>
        <w:t xml:space="preserve">Internal – socially responsible practices that mainly deal with employees and related to issues such as investing in human capital, health and safety and management of change, while environmentally responsible practices related mainly to the management of natural resources and its usage in production. </w:t>
      </w:r>
    </w:p>
    <w:p w:rsidR="00B44B07" w:rsidRDefault="00B44B07" w:rsidP="00C22851">
      <w:pPr>
        <w:autoSpaceDE w:val="0"/>
        <w:autoSpaceDN w:val="0"/>
        <w:adjustRightInd w:val="0"/>
        <w:spacing w:after="0" w:line="408" w:lineRule="auto"/>
        <w:ind w:left="720" w:hanging="720"/>
        <w:jc w:val="both"/>
        <w:rPr>
          <w:rFonts w:ascii="Times New Roman" w:hAnsi="Times New Roman" w:cs="Times New Roman"/>
          <w:sz w:val="24"/>
          <w:szCs w:val="24"/>
        </w:rPr>
      </w:pPr>
      <w:r>
        <w:rPr>
          <w:rFonts w:ascii="Times New Roman" w:hAnsi="Times New Roman" w:cs="Times New Roman"/>
          <w:sz w:val="24"/>
          <w:szCs w:val="24"/>
        </w:rPr>
        <w:t>b)</w:t>
      </w:r>
      <w:r w:rsidR="00C57DAB">
        <w:rPr>
          <w:rFonts w:ascii="Times New Roman" w:hAnsi="Times New Roman" w:cs="Times New Roman"/>
          <w:sz w:val="24"/>
          <w:szCs w:val="24"/>
        </w:rPr>
        <w:tab/>
      </w:r>
      <w:r>
        <w:rPr>
          <w:rFonts w:ascii="Times New Roman" w:hAnsi="Times New Roman" w:cs="Times New Roman"/>
          <w:sz w:val="24"/>
          <w:szCs w:val="24"/>
        </w:rPr>
        <w:t xml:space="preserve">External – CSR beyond the company into the local community and involves a wide range of stakeholders such as business partners, suppliers, customers, public authorities and NGOs that representing local communities as well as environment. A company should focus on areas such as economic, environmental and social when developing sustainability strategy (Szekely&amp;Knirsch 2005).  </w:t>
      </w:r>
    </w:p>
    <w:p w:rsidR="00C22851" w:rsidRDefault="00C22851" w:rsidP="00C22851">
      <w:pPr>
        <w:autoSpaceDE w:val="0"/>
        <w:autoSpaceDN w:val="0"/>
        <w:adjustRightInd w:val="0"/>
        <w:spacing w:after="0" w:line="408" w:lineRule="auto"/>
        <w:jc w:val="both"/>
        <w:rPr>
          <w:rFonts w:ascii="Times New Roman" w:hAnsi="Times New Roman" w:cs="Times New Roman"/>
          <w:b/>
          <w:bCs/>
          <w:color w:val="000000"/>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2.2.2 </w:t>
      </w:r>
      <w:r w:rsidR="00C57DAB">
        <w:rPr>
          <w:rFonts w:ascii="Times New Roman" w:hAnsi="Times New Roman" w:cs="Times New Roman"/>
          <w:b/>
          <w:bCs/>
          <w:color w:val="000000"/>
          <w:sz w:val="24"/>
          <w:szCs w:val="24"/>
        </w:rPr>
        <w:tab/>
      </w:r>
      <w:r>
        <w:rPr>
          <w:rFonts w:ascii="Times New Roman" w:hAnsi="Times New Roman" w:cs="Times New Roman"/>
          <w:b/>
          <w:bCs/>
          <w:color w:val="000000"/>
          <w:sz w:val="24"/>
          <w:szCs w:val="24"/>
        </w:rPr>
        <w:t>Historical background of Corporate Social Responsibility</w:t>
      </w:r>
      <w:r>
        <w:rPr>
          <w:rFonts w:ascii="Times New Roman" w:hAnsi="Times New Roman" w:cs="Times New Roman"/>
          <w:color w:val="000000"/>
          <w:sz w:val="24"/>
          <w:szCs w:val="24"/>
        </w:rPr>
        <w:tab/>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earliest traces of the topic of Corporate Social Responsibility go back to the middle Ages (Jonker, 2011). However, the notion’s prominence and sense of urgency came in the 1970s. </w:t>
      </w:r>
      <w:r>
        <w:rPr>
          <w:rFonts w:ascii="Times New Roman" w:hAnsi="Times New Roman" w:cs="Times New Roman"/>
          <w:sz w:val="24"/>
          <w:szCs w:val="24"/>
        </w:rPr>
        <w:lastRenderedPageBreak/>
        <w:t xml:space="preserve">This was reinforced by the founding of social and environmental organizations, the pace-setting global UN-conference in Stockholm and several ground breaking publications (Jonker, 2011). One of the most influential publications was </w:t>
      </w:r>
      <w:r>
        <w:rPr>
          <w:rFonts w:ascii="Times New Roman" w:hAnsi="Times New Roman" w:cs="Times New Roman"/>
          <w:i/>
          <w:iCs/>
          <w:sz w:val="24"/>
          <w:szCs w:val="24"/>
        </w:rPr>
        <w:t>Limits to Growth</w:t>
      </w:r>
      <w:r>
        <w:rPr>
          <w:rFonts w:ascii="Times New Roman" w:hAnsi="Times New Roman" w:cs="Times New Roman"/>
          <w:sz w:val="24"/>
          <w:szCs w:val="24"/>
        </w:rPr>
        <w:t xml:space="preserve">, by the Club of Rome3 (Meadows, 1972). Their conclusion was that if the prevailing growth rate in the world population, industrialization, pollution, food production and depletion of natural resources were to continue, the limitations to human population growth for this planet (i.e. carrying capacity) would be reached within the next hundred years. They expected that the result would be a rather sudden and uncontrollable decline in both population size and industrial capacity (Meadows, 1972). </w:t>
      </w:r>
      <w:r>
        <w:rPr>
          <w:rFonts w:ascii="Times New Roman" w:hAnsi="Times New Roman" w:cs="Times New Roman"/>
          <w:color w:val="000000"/>
          <w:sz w:val="24"/>
          <w:szCs w:val="24"/>
        </w:rPr>
        <w:t xml:space="preserve">The club of Rome is a group of scientists who were concerned with mutually reinforcing problems that posed a threat to the world. </w:t>
      </w: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In the 1980s the tide changed due to the following three publications: The </w:t>
      </w:r>
      <w:r>
        <w:rPr>
          <w:rFonts w:ascii="Times New Roman" w:hAnsi="Times New Roman" w:cs="Times New Roman"/>
          <w:i/>
          <w:iCs/>
          <w:sz w:val="24"/>
          <w:szCs w:val="24"/>
        </w:rPr>
        <w:t>World Conservation Strategy</w:t>
      </w:r>
      <w:r>
        <w:rPr>
          <w:rFonts w:ascii="Times New Roman" w:hAnsi="Times New Roman" w:cs="Times New Roman"/>
          <w:sz w:val="24"/>
          <w:szCs w:val="24"/>
        </w:rPr>
        <w:t xml:space="preserve">, </w:t>
      </w:r>
      <w:r>
        <w:rPr>
          <w:rFonts w:ascii="Times New Roman" w:hAnsi="Times New Roman" w:cs="Times New Roman"/>
          <w:i/>
          <w:iCs/>
          <w:sz w:val="24"/>
          <w:szCs w:val="24"/>
        </w:rPr>
        <w:t xml:space="preserve">Stakeholder Model </w:t>
      </w:r>
      <w:r>
        <w:rPr>
          <w:rFonts w:ascii="Times New Roman" w:hAnsi="Times New Roman" w:cs="Times New Roman"/>
          <w:sz w:val="24"/>
          <w:szCs w:val="24"/>
        </w:rPr>
        <w:t xml:space="preserve">and </w:t>
      </w:r>
      <w:r>
        <w:rPr>
          <w:rFonts w:ascii="Times New Roman" w:hAnsi="Times New Roman" w:cs="Times New Roman"/>
          <w:i/>
          <w:iCs/>
          <w:sz w:val="24"/>
          <w:szCs w:val="24"/>
        </w:rPr>
        <w:t>Our Common Culture</w:t>
      </w:r>
      <w:r>
        <w:rPr>
          <w:rFonts w:ascii="Times New Roman" w:hAnsi="Times New Roman" w:cs="Times New Roman"/>
          <w:sz w:val="24"/>
          <w:szCs w:val="24"/>
        </w:rPr>
        <w:t xml:space="preserve">. The first paper is a strategic plan that was published by the International Union for the Conservation of Nature and Natural Resources. It pleads for the first concept of sustainable development (IUCNNR, 1980). Freeman published the </w:t>
      </w:r>
      <w:r>
        <w:rPr>
          <w:rFonts w:ascii="Times New Roman" w:hAnsi="Times New Roman" w:cs="Times New Roman"/>
          <w:i/>
          <w:iCs/>
          <w:sz w:val="24"/>
          <w:szCs w:val="24"/>
        </w:rPr>
        <w:t xml:space="preserve">Stakeholder Model </w:t>
      </w:r>
      <w:r>
        <w:rPr>
          <w:rFonts w:ascii="Times New Roman" w:hAnsi="Times New Roman" w:cs="Times New Roman"/>
          <w:sz w:val="24"/>
          <w:szCs w:val="24"/>
        </w:rPr>
        <w:t xml:space="preserve">in 1984. This article is at the foundation of the modern concept of corporate social responsibility. According to this model, stakeholders can exercise substantial influence on the policy of organisations. </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Another influential article published in the 1980s was </w:t>
      </w:r>
      <w:r>
        <w:rPr>
          <w:rFonts w:ascii="Times New Roman" w:hAnsi="Times New Roman" w:cs="Times New Roman"/>
          <w:i/>
          <w:iCs/>
          <w:sz w:val="24"/>
          <w:szCs w:val="24"/>
        </w:rPr>
        <w:t>Our Common Future</w:t>
      </w:r>
      <w:r>
        <w:rPr>
          <w:rFonts w:ascii="Times New Roman" w:hAnsi="Times New Roman" w:cs="Times New Roman"/>
          <w:sz w:val="24"/>
          <w:szCs w:val="24"/>
        </w:rPr>
        <w:t xml:space="preserve">, a report from the Bundt land Commission. This report urged companies to limit their negative impact on the environment. This was the first time that companies, and not individuals or governments, were addressed. During this decade, there was also a growing realization that national borders should not limit the solution to sustainable development (Jonker, 2011). </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early 1990s, there was a growing involvement in fostering sustainability from organisations. More and more companies put CSR on the corporate agenda. Academic publications that contributed to this trend were </w:t>
      </w:r>
      <w:r>
        <w:rPr>
          <w:rFonts w:ascii="Times New Roman" w:hAnsi="Times New Roman" w:cs="Times New Roman"/>
          <w:i/>
          <w:iCs/>
          <w:sz w:val="24"/>
          <w:szCs w:val="24"/>
        </w:rPr>
        <w:t xml:space="preserve">The Pyramid of CSR </w:t>
      </w:r>
      <w:r>
        <w:rPr>
          <w:rFonts w:ascii="Times New Roman" w:hAnsi="Times New Roman" w:cs="Times New Roman"/>
          <w:sz w:val="24"/>
          <w:szCs w:val="24"/>
        </w:rPr>
        <w:t xml:space="preserve">(Carroll, 1991) and </w:t>
      </w:r>
      <w:r>
        <w:rPr>
          <w:rFonts w:ascii="Times New Roman" w:hAnsi="Times New Roman" w:cs="Times New Roman"/>
          <w:i/>
          <w:iCs/>
          <w:sz w:val="24"/>
          <w:szCs w:val="24"/>
        </w:rPr>
        <w:t>Cannibals with Forks</w:t>
      </w:r>
      <w:r>
        <w:rPr>
          <w:rFonts w:ascii="Times New Roman" w:hAnsi="Times New Roman" w:cs="Times New Roman"/>
          <w:sz w:val="24"/>
          <w:szCs w:val="24"/>
        </w:rPr>
        <w:t xml:space="preserve">(Elkington, 1997). </w:t>
      </w:r>
      <w:r>
        <w:rPr>
          <w:rFonts w:ascii="Times New Roman" w:hAnsi="Times New Roman" w:cs="Times New Roman"/>
          <w:i/>
          <w:iCs/>
          <w:sz w:val="24"/>
          <w:szCs w:val="24"/>
        </w:rPr>
        <w:t xml:space="preserve">The Pyramid of CSR </w:t>
      </w:r>
      <w:r>
        <w:rPr>
          <w:rFonts w:ascii="Times New Roman" w:hAnsi="Times New Roman" w:cs="Times New Roman"/>
          <w:sz w:val="24"/>
          <w:szCs w:val="24"/>
        </w:rPr>
        <w:t xml:space="preserve">divides CSR into four pillars: </w:t>
      </w:r>
      <w:r>
        <w:rPr>
          <w:rFonts w:ascii="Times New Roman" w:hAnsi="Times New Roman" w:cs="Times New Roman"/>
          <w:sz w:val="24"/>
          <w:szCs w:val="24"/>
        </w:rPr>
        <w:lastRenderedPageBreak/>
        <w:t xml:space="preserve">economic, legal, ethical and philanthropic responsibilities. It is intended as a guideline for companies in setting their strategy. </w:t>
      </w:r>
      <w:r>
        <w:rPr>
          <w:rFonts w:ascii="Times New Roman" w:hAnsi="Times New Roman" w:cs="Times New Roman"/>
          <w:i/>
          <w:iCs/>
          <w:sz w:val="24"/>
          <w:szCs w:val="24"/>
        </w:rPr>
        <w:t>Cannibals with Forks</w:t>
      </w:r>
      <w:r>
        <w:rPr>
          <w:rFonts w:ascii="Times New Roman" w:hAnsi="Times New Roman" w:cs="Times New Roman"/>
          <w:sz w:val="24"/>
          <w:szCs w:val="24"/>
        </w:rPr>
        <w:t xml:space="preserve">, on the other hand, focus on the role of organisations and capitalism in realizing sustainable development. Elkington calls this the triple bottom line. The triple bottom line (TBL) consists of three P’s: </w:t>
      </w:r>
      <w:r>
        <w:rPr>
          <w:rFonts w:ascii="Times New Roman" w:hAnsi="Times New Roman" w:cs="Times New Roman"/>
          <w:i/>
          <w:iCs/>
          <w:sz w:val="24"/>
          <w:szCs w:val="24"/>
        </w:rPr>
        <w:t>People</w:t>
      </w:r>
      <w:r>
        <w:rPr>
          <w:rFonts w:ascii="Times New Roman" w:hAnsi="Times New Roman" w:cs="Times New Roman"/>
          <w:sz w:val="24"/>
          <w:szCs w:val="24"/>
        </w:rPr>
        <w:t xml:space="preserve">, </w:t>
      </w:r>
      <w:r>
        <w:rPr>
          <w:rFonts w:ascii="Times New Roman" w:hAnsi="Times New Roman" w:cs="Times New Roman"/>
          <w:i/>
          <w:iCs/>
          <w:sz w:val="24"/>
          <w:szCs w:val="24"/>
        </w:rPr>
        <w:t xml:space="preserve">Profit </w:t>
      </w:r>
      <w:r>
        <w:rPr>
          <w:rFonts w:ascii="Times New Roman" w:hAnsi="Times New Roman" w:cs="Times New Roman"/>
          <w:sz w:val="24"/>
          <w:szCs w:val="24"/>
        </w:rPr>
        <w:t xml:space="preserve">and </w:t>
      </w:r>
      <w:r>
        <w:rPr>
          <w:rFonts w:ascii="Times New Roman" w:hAnsi="Times New Roman" w:cs="Times New Roman"/>
          <w:i/>
          <w:iCs/>
          <w:sz w:val="24"/>
          <w:szCs w:val="24"/>
        </w:rPr>
        <w:t>Planet</w:t>
      </w:r>
      <w:r>
        <w:rPr>
          <w:rFonts w:ascii="Times New Roman" w:hAnsi="Times New Roman" w:cs="Times New Roman"/>
          <w:sz w:val="24"/>
          <w:szCs w:val="24"/>
        </w:rPr>
        <w:t xml:space="preserve">. </w:t>
      </w:r>
      <w:r>
        <w:rPr>
          <w:rFonts w:ascii="Times New Roman" w:hAnsi="Times New Roman" w:cs="Times New Roman"/>
          <w:i/>
          <w:iCs/>
          <w:sz w:val="24"/>
          <w:szCs w:val="24"/>
        </w:rPr>
        <w:t xml:space="preserve">People </w:t>
      </w:r>
      <w:r>
        <w:rPr>
          <w:rFonts w:ascii="Times New Roman" w:hAnsi="Times New Roman" w:cs="Times New Roman"/>
          <w:sz w:val="24"/>
          <w:szCs w:val="24"/>
        </w:rPr>
        <w:t xml:space="preserve">represent the social policy, </w:t>
      </w:r>
      <w:r>
        <w:rPr>
          <w:rFonts w:ascii="Times New Roman" w:hAnsi="Times New Roman" w:cs="Times New Roman"/>
          <w:i/>
          <w:iCs/>
          <w:sz w:val="24"/>
          <w:szCs w:val="24"/>
        </w:rPr>
        <w:t xml:space="preserve">Planet </w:t>
      </w:r>
      <w:r>
        <w:rPr>
          <w:rFonts w:ascii="Times New Roman" w:hAnsi="Times New Roman" w:cs="Times New Roman"/>
          <w:sz w:val="24"/>
          <w:szCs w:val="24"/>
        </w:rPr>
        <w:t xml:space="preserve">the ecologic vision and </w:t>
      </w:r>
      <w:r>
        <w:rPr>
          <w:rFonts w:ascii="Times New Roman" w:hAnsi="Times New Roman" w:cs="Times New Roman"/>
          <w:i/>
          <w:iCs/>
          <w:sz w:val="24"/>
          <w:szCs w:val="24"/>
        </w:rPr>
        <w:t xml:space="preserve">Profit </w:t>
      </w:r>
      <w:r>
        <w:rPr>
          <w:rFonts w:ascii="Times New Roman" w:hAnsi="Times New Roman" w:cs="Times New Roman"/>
          <w:sz w:val="24"/>
          <w:szCs w:val="24"/>
        </w:rPr>
        <w:t xml:space="preserve">the economic management of an organisation. Elkington believes that companies can increase continuity if they can balance these three P’s, and they will be able to meet social goals that are thought to be important in society (Elkington, 1997). Furthermore, they should shift from short-term goals towards a long-term vision. In order to realize this, revolutions must take place in seven organisational areas of interest. These revolutions should ensure a transition to sustainability, creating a new sustainability paradigm that relies on TBL-performance and responsibilities. Because Elkington’s model also focuses on socially desirable goals, it is in line with Freeman’s Stakeholders’ model. </w:t>
      </w:r>
      <w:r>
        <w:rPr>
          <w:rFonts w:ascii="Times New Roman" w:hAnsi="Times New Roman" w:cs="Times New Roman"/>
          <w:color w:val="000000"/>
          <w:sz w:val="24"/>
          <w:szCs w:val="24"/>
        </w:rPr>
        <w:t xml:space="preserve">The seven revolutions are to be in the following areas: markets, values, transparency, life-cycle technology, partnership, time and corporate governance. </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With the advent of the new century, sustainability and CSR have taken a new direction. Thus, sustainability as covered by particular governments and the transition to sustainability by organisationshave grown towards each other. In addition, more emphasis is placed on the role of an ever-widening range of actors and the scope of this global network of actors. These changes have resulted in a growing awareness of sustainable development on the social, organisational and, thereby, global levels (Jonker, 2011). A leading concept that was first published in 2002 was Cradle to Cradle. Authors McFonough and Braungart believed that rather than minimising the damage, companies should strive to become self-sufficient and to create additional resources for future generations. </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Another influential model is the New Stakeholder Model. This framework is based on the original model of Freeman. The framework acknowledges that an organisation has stakeholders, but also sees the company itself as a stakeholder in a network of companies that strives for </w:t>
      </w:r>
      <w:r>
        <w:rPr>
          <w:rFonts w:ascii="Times New Roman" w:hAnsi="Times New Roman" w:cs="Times New Roman"/>
          <w:sz w:val="24"/>
          <w:szCs w:val="24"/>
        </w:rPr>
        <w:lastRenderedPageBreak/>
        <w:t xml:space="preserve">common goals. By being part of a network, these companies enjoy economies of scale and are able to exert pressure in order to reach these goals (Jonker, 2011). </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2006, Porter linked his value chain model to CSR. He believes that many companies have already undertaken efforts to improve the social and environmental consequences of their activities, yet these efforts have not been nearly as productive as they could be, for two reasons. First, they part Business from society, when clearly the two are interdependent. Second, they pressure companies to think of corporate social responsibility in generic ways instead of by the most appropriate method for each firm’s strategy. Porter argues that to advance CSR we must root it in a broad understanding of the interrelationship between a corporation and society while at the same time anchoring it in the strategies and activities of specific companies. </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Porter (2006) believes that the essential test that should guide CSR is not whether a cause is valuable but whether it presents an opportunity to create shared value. He defines this as a meaningful benefit for society that is also valuable to business.</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Having discusse various studies that indicate the relevance and need for CSR. However, from a business perspective there is no consensus about the added value of CSR. Several studies indicate that linking a strategy to CSR will lead to financial or image –related benefits (H.E Aupperle, 1985) (W.Hur, 2014). Furthermore, some studies indicate that CSR has a positive impact on company culture (Eccle, 2011). However, there are also studies that do not find the correlation between added value and CSR (Mc Williams, 2000)  </w:t>
      </w:r>
    </w:p>
    <w:p w:rsidR="00C57DAB" w:rsidRDefault="00C57DAB" w:rsidP="00C22851">
      <w:pPr>
        <w:autoSpaceDE w:val="0"/>
        <w:autoSpaceDN w:val="0"/>
        <w:adjustRightInd w:val="0"/>
        <w:spacing w:after="0" w:line="408" w:lineRule="auto"/>
        <w:jc w:val="both"/>
        <w:rPr>
          <w:rFonts w:ascii="Times New Roman" w:hAnsi="Times New Roman" w:cs="Times New Roman"/>
          <w:sz w:val="24"/>
          <w:szCs w:val="24"/>
        </w:rPr>
      </w:pPr>
    </w:p>
    <w:p w:rsidR="00B44B07" w:rsidRPr="00C57DAB" w:rsidRDefault="00B44B07" w:rsidP="00C22851">
      <w:pPr>
        <w:autoSpaceDE w:val="0"/>
        <w:autoSpaceDN w:val="0"/>
        <w:adjustRightInd w:val="0"/>
        <w:spacing w:after="0" w:line="408" w:lineRule="auto"/>
        <w:jc w:val="both"/>
        <w:rPr>
          <w:rFonts w:ascii="Times New Roman" w:hAnsi="Times New Roman" w:cs="Times New Roman"/>
          <w:b/>
          <w:bCs/>
          <w:sz w:val="24"/>
          <w:szCs w:val="24"/>
        </w:rPr>
      </w:pPr>
      <w:r w:rsidRPr="00C57DAB">
        <w:rPr>
          <w:rFonts w:ascii="Times New Roman" w:hAnsi="Times New Roman" w:cs="Times New Roman"/>
          <w:b/>
          <w:bCs/>
          <w:sz w:val="24"/>
          <w:szCs w:val="24"/>
        </w:rPr>
        <w:t>2.2.3</w:t>
      </w:r>
      <w:r w:rsidRPr="00C57DAB">
        <w:rPr>
          <w:rFonts w:ascii="Times New Roman" w:hAnsi="Times New Roman" w:cs="Times New Roman"/>
          <w:b/>
          <w:bCs/>
          <w:sz w:val="24"/>
          <w:szCs w:val="24"/>
        </w:rPr>
        <w:tab/>
        <w:t>Meaning of Community Development</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First of all community is generally defined as a group of people sharing a common purpose, who are interdependent for the fulfillment of certain needs, who live in close proximity and interact on a regular basis. There are shared expectations for all members of the group and responsibility taken from those expectations. The group is respectful and considerate of the individuality of other persons within the community. In a community there is a sense of </w:t>
      </w:r>
      <w:r>
        <w:rPr>
          <w:rFonts w:ascii="Times New Roman" w:hAnsi="Times New Roman" w:cs="Times New Roman"/>
          <w:sz w:val="24"/>
          <w:szCs w:val="24"/>
        </w:rPr>
        <w:lastRenderedPageBreak/>
        <w:t>community which is defined as the feelings of cooperation, of commitment to the group welfare, of willingness to communicate openly, and of responsibility to and for others as well as to one’s self. Most important there exists community leaders who are responsible for the success of any community event, depending on the needs of the community, and the individual’s own feelings. The community leaders are individuals who strive to influence others to take responsibility for their actions, their achievements, and the community welfare.</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Community development (CD) refers to initiatives undertaken by community with partnership with external organizations or corporation to empower individuals and groups of people by providing these groups with the skills they need to effect change in their own communities. These skills are often concentrated around making use of local resources and building political power through the formation of large social groups working for a common agenda. Community developers must understand both how to work with individuals and how to affect communities' positions within the context of larger social institutions.</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CD is the process of developing active and sustainable communities based on social justice and mutual respect. It is about influencing power structures to remove the barriers that prevent people from participating in the issues that affect their lives. Community workers facilitate the participation of people in this process. They enable linkages to be made between communities and with the development of wider policies and programs. CD expresses values of fairness, equality, accountability, opportunity, choice, participation, mutuality, reciprocity and continuous learning. Educating, enabling and empowering are at the core of CD (Federation of Community Development Learning, 2009).</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CD is the combined processes, programs, strategies, and activities that make a community sustainable as compared to economic development which is the marketing of its potential for growth followed by local efforts to act on opportunities. The entire set of approaches to community development practice may be considered a specialized form addressing, coordinating and building the social infrastructure at a location. CD may be defined </w:t>
      </w:r>
      <w:r>
        <w:rPr>
          <w:rFonts w:ascii="Times New Roman" w:hAnsi="Times New Roman" w:cs="Times New Roman"/>
          <w:sz w:val="24"/>
          <w:szCs w:val="24"/>
        </w:rPr>
        <w:lastRenderedPageBreak/>
        <w:t>as a process of challenging the undesirable and unacceptable disparity of conditions and infrastructure that negatively affect the quality of life in a place where people live and work. It functions best as process in locations where all strata of society and citizenry are engaged with sense of community solidarity (Community Glossary, 2009).</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The widely used meaning of CD is the one given by the United Nations (United Nations, 1971) in which CD is an organized effort of individuals in a community conducted in such a way to help solve community problems with a minimum help from external organizations. External organizations include government and non-government organizations, and corporations of various types and sizes such as small and medium enterprises (SMEs) and multinational corporations (MNCs). The implication of UN’s definition of CD is, therefore, emphasizing creativity and self-reliance in the community for short and long term goals, but not to defy the CSR roles of the various types of business firms. In relation to the people, the definition of CD is essentially both an educational and organizational process.</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Another term closely related to CD is community work, which is about the active involvement of people in the issues that affect their lives and focuses on the relation between individuals and groups and the institutions which shape their everyday experience. It is a developmental process that is both a collective and individual experience. It is based on a commitment to equal partnership between all those involved to enable a sharing of skills, awareness, knowledge and experience in order to bring about change.It takes place in both neighborhoods and communities of interest, whenever people come together to identify what is relevant to them and act on issues of common concern.</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The key purpose is to work with communities experiencing disadvantage, to enable them to collectively identify needs and rights, clarify objectives and take action to meet these within a democratic framework which respects the needs and rights of others. Community work recognizes the need to celebrate diversity and appreciate differences among ethnic and social groups in the community.</w:t>
      </w:r>
    </w:p>
    <w:p w:rsidR="00C57DAB" w:rsidRDefault="00C57DAB" w:rsidP="00C22851">
      <w:pPr>
        <w:autoSpaceDE w:val="0"/>
        <w:autoSpaceDN w:val="0"/>
        <w:adjustRightInd w:val="0"/>
        <w:spacing w:after="0" w:line="408" w:lineRule="auto"/>
        <w:jc w:val="both"/>
        <w:rPr>
          <w:rFonts w:ascii="Times New Roman" w:hAnsi="Times New Roman" w:cs="Times New Roman"/>
          <w:sz w:val="24"/>
          <w:szCs w:val="24"/>
        </w:rPr>
      </w:pPr>
    </w:p>
    <w:p w:rsidR="00C22851" w:rsidRDefault="00C22851" w:rsidP="00C22851">
      <w:pPr>
        <w:autoSpaceDE w:val="0"/>
        <w:autoSpaceDN w:val="0"/>
        <w:adjustRightInd w:val="0"/>
        <w:spacing w:after="0" w:line="408" w:lineRule="auto"/>
        <w:jc w:val="both"/>
        <w:rPr>
          <w:rFonts w:ascii="Times New Roman" w:hAnsi="Times New Roman" w:cs="Times New Roman"/>
          <w:sz w:val="24"/>
          <w:szCs w:val="24"/>
        </w:rPr>
      </w:pPr>
    </w:p>
    <w:p w:rsidR="00B44B07" w:rsidRPr="00C57DAB" w:rsidRDefault="00B44B07" w:rsidP="00C22851">
      <w:pPr>
        <w:autoSpaceDE w:val="0"/>
        <w:autoSpaceDN w:val="0"/>
        <w:adjustRightInd w:val="0"/>
        <w:spacing w:after="0" w:line="408" w:lineRule="auto"/>
        <w:jc w:val="both"/>
        <w:rPr>
          <w:rFonts w:ascii="Times New Roman" w:hAnsi="Times New Roman" w:cs="Times New Roman"/>
          <w:b/>
          <w:bCs/>
          <w:sz w:val="24"/>
          <w:szCs w:val="24"/>
        </w:rPr>
      </w:pPr>
      <w:r w:rsidRPr="00C57DAB">
        <w:rPr>
          <w:rFonts w:ascii="Times New Roman" w:hAnsi="Times New Roman" w:cs="Times New Roman"/>
          <w:b/>
          <w:bCs/>
          <w:sz w:val="24"/>
          <w:szCs w:val="24"/>
        </w:rPr>
        <w:t>2.2.4</w:t>
      </w:r>
      <w:r w:rsidR="00C57DAB">
        <w:rPr>
          <w:rFonts w:ascii="Times New Roman" w:hAnsi="Times New Roman" w:cs="Times New Roman"/>
          <w:b/>
          <w:bCs/>
          <w:sz w:val="24"/>
          <w:szCs w:val="24"/>
        </w:rPr>
        <w:tab/>
      </w:r>
      <w:r w:rsidRPr="00C57DAB">
        <w:rPr>
          <w:rFonts w:ascii="Times New Roman" w:hAnsi="Times New Roman" w:cs="Times New Roman"/>
          <w:b/>
          <w:bCs/>
          <w:sz w:val="24"/>
          <w:szCs w:val="24"/>
        </w:rPr>
        <w:t>Infrastructural Development</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231F20"/>
          <w:sz w:val="24"/>
          <w:szCs w:val="24"/>
        </w:rPr>
      </w:pPr>
      <w:r>
        <w:rPr>
          <w:rFonts w:ascii="Times New Roman" w:hAnsi="Times New Roman" w:cs="Times New Roman"/>
          <w:color w:val="231F20"/>
          <w:sz w:val="24"/>
          <w:szCs w:val="24"/>
        </w:rPr>
        <w:t>The relationship between infrastructural development and business growth has, in recent years become one of the most important economic topics in both academic and policy cycle. Business growth implies increase in sales, profit, equity, earnings and so on. The topic of business growth has therefore ranked amongst the most significant issues the economist and business managers have examined (Roller and Waverman 2009). The role of infrastructures has renewed attention over the years. According to Calderon and Serven (2004) and Estache et al. (2005), from the policy point of view, the renewed concern with infrastructure can be traced to the world-wide developments that took place over the last two decades. The first one was the retirement of the public sector since the mid-1980s in most industrial and developing countries from its sole position in the provision of infrastructure to private participation in the provision of infrastructure. This was part of the worldwide drive towards increasing reliance on social responsibility activities (CSR) and multiplication of concessions and other forms philanthropic exercises.</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231F20"/>
          <w:sz w:val="24"/>
          <w:szCs w:val="24"/>
        </w:rPr>
      </w:pPr>
      <w:r>
        <w:rPr>
          <w:rFonts w:ascii="Times New Roman" w:hAnsi="Times New Roman" w:cs="Times New Roman"/>
          <w:color w:val="231F20"/>
          <w:sz w:val="24"/>
          <w:szCs w:val="24"/>
        </w:rPr>
        <w:t xml:space="preserve">While this process first gained stronghold in industrial countries, particularly the United Kingdom, over the last decades, it has extended to a growing number of emerging economics, particularly Latin America and the sub-Sahara Africa region. Infrastructure investment consists of capital- intensive projects, which in most countries are largely publicly owned and regulated, and which also provides the backbone of the production and distribution system. They are often regarded as the wheel of economic activity because of the crucial role they play in providing the foundation upon which production and distribution stands (Economic Reflection Vol B. No. 4 April 2008). Infrastructure contribute to raising the quality of life by creating amenities, providing consumption goods (transport, energy and communication services) and contributing to macro-economic stability. In the sub-Saharan region, Nigeria in particular traffic congestion, </w:t>
      </w:r>
      <w:r>
        <w:rPr>
          <w:rFonts w:ascii="Times New Roman" w:hAnsi="Times New Roman" w:cs="Times New Roman"/>
          <w:color w:val="231F20"/>
          <w:sz w:val="24"/>
          <w:szCs w:val="24"/>
        </w:rPr>
        <w:lastRenderedPageBreak/>
        <w:t>power black outs in major cities, bad quality of roads, access to capital and market, inadequate telecommunication services, shortage of drinking, irrigation and industrial water, all bear witness to the inadequate existing infrastructure facilities. Even schools are not equipped with basic infrastructure that enhances human capital development.</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231F20"/>
          <w:sz w:val="24"/>
          <w:szCs w:val="24"/>
        </w:rPr>
      </w:pPr>
      <w:r>
        <w:rPr>
          <w:rFonts w:ascii="Times New Roman" w:hAnsi="Times New Roman" w:cs="Times New Roman"/>
          <w:color w:val="231F20"/>
          <w:sz w:val="24"/>
          <w:szCs w:val="24"/>
        </w:rPr>
        <w:t>Infrastructures in certain remote areas can serve as an incentive to attract certain levels of industrial activities in such places, in that wise, infrastructure provision facilitates investment in less developed areas. With electricity for example, farmers in rural areas can easily process their harvested cassava roots into gain flour. Infrastructure provision is therefore fundamental for successful industrial transformation and enterprises development.</w:t>
      </w:r>
    </w:p>
    <w:p w:rsidR="00C57DAB" w:rsidRDefault="00C57DAB" w:rsidP="00C22851">
      <w:pPr>
        <w:autoSpaceDE w:val="0"/>
        <w:autoSpaceDN w:val="0"/>
        <w:adjustRightInd w:val="0"/>
        <w:spacing w:after="0" w:line="408" w:lineRule="auto"/>
        <w:jc w:val="both"/>
        <w:rPr>
          <w:rFonts w:ascii="Times New Roman" w:hAnsi="Times New Roman" w:cs="Times New Roman"/>
          <w:b/>
          <w:bCs/>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2.2.5 </w:t>
      </w:r>
      <w:r w:rsidR="00C57DAB">
        <w:rPr>
          <w:rFonts w:ascii="Times New Roman" w:hAnsi="Times New Roman" w:cs="Times New Roman"/>
          <w:b/>
          <w:bCs/>
          <w:sz w:val="24"/>
          <w:szCs w:val="24"/>
        </w:rPr>
        <w:tab/>
      </w:r>
      <w:r>
        <w:rPr>
          <w:rFonts w:ascii="Times New Roman" w:hAnsi="Times New Roman" w:cs="Times New Roman"/>
          <w:b/>
          <w:bCs/>
          <w:sz w:val="24"/>
          <w:szCs w:val="24"/>
        </w:rPr>
        <w:t xml:space="preserve">Corporate Social Responsibility and business growth. </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The empirical reviewed has revealed existence of positive relationship between CSR and business growth thus, the crucial benefits attached to CSR apart from the Philanthropic part:</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Strengthened Brand Positioning –Brand positioning is the prime focus of most of the companies. CSR helps in strengthening that image in the eyes of the consumers as well as the suppliers.</w:t>
      </w:r>
      <w:r>
        <w:rPr>
          <w:rFonts w:ascii="Times New Roman" w:hAnsi="Times New Roman" w:cs="Times New Roman"/>
          <w:color w:val="000000"/>
          <w:sz w:val="24"/>
          <w:szCs w:val="24"/>
        </w:rPr>
        <w:t xml:space="preserve"> Brown and Dacin (1997) found that corporate associations, which include corporate ability and corporate social responsibility, affected product evaluations through corporate evaluations. Netemeyer et al. (2001) found that the organized association of being a “good corporate citizen” was related to willingness to pay a price premium for a product and product purchase. The afore cited studies suggest an overall positive attitude toward companies associating themselves with causes that benefit society, and companies using their resources to benefit society is clearly related to the concept of corporate philanthropy. </w:t>
      </w: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IncreaseSales and Market share</w:t>
      </w:r>
      <w:r>
        <w:rPr>
          <w:rFonts w:ascii="Times New Roman" w:hAnsi="Times New Roman" w:cs="Times New Roman"/>
          <w:b/>
          <w:bCs/>
          <w:sz w:val="24"/>
          <w:szCs w:val="24"/>
        </w:rPr>
        <w:t xml:space="preserve"> – </w:t>
      </w:r>
      <w:r>
        <w:rPr>
          <w:rFonts w:ascii="Times New Roman" w:hAnsi="Times New Roman" w:cs="Times New Roman"/>
          <w:sz w:val="24"/>
          <w:szCs w:val="24"/>
        </w:rPr>
        <w:t xml:space="preserve">Consumers like to be associated with a company, which is ethical and has a positive image. Many companies have become innovative and started contributing a certain portion of their sales to certain cause. This has 2 fold benefits; it increases the brand image as well as helps in differentiating the product from their direct competitors and </w:t>
      </w:r>
      <w:r>
        <w:rPr>
          <w:rFonts w:ascii="Times New Roman" w:hAnsi="Times New Roman" w:cs="Times New Roman"/>
          <w:sz w:val="24"/>
          <w:szCs w:val="24"/>
        </w:rPr>
        <w:lastRenderedPageBreak/>
        <w:t>therefore higher sales.</w:t>
      </w:r>
      <w:r>
        <w:rPr>
          <w:rFonts w:ascii="Times New Roman" w:hAnsi="Times New Roman" w:cs="Times New Roman"/>
          <w:color w:val="000000"/>
          <w:sz w:val="24"/>
          <w:szCs w:val="24"/>
        </w:rPr>
        <w:t xml:space="preserve"> Hence, when corporations invest resources in CSR variables, they usually seek a return on their investment in the form of increased sales. Successful CSR variables can help society by reducing prices, accelerating innovation, wanted products and services. According to Bloom et al (1997), many corporations also do CSR through the ordinary marketing of their products and services which gets consumers more attracted. Patronizing a socially responsible company has a positive impact on the sales of the company. That is, through the social responsibility carried out by the company, consumers will be in free spirit to support in the increasing sales volume of such company.</w:t>
      </w: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EnhancedCorporate Image and Clout– CSR helps in enhancing the image of a company, which helps in Long Term strategy.</w:t>
      </w:r>
      <w:r>
        <w:rPr>
          <w:rFonts w:ascii="Times New Roman" w:hAnsi="Times New Roman" w:cs="Times New Roman"/>
          <w:color w:val="000000"/>
          <w:sz w:val="24"/>
          <w:szCs w:val="24"/>
        </w:rPr>
        <w:t xml:space="preserve">Foster et al (2009) further asserts that apart from those criticisms discussed earlier, there are also arguments for that CSR leads to enhanced brand or corporate image and reputation. A strong reputation in environmental and social responsibility can help a company build trust and enhance the image of its brands (Barrientos and smith 2007). Also if a company is moving to a new area or new market, or enhancing a new site such as distribution center, store or factory, it helps to be seen as trustworthy and a ‘good neighbour’ (Kotler and Keller 2006). </w:t>
      </w:r>
      <w:r>
        <w:rPr>
          <w:rFonts w:ascii="Times New Roman" w:hAnsi="Times New Roman" w:cs="Times New Roman"/>
          <w:sz w:val="24"/>
          <w:szCs w:val="24"/>
        </w:rPr>
        <w:t xml:space="preserve"> It allows the company to have certain Clout in different power circles and also the positive image of the Top Management.</w:t>
      </w:r>
      <w:r>
        <w:rPr>
          <w:rFonts w:ascii="Times New Roman" w:hAnsi="Times New Roman" w:cs="Times New Roman"/>
          <w:color w:val="000000"/>
          <w:sz w:val="24"/>
          <w:szCs w:val="24"/>
        </w:rPr>
        <w:t xml:space="preserve"> Companies are expected to move out of their business line to make an impact on the society and so with what the society sees that the Company has contributed, there will raise consumers that will sell the company in goodwill to other consumers.</w:t>
      </w: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Increased ability to attract, motivate and retain employees– Companies need to do internal CSR for its employees as well as the way it conducts its activities, motivates an employee. Research has shown that a company heavily involved in CSR has better ability to retain their employees even if they are not the highest paying employer in their competitive environment. </w:t>
      </w:r>
      <w:r>
        <w:rPr>
          <w:rFonts w:ascii="Times New Roman" w:hAnsi="Times New Roman" w:cs="Times New Roman"/>
          <w:color w:val="000000"/>
          <w:sz w:val="24"/>
          <w:szCs w:val="24"/>
        </w:rPr>
        <w:t xml:space="preserve">Prieto-Carron et al </w:t>
      </w:r>
      <w:r>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2006); Lee and Park (2010) and Perry and Singh (2002) hold that CSR increases organizations ability to attract and retain employees, that is, many employees are attracted to </w:t>
      </w:r>
      <w:r>
        <w:rPr>
          <w:rFonts w:ascii="Times New Roman" w:hAnsi="Times New Roman" w:cs="Times New Roman"/>
          <w:color w:val="000000"/>
          <w:sz w:val="24"/>
          <w:szCs w:val="24"/>
        </w:rPr>
        <w:lastRenderedPageBreak/>
        <w:t>employers who are active in social issues. Finally, CSR improves access to capital-organizations that are committed to CSR have access to socially responsible investment (SRI), whereby investors take into account considerations such as a company’s environmental and socially responsible activities (Paul 2010). Currently the strengths of the arguments for CSR programmed are driving companies increasingly towards the adoption of socially and environmentally responsible strategies (Moser and Miller 2001).</w:t>
      </w:r>
    </w:p>
    <w:p w:rsidR="00B44B07" w:rsidRDefault="00B44B07" w:rsidP="00C22851">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Increased appeal to investors and financial analysts– There are many financial institutions globally, which have made it part of their policy to check the CSR activities of the company before deciding to invest in it. </w:t>
      </w:r>
      <w:r>
        <w:rPr>
          <w:rFonts w:ascii="Times New Roman" w:hAnsi="Times New Roman" w:cs="Times New Roman"/>
          <w:color w:val="000000"/>
          <w:sz w:val="24"/>
          <w:szCs w:val="24"/>
        </w:rPr>
        <w:t>Due to the CSR variables rendered by companies in the dimensions of economic (responsibility to earn profit for owners), legal (responsibility to comply with the law - society’s codification of right and wrong), ethical (doing what is right, just and fair, not acting just for profit), voluntary and philanthropic (promoting human welfare and goodwill) and being a good corporate citizen contributing to the community and the quality of life), all the involved persons are called stakeholders. With these variables with the companies, the stakeholders would not restrict patronizing the company that has immensely contributed to the society.</w:t>
      </w:r>
    </w:p>
    <w:p w:rsidR="00B44B07" w:rsidRDefault="00B44B07" w:rsidP="00C22851">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Risk Management– </w:t>
      </w:r>
      <w:r>
        <w:rPr>
          <w:rFonts w:ascii="Times New Roman" w:hAnsi="Times New Roman" w:cs="Times New Roman"/>
          <w:color w:val="000000"/>
          <w:sz w:val="24"/>
          <w:szCs w:val="24"/>
        </w:rPr>
        <w:t xml:space="preserve">CSR also encourages consumer cynicism, that is, many consumers regard CSR initiatives as little more than Public relations exercise (Moore, 2001). Furthermore, CSR is a form of risk management in that there are real penalties for companies that are not environmentally or socially responsible. For instance, media criticisms of such companies as Nike that they involve child labour in the developed countries can harm as being perceived as irresponsible (Moser and Miller 2001). </w:t>
      </w:r>
      <w:r>
        <w:rPr>
          <w:rFonts w:ascii="Times New Roman" w:hAnsi="Times New Roman" w:cs="Times New Roman"/>
          <w:sz w:val="24"/>
          <w:szCs w:val="24"/>
        </w:rPr>
        <w:t xml:space="preserve">This is one of the most important reasons for Corporate to be pursuing CSR. To withhold itself from any future backlash from any quarter, companies carry out CSR activity to maintain a positive image in the market and win the confidence of the people it is doing business in or planning to do. </w:t>
      </w:r>
      <w:r>
        <w:rPr>
          <w:rFonts w:ascii="Times New Roman" w:hAnsi="Times New Roman" w:cs="Times New Roman"/>
          <w:color w:val="000000"/>
          <w:sz w:val="24"/>
          <w:szCs w:val="24"/>
        </w:rPr>
        <w:t xml:space="preserve">The organization will benefit in the future from its philanthropic activity by being perceived as socially responsible, and this will motivate </w:t>
      </w:r>
      <w:r>
        <w:rPr>
          <w:rFonts w:ascii="Times New Roman" w:hAnsi="Times New Roman" w:cs="Times New Roman"/>
          <w:color w:val="000000"/>
          <w:sz w:val="24"/>
          <w:szCs w:val="24"/>
        </w:rPr>
        <w:lastRenderedPageBreak/>
        <w:t>employees to work for the firm and customers will be motivated to purchase the firm’s brands. Moreover, a healthy company cannot survive in a sick community; therefore, companies that use a portion of their resources to address social problems are helping to secure their long-term survival. As long as a corporation is not selling a dangerous or harmful product, an investment in CSR that produces more sales in return should not only benefit the firm shareholders, but also benefits the society.</w:t>
      </w:r>
    </w:p>
    <w:p w:rsidR="00C57DAB" w:rsidRDefault="00C57DAB" w:rsidP="00C22851">
      <w:pPr>
        <w:autoSpaceDE w:val="0"/>
        <w:autoSpaceDN w:val="0"/>
        <w:adjustRightInd w:val="0"/>
        <w:spacing w:after="0" w:line="408" w:lineRule="auto"/>
        <w:jc w:val="both"/>
        <w:rPr>
          <w:rFonts w:ascii="Times New Roman" w:hAnsi="Times New Roman" w:cs="Times New Roman"/>
          <w:sz w:val="24"/>
          <w:szCs w:val="24"/>
        </w:rPr>
      </w:pPr>
    </w:p>
    <w:p w:rsidR="00B44B07" w:rsidRPr="00C57DAB" w:rsidRDefault="00B44B07" w:rsidP="00C22851">
      <w:pPr>
        <w:autoSpaceDE w:val="0"/>
        <w:autoSpaceDN w:val="0"/>
        <w:adjustRightInd w:val="0"/>
        <w:spacing w:after="0" w:line="408" w:lineRule="auto"/>
        <w:jc w:val="both"/>
        <w:rPr>
          <w:rFonts w:ascii="Times New Roman" w:hAnsi="Times New Roman" w:cs="Times New Roman"/>
          <w:b/>
          <w:bCs/>
          <w:sz w:val="24"/>
          <w:szCs w:val="24"/>
        </w:rPr>
      </w:pPr>
      <w:r w:rsidRPr="00C57DAB">
        <w:rPr>
          <w:rFonts w:ascii="Times New Roman" w:hAnsi="Times New Roman" w:cs="Times New Roman"/>
          <w:b/>
          <w:bCs/>
          <w:sz w:val="24"/>
          <w:szCs w:val="24"/>
        </w:rPr>
        <w:t>2.3</w:t>
      </w:r>
      <w:r w:rsidRPr="00C57DAB">
        <w:rPr>
          <w:rFonts w:ascii="Times New Roman" w:hAnsi="Times New Roman" w:cs="Times New Roman"/>
          <w:b/>
          <w:bCs/>
          <w:sz w:val="24"/>
          <w:szCs w:val="24"/>
        </w:rPr>
        <w:tab/>
        <w:t>Meaning ofBusiness growth.</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meanings of enterprise growth is the development process that enterprise keeps the tendencies of balanced and stable growth of total performance level (including output, sales volume, profit and asset gross) or keeps realizing the large enhancement of total performance and the stage spanning of development quality and level (Sun, 2004). The World Bank (2006) firm growth is the percentage change in firm’s sales over the past three (3) years. Alison Morrison (2003) growth is the increases in business revenue or sales. Philips &amp; Kirchhoff (1989) young companies without growth or negative growth are more likely to fail. Growth enables the companies to add value and is a factor which strengthens the organization. Furthermore, on a macro level, growing companies boost the world economy by stabilizing or increasing the work force. Stephen H. Penman (2003). Growth is seen as a positive attribute, ability to generate value. (Sun, 2004) the meanings of enterprise growth, following three connotations are contained.</w:t>
      </w:r>
    </w:p>
    <w:p w:rsidR="00B44B07" w:rsidRDefault="00B44B07" w:rsidP="00C22851">
      <w:pPr>
        <w:autoSpaceDE w:val="0"/>
        <w:autoSpaceDN w:val="0"/>
        <w:adjustRightInd w:val="0"/>
        <w:spacing w:after="0" w:line="408"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(i) </w:t>
      </w:r>
      <w:r w:rsidR="00C57DAB">
        <w:rPr>
          <w:rFonts w:ascii="Times New Roman" w:hAnsi="Times New Roman" w:cs="Times New Roman"/>
          <w:sz w:val="24"/>
          <w:szCs w:val="24"/>
        </w:rPr>
        <w:tab/>
      </w:r>
      <w:r>
        <w:rPr>
          <w:rFonts w:ascii="Times New Roman" w:hAnsi="Times New Roman" w:cs="Times New Roman"/>
          <w:sz w:val="24"/>
          <w:szCs w:val="24"/>
        </w:rPr>
        <w:t>The time property of enterprise growth. The premise to analyze the growth of enterprise is long period in which the long-term development tendency and process of enterprise are observed, and it is not the status of enterprise in certain time point.</w:t>
      </w:r>
    </w:p>
    <w:p w:rsidR="00B44B07" w:rsidRDefault="00B44B07" w:rsidP="00C22851">
      <w:pPr>
        <w:autoSpaceDE w:val="0"/>
        <w:autoSpaceDN w:val="0"/>
        <w:adjustRightInd w:val="0"/>
        <w:spacing w:after="0" w:line="408"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(ii) </w:t>
      </w:r>
      <w:r w:rsidR="00C57DAB">
        <w:rPr>
          <w:rFonts w:ascii="Times New Roman" w:hAnsi="Times New Roman" w:cs="Times New Roman"/>
          <w:sz w:val="24"/>
          <w:szCs w:val="24"/>
        </w:rPr>
        <w:tab/>
      </w:r>
      <w:r>
        <w:rPr>
          <w:rFonts w:ascii="Times New Roman" w:hAnsi="Times New Roman" w:cs="Times New Roman"/>
          <w:sz w:val="24"/>
          <w:szCs w:val="24"/>
        </w:rPr>
        <w:t xml:space="preserve">The dynamic property of enterprise growth. The growth of enterprise is not a stable process without troubles. In the growth process, enterprise always transits from balance </w:t>
      </w:r>
      <w:r>
        <w:rPr>
          <w:rFonts w:ascii="Times New Roman" w:hAnsi="Times New Roman" w:cs="Times New Roman"/>
          <w:sz w:val="24"/>
          <w:szCs w:val="24"/>
        </w:rPr>
        <w:lastRenderedPageBreak/>
        <w:t>to unbalance, and the result is to transit from unbalance to balance and from lower balance to higher balancer through unbalance.</w:t>
      </w:r>
    </w:p>
    <w:p w:rsidR="00B44B07" w:rsidRDefault="00B44B07" w:rsidP="00C22851">
      <w:pPr>
        <w:autoSpaceDE w:val="0"/>
        <w:autoSpaceDN w:val="0"/>
        <w:adjustRightInd w:val="0"/>
        <w:spacing w:after="0" w:line="408"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(iii) </w:t>
      </w:r>
      <w:r w:rsidR="00C57DAB">
        <w:rPr>
          <w:rFonts w:ascii="Times New Roman" w:hAnsi="Times New Roman" w:cs="Times New Roman"/>
          <w:sz w:val="24"/>
          <w:szCs w:val="24"/>
        </w:rPr>
        <w:tab/>
      </w:r>
      <w:r>
        <w:rPr>
          <w:rFonts w:ascii="Times New Roman" w:hAnsi="Times New Roman" w:cs="Times New Roman"/>
          <w:sz w:val="24"/>
          <w:szCs w:val="24"/>
        </w:rPr>
        <w:t>The enterprise growth is the unification of quantity and quality. The increase of quantity is embodied in the extension of enterprise scale such as the increases of sales volume, market share, production value, profit and employee.</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And the growth of quality is embodied in the enhancement of enterprise quality, which includes the technological innovation ability from immature to mature production technology, the optimal efficiency of investment and output, the organizational innovation and reform.</w:t>
      </w:r>
    </w:p>
    <w:p w:rsidR="00C57DAB" w:rsidRDefault="00C57DAB" w:rsidP="00C22851">
      <w:pPr>
        <w:autoSpaceDE w:val="0"/>
        <w:autoSpaceDN w:val="0"/>
        <w:adjustRightInd w:val="0"/>
        <w:spacing w:after="0" w:line="408" w:lineRule="auto"/>
        <w:jc w:val="both"/>
        <w:rPr>
          <w:rFonts w:ascii="Times New Roman" w:hAnsi="Times New Roman" w:cs="Times New Roman"/>
          <w:b/>
          <w:bCs/>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2.3.1 </w:t>
      </w:r>
      <w:r w:rsidR="00C57DAB">
        <w:rPr>
          <w:rFonts w:ascii="Times New Roman" w:hAnsi="Times New Roman" w:cs="Times New Roman"/>
          <w:b/>
          <w:bCs/>
          <w:sz w:val="24"/>
          <w:szCs w:val="24"/>
        </w:rPr>
        <w:tab/>
      </w:r>
      <w:r>
        <w:rPr>
          <w:rFonts w:ascii="Times New Roman" w:hAnsi="Times New Roman" w:cs="Times New Roman"/>
          <w:b/>
          <w:bCs/>
          <w:sz w:val="24"/>
          <w:szCs w:val="24"/>
        </w:rPr>
        <w:t>Methods of businessgrowth.</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An organization may grow by internal or external means. Bates and Eldrige(1980) suggested that internal growth may occur either by penetration or expansion. Internal growth by penetration emphasizes growth increasing market share, sales and profit, with current product. On the other hand, internal growth by expansion allows for more variation in the strategy than penetration. Here, the firm can either move into new geographical areas or modify the product in some way to provides new product features or offer better customer services.</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Growth by external means involves a choice between two different strategies; integration and diversification. Integration strategy requires that the firm stay essentially with the same products, services or market. Diversification strategy requires entry of a firm into new product, services or market. A firm could diversify with it by developing new products, services or market. It could also obtain diversification through mergers and acquisition.  </w:t>
      </w:r>
    </w:p>
    <w:p w:rsidR="00C57DAB" w:rsidRDefault="00C57DAB" w:rsidP="00C22851">
      <w:pPr>
        <w:autoSpaceDE w:val="0"/>
        <w:autoSpaceDN w:val="0"/>
        <w:adjustRightInd w:val="0"/>
        <w:spacing w:after="0" w:line="408" w:lineRule="auto"/>
        <w:jc w:val="both"/>
        <w:rPr>
          <w:rFonts w:ascii="Times New Roman" w:hAnsi="Times New Roman" w:cs="Times New Roman"/>
          <w:color w:val="000000"/>
          <w:sz w:val="24"/>
          <w:szCs w:val="24"/>
        </w:rPr>
      </w:pPr>
    </w:p>
    <w:p w:rsidR="00B44B07" w:rsidRPr="00C57DAB" w:rsidRDefault="00B44B07" w:rsidP="00C22851">
      <w:pPr>
        <w:autoSpaceDE w:val="0"/>
        <w:autoSpaceDN w:val="0"/>
        <w:adjustRightInd w:val="0"/>
        <w:spacing w:after="0" w:line="408" w:lineRule="auto"/>
        <w:jc w:val="both"/>
        <w:rPr>
          <w:rFonts w:ascii="Times New Roman" w:hAnsi="Times New Roman" w:cs="Times New Roman"/>
          <w:b/>
          <w:bCs/>
          <w:color w:val="000000"/>
          <w:sz w:val="24"/>
          <w:szCs w:val="24"/>
        </w:rPr>
      </w:pPr>
      <w:r w:rsidRPr="00C57DAB">
        <w:rPr>
          <w:rFonts w:ascii="Times New Roman" w:hAnsi="Times New Roman" w:cs="Times New Roman"/>
          <w:b/>
          <w:bCs/>
          <w:color w:val="000000"/>
          <w:sz w:val="24"/>
          <w:szCs w:val="24"/>
        </w:rPr>
        <w:t xml:space="preserve">2.3.2 </w:t>
      </w:r>
      <w:r w:rsidRPr="00C57DAB">
        <w:rPr>
          <w:rFonts w:ascii="Times New Roman" w:hAnsi="Times New Roman" w:cs="Times New Roman"/>
          <w:b/>
          <w:bCs/>
          <w:color w:val="000000"/>
          <w:sz w:val="24"/>
          <w:szCs w:val="24"/>
        </w:rPr>
        <w:tab/>
        <w:t xml:space="preserve">Benefits of business growth to corporations </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The EU (2000) enumerated the following benefits of growth to corporation;</w:t>
      </w:r>
    </w:p>
    <w:p w:rsidR="00B44B07" w:rsidRDefault="00B44B07" w:rsidP="00C22851">
      <w:pPr>
        <w:autoSpaceDE w:val="0"/>
        <w:autoSpaceDN w:val="0"/>
        <w:adjustRightInd w:val="0"/>
        <w:spacing w:after="0" w:line="408"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r w:rsidR="00C57DAB">
        <w:rPr>
          <w:rFonts w:ascii="Times New Roman" w:hAnsi="Times New Roman" w:cs="Times New Roman"/>
          <w:color w:val="000000"/>
          <w:sz w:val="24"/>
          <w:szCs w:val="24"/>
        </w:rPr>
        <w:tab/>
      </w:r>
      <w:r>
        <w:rPr>
          <w:rFonts w:ascii="Times New Roman" w:hAnsi="Times New Roman" w:cs="Times New Roman"/>
          <w:b/>
          <w:bCs/>
          <w:color w:val="000000"/>
          <w:sz w:val="24"/>
          <w:szCs w:val="24"/>
        </w:rPr>
        <w:t xml:space="preserve">Survival </w:t>
      </w:r>
      <w:r>
        <w:rPr>
          <w:rFonts w:ascii="Times New Roman" w:hAnsi="Times New Roman" w:cs="Times New Roman"/>
          <w:color w:val="000000"/>
          <w:sz w:val="24"/>
          <w:szCs w:val="24"/>
        </w:rPr>
        <w:t>In some industries firms may not survive if they remain small. Staying small might mean that costs are too high. They may not be able to compete with larger rivals. Also, small firms may be taken over by a larger firm.</w:t>
      </w:r>
    </w:p>
    <w:p w:rsidR="00B44B07" w:rsidRDefault="00B44B07" w:rsidP="00C22851">
      <w:pPr>
        <w:autoSpaceDE w:val="0"/>
        <w:autoSpaceDN w:val="0"/>
        <w:adjustRightInd w:val="0"/>
        <w:spacing w:after="0" w:line="408"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57DAB">
        <w:rPr>
          <w:rFonts w:ascii="Times New Roman" w:hAnsi="Times New Roman" w:cs="Times New Roman"/>
          <w:color w:val="000000"/>
          <w:sz w:val="24"/>
          <w:szCs w:val="24"/>
        </w:rPr>
        <w:tab/>
      </w:r>
      <w:r>
        <w:rPr>
          <w:rFonts w:ascii="Times New Roman" w:hAnsi="Times New Roman" w:cs="Times New Roman"/>
          <w:b/>
          <w:bCs/>
          <w:color w:val="000000"/>
          <w:sz w:val="24"/>
          <w:szCs w:val="24"/>
        </w:rPr>
        <w:t>Gain economies of scale as</w:t>
      </w:r>
      <w:r>
        <w:rPr>
          <w:rFonts w:ascii="Times New Roman" w:hAnsi="Times New Roman" w:cs="Times New Roman"/>
          <w:color w:val="000000"/>
          <w:sz w:val="24"/>
          <w:szCs w:val="24"/>
        </w:rPr>
        <w:t xml:space="preserve"> firms grow in size they will enjoy economies of scale. This means that unit costs will fall and profits will improve.</w:t>
      </w:r>
    </w:p>
    <w:p w:rsidR="00B44B07" w:rsidRDefault="00B44B07" w:rsidP="00C22851">
      <w:pPr>
        <w:autoSpaceDE w:val="0"/>
        <w:autoSpaceDN w:val="0"/>
        <w:adjustRightInd w:val="0"/>
        <w:spacing w:after="0" w:line="408" w:lineRule="auto"/>
        <w:ind w:left="720" w:hanging="6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57DAB">
        <w:rPr>
          <w:rFonts w:ascii="Times New Roman" w:hAnsi="Times New Roman" w:cs="Times New Roman"/>
          <w:color w:val="000000"/>
          <w:sz w:val="24"/>
          <w:szCs w:val="24"/>
        </w:rPr>
        <w:tab/>
      </w:r>
      <w:r>
        <w:rPr>
          <w:rFonts w:ascii="Times New Roman" w:hAnsi="Times New Roman" w:cs="Times New Roman"/>
          <w:b/>
          <w:bCs/>
          <w:color w:val="000000"/>
          <w:sz w:val="24"/>
          <w:szCs w:val="24"/>
        </w:rPr>
        <w:t xml:space="preserve">Increase future profits </w:t>
      </w:r>
      <w:r>
        <w:rPr>
          <w:rFonts w:ascii="Times New Roman" w:hAnsi="Times New Roman" w:cs="Times New Roman"/>
          <w:color w:val="000000"/>
          <w:sz w:val="24"/>
          <w:szCs w:val="24"/>
        </w:rPr>
        <w:t>by growing and selling larger volumes, a firm will hope to raise profits in the future.</w:t>
      </w:r>
    </w:p>
    <w:p w:rsidR="00B44B07" w:rsidRDefault="00B44B07" w:rsidP="00C22851">
      <w:pPr>
        <w:autoSpaceDE w:val="0"/>
        <w:autoSpaceDN w:val="0"/>
        <w:adjustRightInd w:val="0"/>
        <w:spacing w:after="0" w:line="408"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57DAB">
        <w:rPr>
          <w:rFonts w:ascii="Times New Roman" w:hAnsi="Times New Roman" w:cs="Times New Roman"/>
          <w:color w:val="000000"/>
          <w:sz w:val="24"/>
          <w:szCs w:val="24"/>
        </w:rPr>
        <w:tab/>
      </w:r>
      <w:r>
        <w:rPr>
          <w:rFonts w:ascii="Times New Roman" w:hAnsi="Times New Roman" w:cs="Times New Roman"/>
          <w:b/>
          <w:bCs/>
          <w:color w:val="000000"/>
          <w:sz w:val="24"/>
          <w:szCs w:val="24"/>
        </w:rPr>
        <w:t>Increase market share larger</w:t>
      </w:r>
      <w:r>
        <w:rPr>
          <w:rFonts w:ascii="Times New Roman" w:hAnsi="Times New Roman" w:cs="Times New Roman"/>
          <w:color w:val="000000"/>
          <w:sz w:val="24"/>
          <w:szCs w:val="24"/>
        </w:rPr>
        <w:t xml:space="preserve"> firms may be able to dominate the market. For example, they might be able to raise prices or control part of the market. Some staff may enjoy the status and power associated with a high market share. For example, it could be argued that Richard Branson enjoys the publicity that goes with leading a large company such as Virgin.</w:t>
      </w:r>
    </w:p>
    <w:p w:rsidR="00B44B07" w:rsidRDefault="00B44B07" w:rsidP="00C22851">
      <w:pPr>
        <w:autoSpaceDE w:val="0"/>
        <w:autoSpaceDN w:val="0"/>
        <w:adjustRightInd w:val="0"/>
        <w:spacing w:after="0" w:line="408"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57DAB">
        <w:rPr>
          <w:rFonts w:ascii="Times New Roman" w:hAnsi="Times New Roman" w:cs="Times New Roman"/>
          <w:color w:val="000000"/>
          <w:sz w:val="24"/>
          <w:szCs w:val="24"/>
        </w:rPr>
        <w:tab/>
      </w:r>
      <w:r>
        <w:rPr>
          <w:rFonts w:ascii="Times New Roman" w:hAnsi="Times New Roman" w:cs="Times New Roman"/>
          <w:b/>
          <w:bCs/>
          <w:color w:val="000000"/>
          <w:sz w:val="24"/>
          <w:szCs w:val="24"/>
        </w:rPr>
        <w:t xml:space="preserve">Reduce risk; </w:t>
      </w:r>
      <w:r>
        <w:rPr>
          <w:rFonts w:ascii="Times New Roman" w:hAnsi="Times New Roman" w:cs="Times New Roman"/>
          <w:color w:val="000000"/>
          <w:sz w:val="24"/>
          <w:szCs w:val="24"/>
        </w:rPr>
        <w:t xml:space="preserve">Risk can be reduced through </w:t>
      </w:r>
      <w:r>
        <w:rPr>
          <w:rFonts w:ascii="Times New Roman" w:hAnsi="Times New Roman" w:cs="Times New Roman"/>
          <w:i/>
          <w:iCs/>
          <w:color w:val="000000"/>
          <w:sz w:val="24"/>
          <w:szCs w:val="24"/>
        </w:rPr>
        <w:t>diversification</w:t>
      </w:r>
      <w:r>
        <w:rPr>
          <w:rFonts w:ascii="Times New Roman" w:hAnsi="Times New Roman" w:cs="Times New Roman"/>
          <w:color w:val="000000"/>
          <w:sz w:val="24"/>
          <w:szCs w:val="24"/>
        </w:rPr>
        <w:t xml:space="preserve">. Branching into new markets and new products means that if one product fails, success in others can keep the company going. </w:t>
      </w:r>
    </w:p>
    <w:p w:rsidR="00C57DAB" w:rsidRDefault="00C57DAB" w:rsidP="00C22851">
      <w:pPr>
        <w:autoSpaceDE w:val="0"/>
        <w:autoSpaceDN w:val="0"/>
        <w:adjustRightInd w:val="0"/>
        <w:spacing w:after="0" w:line="408" w:lineRule="auto"/>
        <w:jc w:val="both"/>
        <w:rPr>
          <w:rFonts w:ascii="Times New Roman" w:hAnsi="Times New Roman" w:cs="Times New Roman"/>
          <w:b/>
          <w:bCs/>
          <w:color w:val="000000"/>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2.3.3 </w:t>
      </w:r>
      <w:r w:rsidR="00C57DAB">
        <w:rPr>
          <w:rFonts w:ascii="Times New Roman" w:hAnsi="Times New Roman" w:cs="Times New Roman"/>
          <w:b/>
          <w:bCs/>
          <w:color w:val="000000"/>
          <w:sz w:val="24"/>
          <w:szCs w:val="24"/>
        </w:rPr>
        <w:tab/>
      </w:r>
      <w:r>
        <w:rPr>
          <w:rFonts w:ascii="Times New Roman" w:hAnsi="Times New Roman" w:cs="Times New Roman"/>
          <w:b/>
          <w:bCs/>
          <w:color w:val="000000"/>
          <w:sz w:val="24"/>
          <w:szCs w:val="24"/>
        </w:rPr>
        <w:t>Indicators of business Growth</w:t>
      </w:r>
    </w:p>
    <w:p w:rsidR="00B44B07" w:rsidRPr="00C57DAB" w:rsidRDefault="00B44B07" w:rsidP="00C22851">
      <w:pPr>
        <w:autoSpaceDE w:val="0"/>
        <w:autoSpaceDN w:val="0"/>
        <w:adjustRightInd w:val="0"/>
        <w:spacing w:after="0" w:line="408" w:lineRule="auto"/>
        <w:ind w:firstLine="720"/>
        <w:jc w:val="both"/>
        <w:rPr>
          <w:rFonts w:ascii="Times New Roman" w:hAnsi="Times New Roman" w:cs="Times New Roman"/>
          <w:b/>
          <w:bCs/>
          <w:color w:val="000000"/>
          <w:sz w:val="24"/>
          <w:szCs w:val="24"/>
        </w:rPr>
      </w:pPr>
      <w:r>
        <w:rPr>
          <w:rFonts w:ascii="Times New Roman" w:hAnsi="Times New Roman" w:cs="Times New Roman"/>
          <w:color w:val="000000"/>
          <w:sz w:val="24"/>
          <w:szCs w:val="24"/>
        </w:rPr>
        <w:t>Growth can be measured with a range of different indicators; the most frequently suggested being sales, employment, assets, physical output, market share and profits (Ardishvili, A., Cardozo, S., Harmon, S. &amp;Vadakath, S. (1998), Delmar, 1997; Weinzimmer, Nystrom &amp; Freeman, 1998; Wiklund, 1998). In within-industry studies even more specialized measures are conceivable, such as the number of seats for restaurants or theatres, and the number of vehicles for taxi or car rental companies (Bolton, 1971).</w:t>
      </w:r>
      <w:r>
        <w:rPr>
          <w:rFonts w:ascii="Times New Roman" w:hAnsi="Times New Roman" w:cs="Times New Roman"/>
          <w:sz w:val="24"/>
          <w:szCs w:val="24"/>
        </w:rPr>
        <w:t xml:space="preserve"> Nickels etal (2002) identifies the growth variable that include the level of research and development, market share rise, market competition, increase in profitability. In the same vain, other variable includes sales raise, increase in </w:t>
      </w:r>
      <w:r>
        <w:rPr>
          <w:rFonts w:ascii="Times New Roman" w:hAnsi="Times New Roman" w:cs="Times New Roman"/>
          <w:sz w:val="24"/>
          <w:szCs w:val="24"/>
        </w:rPr>
        <w:lastRenderedPageBreak/>
        <w:t xml:space="preserve">production capacity and equity growth. </w:t>
      </w:r>
      <w:r>
        <w:rPr>
          <w:rFonts w:ascii="Times New Roman" w:hAnsi="Times New Roman" w:cs="Times New Roman"/>
          <w:color w:val="000000"/>
          <w:sz w:val="24"/>
          <w:szCs w:val="24"/>
        </w:rPr>
        <w:t xml:space="preserve"> Among available alternatives the researcher has the choice to</w:t>
      </w:r>
      <w:r w:rsidR="00C57DAB">
        <w:rPr>
          <w:rFonts w:ascii="Times New Roman" w:hAnsi="Times New Roman" w:cs="Times New Roman"/>
          <w:color w:val="000000"/>
          <w:sz w:val="24"/>
          <w:szCs w:val="24"/>
        </w:rPr>
        <w:t>;</w:t>
      </w:r>
    </w:p>
    <w:p w:rsidR="00B44B07" w:rsidRDefault="00B44B07" w:rsidP="00C22851">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sidR="00C57DAB">
        <w:rPr>
          <w:rFonts w:ascii="Times New Roman" w:hAnsi="Times New Roman" w:cs="Times New Roman"/>
          <w:color w:val="000000"/>
          <w:sz w:val="24"/>
          <w:szCs w:val="24"/>
        </w:rPr>
        <w:tab/>
      </w:r>
      <w:r>
        <w:rPr>
          <w:rFonts w:ascii="Times New Roman" w:hAnsi="Times New Roman" w:cs="Times New Roman"/>
          <w:color w:val="000000"/>
          <w:sz w:val="24"/>
          <w:szCs w:val="24"/>
        </w:rPr>
        <w:t>Create a multiple indicator index;</w:t>
      </w:r>
    </w:p>
    <w:p w:rsidR="00B44B07" w:rsidRDefault="00B44B07" w:rsidP="00C22851">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 </w:t>
      </w:r>
      <w:r w:rsidR="00C57DAB">
        <w:rPr>
          <w:rFonts w:ascii="Times New Roman" w:hAnsi="Times New Roman" w:cs="Times New Roman"/>
          <w:color w:val="000000"/>
          <w:sz w:val="24"/>
          <w:szCs w:val="24"/>
        </w:rPr>
        <w:tab/>
      </w:r>
      <w:r>
        <w:rPr>
          <w:rFonts w:ascii="Times New Roman" w:hAnsi="Times New Roman" w:cs="Times New Roman"/>
          <w:color w:val="000000"/>
          <w:sz w:val="24"/>
          <w:szCs w:val="24"/>
        </w:rPr>
        <w:t>Use alternative measures separately, and</w:t>
      </w:r>
    </w:p>
    <w:p w:rsidR="00B44B07" w:rsidRDefault="00B44B07" w:rsidP="00C22851">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 </w:t>
      </w:r>
      <w:r w:rsidR="00C57DAB">
        <w:rPr>
          <w:rFonts w:ascii="Times New Roman" w:hAnsi="Times New Roman" w:cs="Times New Roman"/>
          <w:color w:val="000000"/>
          <w:sz w:val="24"/>
          <w:szCs w:val="24"/>
        </w:rPr>
        <w:tab/>
      </w:r>
      <w:r>
        <w:rPr>
          <w:rFonts w:ascii="Times New Roman" w:hAnsi="Times New Roman" w:cs="Times New Roman"/>
          <w:color w:val="000000"/>
          <w:sz w:val="24"/>
          <w:szCs w:val="24"/>
        </w:rPr>
        <w:t>Find the one, best indicator.</w:t>
      </w:r>
    </w:p>
    <w:p w:rsidR="00B44B07" w:rsidRDefault="00C57DAB" w:rsidP="00C22851">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B44B07">
        <w:rPr>
          <w:rFonts w:ascii="Times New Roman" w:hAnsi="Times New Roman" w:cs="Times New Roman"/>
          <w:color w:val="000000"/>
          <w:sz w:val="24"/>
          <w:szCs w:val="24"/>
        </w:rPr>
        <w:t>If growth is conceived of as a latent construct with common causes but alternative manifestations the multiple-indicator index makes sense (Davidsson, 1991). Further, the use of only first year and end year data for growth calculations has been criticized because it models growth as one giant leap (Davidson &amp;Wiklund, 2000) and makes the calculation overly sensitive to stochastic variation (Weinzimmer et al., 1998). On this ground, the latter suggest that the slope of the regression line over multi-period data be used as the measure of firm growth.</w:t>
      </w:r>
    </w:p>
    <w:p w:rsidR="00B44B07" w:rsidRDefault="00C57DAB" w:rsidP="00C22851">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B44B07">
        <w:rPr>
          <w:rFonts w:ascii="Times New Roman" w:hAnsi="Times New Roman" w:cs="Times New Roman"/>
          <w:color w:val="000000"/>
          <w:sz w:val="24"/>
          <w:szCs w:val="24"/>
        </w:rPr>
        <w:t>Therefore</w:t>
      </w:r>
      <w:r>
        <w:rPr>
          <w:rFonts w:ascii="Times New Roman" w:hAnsi="Times New Roman" w:cs="Times New Roman"/>
          <w:color w:val="000000"/>
          <w:sz w:val="24"/>
          <w:szCs w:val="24"/>
        </w:rPr>
        <w:t>,</w:t>
      </w:r>
      <w:r w:rsidR="00B44B07">
        <w:rPr>
          <w:rFonts w:ascii="Times New Roman" w:hAnsi="Times New Roman" w:cs="Times New Roman"/>
          <w:color w:val="000000"/>
          <w:sz w:val="24"/>
          <w:szCs w:val="24"/>
        </w:rPr>
        <w:t xml:space="preserve"> the growth variables under study are sales growth, profits increase, equity increase and earnings growth. The reasons are sales and profit appears to be most objective more popular and least controversial parameter for measuring corporate success. It expresses the return on total assets and measures the effectiveness of management in employing the resources available to it. Assets, it gives an indication of efficiency with which total assets are utilized. Earnings per share, it is very important for firm that is seeking additional outside funds. Earnings per share of a firm must be reasonably high to attract investors. </w:t>
      </w:r>
    </w:p>
    <w:p w:rsidR="00B44B07" w:rsidRDefault="00B44B07" w:rsidP="00C22851">
      <w:pPr>
        <w:autoSpaceDE w:val="0"/>
        <w:autoSpaceDN w:val="0"/>
        <w:adjustRightInd w:val="0"/>
        <w:spacing w:after="0" w:line="408" w:lineRule="auto"/>
        <w:jc w:val="both"/>
        <w:rPr>
          <w:rFonts w:ascii="Times New Roman" w:hAnsi="Times New Roman" w:cs="Times New Roman"/>
          <w:b/>
          <w:bCs/>
          <w:color w:val="000000"/>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b/>
          <w:bCs/>
          <w:sz w:val="24"/>
          <w:szCs w:val="24"/>
        </w:rPr>
      </w:pPr>
      <w:r>
        <w:rPr>
          <w:rFonts w:ascii="Times New Roman" w:hAnsi="Times New Roman" w:cs="Times New Roman"/>
          <w:b/>
          <w:bCs/>
          <w:sz w:val="24"/>
          <w:szCs w:val="24"/>
        </w:rPr>
        <w:t>2.3.4</w:t>
      </w:r>
      <w:r>
        <w:rPr>
          <w:rFonts w:ascii="Times New Roman" w:hAnsi="Times New Roman" w:cs="Times New Roman"/>
          <w:b/>
          <w:bCs/>
          <w:sz w:val="24"/>
          <w:szCs w:val="24"/>
        </w:rPr>
        <w:tab/>
        <w:t xml:space="preserve">Sales turnover </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Amitabissa (2011) sales turnover can be define as the monetary consideration received or to be received for the products sold or the services rendered to the customer by any company entity for a particular time period. An organization need to value the amount of turnover earned for a particular financial period so that it can present its financial statement properly and timely and can account for only those revenue which can be realized. Such turnover can be earned by utilizing economic resources of the enterprise. Aria (2012) sales turnover is the total amount sold </w:t>
      </w:r>
      <w:r>
        <w:rPr>
          <w:rFonts w:ascii="Times New Roman" w:hAnsi="Times New Roman" w:cs="Times New Roman"/>
          <w:sz w:val="24"/>
          <w:szCs w:val="24"/>
        </w:rPr>
        <w:lastRenderedPageBreak/>
        <w:t>within a specific time period, usually a year. Sales turnover is often expressed in monetary terms but can also be expressed in terms of the total amount of stock or products sold. Sales turnover means number of times you are able to sell the goods in market.</w:t>
      </w:r>
    </w:p>
    <w:p w:rsidR="00C57DAB" w:rsidRDefault="00C57DAB" w:rsidP="00C22851">
      <w:pPr>
        <w:autoSpaceDE w:val="0"/>
        <w:autoSpaceDN w:val="0"/>
        <w:adjustRightInd w:val="0"/>
        <w:spacing w:after="0" w:line="408" w:lineRule="auto"/>
        <w:jc w:val="both"/>
        <w:rPr>
          <w:rFonts w:ascii="Times New Roman" w:hAnsi="Times New Roman" w:cs="Times New Roman"/>
          <w:sz w:val="24"/>
          <w:szCs w:val="24"/>
        </w:rPr>
      </w:pPr>
    </w:p>
    <w:p w:rsidR="00B44B07" w:rsidRPr="00C57DAB" w:rsidRDefault="00B44B07" w:rsidP="00C22851">
      <w:pPr>
        <w:autoSpaceDE w:val="0"/>
        <w:autoSpaceDN w:val="0"/>
        <w:adjustRightInd w:val="0"/>
        <w:spacing w:after="0" w:line="408" w:lineRule="auto"/>
        <w:jc w:val="both"/>
        <w:rPr>
          <w:rFonts w:ascii="Times New Roman" w:hAnsi="Times New Roman" w:cs="Times New Roman"/>
          <w:b/>
          <w:bCs/>
          <w:sz w:val="24"/>
          <w:szCs w:val="24"/>
        </w:rPr>
      </w:pPr>
      <w:r w:rsidRPr="00C57DAB">
        <w:rPr>
          <w:rFonts w:ascii="Times New Roman" w:hAnsi="Times New Roman" w:cs="Times New Roman"/>
          <w:b/>
          <w:bCs/>
          <w:sz w:val="24"/>
          <w:szCs w:val="24"/>
        </w:rPr>
        <w:t>2.3.5</w:t>
      </w:r>
      <w:r w:rsidR="00C57DAB">
        <w:rPr>
          <w:rFonts w:ascii="Times New Roman" w:hAnsi="Times New Roman" w:cs="Times New Roman"/>
          <w:b/>
          <w:bCs/>
          <w:sz w:val="24"/>
          <w:szCs w:val="24"/>
        </w:rPr>
        <w:tab/>
      </w:r>
      <w:r w:rsidRPr="00C57DAB">
        <w:rPr>
          <w:rFonts w:ascii="Times New Roman" w:hAnsi="Times New Roman" w:cs="Times New Roman"/>
          <w:b/>
          <w:bCs/>
          <w:sz w:val="24"/>
          <w:szCs w:val="24"/>
        </w:rPr>
        <w:t>Profitability</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Profit is an excess of revenues over associated expenses for an activity over a period of time. Terms with similar meanings include ‘earnings’, ‘income’, and ‘margin’. Lord Keynes remarked that ‘Profit is the engine that drives the business enterprise’. Every business should earn sufficient profits to survive and grow over a long period of time. It is the index to the economic progress, improved national income and rising standard of living. No doubt, profit is the legitimate object, but it should not be over emphasized. Management should try to maximize its profit keeping in mind the welfare of the society. Thus, profit is not just the reward to owners but it is also related with the interest of other segments of the society. Profit is the yardstick for judging not just the economic, but the managerial efficiency and social objectives also (Pandey I.M 2002).</w:t>
      </w: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Profitability means ability to make profit from all the business activities of an organization, company, firm, or an enterprise. It shows how efficiently the management can make profit by using all the resources available in the market. According to Harward&amp; Upton, “profitability is the ‘the ability of a given investment to earn a return from its use.” However, the term ‘Profitability’ is not synonymous to the term ‘Efficiency’. Profitability is an index of efficiency; and is regarded as a measure of efficiency and management guide to greater efficiency. Though, profitability is an important yardstick for measuring the efficiency, the extent of profitability cannot be taken as a final proof of efficiency. Sometimes satisfactory profits can mark inefficiency and conversely, a proper degree of efficiency can be accompanied by an absence of profit. The net profit figure simply reveals a satisfactory balance between the values receive and </w:t>
      </w:r>
      <w:r>
        <w:rPr>
          <w:rFonts w:ascii="Times New Roman" w:hAnsi="Times New Roman" w:cs="Times New Roman"/>
          <w:sz w:val="24"/>
          <w:szCs w:val="24"/>
        </w:rPr>
        <w:lastRenderedPageBreak/>
        <w:t>value given. The change in operational efficiency is merely one of the factors on which profitability of an enterprise largely depends. (Kuchhal S.C,Khan M.Y and Jain P.K2003).</w:t>
      </w:r>
    </w:p>
    <w:p w:rsidR="00C57DAB" w:rsidRDefault="00C57DAB" w:rsidP="00C22851">
      <w:pPr>
        <w:autoSpaceDE w:val="0"/>
        <w:autoSpaceDN w:val="0"/>
        <w:adjustRightInd w:val="0"/>
        <w:spacing w:after="0" w:line="408" w:lineRule="auto"/>
        <w:jc w:val="both"/>
        <w:rPr>
          <w:rFonts w:ascii="Times New Roman" w:hAnsi="Times New Roman" w:cs="Times New Roman"/>
          <w:b/>
          <w:bCs/>
          <w:color w:val="000000"/>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b/>
          <w:bCs/>
          <w:color w:val="000000"/>
          <w:sz w:val="24"/>
          <w:szCs w:val="24"/>
        </w:rPr>
        <w:t xml:space="preserve">2.4   </w:t>
      </w:r>
      <w:r w:rsidR="00C57DAB">
        <w:rPr>
          <w:rFonts w:ascii="Times New Roman" w:hAnsi="Times New Roman" w:cs="Times New Roman"/>
          <w:b/>
          <w:bCs/>
          <w:color w:val="000000"/>
          <w:sz w:val="24"/>
          <w:szCs w:val="24"/>
        </w:rPr>
        <w:tab/>
      </w:r>
      <w:r>
        <w:rPr>
          <w:rFonts w:ascii="Times New Roman" w:hAnsi="Times New Roman" w:cs="Times New Roman"/>
          <w:b/>
          <w:bCs/>
          <w:color w:val="000000"/>
          <w:sz w:val="24"/>
          <w:szCs w:val="24"/>
        </w:rPr>
        <w:t>Internal and external factors that influence businessgrowth</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Literature had given the impression that growth was the norm. But, this is not the case. On the contrary, most firms start small, live small and die small. They never embark on a significant growth trajectory (Aldrich, 1999; Reynolds &amp; White, 1997; Storey, 1994). One major reason for this is that the majority of business start-ups are imitative businesses in mature industries, serving local markets (Aldrich, 1999; Reynolds, Bygrave&amp;Autio, 2003; Samuelsson, 2001, 2004). As such, they do not have much growth potential. In much literature, researchers identify a set of factors inherent in business owners (characteristics and behaviour) that appear to influence business success. Academia and practitioners examine factors such as growth goal, human capital (education, work, and business experience), and financial capital and demographics (gender, marital status, stage of parenting, ethnicity/race) in the quest to understand how to best support entrepreneurs and correct socio-economic disparities.</w:t>
      </w:r>
    </w:p>
    <w:p w:rsidR="00C57DAB" w:rsidRDefault="00C57DAB" w:rsidP="00C22851">
      <w:pPr>
        <w:autoSpaceDE w:val="0"/>
        <w:autoSpaceDN w:val="0"/>
        <w:adjustRightInd w:val="0"/>
        <w:spacing w:after="0" w:line="408" w:lineRule="auto"/>
        <w:jc w:val="both"/>
        <w:rPr>
          <w:rFonts w:ascii="Times New Roman" w:hAnsi="Times New Roman" w:cs="Times New Roman"/>
          <w:color w:val="000000"/>
          <w:sz w:val="24"/>
          <w:szCs w:val="24"/>
        </w:rPr>
      </w:pPr>
    </w:p>
    <w:p w:rsidR="00B44B07" w:rsidRPr="00C57DAB" w:rsidRDefault="00B44B07" w:rsidP="00C22851">
      <w:pPr>
        <w:autoSpaceDE w:val="0"/>
        <w:autoSpaceDN w:val="0"/>
        <w:adjustRightInd w:val="0"/>
        <w:spacing w:after="0" w:line="408" w:lineRule="auto"/>
        <w:jc w:val="both"/>
        <w:rPr>
          <w:rFonts w:ascii="Times New Roman" w:hAnsi="Times New Roman" w:cs="Times New Roman"/>
          <w:b/>
          <w:bCs/>
          <w:color w:val="000000"/>
          <w:sz w:val="24"/>
          <w:szCs w:val="24"/>
        </w:rPr>
      </w:pPr>
      <w:r w:rsidRPr="00C57DAB">
        <w:rPr>
          <w:rFonts w:ascii="Times New Roman" w:hAnsi="Times New Roman" w:cs="Times New Roman"/>
          <w:b/>
          <w:bCs/>
          <w:color w:val="000000"/>
          <w:sz w:val="24"/>
          <w:szCs w:val="24"/>
        </w:rPr>
        <w:t xml:space="preserve">2.4.1 </w:t>
      </w:r>
      <w:r w:rsidR="00C57DAB">
        <w:rPr>
          <w:rFonts w:ascii="Times New Roman" w:hAnsi="Times New Roman" w:cs="Times New Roman"/>
          <w:b/>
          <w:bCs/>
          <w:color w:val="000000"/>
          <w:sz w:val="24"/>
          <w:szCs w:val="24"/>
        </w:rPr>
        <w:tab/>
      </w:r>
      <w:r w:rsidRPr="00C57DAB">
        <w:rPr>
          <w:rFonts w:ascii="Times New Roman" w:hAnsi="Times New Roman" w:cs="Times New Roman"/>
          <w:b/>
          <w:bCs/>
          <w:color w:val="000000"/>
          <w:sz w:val="24"/>
          <w:szCs w:val="24"/>
        </w:rPr>
        <w:t xml:space="preserve">Internal factors. </w:t>
      </w:r>
    </w:p>
    <w:p w:rsidR="00B44B07" w:rsidRDefault="00B44B07" w:rsidP="00C22851">
      <w:pPr>
        <w:autoSpaceDE w:val="0"/>
        <w:autoSpaceDN w:val="0"/>
        <w:adjustRightInd w:val="0"/>
        <w:spacing w:after="0" w:line="408"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 </w:t>
      </w:r>
      <w:r w:rsidR="00C57DAB">
        <w:rPr>
          <w:rFonts w:ascii="Times New Roman" w:hAnsi="Times New Roman" w:cs="Times New Roman"/>
          <w:color w:val="000000"/>
          <w:sz w:val="24"/>
          <w:szCs w:val="24"/>
        </w:rPr>
        <w:tab/>
      </w:r>
      <w:r>
        <w:rPr>
          <w:rFonts w:ascii="Times New Roman" w:hAnsi="Times New Roman" w:cs="Times New Roman"/>
          <w:color w:val="000000"/>
          <w:sz w:val="24"/>
          <w:szCs w:val="24"/>
        </w:rPr>
        <w:t>Entrepreneur</w:t>
      </w:r>
      <w:r>
        <w:rPr>
          <w:rFonts w:ascii="Times New Roman" w:hAnsi="Times New Roman" w:cs="Times New Roman"/>
          <w:color w:val="000000"/>
          <w:sz w:val="24"/>
          <w:szCs w:val="24"/>
          <w:vertAlign w:val="superscript"/>
        </w:rPr>
        <w:t>’</w:t>
      </w:r>
      <w:r>
        <w:rPr>
          <w:rFonts w:ascii="Times New Roman" w:hAnsi="Times New Roman" w:cs="Times New Roman"/>
          <w:color w:val="000000"/>
          <w:sz w:val="24"/>
          <w:szCs w:val="24"/>
        </w:rPr>
        <w:t>s business motives; literature reveals that the characteristics and behavior the entrepreneur or owner-manager bring to the business growth process appear to matter and are difficult to separate from the success of the firm. A growing number of researchers and practitioners seem to agree with the consortium for entrepreneurship education that, ‘entrepreneurs are not born entrepreneur; they become so through the experiences of their lives”. The corollary may be that successful entrepreneurs are not born to succeed through personal traits such as ‘drive’ and ‘risk-taking’. They become successful through various behavior and strategy that can be learned (Gregg A. Lichtenstein and Edward G. Rogoff (2005).</w:t>
      </w:r>
    </w:p>
    <w:p w:rsidR="00B44B07" w:rsidRDefault="00B44B07" w:rsidP="00C22851">
      <w:pPr>
        <w:autoSpaceDE w:val="0"/>
        <w:autoSpaceDN w:val="0"/>
        <w:adjustRightInd w:val="0"/>
        <w:spacing w:after="0" w:line="408"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ii) </w:t>
      </w:r>
      <w:r w:rsidR="00C57DAB">
        <w:rPr>
          <w:rFonts w:ascii="Times New Roman" w:hAnsi="Times New Roman" w:cs="Times New Roman"/>
          <w:color w:val="000000"/>
          <w:sz w:val="24"/>
          <w:szCs w:val="24"/>
        </w:rPr>
        <w:tab/>
      </w:r>
      <w:r>
        <w:rPr>
          <w:rFonts w:ascii="Times New Roman" w:hAnsi="Times New Roman" w:cs="Times New Roman"/>
          <w:color w:val="000000"/>
          <w:sz w:val="24"/>
          <w:szCs w:val="24"/>
        </w:rPr>
        <w:t xml:space="preserve">Human capital: A set of studies look at various aspects of human capital to understand how these factors determine a business’s survival and growth. These studies look at the characteristics, experience, and assets of individual as well as at the attitude with which they approach their enterprise (Gate wood, Shaver and Gartner (1995). Carlsson’s (2002) study included also capital availability, and the author points out this as one of the institutional factors particularly likely to explain differential growth patterns for firms in an economy. There are also other studies that have pointed at provision of external debt and equity capital as a very important factor in promoting small firm growth ( Becchetti&amp;Trovato, 2002; Riding &amp; Haynes, 1998). </w:t>
      </w:r>
    </w:p>
    <w:p w:rsidR="00B44B07" w:rsidRDefault="00B44B07" w:rsidP="00C22851">
      <w:pPr>
        <w:autoSpaceDE w:val="0"/>
        <w:autoSpaceDN w:val="0"/>
        <w:adjustRightInd w:val="0"/>
        <w:spacing w:after="0" w:line="408" w:lineRule="auto"/>
        <w:ind w:left="720" w:hanging="6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iii)  </w:t>
      </w:r>
      <w:r w:rsidR="00C57DAB">
        <w:rPr>
          <w:rFonts w:ascii="Times New Roman" w:hAnsi="Times New Roman" w:cs="Times New Roman"/>
          <w:color w:val="000000"/>
          <w:sz w:val="24"/>
          <w:szCs w:val="24"/>
        </w:rPr>
        <w:tab/>
      </w:r>
      <w:r>
        <w:rPr>
          <w:rFonts w:ascii="Times New Roman" w:hAnsi="Times New Roman" w:cs="Times New Roman"/>
          <w:color w:val="000000"/>
          <w:sz w:val="24"/>
          <w:szCs w:val="24"/>
        </w:rPr>
        <w:t>Managerial skills and Resources; the entrepreneur needs to use the tools and resources that, according to literature, appear to influence the successful growth of business. Carlsson (2002) employs a broader perspective on institutions in his comparison of technology clusters in Sweden and Ohio. The factors he investigates include the science base, mechanisms for technology transfer, density of networks, and what he calls ‘entrepreneurial climate’. They fall into three categories: a) growth-oriented, strategic thinking, planning and action; b) employee management and, in particular, transiting from sole employee to employer (human resource and communication); c) adequate business financing. In general, the entrepreneur learns these skills by accessing new resources (knowledge, financing etc.) and experience. These skills are distinct from the human capital characteristics an entrepreneur bring to business ownership (such as formal education, personal assets and demography (patti Wilber and leonard Dixon (2003).</w:t>
      </w:r>
    </w:p>
    <w:p w:rsidR="00B44B07" w:rsidRDefault="00B44B07" w:rsidP="00C22851">
      <w:pPr>
        <w:autoSpaceDE w:val="0"/>
        <w:autoSpaceDN w:val="0"/>
        <w:adjustRightInd w:val="0"/>
        <w:spacing w:after="0" w:line="408"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iv) </w:t>
      </w:r>
      <w:r w:rsidR="00C57DAB">
        <w:rPr>
          <w:rFonts w:ascii="Times New Roman" w:hAnsi="Times New Roman" w:cs="Times New Roman"/>
          <w:color w:val="000000"/>
          <w:sz w:val="24"/>
          <w:szCs w:val="24"/>
        </w:rPr>
        <w:tab/>
      </w:r>
      <w:r>
        <w:rPr>
          <w:rFonts w:ascii="Times New Roman" w:hAnsi="Times New Roman" w:cs="Times New Roman"/>
          <w:color w:val="000000"/>
          <w:sz w:val="24"/>
          <w:szCs w:val="24"/>
        </w:rPr>
        <w:t>Demographic; the research literature also points to race/ethnicity, gender, parenting and marital status as factors that make it more or less difficult to start and grow abusiness. Presumably, if manager can identify these factors, then they can better overcome/address them to achieve business growth (Elizabeth chell and Susan baies(1998)</w:t>
      </w:r>
    </w:p>
    <w:p w:rsidR="00C57DAB" w:rsidRDefault="00C57DAB" w:rsidP="00C22851">
      <w:pPr>
        <w:autoSpaceDE w:val="0"/>
        <w:autoSpaceDN w:val="0"/>
        <w:adjustRightInd w:val="0"/>
        <w:spacing w:after="0" w:line="408" w:lineRule="auto"/>
        <w:jc w:val="both"/>
        <w:rPr>
          <w:rFonts w:ascii="Times New Roman" w:hAnsi="Times New Roman" w:cs="Times New Roman"/>
          <w:color w:val="000000"/>
          <w:sz w:val="24"/>
          <w:szCs w:val="24"/>
        </w:rPr>
      </w:pPr>
    </w:p>
    <w:p w:rsidR="00B44B07" w:rsidRPr="00C57DAB" w:rsidRDefault="00B44B07" w:rsidP="00C22851">
      <w:pPr>
        <w:autoSpaceDE w:val="0"/>
        <w:autoSpaceDN w:val="0"/>
        <w:adjustRightInd w:val="0"/>
        <w:spacing w:after="0" w:line="408" w:lineRule="auto"/>
        <w:jc w:val="both"/>
        <w:rPr>
          <w:rFonts w:ascii="Times New Roman" w:hAnsi="Times New Roman" w:cs="Times New Roman"/>
          <w:b/>
          <w:bCs/>
          <w:color w:val="000000"/>
          <w:sz w:val="24"/>
          <w:szCs w:val="24"/>
        </w:rPr>
      </w:pPr>
      <w:r w:rsidRPr="00C57DAB">
        <w:rPr>
          <w:rFonts w:ascii="Times New Roman" w:hAnsi="Times New Roman" w:cs="Times New Roman"/>
          <w:b/>
          <w:bCs/>
          <w:color w:val="000000"/>
          <w:sz w:val="24"/>
          <w:szCs w:val="24"/>
        </w:rPr>
        <w:lastRenderedPageBreak/>
        <w:t xml:space="preserve">2.4.2 </w:t>
      </w:r>
      <w:r w:rsidR="00C57DAB">
        <w:rPr>
          <w:rFonts w:ascii="Times New Roman" w:hAnsi="Times New Roman" w:cs="Times New Roman"/>
          <w:b/>
          <w:bCs/>
          <w:color w:val="000000"/>
          <w:sz w:val="24"/>
          <w:szCs w:val="24"/>
        </w:rPr>
        <w:tab/>
      </w:r>
      <w:r w:rsidRPr="00C57DAB">
        <w:rPr>
          <w:rFonts w:ascii="Times New Roman" w:hAnsi="Times New Roman" w:cs="Times New Roman"/>
          <w:b/>
          <w:bCs/>
          <w:color w:val="000000"/>
          <w:sz w:val="24"/>
          <w:szCs w:val="24"/>
        </w:rPr>
        <w:t>External factors</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Yet, independent of the potential, it is also important to realize that most business founders have modest growth aspirations for their firms. This has been demonstrated in several different studies across countries (Cliff, 1998; Delmar &amp;Davidsson, 1999; Dennis &amp; Solomon, 2001; Human &amp; Matthews, 2004). But the managers’ willingness to growth were not really matter, some external forces largely determine the firm’s growth, as suggested by the population ecology perspective (Hannan&amp; Freeman, 1977) Environments vary along dimensions such as dynamism, heterogeneity, hostility and munificence (Dess&amp; Beard, 1984), and these external factors rather than the managers’ motivations and strategic actions may largely determine how much the firm grows.  </w:t>
      </w:r>
    </w:p>
    <w:p w:rsidR="00B44B07" w:rsidRDefault="00B44B07" w:rsidP="00C22851">
      <w:pPr>
        <w:autoSpaceDE w:val="0"/>
        <w:autoSpaceDN w:val="0"/>
        <w:adjustRightInd w:val="0"/>
        <w:spacing w:after="0" w:line="408" w:lineRule="auto"/>
        <w:ind w:left="720" w:hanging="6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 </w:t>
      </w:r>
      <w:r w:rsidR="00C57DAB">
        <w:rPr>
          <w:rFonts w:ascii="Times New Roman" w:hAnsi="Times New Roman" w:cs="Times New Roman"/>
          <w:color w:val="000000"/>
          <w:sz w:val="24"/>
          <w:szCs w:val="24"/>
        </w:rPr>
        <w:tab/>
      </w:r>
      <w:r>
        <w:rPr>
          <w:rFonts w:ascii="Times New Roman" w:hAnsi="Times New Roman" w:cs="Times New Roman"/>
          <w:color w:val="000000"/>
          <w:sz w:val="24"/>
          <w:szCs w:val="24"/>
        </w:rPr>
        <w:t>Regulation and financial support system; some research identify regulatory barriers as constraining to both business formation and growth. Efforts to make police more favorable to micro and small enterprises, and simplify regulations and compliance may help liberate more business from the shadows, and put them on a growth path. In some cases, it may be a matter of changing polices, while in others, it may be that a business stay small because the owner cannot or does not know how to navigate the system (Marian Doub and ElainelEdgcomb 2005). However, some researchers mainly emphasize the negative influence of certain factors (Barber, Metcalfe &amp;Porteous, 1989). Institutional factors are often discussed from this perspective. For example, Davidsson and Henrekson (2002) hold that the consistency of the theoretical arguments and empirical data makes a strong case for the notion that certain institution have systematically discriminated against the growth of independent businesses. The specific institutions they investigated included, e.g., regulation of certain sectors of the economy; taxation; wage-setting institutions, and labour market legislation.</w:t>
      </w:r>
    </w:p>
    <w:p w:rsidR="00B44B07" w:rsidRDefault="00B44B07" w:rsidP="00C22851">
      <w:pPr>
        <w:autoSpaceDE w:val="0"/>
        <w:autoSpaceDN w:val="0"/>
        <w:adjustRightInd w:val="0"/>
        <w:spacing w:after="0" w:line="408"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  </w:t>
      </w:r>
      <w:r w:rsidR="00C57DAB">
        <w:rPr>
          <w:rFonts w:ascii="Times New Roman" w:hAnsi="Times New Roman" w:cs="Times New Roman"/>
          <w:color w:val="000000"/>
          <w:sz w:val="24"/>
          <w:szCs w:val="24"/>
        </w:rPr>
        <w:tab/>
      </w:r>
      <w:r>
        <w:rPr>
          <w:rFonts w:ascii="Times New Roman" w:hAnsi="Times New Roman" w:cs="Times New Roman"/>
          <w:color w:val="000000"/>
          <w:sz w:val="24"/>
          <w:szCs w:val="24"/>
        </w:rPr>
        <w:t xml:space="preserve">Entrepreneurial communities and system; there is a growing body of literature that suggests that lack of comprehensive ‘entrepreneurial systems’ aimed at encouraging and </w:t>
      </w:r>
      <w:r>
        <w:rPr>
          <w:rFonts w:ascii="Times New Roman" w:hAnsi="Times New Roman" w:cs="Times New Roman"/>
          <w:color w:val="000000"/>
          <w:sz w:val="24"/>
          <w:szCs w:val="24"/>
        </w:rPr>
        <w:lastRenderedPageBreak/>
        <w:t xml:space="preserve">supporting entrepreneurship at all levels constrains growth, this leads to emerging and growing entrepreneurs not having, or knowing how to get the services they need. Success in building entrepreneurial communities that support entrepreneurs can produce ‘jobs, wealth, personal development and an overall improvement in quality of life’. The critical mass of entrepreneurs who are actively engaged in capturing new market opportunities is sufficient to continually replace any decline in economic activity from exiting business within the community. Network of entrepreneurs are supported by an entrepreneurial community to grow their ventures (Lichtentein, Gregg A, Thomas s Lyons,andNailyakutzhanora (2005). </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However, it has been clearly demonstrated that rapidly growing firms are more often found in industries and regions that are more dynamic (Carroll &amp;Hannan, 2000; Davidsson&amp; Delmar, 1997, 2001; Jovanovich, 1982). While in highly innovative industries the failure rate for new entrants is also higher, Audretsch (1995) demonstrated that for those who survive the first few years both survival and growth is higher in subsequent years for firms in more innovative industries. Growth firms in industries that are stagnant overall are often found in dynamic growth niches within these industries (Storey, 1997; Wiklund, 1998). </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Taken together the sensible conclusion is that growth is to a considerable extent a matter of willingness and skill, but that fundamental facilitators and obstacles in the environment cannot be disregarded. The extent to which the firm governs its own destiny is also likely to vary across firms and situations. For example, the image that emerges from Davidsson and Delmar's (1997; 2001) research is that firms in the subgroup they define as high growth find ways to reach their growth goals relatively regardless of environmental conditions, while the majority of ‘other firms’ seems to swing up and down with the development of the economy at large. </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It should also be noted that it is sometimes difficult to determine what factors are truly ‘external’ and ‘internal’, respectively. For example, in Chandler and Hanks' (1994) conceptualization qualities of the opportunity are regarded as aspects of the environment. </w:t>
      </w:r>
      <w:r>
        <w:rPr>
          <w:rFonts w:ascii="Times New Roman" w:hAnsi="Times New Roman" w:cs="Times New Roman"/>
          <w:color w:val="000000"/>
          <w:sz w:val="24"/>
          <w:szCs w:val="24"/>
        </w:rPr>
        <w:lastRenderedPageBreak/>
        <w:t>Davidsson (1989a, 1991) likewise associates the opportunity concept with environmental factors. In more recent works ‘opportunity’ is often used interchangeably with ‘business idea’ and interpreted as an internal issue (Davidsson, 2003, 2004).</w:t>
      </w:r>
    </w:p>
    <w:p w:rsidR="00C57DAB" w:rsidRDefault="00C57DAB" w:rsidP="00C22851">
      <w:pPr>
        <w:autoSpaceDE w:val="0"/>
        <w:autoSpaceDN w:val="0"/>
        <w:adjustRightInd w:val="0"/>
        <w:spacing w:after="0" w:line="408" w:lineRule="auto"/>
        <w:jc w:val="both"/>
        <w:rPr>
          <w:rFonts w:ascii="Times New Roman" w:hAnsi="Times New Roman" w:cs="Times New Roman"/>
          <w:b/>
          <w:bCs/>
          <w:color w:val="000000"/>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2.5</w:t>
      </w:r>
      <w:r w:rsidR="00C57DAB">
        <w:rPr>
          <w:rFonts w:ascii="Times New Roman" w:hAnsi="Times New Roman" w:cs="Times New Roman"/>
          <w:b/>
          <w:bCs/>
          <w:color w:val="000000"/>
          <w:sz w:val="24"/>
          <w:szCs w:val="24"/>
        </w:rPr>
        <w:tab/>
      </w:r>
      <w:r>
        <w:rPr>
          <w:rFonts w:ascii="Times New Roman" w:hAnsi="Times New Roman" w:cs="Times New Roman"/>
          <w:b/>
          <w:bCs/>
          <w:color w:val="000000"/>
          <w:sz w:val="24"/>
          <w:szCs w:val="24"/>
        </w:rPr>
        <w:t xml:space="preserve">Profile of selected flour mill companies </w:t>
      </w:r>
    </w:p>
    <w:p w:rsidR="00B44B07" w:rsidRPr="00C57DAB" w:rsidRDefault="00B44B07" w:rsidP="00C22851">
      <w:pPr>
        <w:autoSpaceDE w:val="0"/>
        <w:autoSpaceDN w:val="0"/>
        <w:adjustRightInd w:val="0"/>
        <w:spacing w:after="0" w:line="408" w:lineRule="auto"/>
        <w:jc w:val="both"/>
        <w:rPr>
          <w:rFonts w:ascii="Times New Roman" w:hAnsi="Times New Roman" w:cs="Times New Roman"/>
          <w:b/>
          <w:bCs/>
          <w:color w:val="000000"/>
          <w:sz w:val="24"/>
          <w:szCs w:val="24"/>
        </w:rPr>
      </w:pPr>
      <w:r w:rsidRPr="00C57DAB">
        <w:rPr>
          <w:rFonts w:ascii="Times New Roman" w:hAnsi="Times New Roman" w:cs="Times New Roman"/>
          <w:b/>
          <w:bCs/>
          <w:color w:val="000000"/>
          <w:sz w:val="24"/>
          <w:szCs w:val="24"/>
        </w:rPr>
        <w:t xml:space="preserve">Four </w:t>
      </w:r>
      <w:r w:rsidR="00C57DAB" w:rsidRPr="00C57DAB">
        <w:rPr>
          <w:rFonts w:ascii="Times New Roman" w:hAnsi="Times New Roman" w:cs="Times New Roman"/>
          <w:b/>
          <w:bCs/>
          <w:color w:val="000000"/>
          <w:sz w:val="24"/>
          <w:szCs w:val="24"/>
        </w:rPr>
        <w:t xml:space="preserve">Mill </w:t>
      </w:r>
      <w:r w:rsidRPr="00C57DAB">
        <w:rPr>
          <w:rFonts w:ascii="Times New Roman" w:hAnsi="Times New Roman" w:cs="Times New Roman"/>
          <w:b/>
          <w:bCs/>
          <w:color w:val="000000"/>
          <w:sz w:val="24"/>
          <w:szCs w:val="24"/>
        </w:rPr>
        <w:t xml:space="preserve">of Nigeria PLC </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Flour mill of Nigeria (FMN) was incorporated as a private limited company on 29 September 1960 and was converted to a public liability company in November 1978. The company primarily engaged in flour milling, pasta production, manufacturing and marketing of laminated polypropylene sacks and flexible materials.</w:t>
      </w:r>
    </w:p>
    <w:p w:rsidR="00C57DAB" w:rsidRDefault="00C57DAB" w:rsidP="00C22851">
      <w:pPr>
        <w:autoSpaceDE w:val="0"/>
        <w:autoSpaceDN w:val="0"/>
        <w:adjustRightInd w:val="0"/>
        <w:spacing w:after="0" w:line="408" w:lineRule="auto"/>
        <w:jc w:val="both"/>
        <w:rPr>
          <w:rFonts w:ascii="Times New Roman" w:hAnsi="Times New Roman" w:cs="Times New Roman"/>
          <w:color w:val="000000"/>
          <w:sz w:val="24"/>
          <w:szCs w:val="24"/>
        </w:rPr>
      </w:pPr>
    </w:p>
    <w:p w:rsidR="00B44B07" w:rsidRPr="00C57DAB" w:rsidRDefault="00B44B07" w:rsidP="00C22851">
      <w:pPr>
        <w:autoSpaceDE w:val="0"/>
        <w:autoSpaceDN w:val="0"/>
        <w:adjustRightInd w:val="0"/>
        <w:spacing w:after="0" w:line="408" w:lineRule="auto"/>
        <w:jc w:val="both"/>
        <w:rPr>
          <w:rFonts w:ascii="Times New Roman" w:hAnsi="Times New Roman" w:cs="Times New Roman"/>
          <w:b/>
          <w:bCs/>
          <w:color w:val="000000"/>
          <w:sz w:val="24"/>
          <w:szCs w:val="24"/>
        </w:rPr>
      </w:pPr>
      <w:r w:rsidRPr="00C57DAB">
        <w:rPr>
          <w:rFonts w:ascii="Times New Roman" w:hAnsi="Times New Roman" w:cs="Times New Roman"/>
          <w:b/>
          <w:bCs/>
          <w:color w:val="000000"/>
          <w:sz w:val="24"/>
          <w:szCs w:val="24"/>
        </w:rPr>
        <w:t xml:space="preserve">Northern Nigeria </w:t>
      </w:r>
      <w:r w:rsidR="00C57DAB" w:rsidRPr="00C57DAB">
        <w:rPr>
          <w:rFonts w:ascii="Times New Roman" w:hAnsi="Times New Roman" w:cs="Times New Roman"/>
          <w:b/>
          <w:bCs/>
          <w:color w:val="000000"/>
          <w:sz w:val="24"/>
          <w:szCs w:val="24"/>
        </w:rPr>
        <w:t>Flour Mill Plc</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Northern Nigeria flour mill (NNFM) was incorporated as a private limited company the company on 29</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October, 1971. The company was converted to a public liability company in 1978 and quoted on the Nigeria stock exchange in the same year. The company’s main business is milling of wheat and other associated grains.</w:t>
      </w:r>
    </w:p>
    <w:p w:rsidR="00C57DAB" w:rsidRDefault="00C57DAB" w:rsidP="00C22851">
      <w:pPr>
        <w:autoSpaceDE w:val="0"/>
        <w:autoSpaceDN w:val="0"/>
        <w:adjustRightInd w:val="0"/>
        <w:spacing w:after="0" w:line="408" w:lineRule="auto"/>
        <w:jc w:val="both"/>
        <w:rPr>
          <w:rFonts w:ascii="Times New Roman" w:hAnsi="Times New Roman" w:cs="Times New Roman"/>
          <w:color w:val="000000"/>
          <w:sz w:val="24"/>
          <w:szCs w:val="24"/>
        </w:rPr>
      </w:pPr>
    </w:p>
    <w:p w:rsidR="00B44B07" w:rsidRPr="00C57DAB" w:rsidRDefault="00B44B07" w:rsidP="00C22851">
      <w:pPr>
        <w:autoSpaceDE w:val="0"/>
        <w:autoSpaceDN w:val="0"/>
        <w:adjustRightInd w:val="0"/>
        <w:spacing w:after="0" w:line="408" w:lineRule="auto"/>
        <w:jc w:val="both"/>
        <w:rPr>
          <w:rFonts w:ascii="Times New Roman" w:hAnsi="Times New Roman" w:cs="Times New Roman"/>
          <w:b/>
          <w:bCs/>
          <w:color w:val="000000"/>
          <w:sz w:val="24"/>
          <w:szCs w:val="24"/>
        </w:rPr>
      </w:pPr>
      <w:r w:rsidRPr="00C57DAB">
        <w:rPr>
          <w:rFonts w:ascii="Times New Roman" w:hAnsi="Times New Roman" w:cs="Times New Roman"/>
          <w:b/>
          <w:bCs/>
          <w:color w:val="000000"/>
          <w:sz w:val="24"/>
          <w:szCs w:val="24"/>
        </w:rPr>
        <w:t xml:space="preserve">Honeywell </w:t>
      </w:r>
      <w:r w:rsidR="00C57DAB" w:rsidRPr="00C57DAB">
        <w:rPr>
          <w:rFonts w:ascii="Times New Roman" w:hAnsi="Times New Roman" w:cs="Times New Roman"/>
          <w:b/>
          <w:bCs/>
          <w:color w:val="000000"/>
          <w:sz w:val="24"/>
          <w:szCs w:val="24"/>
        </w:rPr>
        <w:t>Flour Mill Plc</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Honeywell flour mill, the company started as gateway Honeywell flour mill limited on June 21</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1983 and was in incorporated for the production of flour and lives stock feeds from wheat, sorghum, maize and millet. A change in the company ownership structure led to a change in name to honey well flour mills limited in June 1995. Flowing a successful IPO and subsequent listing on the Nigeria stock exchange in 2009, the company became a publicly quoted company as Honeywell flour mills plc.</w:t>
      </w:r>
    </w:p>
    <w:p w:rsidR="00C57DAB" w:rsidRDefault="00C57DAB" w:rsidP="00C22851">
      <w:pPr>
        <w:autoSpaceDE w:val="0"/>
        <w:autoSpaceDN w:val="0"/>
        <w:adjustRightInd w:val="0"/>
        <w:spacing w:after="0" w:line="408" w:lineRule="auto"/>
        <w:jc w:val="both"/>
        <w:rPr>
          <w:rFonts w:ascii="Times New Roman" w:hAnsi="Times New Roman" w:cs="Times New Roman"/>
          <w:color w:val="000000"/>
          <w:sz w:val="24"/>
          <w:szCs w:val="24"/>
        </w:rPr>
      </w:pPr>
    </w:p>
    <w:p w:rsidR="00B44B07" w:rsidRPr="00C57DAB" w:rsidRDefault="00B44B07" w:rsidP="00C22851">
      <w:pPr>
        <w:autoSpaceDE w:val="0"/>
        <w:autoSpaceDN w:val="0"/>
        <w:adjustRightInd w:val="0"/>
        <w:spacing w:after="0" w:line="408" w:lineRule="auto"/>
        <w:jc w:val="both"/>
        <w:rPr>
          <w:rFonts w:ascii="Times New Roman" w:hAnsi="Times New Roman" w:cs="Times New Roman"/>
          <w:b/>
          <w:bCs/>
          <w:color w:val="000000"/>
          <w:sz w:val="24"/>
          <w:szCs w:val="24"/>
        </w:rPr>
      </w:pPr>
      <w:r w:rsidRPr="00C57DAB">
        <w:rPr>
          <w:rFonts w:ascii="Times New Roman" w:hAnsi="Times New Roman" w:cs="Times New Roman"/>
          <w:b/>
          <w:bCs/>
          <w:color w:val="000000"/>
          <w:sz w:val="24"/>
          <w:szCs w:val="24"/>
        </w:rPr>
        <w:t xml:space="preserve">Dangote Nigeria </w:t>
      </w:r>
      <w:r w:rsidR="00C57DAB" w:rsidRPr="00C57DAB">
        <w:rPr>
          <w:rFonts w:ascii="Times New Roman" w:hAnsi="Times New Roman" w:cs="Times New Roman"/>
          <w:b/>
          <w:bCs/>
          <w:color w:val="000000"/>
          <w:sz w:val="24"/>
          <w:szCs w:val="24"/>
        </w:rPr>
        <w:t>Flour Mill Plc</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Dagote </w:t>
      </w:r>
      <w:r w:rsidR="00C57DAB">
        <w:rPr>
          <w:rFonts w:ascii="Times New Roman" w:hAnsi="Times New Roman" w:cs="Times New Roman"/>
          <w:color w:val="000000"/>
          <w:sz w:val="24"/>
          <w:szCs w:val="24"/>
        </w:rPr>
        <w:t xml:space="preserve">Flour Mill </w:t>
      </w:r>
      <w:r>
        <w:rPr>
          <w:rFonts w:ascii="Times New Roman" w:hAnsi="Times New Roman" w:cs="Times New Roman"/>
          <w:color w:val="000000"/>
          <w:sz w:val="24"/>
          <w:szCs w:val="24"/>
        </w:rPr>
        <w:t xml:space="preserve">plc commence operation in 1999 as a of dangote industries limited. The company was incorporated i2004, and restructured in 2006. The assets, liability and undertaking of the erstwhile flour division of dangote industry limited were transferred for dangote flour mill plc. The company is in the business of flour milling, processing and marketing.      </w:t>
      </w:r>
    </w:p>
    <w:p w:rsidR="00C57DAB" w:rsidRDefault="00C57DAB" w:rsidP="00C22851">
      <w:pPr>
        <w:autoSpaceDE w:val="0"/>
        <w:autoSpaceDN w:val="0"/>
        <w:adjustRightInd w:val="0"/>
        <w:spacing w:after="0" w:line="408" w:lineRule="auto"/>
        <w:jc w:val="both"/>
        <w:rPr>
          <w:rFonts w:ascii="Times New Roman" w:hAnsi="Times New Roman" w:cs="Times New Roman"/>
          <w:color w:val="000000"/>
          <w:sz w:val="24"/>
          <w:szCs w:val="24"/>
        </w:rPr>
      </w:pPr>
    </w:p>
    <w:p w:rsidR="00B44B07" w:rsidRPr="00C57DAB" w:rsidRDefault="00B44B07" w:rsidP="00C22851">
      <w:pPr>
        <w:autoSpaceDE w:val="0"/>
        <w:autoSpaceDN w:val="0"/>
        <w:adjustRightInd w:val="0"/>
        <w:spacing w:after="0" w:line="408" w:lineRule="auto"/>
        <w:jc w:val="both"/>
        <w:rPr>
          <w:rFonts w:ascii="Times New Roman" w:hAnsi="Times New Roman" w:cs="Times New Roman"/>
          <w:b/>
          <w:bCs/>
          <w:color w:val="000000"/>
          <w:sz w:val="24"/>
          <w:szCs w:val="24"/>
        </w:rPr>
      </w:pPr>
      <w:r w:rsidRPr="00C57DAB">
        <w:rPr>
          <w:rFonts w:ascii="Times New Roman" w:hAnsi="Times New Roman" w:cs="Times New Roman"/>
          <w:b/>
          <w:bCs/>
          <w:color w:val="000000"/>
          <w:sz w:val="24"/>
          <w:szCs w:val="24"/>
        </w:rPr>
        <w:t xml:space="preserve">2.5.1   </w:t>
      </w:r>
      <w:r w:rsidR="00C57DAB">
        <w:rPr>
          <w:rFonts w:ascii="Times New Roman" w:hAnsi="Times New Roman" w:cs="Times New Roman"/>
          <w:b/>
          <w:bCs/>
          <w:color w:val="000000"/>
          <w:sz w:val="24"/>
          <w:szCs w:val="24"/>
        </w:rPr>
        <w:tab/>
      </w:r>
      <w:r w:rsidRPr="00C57DAB">
        <w:rPr>
          <w:rFonts w:ascii="Times New Roman" w:hAnsi="Times New Roman" w:cs="Times New Roman"/>
          <w:b/>
          <w:bCs/>
          <w:color w:val="000000"/>
          <w:sz w:val="24"/>
          <w:szCs w:val="24"/>
        </w:rPr>
        <w:t>Nigeria flour mills CSR policy and strategies</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The Nigeria flour mills CSR initiatives focuses on four key areas of fundamental important to their business operation;</w:t>
      </w:r>
    </w:p>
    <w:p w:rsidR="00B44B07" w:rsidRDefault="00B44B07" w:rsidP="00C22851">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sidR="00C57DAB">
        <w:rPr>
          <w:rFonts w:ascii="Times New Roman" w:hAnsi="Times New Roman" w:cs="Times New Roman"/>
          <w:color w:val="000000"/>
          <w:sz w:val="24"/>
          <w:szCs w:val="24"/>
        </w:rPr>
        <w:tab/>
      </w:r>
      <w:r>
        <w:rPr>
          <w:rFonts w:ascii="Times New Roman" w:hAnsi="Times New Roman" w:cs="Times New Roman"/>
          <w:color w:val="000000"/>
          <w:sz w:val="24"/>
          <w:szCs w:val="24"/>
        </w:rPr>
        <w:t>Education, research, and skill development</w:t>
      </w:r>
    </w:p>
    <w:p w:rsidR="00B44B07" w:rsidRDefault="00B44B07" w:rsidP="00C22851">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 </w:t>
      </w:r>
      <w:r w:rsidR="00C57DAB">
        <w:rPr>
          <w:rFonts w:ascii="Times New Roman" w:hAnsi="Times New Roman" w:cs="Times New Roman"/>
          <w:color w:val="000000"/>
          <w:sz w:val="24"/>
          <w:szCs w:val="24"/>
        </w:rPr>
        <w:tab/>
      </w:r>
      <w:r>
        <w:rPr>
          <w:rFonts w:ascii="Times New Roman" w:hAnsi="Times New Roman" w:cs="Times New Roman"/>
          <w:color w:val="000000"/>
          <w:sz w:val="24"/>
          <w:szCs w:val="24"/>
        </w:rPr>
        <w:t>Environmental sustainability</w:t>
      </w:r>
    </w:p>
    <w:p w:rsidR="00B44B07" w:rsidRDefault="00B44B07" w:rsidP="00C22851">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 </w:t>
      </w:r>
      <w:r w:rsidR="00C57DAB">
        <w:rPr>
          <w:rFonts w:ascii="Times New Roman" w:hAnsi="Times New Roman" w:cs="Times New Roman"/>
          <w:color w:val="000000"/>
          <w:sz w:val="24"/>
          <w:szCs w:val="24"/>
        </w:rPr>
        <w:tab/>
      </w:r>
      <w:r>
        <w:rPr>
          <w:rFonts w:ascii="Times New Roman" w:hAnsi="Times New Roman" w:cs="Times New Roman"/>
          <w:color w:val="000000"/>
          <w:sz w:val="24"/>
          <w:szCs w:val="24"/>
        </w:rPr>
        <w:t>Health, safety, welfare and security.</w:t>
      </w:r>
    </w:p>
    <w:p w:rsidR="00B44B07" w:rsidRDefault="00B44B07" w:rsidP="00C22851">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 </w:t>
      </w:r>
      <w:r w:rsidR="00C57DAB">
        <w:rPr>
          <w:rFonts w:ascii="Times New Roman" w:hAnsi="Times New Roman" w:cs="Times New Roman"/>
          <w:color w:val="000000"/>
          <w:sz w:val="24"/>
          <w:szCs w:val="24"/>
        </w:rPr>
        <w:tab/>
      </w:r>
      <w:r>
        <w:rPr>
          <w:rFonts w:ascii="Times New Roman" w:hAnsi="Times New Roman" w:cs="Times New Roman"/>
          <w:color w:val="000000"/>
          <w:sz w:val="24"/>
          <w:szCs w:val="24"/>
        </w:rPr>
        <w:t xml:space="preserve">Infrastructural development </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For example, flour mill of Nigeria has spent #2million in 2010 to give its area of operation, Apapa, Lagos state, a facelift. According to the group managing director of the company, the money is being used to renovate united Christian primary school, Apapa, post office, and beautification of the median from leventis motors axis to wharf bus stop. In education, the companies not only spent a huge amount of money on capacity building of its staff but also offer scholarship to children of its staff and deserving Nigerians. In health, the firms donated various medical equipment, fire extinguisher and 15kva generator set complete with battery and first aids box to the local government owned primary healthcare center across the country.</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Indeed, Nigeria flour mill companies aimed to engage with its environment in a commercially meaningful ethical and sustainable manner, through a focused involvement in certain programmed and initiative to create shared value, both for the company and its stakeholders. </w:t>
      </w:r>
    </w:p>
    <w:p w:rsidR="00C57DAB" w:rsidRDefault="00C57DAB" w:rsidP="00C22851">
      <w:pPr>
        <w:autoSpaceDE w:val="0"/>
        <w:autoSpaceDN w:val="0"/>
        <w:adjustRightInd w:val="0"/>
        <w:spacing w:after="0" w:line="408" w:lineRule="auto"/>
        <w:jc w:val="both"/>
        <w:rPr>
          <w:rFonts w:ascii="Times New Roman" w:hAnsi="Times New Roman" w:cs="Times New Roman"/>
          <w:b/>
          <w:bCs/>
          <w:color w:val="000000"/>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2.6</w:t>
      </w:r>
      <w:r w:rsidR="00C57DAB">
        <w:rPr>
          <w:rFonts w:ascii="Times New Roman" w:hAnsi="Times New Roman" w:cs="Times New Roman"/>
          <w:b/>
          <w:bCs/>
          <w:color w:val="000000"/>
          <w:sz w:val="24"/>
          <w:szCs w:val="24"/>
        </w:rPr>
        <w:tab/>
      </w:r>
      <w:r>
        <w:rPr>
          <w:rFonts w:ascii="Times New Roman" w:hAnsi="Times New Roman" w:cs="Times New Roman"/>
          <w:b/>
          <w:bCs/>
          <w:color w:val="000000"/>
          <w:sz w:val="24"/>
          <w:szCs w:val="24"/>
        </w:rPr>
        <w:t>Review of Nigeria business environment</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A recent review of Nigeria, investment climate reveals a nation, which is Africa’s most populous (with estimated population of 140 million), and which offers investors low cost of labor, abundant natural resources, and potentially the largest domestic market in sub-Sahara Africa. Unfortunately, much of that market potential is unrealized. Impediments to investment includes inadequate infrastructure, corruption, inefficient system of registering properties, and inconsistence regulatory environment, restrictive trade police, and slow ineffective courts and dispute resolution mechanism. Tamuno (1995) wrote extensively on this view and identified as prominent factors early socialization and language differences as contributory factors. Alemita (1988) and okereke(1995) also blend the problem of injustice administration on the perception of the Nigeriaon police force by even the police officer, and the community they serve. In recent country risk assessment, Nigeria was rated ‘D’ which implies a high risk political and economic situation and an often very difficult business environment. The following are the recognizable strength, weakness, opportunity and threats of the Nigeria business environment</w:t>
      </w:r>
    </w:p>
    <w:p w:rsidR="00B44B07" w:rsidRDefault="00B44B07" w:rsidP="00C22851">
      <w:pPr>
        <w:autoSpaceDE w:val="0"/>
        <w:autoSpaceDN w:val="0"/>
        <w:adjustRightInd w:val="0"/>
        <w:spacing w:after="0" w:line="408" w:lineRule="auto"/>
        <w:jc w:val="both"/>
        <w:rPr>
          <w:rFonts w:ascii="Times New Roman" w:hAnsi="Times New Roman" w:cs="Times New Roman"/>
          <w:color w:val="000000"/>
          <w:sz w:val="24"/>
          <w:szCs w:val="24"/>
        </w:rPr>
      </w:pPr>
    </w:p>
    <w:p w:rsidR="00B44B07" w:rsidRPr="00C57DAB" w:rsidRDefault="00B44B07" w:rsidP="00C22851">
      <w:pPr>
        <w:autoSpaceDE w:val="0"/>
        <w:autoSpaceDN w:val="0"/>
        <w:adjustRightInd w:val="0"/>
        <w:spacing w:after="0" w:line="408" w:lineRule="auto"/>
        <w:jc w:val="both"/>
        <w:rPr>
          <w:rFonts w:ascii="Times New Roman" w:hAnsi="Times New Roman" w:cs="Times New Roman"/>
          <w:b/>
          <w:bCs/>
          <w:color w:val="000000"/>
          <w:sz w:val="24"/>
          <w:szCs w:val="24"/>
        </w:rPr>
      </w:pPr>
      <w:r w:rsidRPr="00C57DAB">
        <w:rPr>
          <w:rFonts w:ascii="Times New Roman" w:hAnsi="Times New Roman" w:cs="Times New Roman"/>
          <w:b/>
          <w:bCs/>
          <w:color w:val="000000"/>
          <w:sz w:val="24"/>
          <w:szCs w:val="24"/>
        </w:rPr>
        <w:t>Strength/opportunity</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Represent half of Africa in population terms; Nigeria has lay major role at both the region and continental levels. Nigeria’s contributions to the United Nations and global governance in peace and security have been most prominent at the continental level. Nigeria significant economic potentials, especially in oil and gas, non-oil resource and human resources (which can be a source of skills to power growth and development, as well as provide potentially large market that can support rapid growth). New class of emerging economics is waiting to be discovered such as Brazil, Russia, India and China. There is no reason why Nigeria cannot lead a new class of emerging economics.</w:t>
      </w:r>
    </w:p>
    <w:p w:rsidR="00C57DAB" w:rsidRDefault="00C57DAB" w:rsidP="00C22851">
      <w:pPr>
        <w:autoSpaceDE w:val="0"/>
        <w:autoSpaceDN w:val="0"/>
        <w:adjustRightInd w:val="0"/>
        <w:spacing w:after="0" w:line="408" w:lineRule="auto"/>
        <w:jc w:val="both"/>
        <w:rPr>
          <w:rFonts w:ascii="Times New Roman" w:hAnsi="Times New Roman" w:cs="Times New Roman"/>
          <w:color w:val="000000"/>
          <w:sz w:val="24"/>
          <w:szCs w:val="24"/>
        </w:rPr>
      </w:pPr>
    </w:p>
    <w:p w:rsidR="00B44B07" w:rsidRPr="00C57DAB" w:rsidRDefault="00B44B07" w:rsidP="00C22851">
      <w:pPr>
        <w:autoSpaceDE w:val="0"/>
        <w:autoSpaceDN w:val="0"/>
        <w:adjustRightInd w:val="0"/>
        <w:spacing w:after="0" w:line="408" w:lineRule="auto"/>
        <w:jc w:val="both"/>
        <w:rPr>
          <w:rFonts w:ascii="Times New Roman" w:hAnsi="Times New Roman" w:cs="Times New Roman"/>
          <w:b/>
          <w:bCs/>
          <w:color w:val="000000"/>
          <w:sz w:val="24"/>
          <w:szCs w:val="24"/>
        </w:rPr>
      </w:pPr>
      <w:r w:rsidRPr="00C57DAB">
        <w:rPr>
          <w:rFonts w:ascii="Times New Roman" w:hAnsi="Times New Roman" w:cs="Times New Roman"/>
          <w:b/>
          <w:bCs/>
          <w:color w:val="000000"/>
          <w:sz w:val="24"/>
          <w:szCs w:val="24"/>
        </w:rPr>
        <w:lastRenderedPageBreak/>
        <w:t xml:space="preserve">Weakness/threats </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Social, ethnics and religions tension have constitute a major deterrent to investors, who are face with a business environment which is not favorable. Aluko (2001) write that ‘it must be stated that many of ethnic, religion and regional tension discussed about Nigeria occurred in many other places around the globe.However, only when Nigeria is a strong and united country will it not left behind or even buried under the present wave of globalization, and only then will the country take it rightful place as a champion of Africa and black race’.Maintain strong competitiveness of the non-oil sector in the face of large external inflow from oil exports. Real exchange rate appreciation and macro-economic instability linked to oil price cycle.  </w:t>
      </w:r>
    </w:p>
    <w:p w:rsidR="00C57DAB" w:rsidRDefault="00C57DAB" w:rsidP="00C22851">
      <w:pPr>
        <w:autoSpaceDE w:val="0"/>
        <w:autoSpaceDN w:val="0"/>
        <w:adjustRightInd w:val="0"/>
        <w:spacing w:after="0" w:line="408" w:lineRule="auto"/>
        <w:jc w:val="both"/>
        <w:rPr>
          <w:rFonts w:ascii="Times New Roman" w:hAnsi="Times New Roman" w:cs="Times New Roman"/>
          <w:b/>
          <w:bCs/>
          <w:sz w:val="24"/>
          <w:szCs w:val="24"/>
        </w:rPr>
      </w:pPr>
    </w:p>
    <w:p w:rsidR="00C22851" w:rsidRDefault="00C22851" w:rsidP="00C22851">
      <w:pPr>
        <w:autoSpaceDE w:val="0"/>
        <w:autoSpaceDN w:val="0"/>
        <w:adjustRightInd w:val="0"/>
        <w:spacing w:after="0" w:line="408" w:lineRule="auto"/>
        <w:jc w:val="both"/>
        <w:rPr>
          <w:rFonts w:ascii="Times New Roman" w:hAnsi="Times New Roman" w:cs="Times New Roman"/>
          <w:b/>
          <w:bCs/>
          <w:sz w:val="24"/>
          <w:szCs w:val="24"/>
        </w:rPr>
      </w:pPr>
    </w:p>
    <w:p w:rsidR="00C22851" w:rsidRDefault="00C22851" w:rsidP="00C22851">
      <w:pPr>
        <w:autoSpaceDE w:val="0"/>
        <w:autoSpaceDN w:val="0"/>
        <w:adjustRightInd w:val="0"/>
        <w:spacing w:after="0" w:line="408" w:lineRule="auto"/>
        <w:jc w:val="both"/>
        <w:rPr>
          <w:rFonts w:ascii="Times New Roman" w:hAnsi="Times New Roman" w:cs="Times New Roman"/>
          <w:b/>
          <w:bCs/>
          <w:sz w:val="24"/>
          <w:szCs w:val="24"/>
        </w:rPr>
      </w:pPr>
    </w:p>
    <w:p w:rsidR="00C22851" w:rsidRDefault="00C22851" w:rsidP="00C22851">
      <w:pPr>
        <w:autoSpaceDE w:val="0"/>
        <w:autoSpaceDN w:val="0"/>
        <w:adjustRightInd w:val="0"/>
        <w:spacing w:after="0" w:line="408" w:lineRule="auto"/>
        <w:jc w:val="both"/>
        <w:rPr>
          <w:rFonts w:ascii="Times New Roman" w:hAnsi="Times New Roman" w:cs="Times New Roman"/>
          <w:b/>
          <w:bCs/>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b/>
          <w:bCs/>
          <w:sz w:val="24"/>
          <w:szCs w:val="24"/>
        </w:rPr>
        <w:t xml:space="preserve">2.7    </w:t>
      </w:r>
      <w:r w:rsidR="00C57DAB">
        <w:rPr>
          <w:rFonts w:ascii="Times New Roman" w:hAnsi="Times New Roman" w:cs="Times New Roman"/>
          <w:b/>
          <w:bCs/>
          <w:sz w:val="24"/>
          <w:szCs w:val="24"/>
        </w:rPr>
        <w:tab/>
      </w:r>
      <w:r>
        <w:rPr>
          <w:rFonts w:ascii="Times New Roman" w:hAnsi="Times New Roman" w:cs="Times New Roman"/>
          <w:b/>
          <w:bCs/>
          <w:sz w:val="24"/>
          <w:szCs w:val="24"/>
        </w:rPr>
        <w:t>Theoretical Framework</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000000"/>
          <w:sz w:val="24"/>
          <w:szCs w:val="24"/>
        </w:rPr>
      </w:pPr>
      <w:r>
        <w:rPr>
          <w:rFonts w:ascii="Times New Roman" w:hAnsi="Times New Roman" w:cs="Times New Roman"/>
          <w:sz w:val="24"/>
          <w:szCs w:val="24"/>
        </w:rPr>
        <w:t xml:space="preserve">Since there is a great heterogeneity of theories and approaches of CSR, discussion in this study is based on a comprehensive analysis by Secchi (2007). Secchi has come up with a group of theories based on a criterion role the theories confer to the corporation and society. The theories are as follows: </w:t>
      </w: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C57DAB">
        <w:rPr>
          <w:rFonts w:ascii="Times New Roman" w:hAnsi="Times New Roman" w:cs="Times New Roman"/>
          <w:sz w:val="24"/>
          <w:szCs w:val="24"/>
        </w:rPr>
        <w:tab/>
      </w:r>
      <w:r>
        <w:rPr>
          <w:rFonts w:ascii="Times New Roman" w:hAnsi="Times New Roman" w:cs="Times New Roman"/>
          <w:sz w:val="24"/>
          <w:szCs w:val="24"/>
        </w:rPr>
        <w:t>The utilitarian theory,</w:t>
      </w: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00C57DAB">
        <w:rPr>
          <w:rFonts w:ascii="Times New Roman" w:hAnsi="Times New Roman" w:cs="Times New Roman"/>
          <w:sz w:val="24"/>
          <w:szCs w:val="24"/>
        </w:rPr>
        <w:tab/>
      </w:r>
      <w:r>
        <w:rPr>
          <w:rFonts w:ascii="Times New Roman" w:hAnsi="Times New Roman" w:cs="Times New Roman"/>
          <w:sz w:val="24"/>
          <w:szCs w:val="24"/>
        </w:rPr>
        <w:t>The managerial theory,</w:t>
      </w: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c) </w:t>
      </w:r>
      <w:r w:rsidR="00C57DAB">
        <w:rPr>
          <w:rFonts w:ascii="Times New Roman" w:hAnsi="Times New Roman" w:cs="Times New Roman"/>
          <w:sz w:val="24"/>
          <w:szCs w:val="24"/>
        </w:rPr>
        <w:tab/>
      </w:r>
      <w:r>
        <w:rPr>
          <w:rFonts w:ascii="Times New Roman" w:hAnsi="Times New Roman" w:cs="Times New Roman"/>
          <w:sz w:val="24"/>
          <w:szCs w:val="24"/>
        </w:rPr>
        <w:t xml:space="preserve">The relational theory. Thus, this could be discussed as </w:t>
      </w:r>
    </w:p>
    <w:p w:rsidR="00C57DAB" w:rsidRDefault="00C57DAB" w:rsidP="00C22851">
      <w:pPr>
        <w:autoSpaceDE w:val="0"/>
        <w:autoSpaceDN w:val="0"/>
        <w:adjustRightInd w:val="0"/>
        <w:spacing w:after="0" w:line="408" w:lineRule="auto"/>
        <w:jc w:val="both"/>
        <w:rPr>
          <w:rFonts w:ascii="Times New Roman" w:hAnsi="Times New Roman" w:cs="Times New Roman"/>
          <w:b/>
          <w:bCs/>
          <w:i/>
          <w:iCs/>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b/>
          <w:bCs/>
          <w:i/>
          <w:iCs/>
          <w:sz w:val="24"/>
          <w:szCs w:val="24"/>
        </w:rPr>
        <w:t xml:space="preserve">a)   </w:t>
      </w:r>
      <w:r w:rsidR="00C57DAB">
        <w:rPr>
          <w:rFonts w:ascii="Times New Roman" w:hAnsi="Times New Roman" w:cs="Times New Roman"/>
          <w:b/>
          <w:bCs/>
          <w:i/>
          <w:iCs/>
          <w:sz w:val="24"/>
          <w:szCs w:val="24"/>
        </w:rPr>
        <w:tab/>
      </w:r>
      <w:r>
        <w:rPr>
          <w:rFonts w:ascii="Times New Roman" w:hAnsi="Times New Roman" w:cs="Times New Roman"/>
          <w:b/>
          <w:bCs/>
          <w:i/>
          <w:iCs/>
          <w:sz w:val="24"/>
          <w:szCs w:val="24"/>
        </w:rPr>
        <w:t>Utilitarian Theories</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utilitarian theories the corporation serves as a part of the economic system in which the function is mechanical i.e. traditionally known as in profit maximization. CSR ideas emerged after a realization that there is a need for an economics of responsibility, embedded in the </w:t>
      </w:r>
      <w:r>
        <w:rPr>
          <w:rFonts w:ascii="Times New Roman" w:hAnsi="Times New Roman" w:cs="Times New Roman"/>
          <w:sz w:val="24"/>
          <w:szCs w:val="24"/>
        </w:rPr>
        <w:lastRenderedPageBreak/>
        <w:t xml:space="preserve">business ethics of a corporation. Hence, the old idea of </w:t>
      </w:r>
      <w:r>
        <w:rPr>
          <w:rFonts w:ascii="Times New Roman" w:hAnsi="Times New Roman" w:cs="Times New Roman"/>
          <w:i/>
          <w:iCs/>
          <w:sz w:val="24"/>
          <w:szCs w:val="24"/>
        </w:rPr>
        <w:t xml:space="preserve">laissez faire </w:t>
      </w:r>
      <w:r>
        <w:rPr>
          <w:rFonts w:ascii="Times New Roman" w:hAnsi="Times New Roman" w:cs="Times New Roman"/>
          <w:sz w:val="24"/>
          <w:szCs w:val="24"/>
        </w:rPr>
        <w:t>business gives way to determinism, individualism to public control, and personal responsibility to social responsibility. Utilitarian could also be taken synonymously with instrumental theories (Garriga and Mele, 2004; Jensen, 2002) in which the corporation is seen as only an instrument for wealth creation, and its social activities are only a means to achieve economic results.</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Instrumental theories were also based on the basic idea about investment in a local community in which Friedman (1970) strongly stated earlier that the investment will be in long run provide resources and amenities for the livelihoods of the people in the community.</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The utilitarian theories are related to strategies for competitive advantages. The proponents of these theories are, for instance, Porter and Cramer (2002) and Litz (1996) who viewed the theories as bases for formulating strategies in the dynamic usage of natural resources of the corporation for competitive advantages. The strategies also include altruistic activities that are socially recognized as instruments for marketing.</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Secchi (2007) further divides the utilitarian group of theories into two, namely, the social costs of the corporation and the idea of functionalism. The social cost theory has a basis for CSR in which the socio-economic system in the community is said to be influenced by the corporate non-economic forces. It is also called instrumental theory (Garriga and Mele, 2004) because it is understood that CSR as a mere means to the end, which leads to the fact that the social power of the corporation is materialized specifically in its political relationship with society. The utilitarian theory, therefore, suggests that the corporation needs to accept social duties and rights to participate in social co-operation. Within it, the functionalist theory, specifically advocates that the corporation is seen as a part of the economic system, which one of the goals is profit making. The firm is viewed as an investment, and investment should be profitable to the investors and stakeholders. Putting it from the internal point of view of the firm, CSR was coined as a defense tactic of the industrial system against external attacks because there needs a balance between profit making and social objectives for the economic system’s equilibrium.</w:t>
      </w:r>
    </w:p>
    <w:p w:rsidR="00C57DAB" w:rsidRDefault="00C57DAB" w:rsidP="00C22851">
      <w:pPr>
        <w:autoSpaceDE w:val="0"/>
        <w:autoSpaceDN w:val="0"/>
        <w:adjustRightInd w:val="0"/>
        <w:spacing w:after="0" w:line="408" w:lineRule="auto"/>
        <w:jc w:val="both"/>
        <w:rPr>
          <w:rFonts w:ascii="Times New Roman" w:hAnsi="Times New Roman" w:cs="Times New Roman"/>
          <w:b/>
          <w:bCs/>
          <w:i/>
          <w:iCs/>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b)    </w:t>
      </w:r>
      <w:r w:rsidR="00C57DAB">
        <w:rPr>
          <w:rFonts w:ascii="Times New Roman" w:hAnsi="Times New Roman" w:cs="Times New Roman"/>
          <w:b/>
          <w:bCs/>
          <w:i/>
          <w:iCs/>
          <w:sz w:val="24"/>
          <w:szCs w:val="24"/>
        </w:rPr>
        <w:tab/>
      </w:r>
      <w:r>
        <w:rPr>
          <w:rFonts w:ascii="Times New Roman" w:hAnsi="Times New Roman" w:cs="Times New Roman"/>
          <w:b/>
          <w:bCs/>
          <w:i/>
          <w:iCs/>
          <w:sz w:val="24"/>
          <w:szCs w:val="24"/>
        </w:rPr>
        <w:t>Managerial Theory</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Secchi’s (2007) analysis further stresses the logic of managerial theory that emphasizes corporate management in which CSR are approached by the corporation internally. This makes the difference between utilitarian and managerial perspective of CSR. This suggests that everything external to the corporation is taken into account for organizational decision making. Managerial theories have been divided into three sub-groups: 1) Corporate social performance (CSP); 2) Social accountability, auditing and reporting (SAAR), and 3) Social responsibility for multinationals.</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CSP aims to measure the contribution the social variable makes to economic performance. Thus, the problem is that of managing the firm considering social and economic factors together. It is based on the assumption that business depends on society for its growth and sustainability. CS P of a corporation is further sub-divided into five dimensions in order to keep detailed information about its existence in the corporate chains: 1) Centrality measures the way CSR is compatible with mission of the core goals; 2) specificity gauges the advantages CSR brings to the corporation; 3) pro-activity that measures the degree of reaction to external demands; 4) voluntarism that accounts for the discretion the firm in implementing CSR; and 5) visibility refers to the way the responsible behavior is perceived by community of stakeholders. Secchi (2005) further elaborates that SAAR are strictly related to social performance contributions through accounting, auditing and reporting procedures. SAAR means a firm accounts for its action. By doing so, firms are controlled and regulated in their actions towards performing their core business while responsible to the relevant community.</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The three activities are separate managerial activities but they are interrelated to each other. All these contribute to the socially responsible behavior of a firm, which finally measures the corporations’ activities that have social impact. Firms are involved in SAAR activities for communication needs, to have better stakeholder involvement and for discloser concerns</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CSR for multinationals (MNCs) grows as a result of global competitions and challenges they faced. This aspect of managerial theory comes into being as a result of the responsibility the managers have to shoulder by defining useful tools about the CSR for the MNCs to survive in foreign countries.</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Donaldson (1989, cited in Secchi, 2007: 359) refers to the MNCs as ‘moral agents’, analyzed on the basis of the moral values when managers make decision in the firms, going beyond profit maximization. The logic of CSR for MNCs is also derived from the fact that when cultural clashes become relevant due to events such as protests, demonstrations, boycotts, strikes and other negative actions against the employers.</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The answer to these actions is the formulation of ‘code of conduct’ that should be adopted by MNCs. The success of this initiative, however, depends on client expectation and corporate reputation; the level of trust, acceptance, and cooperation shown by the stakeholders and community of workers.</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Managerial theories are also strongly related to political theories based on the conceptualization by Garriga&amp;Mele (2004) and supported by Wood &amp;Lodgson (2002) as well as Detomasi (2008). They stress that social responsibilities of businesses arise from the amount of social power a corporation has and the corporation is understood as being like a citizen with certain involvement in the community. </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The origin of the political power of CSR is based on Davis’s (1960) idea who proposed that business is a social institution and it must use power responsibly. It is also noted that causes that generate the social power are from inside and outside of the corporation. Detomasi (2008) further argued that strategies firms choose to adopt CSR initiatives are conditioned in part upon the domestic political institutional structures present in the home market. Political theories further demonstrate the links between economic globalization pressures felt by the companies, domestic political structures where the companies are in, and CSR policies.</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Managerial theories are also covered under the integrative theories of Garriga&amp;Mele (2004), namely, the entities of public responsibility and corporate social performance. Public responsibility stresses on law and public policy process that are taken as a reference for social performance, while corporate social performance searches for social legitimacy relevant to social issues.</w:t>
      </w:r>
    </w:p>
    <w:p w:rsidR="00C57DAB" w:rsidRDefault="00C57DAB" w:rsidP="00C22851">
      <w:pPr>
        <w:autoSpaceDE w:val="0"/>
        <w:autoSpaceDN w:val="0"/>
        <w:adjustRightInd w:val="0"/>
        <w:spacing w:after="0" w:line="408" w:lineRule="auto"/>
        <w:jc w:val="both"/>
        <w:rPr>
          <w:rFonts w:ascii="Times New Roman" w:hAnsi="Times New Roman" w:cs="Times New Roman"/>
          <w:b/>
          <w:bCs/>
          <w:i/>
          <w:iCs/>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c)   </w:t>
      </w:r>
      <w:r w:rsidR="00C57DAB">
        <w:rPr>
          <w:rFonts w:ascii="Times New Roman" w:hAnsi="Times New Roman" w:cs="Times New Roman"/>
          <w:b/>
          <w:bCs/>
          <w:i/>
          <w:iCs/>
          <w:sz w:val="24"/>
          <w:szCs w:val="24"/>
        </w:rPr>
        <w:tab/>
      </w:r>
      <w:r>
        <w:rPr>
          <w:rFonts w:ascii="Times New Roman" w:hAnsi="Times New Roman" w:cs="Times New Roman"/>
          <w:b/>
          <w:bCs/>
          <w:i/>
          <w:iCs/>
          <w:sz w:val="24"/>
          <w:szCs w:val="24"/>
        </w:rPr>
        <w:t>Relational Theory</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Relational theory has a root from the complex firm-environment relationships. As the term implies, interrelations between the two are the focus of the analysis of CSR. Relational theory is further divided into four sub-groups of theories: 1) business and society; 2) stakeholder approach; 3) corporate citizenship; and 4) social contract.</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Business and society is proposed to mean ‘business in society’ in which CSR emerges as a matter of interaction between the two entities. One of the measures of CSR is the development of economic values in a society. Another is a person’s obligation to consider the effects of his decision and action on the whole social system. Stated in the form of a general relationship, social responsibilities of businessmen need to reflect the amount of social power they have.</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Stakeholder approach has been developed as one of the strategies in improving the management of the firm. It is also said as a way to understand reality in order to manage the socially responsible behavior of a firm. The stakeholder approach further considers a firm as an interconnected web of different interests where self-creation and community creation happen interdependently; and individuals behave altruistically.</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Based on Garriga&amp;Mele’s (2004) analysis, stakeholder approach is both within the integrative and ethical theories, where the former emphasizes the integration of social demands and the latter focuses on the right thing to achieve a good society. These are supported by the work of Mitchel, Agle&amp; Wood (1997) where balances among the interests of the stakeholders </w:t>
      </w:r>
      <w:r>
        <w:rPr>
          <w:rFonts w:ascii="Times New Roman" w:hAnsi="Times New Roman" w:cs="Times New Roman"/>
          <w:sz w:val="24"/>
          <w:szCs w:val="24"/>
        </w:rPr>
        <w:lastRenderedPageBreak/>
        <w:t>are the emphases; and the work of Freeman and Phillips (2002) that considers fiduciary duties towards stakeholders of the firms, respectively.</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Corporate citizenship of the relational theory strongly depends on the type of community to which it is referred. It is a path that a corporation may take to behave responsibly. Fundamentally, it is about the relationship that a corporation develops with its stakeholders, and therefore, the former has to continuously search for engagement and commitment with the latter. Corporate citizenship based on Garriga and Mele’s (2004) analysis is an approach used under the integrative and political theories and this is supported by Swanson (1995) and Wood and Lodgson (2002), respectively.</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Finally, the social contract theory of the relational group refers to the fundamental issue of justifying the morality of economic activities in order to have a theoretical basis for analyzing social relations between corporation and society. Hence, CSR is derived from the moral legitimacy the corporation achieves in the society and understanding about CSR is contained in the justification of social actions that legitimize the behavior of the corporation. Garriga and Mele’s (2004) analysis puts the social contract theory under the group of ethical theories, the approaches of which include universal rights (UN Global Compact, 1999) and sustainable development (WCED, 1987; Korhonen, 2003). Both approaches of CSR are based on human rights, labor rights and respect for the environment.</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Conclusions about the three groups of CSR theories are as follows: Utilitarian is simplified in its views by the individuals and mechanical from the corporation perspective, managerial is very organizational oriented and measurable; and relational is values-based as well as interdependent between the corporation and society. The allocation of responsibility according to the order of the theories is economic system, the corporation and the type of the relationship. It is believed that the costs of CSR are likely to enhance the overall interest of the firm and all stakeholders. The theory is built on the ground that firms that attempt to avoid the cost of CSR </w:t>
      </w:r>
      <w:r>
        <w:rPr>
          <w:rFonts w:ascii="Times New Roman" w:hAnsi="Times New Roman" w:cs="Times New Roman"/>
          <w:sz w:val="24"/>
          <w:szCs w:val="24"/>
        </w:rPr>
        <w:lastRenderedPageBreak/>
        <w:t>will experience brand reputation, customer patronage and loyalty among other indicators of growth.</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Conclusively, the managerial theory generates interests in the sense that CSR considers socio-economic variables to measure firms’ socio-economic performance, as well as to link social responsibility ideology to business strategy. Thus, the managerial theory constitutes the theoretical base of the study as its views CSR from corporate social performance perspective and measures its effect on business growth. It explains the effect of skills development, infrastructural development, environmental sustainability etc on increase in sales, profitability, assets and firm growth. This study has capitalized on this theory to put forward a satisfactory explanation on the need to incorporate CSR strategy in business operation in order to attained meaningful growth.     </w:t>
      </w:r>
    </w:p>
    <w:p w:rsidR="00C57DAB" w:rsidRDefault="00C57DAB" w:rsidP="00C22851">
      <w:pPr>
        <w:autoSpaceDE w:val="0"/>
        <w:autoSpaceDN w:val="0"/>
        <w:adjustRightInd w:val="0"/>
        <w:spacing w:after="0" w:line="408" w:lineRule="auto"/>
        <w:jc w:val="both"/>
        <w:rPr>
          <w:rFonts w:ascii="Times New Roman" w:hAnsi="Times New Roman" w:cs="Times New Roman"/>
          <w:b/>
          <w:bCs/>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2.8    </w:t>
      </w:r>
      <w:r w:rsidR="00C57DAB">
        <w:rPr>
          <w:rFonts w:ascii="Times New Roman" w:hAnsi="Times New Roman" w:cs="Times New Roman"/>
          <w:b/>
          <w:bCs/>
          <w:sz w:val="24"/>
          <w:szCs w:val="24"/>
        </w:rPr>
        <w:tab/>
      </w:r>
      <w:r>
        <w:rPr>
          <w:rFonts w:ascii="Times New Roman" w:hAnsi="Times New Roman" w:cs="Times New Roman"/>
          <w:b/>
          <w:bCs/>
          <w:sz w:val="24"/>
          <w:szCs w:val="24"/>
        </w:rPr>
        <w:t xml:space="preserve">Empirical Framework </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000000"/>
          <w:sz w:val="24"/>
          <w:szCs w:val="24"/>
        </w:rPr>
      </w:pPr>
      <w:r>
        <w:rPr>
          <w:rFonts w:ascii="Times New Roman" w:hAnsi="Times New Roman" w:cs="Times New Roman"/>
          <w:sz w:val="24"/>
          <w:szCs w:val="24"/>
        </w:rPr>
        <w:t xml:space="preserve">It is important for this research work to examine some of the empirical studies that have been carried out in this field of study. Although few studies have been carried out on the topic, </w:t>
      </w:r>
      <w:r>
        <w:rPr>
          <w:rFonts w:ascii="Times New Roman" w:hAnsi="Times New Roman" w:cs="Times New Roman"/>
          <w:color w:val="000000"/>
          <w:sz w:val="24"/>
          <w:szCs w:val="24"/>
        </w:rPr>
        <w:t xml:space="preserve">Carlsson&amp;Akerstom (2008) conducted a study title ‘corporate social responsibility practice and firm’s financial performance of selected manufacturing companies in Lagos state, Nigeria. The study employed a comparatives analysis to gauge the changes to performance and CSR practice between the years 2000 to 2007 by manufacturing companies. The companies are selected based on the availability of data from the Nigeria stock exchange in term of activities and existence of report on CSR in the company’s annual reports. The study use descriptive statistic and econometrics method of analysis using E-VIEWS 7 statistical software. The panel data of the ten companies for the eight (8) years is used, employing ordinary least square method of analysis. Consequently, the result of the descriptive statistic show that majority of the companies implemented the code of conduct that emphasis appropriate composition of ethical responsibility and forecast operations. Further analysis show that there was positive relationship between the </w:t>
      </w:r>
      <w:r>
        <w:rPr>
          <w:rFonts w:ascii="Times New Roman" w:hAnsi="Times New Roman" w:cs="Times New Roman"/>
          <w:color w:val="000000"/>
          <w:sz w:val="24"/>
          <w:szCs w:val="24"/>
        </w:rPr>
        <w:lastRenderedPageBreak/>
        <w:t>sales and ethical compliance, though the relationship is weak given the value of ‘R’ as 0.197. Also revenue and legal responsibilities have ‘R’0.4430 and proactive indicators ‘R’as 0.2345.  These imply that while the companies obey the regulations in term of legal compliance and production projections, which are the major concern of the study. Meanwhile, some other variables impacted more on sales and revenue.</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Emmanuel ocran(2011) study title effect of CSR on profitability of multinational companies in Ghana(nestleGhana). The study employed descriptive analysis to examine the relationship between csr and profitability of nestle Ghana from 2006 to 2009. The panel data of the company for four years was used;Pearson product moment correlation coefficient table was used. Primary and secondary data was used through the administering of questionnaires to respondents at Nestle Ghana Limited, Customers, Nestle Business partners and shoppers in general. The study population is very large, so 100 respondents were selected from the top level management, middle level management and the supervisors which are a good representation of the population based on stratified sampling. This cuts across the various departments in the organization such as corporate affair department, customer services department, retail department, marketing department and others. Again 300 shoppers/customers were selected through random sampling. Finally, 5 business partners of Nestle were also interviewed through administering of simple structured questionnaires for their response in relation to the study. Consequently, from the information gathered, it was found that as CSR of nestle Ghana increases, there was corresponding increase in profits of nestle Ghana. Thus, there is significant relationship at 55% confidence level. This confirms that there is positive relationship between CSR and profitability. </w:t>
      </w:r>
    </w:p>
    <w:p w:rsidR="00C57DAB" w:rsidRDefault="00C57DAB" w:rsidP="00C22851">
      <w:pPr>
        <w:autoSpaceDE w:val="0"/>
        <w:autoSpaceDN w:val="0"/>
        <w:adjustRightInd w:val="0"/>
        <w:spacing w:after="0" w:line="408" w:lineRule="auto"/>
        <w:jc w:val="both"/>
        <w:rPr>
          <w:rFonts w:ascii="Times New Roman" w:hAnsi="Times New Roman" w:cs="Times New Roman"/>
          <w:color w:val="000000"/>
          <w:sz w:val="24"/>
          <w:szCs w:val="24"/>
        </w:rPr>
      </w:pPr>
    </w:p>
    <w:p w:rsidR="00B44B07" w:rsidRPr="00C57DAB" w:rsidRDefault="00B44B07" w:rsidP="00C22851">
      <w:pPr>
        <w:autoSpaceDE w:val="0"/>
        <w:autoSpaceDN w:val="0"/>
        <w:adjustRightInd w:val="0"/>
        <w:spacing w:after="0" w:line="408" w:lineRule="auto"/>
        <w:jc w:val="both"/>
        <w:rPr>
          <w:rFonts w:ascii="Times New Roman" w:hAnsi="Times New Roman" w:cs="Times New Roman"/>
          <w:b/>
          <w:bCs/>
          <w:sz w:val="24"/>
          <w:szCs w:val="24"/>
        </w:rPr>
      </w:pPr>
      <w:r w:rsidRPr="00C57DAB">
        <w:rPr>
          <w:rFonts w:ascii="Times New Roman" w:hAnsi="Times New Roman" w:cs="Times New Roman"/>
          <w:b/>
          <w:bCs/>
          <w:color w:val="000000"/>
          <w:sz w:val="24"/>
          <w:szCs w:val="24"/>
        </w:rPr>
        <w:t xml:space="preserve">2.9 </w:t>
      </w:r>
      <w:r w:rsidR="00C57DAB">
        <w:rPr>
          <w:rFonts w:ascii="Times New Roman" w:hAnsi="Times New Roman" w:cs="Times New Roman"/>
          <w:b/>
          <w:bCs/>
          <w:color w:val="000000"/>
          <w:sz w:val="24"/>
          <w:szCs w:val="24"/>
        </w:rPr>
        <w:tab/>
      </w:r>
      <w:r w:rsidRPr="00C57DAB">
        <w:rPr>
          <w:rFonts w:ascii="Times New Roman" w:hAnsi="Times New Roman" w:cs="Times New Roman"/>
          <w:b/>
          <w:bCs/>
          <w:color w:val="000000"/>
          <w:sz w:val="24"/>
          <w:szCs w:val="24"/>
        </w:rPr>
        <w:t>Research gap</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are few studies on this topic however, from the review of previous study on the topic. It is obvious that attention was much on manufacturing and bank industry. As result the </w:t>
      </w:r>
      <w:r>
        <w:rPr>
          <w:rFonts w:ascii="Times New Roman" w:hAnsi="Times New Roman" w:cs="Times New Roman"/>
          <w:sz w:val="24"/>
          <w:szCs w:val="24"/>
        </w:rPr>
        <w:lastRenderedPageBreak/>
        <w:t xml:space="preserve">study pay attention to flour mill firms in Nigeria. </w:t>
      </w:r>
      <w:r>
        <w:rPr>
          <w:rFonts w:ascii="Times New Roman" w:hAnsi="Times New Roman" w:cs="Times New Roman"/>
          <w:color w:val="000000"/>
          <w:sz w:val="24"/>
          <w:szCs w:val="24"/>
        </w:rPr>
        <w:t>The previous research employed both primary and secondary source for collecting data through the uses of questionnaire which are subject to falsification of responses by respondents. Thus, this study utilized secondary source as the major method of data collection, extract data from the company’s annual report which is primarily published for the benefit of investors and other stakeholders.</w:t>
      </w:r>
      <w:r>
        <w:rPr>
          <w:rFonts w:ascii="Times New Roman" w:hAnsi="Times New Roman" w:cs="Times New Roman"/>
          <w:sz w:val="24"/>
          <w:szCs w:val="24"/>
        </w:rPr>
        <w:t xml:space="preserve"> Also ordinary least square (ols) and pool ordinary least square (pols) regression were used for estimation in most of the studies reviewed. The study introduced inferential statistic using regression and correlation method of estimation in addition to pols estimation. Also, the scope of most of the previous studies focuses on only cross sectional and time series. The study adopts longitudinal study which is a combination of cross sectional and time series analysis. It covers all the four flour mills quoted in Nigeria stock exchange. One of the things that distinguish this study from others (Emmanuel ocran, 2011) is that it has a much broader portfolio of CSR practice that is captured in the study’s model. Traditionally, the corporate success is measured from a revenue perspective (sales and profits). Thus, the study examines corporate success from additional perspectives assets (equity and earnings) to the previous measures above.    </w:t>
      </w:r>
    </w:p>
    <w:p w:rsidR="00B44B07" w:rsidRDefault="00B44B07" w:rsidP="00C57DAB">
      <w:pPr>
        <w:autoSpaceDE w:val="0"/>
        <w:autoSpaceDN w:val="0"/>
        <w:adjustRightInd w:val="0"/>
        <w:spacing w:after="0" w:line="480" w:lineRule="auto"/>
        <w:jc w:val="both"/>
        <w:rPr>
          <w:rFonts w:ascii="Times New Roman" w:hAnsi="Times New Roman" w:cs="Times New Roman"/>
          <w:color w:val="000000"/>
          <w:sz w:val="24"/>
          <w:szCs w:val="24"/>
        </w:rPr>
      </w:pPr>
    </w:p>
    <w:p w:rsidR="00C22851" w:rsidRDefault="00C22851" w:rsidP="00C57DAB">
      <w:pPr>
        <w:autoSpaceDE w:val="0"/>
        <w:autoSpaceDN w:val="0"/>
        <w:adjustRightInd w:val="0"/>
        <w:spacing w:after="0" w:line="480" w:lineRule="auto"/>
        <w:jc w:val="both"/>
        <w:rPr>
          <w:rFonts w:ascii="Times New Roman" w:hAnsi="Times New Roman" w:cs="Times New Roman"/>
          <w:color w:val="000000"/>
          <w:sz w:val="24"/>
          <w:szCs w:val="24"/>
        </w:rPr>
      </w:pPr>
    </w:p>
    <w:p w:rsidR="00C22851" w:rsidRDefault="00C22851" w:rsidP="00C57DAB">
      <w:pPr>
        <w:autoSpaceDE w:val="0"/>
        <w:autoSpaceDN w:val="0"/>
        <w:adjustRightInd w:val="0"/>
        <w:spacing w:after="0" w:line="480" w:lineRule="auto"/>
        <w:jc w:val="both"/>
        <w:rPr>
          <w:rFonts w:ascii="Times New Roman" w:hAnsi="Times New Roman" w:cs="Times New Roman"/>
          <w:color w:val="000000"/>
          <w:sz w:val="24"/>
          <w:szCs w:val="24"/>
        </w:rPr>
      </w:pPr>
    </w:p>
    <w:p w:rsidR="00B44B07" w:rsidRDefault="00B44B07" w:rsidP="00C57DAB">
      <w:pPr>
        <w:autoSpaceDE w:val="0"/>
        <w:autoSpaceDN w:val="0"/>
        <w:adjustRightInd w:val="0"/>
        <w:spacing w:after="0" w:line="480" w:lineRule="auto"/>
        <w:jc w:val="both"/>
        <w:rPr>
          <w:rFonts w:ascii="Times New Roman" w:hAnsi="Times New Roman" w:cs="Times New Roman"/>
          <w:color w:val="000000"/>
          <w:sz w:val="24"/>
          <w:szCs w:val="24"/>
        </w:rPr>
      </w:pPr>
    </w:p>
    <w:p w:rsidR="00B44B07" w:rsidRPr="00C57DAB" w:rsidRDefault="00B44B07" w:rsidP="00C57DAB">
      <w:pPr>
        <w:autoSpaceDE w:val="0"/>
        <w:autoSpaceDN w:val="0"/>
        <w:adjustRightInd w:val="0"/>
        <w:spacing w:after="0" w:line="480" w:lineRule="auto"/>
        <w:jc w:val="both"/>
        <w:rPr>
          <w:rFonts w:ascii="Times New Roman" w:hAnsi="Times New Roman" w:cs="Times New Roman"/>
          <w:b/>
          <w:bCs/>
          <w:color w:val="000000"/>
          <w:sz w:val="24"/>
          <w:szCs w:val="24"/>
        </w:rPr>
      </w:pPr>
      <w:r w:rsidRPr="00C57DAB">
        <w:rPr>
          <w:rFonts w:ascii="Times New Roman" w:hAnsi="Times New Roman" w:cs="Times New Roman"/>
          <w:b/>
          <w:bCs/>
          <w:color w:val="000000"/>
          <w:sz w:val="24"/>
          <w:szCs w:val="24"/>
        </w:rPr>
        <w:t xml:space="preserve">2.10   </w:t>
      </w:r>
      <w:r w:rsidR="00C57DAB">
        <w:rPr>
          <w:rFonts w:ascii="Times New Roman" w:hAnsi="Times New Roman" w:cs="Times New Roman"/>
          <w:b/>
          <w:bCs/>
          <w:color w:val="000000"/>
          <w:sz w:val="24"/>
          <w:szCs w:val="24"/>
        </w:rPr>
        <w:tab/>
      </w:r>
      <w:r w:rsidRPr="00C57DAB">
        <w:rPr>
          <w:rFonts w:ascii="Times New Roman" w:hAnsi="Times New Roman" w:cs="Times New Roman"/>
          <w:b/>
          <w:bCs/>
          <w:color w:val="000000"/>
          <w:sz w:val="24"/>
          <w:szCs w:val="24"/>
        </w:rPr>
        <w:t>The study’s conceptualization</w:t>
      </w:r>
    </w:p>
    <w:p w:rsidR="00B44B07" w:rsidRDefault="00B44B07" w:rsidP="00C57DAB">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help understand how the csr variables in our research model interact to effect on growth, a conceptual frame work of the study is represented below; </w:t>
      </w:r>
    </w:p>
    <w:p w:rsidR="00B44B07" w:rsidRDefault="00B44B07" w:rsidP="00C57DAB">
      <w:pPr>
        <w:autoSpaceDE w:val="0"/>
        <w:autoSpaceDN w:val="0"/>
        <w:adjustRightInd w:val="0"/>
        <w:spacing w:after="0" w:line="480" w:lineRule="auto"/>
        <w:jc w:val="both"/>
        <w:rPr>
          <w:rFonts w:ascii="Times New Roman" w:hAnsi="Times New Roman" w:cs="Times New Roman"/>
          <w:sz w:val="24"/>
          <w:szCs w:val="24"/>
        </w:rPr>
      </w:pPr>
    </w:p>
    <w:p w:rsidR="00B44B07" w:rsidRDefault="00B44B07" w:rsidP="00C57DA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Input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process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output</w:t>
      </w:r>
    </w:p>
    <w:p w:rsidR="00B44B07" w:rsidRDefault="00C57DAB" w:rsidP="00C57DAB">
      <w:pPr>
        <w:autoSpaceDE w:val="0"/>
        <w:autoSpaceDN w:val="0"/>
        <w:adjustRightInd w:val="0"/>
        <w:spacing w:after="0" w:line="480" w:lineRule="auto"/>
        <w:jc w:val="both"/>
        <w:rPr>
          <w:rFonts w:ascii="Times New Roman" w:hAnsi="Times New Roman" w:cs="Times New Roman"/>
          <w:sz w:val="24"/>
          <w:szCs w:val="24"/>
        </w:rPr>
      </w:pPr>
      <w:r>
        <w:rPr>
          <w:noProof/>
        </w:rPr>
        <w:lastRenderedPageBreak/>
        <w:drawing>
          <wp:inline distT="0" distB="0" distL="0" distR="0">
            <wp:extent cx="5976286" cy="3253563"/>
            <wp:effectExtent l="0" t="0" r="571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356" t="30849" r="30547" b="30343"/>
                    <a:stretch/>
                  </pic:blipFill>
                  <pic:spPr bwMode="auto">
                    <a:xfrm>
                      <a:off x="0" y="0"/>
                      <a:ext cx="6002645" cy="326791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r w:rsidR="00B44B07">
        <w:rPr>
          <w:rFonts w:ascii="Times New Roman" w:hAnsi="Times New Roman" w:cs="Times New Roman"/>
          <w:sz w:val="24"/>
          <w:szCs w:val="24"/>
        </w:rPr>
        <w:t>Source: Adapted from Briham (2015)</w:t>
      </w:r>
    </w:p>
    <w:p w:rsidR="00B44B07" w:rsidRDefault="00B44B07" w:rsidP="00C57DAB">
      <w:pPr>
        <w:autoSpaceDE w:val="0"/>
        <w:autoSpaceDN w:val="0"/>
        <w:adjustRightInd w:val="0"/>
        <w:spacing w:after="0" w:line="480" w:lineRule="auto"/>
        <w:jc w:val="both"/>
        <w:rPr>
          <w:rFonts w:ascii="Times New Roman" w:hAnsi="Times New Roman" w:cs="Times New Roman"/>
          <w:sz w:val="24"/>
          <w:szCs w:val="24"/>
        </w:rPr>
      </w:pPr>
    </w:p>
    <w:p w:rsidR="00B44B07" w:rsidRDefault="00B44B07" w:rsidP="00C22851">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model explained that a relationship exist between csr and growth is moderated by firm activities and extraneous factors</w:t>
      </w:r>
    </w:p>
    <w:p w:rsidR="00B44B07" w:rsidRDefault="00B44B07" w:rsidP="00C35033">
      <w:pPr>
        <w:autoSpaceDE w:val="0"/>
        <w:autoSpaceDN w:val="0"/>
        <w:adjustRightInd w:val="0"/>
        <w:spacing w:after="0" w:line="360" w:lineRule="auto"/>
        <w:ind w:left="2880" w:firstLine="720"/>
        <w:jc w:val="both"/>
        <w:rPr>
          <w:rFonts w:ascii="Times New Roman" w:hAnsi="Times New Roman" w:cs="Times New Roman"/>
          <w:sz w:val="24"/>
          <w:szCs w:val="24"/>
        </w:rPr>
      </w:pPr>
    </w:p>
    <w:p w:rsidR="00C22851" w:rsidRDefault="00B44B07" w:rsidP="00C3503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C22851" w:rsidRDefault="00C22851" w:rsidP="00C35033">
      <w:pPr>
        <w:autoSpaceDE w:val="0"/>
        <w:autoSpaceDN w:val="0"/>
        <w:adjustRightInd w:val="0"/>
        <w:spacing w:after="0" w:line="360" w:lineRule="auto"/>
        <w:jc w:val="both"/>
        <w:rPr>
          <w:rFonts w:ascii="Times New Roman" w:hAnsi="Times New Roman" w:cs="Times New Roman"/>
          <w:sz w:val="24"/>
          <w:szCs w:val="24"/>
        </w:rPr>
      </w:pPr>
    </w:p>
    <w:p w:rsidR="00C22851" w:rsidRDefault="00C22851" w:rsidP="00C35033">
      <w:pPr>
        <w:autoSpaceDE w:val="0"/>
        <w:autoSpaceDN w:val="0"/>
        <w:adjustRightInd w:val="0"/>
        <w:spacing w:after="0" w:line="360" w:lineRule="auto"/>
        <w:jc w:val="both"/>
        <w:rPr>
          <w:rFonts w:ascii="Times New Roman" w:hAnsi="Times New Roman" w:cs="Times New Roman"/>
          <w:sz w:val="24"/>
          <w:szCs w:val="24"/>
        </w:rPr>
      </w:pPr>
    </w:p>
    <w:p w:rsidR="00C22851" w:rsidRDefault="00C22851" w:rsidP="00C35033">
      <w:pPr>
        <w:autoSpaceDE w:val="0"/>
        <w:autoSpaceDN w:val="0"/>
        <w:adjustRightInd w:val="0"/>
        <w:spacing w:after="0" w:line="360" w:lineRule="auto"/>
        <w:jc w:val="both"/>
        <w:rPr>
          <w:rFonts w:ascii="Times New Roman" w:hAnsi="Times New Roman" w:cs="Times New Roman"/>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sz w:val="24"/>
          <w:szCs w:val="24"/>
        </w:rPr>
      </w:pPr>
    </w:p>
    <w:p w:rsidR="00B44B07" w:rsidRPr="00C22851" w:rsidRDefault="00B44B07" w:rsidP="00C22851">
      <w:pPr>
        <w:autoSpaceDE w:val="0"/>
        <w:autoSpaceDN w:val="0"/>
        <w:adjustRightInd w:val="0"/>
        <w:spacing w:after="0" w:line="408" w:lineRule="auto"/>
        <w:jc w:val="center"/>
        <w:rPr>
          <w:rFonts w:ascii="Times New Roman" w:hAnsi="Times New Roman" w:cs="Times New Roman"/>
          <w:b/>
          <w:bCs/>
          <w:sz w:val="24"/>
          <w:szCs w:val="24"/>
        </w:rPr>
      </w:pPr>
      <w:r w:rsidRPr="00C22851">
        <w:rPr>
          <w:rFonts w:ascii="Times New Roman" w:hAnsi="Times New Roman" w:cs="Times New Roman"/>
          <w:b/>
          <w:bCs/>
          <w:sz w:val="24"/>
          <w:szCs w:val="24"/>
        </w:rPr>
        <w:lastRenderedPageBreak/>
        <w:t>CHAPTER THREE</w:t>
      </w:r>
    </w:p>
    <w:p w:rsidR="00B44B07" w:rsidRPr="00C22851" w:rsidRDefault="00B44B07" w:rsidP="00C22851">
      <w:pPr>
        <w:autoSpaceDE w:val="0"/>
        <w:autoSpaceDN w:val="0"/>
        <w:adjustRightInd w:val="0"/>
        <w:spacing w:after="0" w:line="408" w:lineRule="auto"/>
        <w:jc w:val="center"/>
        <w:rPr>
          <w:rFonts w:ascii="Times New Roman" w:hAnsi="Times New Roman" w:cs="Times New Roman"/>
          <w:b/>
          <w:bCs/>
          <w:sz w:val="24"/>
          <w:szCs w:val="24"/>
        </w:rPr>
      </w:pPr>
      <w:r w:rsidRPr="00C22851">
        <w:rPr>
          <w:rFonts w:ascii="Times New Roman" w:hAnsi="Times New Roman" w:cs="Times New Roman"/>
          <w:b/>
          <w:bCs/>
          <w:sz w:val="24"/>
          <w:szCs w:val="24"/>
        </w:rPr>
        <w:t>METHODOLOGY</w:t>
      </w:r>
    </w:p>
    <w:p w:rsidR="00B44B07" w:rsidRPr="00C22851" w:rsidRDefault="00B44B07" w:rsidP="00C22851">
      <w:pPr>
        <w:autoSpaceDE w:val="0"/>
        <w:autoSpaceDN w:val="0"/>
        <w:adjustRightInd w:val="0"/>
        <w:spacing w:after="0" w:line="408" w:lineRule="auto"/>
        <w:jc w:val="both"/>
        <w:rPr>
          <w:rFonts w:ascii="Times New Roman" w:hAnsi="Times New Roman" w:cs="Times New Roman"/>
          <w:b/>
          <w:bCs/>
          <w:sz w:val="24"/>
          <w:szCs w:val="24"/>
        </w:rPr>
      </w:pPr>
      <w:r w:rsidRPr="00C22851">
        <w:rPr>
          <w:rFonts w:ascii="Times New Roman" w:hAnsi="Times New Roman" w:cs="Times New Roman"/>
          <w:b/>
          <w:bCs/>
          <w:sz w:val="24"/>
          <w:szCs w:val="24"/>
        </w:rPr>
        <w:t xml:space="preserve">3.1 </w:t>
      </w:r>
      <w:r w:rsidR="00C22851">
        <w:rPr>
          <w:rFonts w:ascii="Times New Roman" w:hAnsi="Times New Roman" w:cs="Times New Roman"/>
          <w:b/>
          <w:bCs/>
          <w:sz w:val="24"/>
          <w:szCs w:val="24"/>
        </w:rPr>
        <w:tab/>
      </w:r>
      <w:r w:rsidRPr="00C22851">
        <w:rPr>
          <w:rFonts w:ascii="Times New Roman" w:hAnsi="Times New Roman" w:cs="Times New Roman"/>
          <w:b/>
          <w:bCs/>
          <w:sz w:val="24"/>
          <w:szCs w:val="24"/>
        </w:rPr>
        <w:t>Introduction</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This chapter presents the methodology adopted in the study. It dealt mainly with the research procedures that were used in the gathering and analyzing data which include, research deign; population of the study; sample size and sample techniques; procedures for data collection and data analysis.</w:t>
      </w:r>
    </w:p>
    <w:p w:rsidR="00C22851" w:rsidRDefault="00C22851" w:rsidP="00C22851">
      <w:pPr>
        <w:autoSpaceDE w:val="0"/>
        <w:autoSpaceDN w:val="0"/>
        <w:adjustRightInd w:val="0"/>
        <w:spacing w:after="0" w:line="408" w:lineRule="auto"/>
        <w:jc w:val="both"/>
        <w:rPr>
          <w:rFonts w:ascii="Times New Roman" w:hAnsi="Times New Roman" w:cs="Times New Roman"/>
          <w:sz w:val="24"/>
          <w:szCs w:val="24"/>
        </w:rPr>
      </w:pPr>
    </w:p>
    <w:p w:rsidR="00B44B07" w:rsidRPr="00C22851" w:rsidRDefault="00B44B07" w:rsidP="00C22851">
      <w:pPr>
        <w:autoSpaceDE w:val="0"/>
        <w:autoSpaceDN w:val="0"/>
        <w:adjustRightInd w:val="0"/>
        <w:spacing w:after="0" w:line="408" w:lineRule="auto"/>
        <w:jc w:val="both"/>
        <w:rPr>
          <w:rFonts w:ascii="Times New Roman" w:hAnsi="Times New Roman" w:cs="Times New Roman"/>
          <w:b/>
          <w:bCs/>
          <w:sz w:val="24"/>
          <w:szCs w:val="24"/>
        </w:rPr>
      </w:pPr>
      <w:r w:rsidRPr="00C22851">
        <w:rPr>
          <w:rFonts w:ascii="Times New Roman" w:hAnsi="Times New Roman" w:cs="Times New Roman"/>
          <w:b/>
          <w:bCs/>
          <w:sz w:val="24"/>
          <w:szCs w:val="24"/>
        </w:rPr>
        <w:t xml:space="preserve">3.2 </w:t>
      </w:r>
      <w:r w:rsidR="00C22851">
        <w:rPr>
          <w:rFonts w:ascii="Times New Roman" w:hAnsi="Times New Roman" w:cs="Times New Roman"/>
          <w:b/>
          <w:bCs/>
          <w:sz w:val="24"/>
          <w:szCs w:val="24"/>
        </w:rPr>
        <w:tab/>
      </w:r>
      <w:r w:rsidRPr="00C22851">
        <w:rPr>
          <w:rFonts w:ascii="Times New Roman" w:hAnsi="Times New Roman" w:cs="Times New Roman"/>
          <w:b/>
          <w:bCs/>
          <w:sz w:val="24"/>
          <w:szCs w:val="24"/>
        </w:rPr>
        <w:t>Research Design</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study employed a descriptive research design and made use of the secondary data as its main source of data collection, as this data collection technique present several advantage to the study especially; it provides a multi-faceted approach for data collection. </w:t>
      </w:r>
    </w:p>
    <w:p w:rsidR="00C22851" w:rsidRDefault="00C22851" w:rsidP="00C22851">
      <w:pPr>
        <w:autoSpaceDE w:val="0"/>
        <w:autoSpaceDN w:val="0"/>
        <w:adjustRightInd w:val="0"/>
        <w:spacing w:after="0" w:line="408" w:lineRule="auto"/>
        <w:jc w:val="both"/>
        <w:rPr>
          <w:rFonts w:ascii="Times New Roman" w:hAnsi="Times New Roman" w:cs="Times New Roman"/>
          <w:sz w:val="24"/>
          <w:szCs w:val="24"/>
        </w:rPr>
      </w:pPr>
    </w:p>
    <w:p w:rsidR="00B44B07" w:rsidRPr="00C22851" w:rsidRDefault="00B44B07" w:rsidP="00C22851">
      <w:pPr>
        <w:autoSpaceDE w:val="0"/>
        <w:autoSpaceDN w:val="0"/>
        <w:adjustRightInd w:val="0"/>
        <w:spacing w:after="0" w:line="408" w:lineRule="auto"/>
        <w:jc w:val="both"/>
        <w:rPr>
          <w:rFonts w:ascii="Times New Roman" w:hAnsi="Times New Roman" w:cs="Times New Roman"/>
          <w:b/>
          <w:bCs/>
          <w:sz w:val="24"/>
          <w:szCs w:val="24"/>
        </w:rPr>
      </w:pPr>
      <w:r w:rsidRPr="00C22851">
        <w:rPr>
          <w:rFonts w:ascii="Times New Roman" w:hAnsi="Times New Roman" w:cs="Times New Roman"/>
          <w:b/>
          <w:bCs/>
          <w:sz w:val="24"/>
          <w:szCs w:val="24"/>
        </w:rPr>
        <w:t xml:space="preserve">3.3 </w:t>
      </w:r>
      <w:r w:rsidR="00C22851">
        <w:rPr>
          <w:rFonts w:ascii="Times New Roman" w:hAnsi="Times New Roman" w:cs="Times New Roman"/>
          <w:b/>
          <w:bCs/>
          <w:sz w:val="24"/>
          <w:szCs w:val="24"/>
        </w:rPr>
        <w:tab/>
      </w:r>
      <w:r w:rsidRPr="00C22851">
        <w:rPr>
          <w:rFonts w:ascii="Times New Roman" w:hAnsi="Times New Roman" w:cs="Times New Roman"/>
          <w:b/>
          <w:bCs/>
          <w:sz w:val="24"/>
          <w:szCs w:val="24"/>
        </w:rPr>
        <w:t>Population of the study</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All items in any field of inquiry constitute a universe or population, Kothari (2004.). The populations of this study are the nine (9) flour mill companies in the Nigeria business environment as at 31 December 2015.These include flour mill of Nigeria plc, Dangote flour mill plc, Northern Nigeria flour mill Plc and Honeywell flour mill plc, Eagle flour mill Ltd, Crown flour mill Ltd, Lisle flour mill Ltd, Listle flour mill Ltd. The study considered these flour mill firms for the study population.</w:t>
      </w:r>
    </w:p>
    <w:p w:rsidR="00C22851" w:rsidRDefault="00C22851" w:rsidP="00C22851">
      <w:pPr>
        <w:autoSpaceDE w:val="0"/>
        <w:autoSpaceDN w:val="0"/>
        <w:adjustRightInd w:val="0"/>
        <w:spacing w:after="0" w:line="408" w:lineRule="auto"/>
        <w:jc w:val="both"/>
        <w:rPr>
          <w:rFonts w:ascii="Times New Roman" w:hAnsi="Times New Roman" w:cs="Times New Roman"/>
          <w:b/>
          <w:bCs/>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sidRPr="00C22851">
        <w:rPr>
          <w:rFonts w:ascii="Times New Roman" w:hAnsi="Times New Roman" w:cs="Times New Roman"/>
          <w:b/>
          <w:bCs/>
          <w:sz w:val="24"/>
          <w:szCs w:val="24"/>
        </w:rPr>
        <w:t xml:space="preserve">3.4 </w:t>
      </w:r>
      <w:r w:rsidR="00C22851">
        <w:rPr>
          <w:rFonts w:ascii="Times New Roman" w:hAnsi="Times New Roman" w:cs="Times New Roman"/>
          <w:b/>
          <w:bCs/>
          <w:sz w:val="24"/>
          <w:szCs w:val="24"/>
        </w:rPr>
        <w:tab/>
      </w:r>
      <w:r>
        <w:rPr>
          <w:rFonts w:ascii="Times New Roman" w:hAnsi="Times New Roman" w:cs="Times New Roman"/>
          <w:b/>
          <w:bCs/>
          <w:sz w:val="24"/>
          <w:szCs w:val="24"/>
        </w:rPr>
        <w:t>Sampling Size and Sampling Techniques</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The study employed judgmental sampling technique and four flour mills companies quoted in the Nigeria stock exchange as at 31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December 2015 were selected. These companies includes Nigerian flour mill, Northern Nigerian flour mill, Dangote flour mill, Honeywell flour </w:t>
      </w:r>
      <w:r>
        <w:rPr>
          <w:rFonts w:ascii="Times New Roman" w:hAnsi="Times New Roman" w:cs="Times New Roman"/>
          <w:sz w:val="24"/>
          <w:szCs w:val="24"/>
        </w:rPr>
        <w:lastRenderedPageBreak/>
        <w:t xml:space="preserve">mill plc. This is because these companies operations cut across the country. They possessed common features that are pre-requisite for this study.  </w:t>
      </w: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p>
    <w:p w:rsidR="00B44B07" w:rsidRPr="00C22851" w:rsidRDefault="00B44B07" w:rsidP="00C22851">
      <w:pPr>
        <w:autoSpaceDE w:val="0"/>
        <w:autoSpaceDN w:val="0"/>
        <w:adjustRightInd w:val="0"/>
        <w:spacing w:after="0" w:line="408" w:lineRule="auto"/>
        <w:jc w:val="both"/>
        <w:rPr>
          <w:rFonts w:ascii="Times New Roman" w:hAnsi="Times New Roman" w:cs="Times New Roman"/>
          <w:b/>
          <w:bCs/>
          <w:sz w:val="24"/>
          <w:szCs w:val="24"/>
        </w:rPr>
      </w:pPr>
      <w:r w:rsidRPr="00C22851">
        <w:rPr>
          <w:rFonts w:ascii="Times New Roman" w:hAnsi="Times New Roman" w:cs="Times New Roman"/>
          <w:b/>
          <w:bCs/>
          <w:sz w:val="24"/>
          <w:szCs w:val="24"/>
        </w:rPr>
        <w:t xml:space="preserve">3.5 </w:t>
      </w:r>
      <w:r w:rsidR="00C22851">
        <w:rPr>
          <w:rFonts w:ascii="Times New Roman" w:hAnsi="Times New Roman" w:cs="Times New Roman"/>
          <w:b/>
          <w:bCs/>
          <w:sz w:val="24"/>
          <w:szCs w:val="24"/>
        </w:rPr>
        <w:tab/>
      </w:r>
      <w:r w:rsidRPr="00C22851">
        <w:rPr>
          <w:rFonts w:ascii="Times New Roman" w:hAnsi="Times New Roman" w:cs="Times New Roman"/>
          <w:b/>
          <w:bCs/>
          <w:sz w:val="24"/>
          <w:szCs w:val="24"/>
        </w:rPr>
        <w:t>Method of Data Collection</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For the purpose of this study, only secondary data collection was utilized. The study adopted the use of secondary data because all the previous work reviewed adopted both primary and secondary source, the required data has been published in the annual report of the companies. Technically, primary source of data collection is not appropriate for historical analysis of this nature. Sample data was collected from 2009 to 2015 (7 years)</w:t>
      </w:r>
    </w:p>
    <w:p w:rsidR="00C22851" w:rsidRDefault="00C22851" w:rsidP="00C22851">
      <w:pPr>
        <w:autoSpaceDE w:val="0"/>
        <w:autoSpaceDN w:val="0"/>
        <w:adjustRightInd w:val="0"/>
        <w:spacing w:after="0" w:line="408" w:lineRule="auto"/>
        <w:jc w:val="both"/>
        <w:rPr>
          <w:rFonts w:ascii="Times New Roman" w:hAnsi="Times New Roman" w:cs="Times New Roman"/>
          <w:sz w:val="24"/>
          <w:szCs w:val="24"/>
        </w:rPr>
      </w:pPr>
    </w:p>
    <w:p w:rsidR="00B44B07" w:rsidRPr="00C22851" w:rsidRDefault="00B44B07" w:rsidP="00C22851">
      <w:pPr>
        <w:autoSpaceDE w:val="0"/>
        <w:autoSpaceDN w:val="0"/>
        <w:adjustRightInd w:val="0"/>
        <w:spacing w:after="0" w:line="408" w:lineRule="auto"/>
        <w:jc w:val="both"/>
        <w:rPr>
          <w:rFonts w:ascii="Times New Roman" w:hAnsi="Times New Roman" w:cs="Times New Roman"/>
          <w:b/>
          <w:bCs/>
          <w:sz w:val="24"/>
          <w:szCs w:val="24"/>
        </w:rPr>
      </w:pPr>
      <w:r w:rsidRPr="00C22851">
        <w:rPr>
          <w:rFonts w:ascii="Times New Roman" w:hAnsi="Times New Roman" w:cs="Times New Roman"/>
          <w:b/>
          <w:bCs/>
          <w:sz w:val="24"/>
          <w:szCs w:val="24"/>
        </w:rPr>
        <w:t xml:space="preserve">3.6 </w:t>
      </w:r>
      <w:r w:rsidR="00C22851">
        <w:rPr>
          <w:rFonts w:ascii="Times New Roman" w:hAnsi="Times New Roman" w:cs="Times New Roman"/>
          <w:b/>
          <w:bCs/>
          <w:sz w:val="24"/>
          <w:szCs w:val="24"/>
        </w:rPr>
        <w:tab/>
      </w:r>
      <w:r w:rsidRPr="00C22851">
        <w:rPr>
          <w:rFonts w:ascii="Times New Roman" w:hAnsi="Times New Roman" w:cs="Times New Roman"/>
          <w:b/>
          <w:bCs/>
          <w:sz w:val="24"/>
          <w:szCs w:val="24"/>
        </w:rPr>
        <w:t>Method of Data Analysis</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In order to achieve the main objective and other specific objectives as identified in the literature; the study employed generalized linear model of ordinary linear regression. The GLM generalizes linear regression by allowing the linear model to be related to the response variable via a link function and by allowing the magnitude of the variance of each measurement to be a function of its predicted value. The rational for using GLM of ordinary linear regression was that it employed the techniques of logistic regression, to estimate the coefficients of the likelihood of the regression coefficient of the given predictors and criterion similarly to the ordinary least square of the regression procedure, thereby minimizing the sum of squared residuals. It is also important to use this method of data analysis because it is a statistical tool that does not only explore the relationship between two or more variables but also assessing the contribution of individual predictors in a given model, one may examine the significance of the wald statistic. The wald statistic, analogous to the t-test which can be used to test the true value of the parameter based on the sample estimate.</w:t>
      </w: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p>
    <w:p w:rsidR="00C22851" w:rsidRDefault="00C22851" w:rsidP="00C22851">
      <w:pPr>
        <w:autoSpaceDE w:val="0"/>
        <w:autoSpaceDN w:val="0"/>
        <w:adjustRightInd w:val="0"/>
        <w:spacing w:after="0" w:line="408" w:lineRule="auto"/>
        <w:jc w:val="both"/>
        <w:rPr>
          <w:rFonts w:ascii="Times New Roman" w:hAnsi="Times New Roman" w:cs="Times New Roman"/>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lastRenderedPageBreak/>
        <w:t>The regression model is given below as;</w:t>
      </w:r>
    </w:p>
    <w:p w:rsidR="00B44B07" w:rsidRDefault="00B44B07" w:rsidP="00C22851">
      <w:pPr>
        <w:autoSpaceDE w:val="0"/>
        <w:autoSpaceDN w:val="0"/>
        <w:adjustRightInd w:val="0"/>
        <w:spacing w:after="0" w:line="408" w:lineRule="auto"/>
        <w:jc w:val="both"/>
        <w:rPr>
          <w:rFonts w:ascii="Times New Roman" w:hAnsi="Times New Roman" w:cs="Times New Roman"/>
          <w:i/>
          <w:iCs/>
          <w:sz w:val="24"/>
          <w:szCs w:val="24"/>
          <w:lang w:val="el-GR"/>
        </w:rPr>
      </w:pPr>
      <w:r>
        <w:rPr>
          <w:rFonts w:ascii="Times New Roman" w:hAnsi="Times New Roman" w:cs="Times New Roman"/>
          <w:i/>
          <w:iCs/>
          <w:sz w:val="24"/>
          <w:szCs w:val="24"/>
        </w:rPr>
        <w:t>Y=</w:t>
      </w:r>
      <w:r>
        <w:rPr>
          <w:rFonts w:ascii="Times New Roman" w:hAnsi="Times New Roman" w:cs="Times New Roman"/>
          <w:i/>
          <w:iCs/>
          <w:sz w:val="24"/>
          <w:szCs w:val="24"/>
          <w:lang w:val="el-GR"/>
        </w:rPr>
        <w:t>α+β</w:t>
      </w:r>
      <w:r>
        <w:rPr>
          <w:rFonts w:ascii="Times New Roman" w:hAnsi="Times New Roman" w:cs="Times New Roman"/>
          <w:i/>
          <w:iCs/>
          <w:sz w:val="24"/>
          <w:szCs w:val="24"/>
          <w:vertAlign w:val="subscript"/>
          <w:lang w:val="el-GR"/>
        </w:rPr>
        <w:t>1</w:t>
      </w:r>
      <w:r>
        <w:rPr>
          <w:rFonts w:ascii="Times New Roman" w:hAnsi="Times New Roman" w:cs="Times New Roman"/>
          <w:i/>
          <w:iCs/>
          <w:sz w:val="24"/>
          <w:szCs w:val="24"/>
          <w:lang w:val="el-GR"/>
        </w:rPr>
        <w:t>x</w:t>
      </w:r>
      <w:r>
        <w:rPr>
          <w:rFonts w:ascii="Times New Roman" w:hAnsi="Times New Roman" w:cs="Times New Roman"/>
          <w:i/>
          <w:iCs/>
          <w:sz w:val="24"/>
          <w:szCs w:val="24"/>
          <w:vertAlign w:val="subscript"/>
          <w:lang w:val="el-GR"/>
        </w:rPr>
        <w:t>1</w:t>
      </w:r>
      <w:r>
        <w:rPr>
          <w:rFonts w:ascii="Times New Roman" w:hAnsi="Times New Roman" w:cs="Times New Roman"/>
          <w:i/>
          <w:iCs/>
          <w:sz w:val="24"/>
          <w:szCs w:val="24"/>
          <w:lang w:val="el-GR"/>
        </w:rPr>
        <w:t>+ε</w:t>
      </w: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Where;</w:t>
      </w: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Y=Dependent variable</w:t>
      </w:r>
    </w:p>
    <w:p w:rsidR="00B44B07" w:rsidRDefault="00B44B07" w:rsidP="00C22851">
      <w:pPr>
        <w:autoSpaceDE w:val="0"/>
        <w:autoSpaceDN w:val="0"/>
        <w:adjustRightInd w:val="0"/>
        <w:spacing w:after="0" w:line="408" w:lineRule="auto"/>
        <w:jc w:val="both"/>
        <w:rPr>
          <w:rFonts w:ascii="Times New Roman" w:hAnsi="Times New Roman" w:cs="Times New Roman"/>
          <w:sz w:val="24"/>
          <w:szCs w:val="24"/>
          <w:lang w:val="el-GR"/>
        </w:rPr>
      </w:pPr>
      <w:r>
        <w:rPr>
          <w:rFonts w:ascii="Times New Roman" w:hAnsi="Times New Roman" w:cs="Times New Roman"/>
          <w:i/>
          <w:iCs/>
          <w:sz w:val="24"/>
          <w:szCs w:val="24"/>
          <w:lang w:val="el-GR"/>
        </w:rPr>
        <w:t>α</w:t>
      </w:r>
      <w:r>
        <w:rPr>
          <w:rFonts w:ascii="Times New Roman" w:hAnsi="Times New Roman" w:cs="Times New Roman"/>
          <w:sz w:val="24"/>
          <w:szCs w:val="24"/>
          <w:lang w:val="el-GR"/>
        </w:rPr>
        <w:t xml:space="preserve"> =Intercept of the model</w:t>
      </w:r>
    </w:p>
    <w:p w:rsidR="00B44B07" w:rsidRDefault="00B44B07" w:rsidP="00C22851">
      <w:pPr>
        <w:autoSpaceDE w:val="0"/>
        <w:autoSpaceDN w:val="0"/>
        <w:adjustRightInd w:val="0"/>
        <w:spacing w:after="0" w:line="408" w:lineRule="auto"/>
        <w:jc w:val="both"/>
        <w:rPr>
          <w:rFonts w:ascii="Times New Roman" w:hAnsi="Times New Roman" w:cs="Times New Roman"/>
          <w:sz w:val="24"/>
          <w:szCs w:val="24"/>
          <w:lang w:val="el-GR"/>
        </w:rPr>
      </w:pPr>
      <w:r>
        <w:rPr>
          <w:rFonts w:ascii="Times New Roman" w:hAnsi="Times New Roman" w:cs="Times New Roman"/>
          <w:i/>
          <w:iCs/>
          <w:sz w:val="24"/>
          <w:szCs w:val="24"/>
          <w:lang w:val="el-GR"/>
        </w:rPr>
        <w:t>β</w:t>
      </w:r>
      <w:r>
        <w:rPr>
          <w:rFonts w:ascii="Times New Roman" w:hAnsi="Times New Roman" w:cs="Times New Roman"/>
          <w:i/>
          <w:iCs/>
          <w:sz w:val="24"/>
          <w:szCs w:val="24"/>
          <w:vertAlign w:val="subscript"/>
          <w:lang w:val="el-GR"/>
        </w:rPr>
        <w:t>1</w:t>
      </w:r>
      <w:r>
        <w:rPr>
          <w:rFonts w:ascii="Times New Roman" w:hAnsi="Times New Roman" w:cs="Times New Roman"/>
          <w:sz w:val="24"/>
          <w:szCs w:val="24"/>
          <w:lang w:val="el-GR"/>
        </w:rPr>
        <w:t>=Coefficient of the independent variable in the model</w:t>
      </w: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bscript"/>
        </w:rPr>
        <w:t>1</w:t>
      </w:r>
      <w:r>
        <w:rPr>
          <w:rFonts w:ascii="Times New Roman" w:hAnsi="Times New Roman" w:cs="Times New Roman"/>
          <w:sz w:val="24"/>
          <w:szCs w:val="24"/>
        </w:rPr>
        <w:t xml:space="preserve">=element of independent variable </w:t>
      </w:r>
    </w:p>
    <w:p w:rsidR="00B44B07" w:rsidRDefault="00B44B07" w:rsidP="00C22851">
      <w:pPr>
        <w:autoSpaceDE w:val="0"/>
        <w:autoSpaceDN w:val="0"/>
        <w:adjustRightInd w:val="0"/>
        <w:spacing w:after="0" w:line="408" w:lineRule="auto"/>
        <w:jc w:val="both"/>
        <w:rPr>
          <w:rFonts w:ascii="Times New Roman" w:hAnsi="Times New Roman" w:cs="Times New Roman"/>
          <w:sz w:val="24"/>
          <w:szCs w:val="24"/>
          <w:lang w:val="el-GR"/>
        </w:rPr>
      </w:pPr>
      <w:r>
        <w:rPr>
          <w:rFonts w:ascii="Times New Roman" w:hAnsi="Times New Roman" w:cs="Times New Roman"/>
          <w:i/>
          <w:iCs/>
          <w:sz w:val="24"/>
          <w:szCs w:val="24"/>
          <w:lang w:val="el-GR"/>
        </w:rPr>
        <w:t>ε</w:t>
      </w:r>
      <w:r>
        <w:rPr>
          <w:rFonts w:ascii="Times New Roman" w:hAnsi="Times New Roman" w:cs="Times New Roman"/>
          <w:sz w:val="24"/>
          <w:szCs w:val="24"/>
          <w:lang w:val="el-GR"/>
        </w:rPr>
        <w:t xml:space="preserve"> =Error term</w:t>
      </w: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Thus;</w:t>
      </w:r>
    </w:p>
    <w:p w:rsidR="00B44B07" w:rsidRDefault="00B44B07" w:rsidP="00C22851">
      <w:pPr>
        <w:autoSpaceDE w:val="0"/>
        <w:autoSpaceDN w:val="0"/>
        <w:adjustRightInd w:val="0"/>
        <w:spacing w:after="0" w:line="408" w:lineRule="auto"/>
        <w:jc w:val="both"/>
        <w:rPr>
          <w:rFonts w:ascii="Times New Roman" w:hAnsi="Times New Roman" w:cs="Times New Roman"/>
          <w:i/>
          <w:iCs/>
          <w:sz w:val="24"/>
          <w:szCs w:val="24"/>
          <w:lang w:val="el-GR"/>
        </w:rPr>
      </w:pPr>
      <w:r>
        <w:rPr>
          <w:rFonts w:ascii="Times New Roman" w:hAnsi="Times New Roman" w:cs="Times New Roman"/>
          <w:i/>
          <w:iCs/>
          <w:sz w:val="24"/>
          <w:szCs w:val="24"/>
        </w:rPr>
        <w:t xml:space="preserve">BG = </w:t>
      </w:r>
      <w:r>
        <w:rPr>
          <w:rFonts w:ascii="Times New Roman" w:hAnsi="Times New Roman" w:cs="Times New Roman"/>
          <w:i/>
          <w:iCs/>
          <w:sz w:val="24"/>
          <w:szCs w:val="24"/>
          <w:lang w:val="el-GR"/>
        </w:rPr>
        <w:t>βo +CSR+ε</w:t>
      </w:r>
      <w:r>
        <w:rPr>
          <w:rFonts w:ascii="Times New Roman" w:hAnsi="Times New Roman" w:cs="Times New Roman"/>
          <w:i/>
          <w:iCs/>
          <w:sz w:val="24"/>
          <w:szCs w:val="24"/>
          <w:vertAlign w:val="subscript"/>
          <w:lang w:val="el-GR"/>
        </w:rPr>
        <w:t>0</w:t>
      </w:r>
    </w:p>
    <w:p w:rsidR="00B44B07" w:rsidRDefault="00B44B07" w:rsidP="00C22851">
      <w:pPr>
        <w:autoSpaceDE w:val="0"/>
        <w:autoSpaceDN w:val="0"/>
        <w:adjustRightInd w:val="0"/>
        <w:spacing w:after="0" w:line="408" w:lineRule="auto"/>
        <w:jc w:val="both"/>
        <w:rPr>
          <w:rFonts w:ascii="Times New Roman" w:hAnsi="Times New Roman" w:cs="Times New Roman"/>
          <w:i/>
          <w:iCs/>
          <w:sz w:val="24"/>
          <w:szCs w:val="24"/>
          <w:lang w:val="el-GR"/>
        </w:rPr>
      </w:pPr>
      <w:r>
        <w:rPr>
          <w:rFonts w:ascii="Times New Roman" w:hAnsi="Times New Roman" w:cs="Times New Roman"/>
          <w:i/>
          <w:iCs/>
          <w:sz w:val="24"/>
          <w:szCs w:val="24"/>
        </w:rPr>
        <w:t xml:space="preserve">PAT = </w:t>
      </w:r>
      <w:r>
        <w:rPr>
          <w:rFonts w:ascii="Times New Roman" w:hAnsi="Times New Roman" w:cs="Times New Roman"/>
          <w:i/>
          <w:iCs/>
          <w:sz w:val="24"/>
          <w:szCs w:val="24"/>
          <w:lang w:val="el-GR"/>
        </w:rPr>
        <w:t>β</w:t>
      </w:r>
      <w:r>
        <w:rPr>
          <w:rFonts w:ascii="Times New Roman" w:hAnsi="Times New Roman" w:cs="Times New Roman"/>
          <w:i/>
          <w:iCs/>
          <w:sz w:val="24"/>
          <w:szCs w:val="24"/>
          <w:vertAlign w:val="subscript"/>
          <w:lang w:val="el-GR"/>
        </w:rPr>
        <w:t>o</w:t>
      </w:r>
      <w:r>
        <w:rPr>
          <w:rFonts w:ascii="Times New Roman" w:hAnsi="Times New Roman" w:cs="Times New Roman"/>
          <w:i/>
          <w:iCs/>
          <w:sz w:val="24"/>
          <w:szCs w:val="24"/>
          <w:lang w:val="el-GR"/>
        </w:rPr>
        <w:t xml:space="preserve"> +CDE</w:t>
      </w:r>
      <w:r>
        <w:rPr>
          <w:rFonts w:ascii="Times New Roman" w:hAnsi="Times New Roman" w:cs="Times New Roman"/>
          <w:i/>
          <w:iCs/>
          <w:sz w:val="24"/>
          <w:szCs w:val="24"/>
          <w:vertAlign w:val="subscript"/>
          <w:lang w:val="el-GR"/>
        </w:rPr>
        <w:t>CSR</w:t>
      </w:r>
      <w:r>
        <w:rPr>
          <w:rFonts w:ascii="Times New Roman" w:hAnsi="Times New Roman" w:cs="Times New Roman"/>
          <w:i/>
          <w:iCs/>
          <w:sz w:val="24"/>
          <w:szCs w:val="24"/>
          <w:lang w:val="el-GR"/>
        </w:rPr>
        <w:t>+ ε</w:t>
      </w:r>
      <w:r>
        <w:rPr>
          <w:rFonts w:ascii="Times New Roman" w:hAnsi="Times New Roman" w:cs="Times New Roman"/>
          <w:i/>
          <w:iCs/>
          <w:sz w:val="24"/>
          <w:szCs w:val="24"/>
          <w:vertAlign w:val="subscript"/>
          <w:lang w:val="el-GR"/>
        </w:rPr>
        <w:t>0</w:t>
      </w:r>
      <w:r>
        <w:rPr>
          <w:rFonts w:ascii="Times New Roman" w:hAnsi="Times New Roman" w:cs="Times New Roman"/>
          <w:i/>
          <w:iCs/>
          <w:sz w:val="24"/>
          <w:szCs w:val="24"/>
          <w:lang w:val="el-GR"/>
        </w:rPr>
        <w:t>…………………..Equation 1</w:t>
      </w:r>
    </w:p>
    <w:p w:rsidR="00B44B07" w:rsidRDefault="00B44B07" w:rsidP="00C22851">
      <w:pPr>
        <w:autoSpaceDE w:val="0"/>
        <w:autoSpaceDN w:val="0"/>
        <w:adjustRightInd w:val="0"/>
        <w:spacing w:after="0" w:line="408" w:lineRule="auto"/>
        <w:jc w:val="both"/>
        <w:rPr>
          <w:rFonts w:ascii="Times New Roman" w:hAnsi="Times New Roman" w:cs="Times New Roman"/>
          <w:i/>
          <w:iCs/>
          <w:sz w:val="24"/>
          <w:szCs w:val="24"/>
          <w:lang w:val="el-GR"/>
        </w:rPr>
      </w:pPr>
      <w:r>
        <w:rPr>
          <w:rFonts w:ascii="Times New Roman" w:hAnsi="Times New Roman" w:cs="Times New Roman"/>
          <w:i/>
          <w:iCs/>
          <w:sz w:val="24"/>
          <w:szCs w:val="24"/>
        </w:rPr>
        <w:t xml:space="preserve">SALE = </w:t>
      </w:r>
      <w:r>
        <w:rPr>
          <w:rFonts w:ascii="Times New Roman" w:hAnsi="Times New Roman" w:cs="Times New Roman"/>
          <w:i/>
          <w:iCs/>
          <w:sz w:val="24"/>
          <w:szCs w:val="24"/>
          <w:lang w:val="el-GR"/>
        </w:rPr>
        <w:t>β</w:t>
      </w:r>
      <w:r>
        <w:rPr>
          <w:rFonts w:ascii="Times New Roman" w:hAnsi="Times New Roman" w:cs="Times New Roman"/>
          <w:i/>
          <w:iCs/>
          <w:sz w:val="24"/>
          <w:szCs w:val="24"/>
          <w:vertAlign w:val="subscript"/>
          <w:lang w:val="el-GR"/>
        </w:rPr>
        <w:t>o</w:t>
      </w:r>
      <w:r>
        <w:rPr>
          <w:rFonts w:ascii="Times New Roman" w:hAnsi="Times New Roman" w:cs="Times New Roman"/>
          <w:i/>
          <w:iCs/>
          <w:sz w:val="24"/>
          <w:szCs w:val="24"/>
          <w:lang w:val="el-GR"/>
        </w:rPr>
        <w:t xml:space="preserve"> + WEF</w:t>
      </w:r>
      <w:r>
        <w:rPr>
          <w:rFonts w:ascii="Times New Roman" w:hAnsi="Times New Roman" w:cs="Times New Roman"/>
          <w:i/>
          <w:iCs/>
          <w:sz w:val="24"/>
          <w:szCs w:val="24"/>
          <w:vertAlign w:val="subscript"/>
          <w:lang w:val="el-GR"/>
        </w:rPr>
        <w:t>CSR</w:t>
      </w:r>
      <w:r>
        <w:rPr>
          <w:rFonts w:ascii="Times New Roman" w:hAnsi="Times New Roman" w:cs="Times New Roman"/>
          <w:i/>
          <w:iCs/>
          <w:sz w:val="24"/>
          <w:szCs w:val="24"/>
          <w:lang w:val="el-GR"/>
        </w:rPr>
        <w:t>+ ε</w:t>
      </w:r>
      <w:r>
        <w:rPr>
          <w:rFonts w:ascii="Times New Roman" w:hAnsi="Times New Roman" w:cs="Times New Roman"/>
          <w:i/>
          <w:iCs/>
          <w:sz w:val="24"/>
          <w:szCs w:val="24"/>
          <w:vertAlign w:val="subscript"/>
          <w:lang w:val="el-GR"/>
        </w:rPr>
        <w:t>0</w:t>
      </w:r>
      <w:r>
        <w:rPr>
          <w:rFonts w:ascii="Times New Roman" w:hAnsi="Times New Roman" w:cs="Times New Roman"/>
          <w:i/>
          <w:iCs/>
          <w:sz w:val="24"/>
          <w:szCs w:val="24"/>
          <w:lang w:val="el-GR"/>
        </w:rPr>
        <w:t>………………….equation 2</w:t>
      </w:r>
    </w:p>
    <w:p w:rsidR="00B44B07" w:rsidRDefault="00B44B07" w:rsidP="00C22851">
      <w:pPr>
        <w:autoSpaceDE w:val="0"/>
        <w:autoSpaceDN w:val="0"/>
        <w:adjustRightInd w:val="0"/>
        <w:spacing w:after="0" w:line="408" w:lineRule="auto"/>
        <w:jc w:val="both"/>
        <w:rPr>
          <w:rFonts w:ascii="Times New Roman" w:hAnsi="Times New Roman" w:cs="Times New Roman"/>
          <w:i/>
          <w:iCs/>
          <w:sz w:val="24"/>
          <w:szCs w:val="24"/>
          <w:lang w:val="el-GR"/>
        </w:rPr>
      </w:pPr>
      <w:r>
        <w:rPr>
          <w:rFonts w:ascii="Times New Roman" w:hAnsi="Times New Roman" w:cs="Times New Roman"/>
          <w:i/>
          <w:iCs/>
          <w:sz w:val="24"/>
          <w:szCs w:val="24"/>
        </w:rPr>
        <w:t xml:space="preserve">EQUITY = </w:t>
      </w:r>
      <w:r>
        <w:rPr>
          <w:rFonts w:ascii="Times New Roman" w:hAnsi="Times New Roman" w:cs="Times New Roman"/>
          <w:i/>
          <w:iCs/>
          <w:sz w:val="24"/>
          <w:szCs w:val="24"/>
          <w:lang w:val="el-GR"/>
        </w:rPr>
        <w:t>β</w:t>
      </w:r>
      <w:r>
        <w:rPr>
          <w:rFonts w:ascii="Times New Roman" w:hAnsi="Times New Roman" w:cs="Times New Roman"/>
          <w:i/>
          <w:iCs/>
          <w:sz w:val="24"/>
          <w:szCs w:val="24"/>
          <w:vertAlign w:val="subscript"/>
          <w:lang w:val="el-GR"/>
        </w:rPr>
        <w:t>o</w:t>
      </w:r>
      <w:r>
        <w:rPr>
          <w:rFonts w:ascii="Times New Roman" w:hAnsi="Times New Roman" w:cs="Times New Roman"/>
          <w:i/>
          <w:iCs/>
          <w:sz w:val="24"/>
          <w:szCs w:val="24"/>
          <w:lang w:val="el-GR"/>
        </w:rPr>
        <w:t xml:space="preserve"> +IDE</w:t>
      </w:r>
      <w:r>
        <w:rPr>
          <w:rFonts w:ascii="Times New Roman" w:hAnsi="Times New Roman" w:cs="Times New Roman"/>
          <w:i/>
          <w:iCs/>
          <w:sz w:val="24"/>
          <w:szCs w:val="24"/>
          <w:vertAlign w:val="subscript"/>
          <w:lang w:val="el-GR"/>
        </w:rPr>
        <w:t>CSR</w:t>
      </w:r>
      <w:r>
        <w:rPr>
          <w:rFonts w:ascii="Times New Roman" w:hAnsi="Times New Roman" w:cs="Times New Roman"/>
          <w:i/>
          <w:iCs/>
          <w:sz w:val="24"/>
          <w:szCs w:val="24"/>
          <w:lang w:val="el-GR"/>
        </w:rPr>
        <w:t xml:space="preserve"> + ε</w:t>
      </w:r>
      <w:r>
        <w:rPr>
          <w:rFonts w:ascii="Times New Roman" w:hAnsi="Times New Roman" w:cs="Times New Roman"/>
          <w:i/>
          <w:iCs/>
          <w:sz w:val="24"/>
          <w:szCs w:val="24"/>
          <w:vertAlign w:val="subscript"/>
          <w:lang w:val="el-GR"/>
        </w:rPr>
        <w:t>0</w:t>
      </w:r>
      <w:r>
        <w:rPr>
          <w:rFonts w:ascii="Times New Roman" w:hAnsi="Times New Roman" w:cs="Times New Roman"/>
          <w:i/>
          <w:iCs/>
          <w:sz w:val="24"/>
          <w:szCs w:val="24"/>
          <w:lang w:val="el-GR"/>
        </w:rPr>
        <w:t>…………………..equation 3</w:t>
      </w:r>
    </w:p>
    <w:p w:rsidR="00B44B07" w:rsidRDefault="00B44B07" w:rsidP="00C22851">
      <w:pPr>
        <w:autoSpaceDE w:val="0"/>
        <w:autoSpaceDN w:val="0"/>
        <w:adjustRightInd w:val="0"/>
        <w:spacing w:after="0" w:line="408" w:lineRule="auto"/>
        <w:jc w:val="both"/>
        <w:rPr>
          <w:rFonts w:ascii="Times New Roman" w:hAnsi="Times New Roman" w:cs="Times New Roman"/>
          <w:i/>
          <w:iCs/>
          <w:sz w:val="24"/>
          <w:szCs w:val="24"/>
          <w:lang w:val="el-GR"/>
        </w:rPr>
      </w:pPr>
      <w:r>
        <w:rPr>
          <w:rFonts w:ascii="Times New Roman" w:hAnsi="Times New Roman" w:cs="Times New Roman"/>
          <w:i/>
          <w:iCs/>
          <w:sz w:val="24"/>
          <w:szCs w:val="24"/>
        </w:rPr>
        <w:t xml:space="preserve">EARNS = </w:t>
      </w:r>
      <w:r>
        <w:rPr>
          <w:rFonts w:ascii="Times New Roman" w:hAnsi="Times New Roman" w:cs="Times New Roman"/>
          <w:i/>
          <w:iCs/>
          <w:sz w:val="24"/>
          <w:szCs w:val="24"/>
          <w:lang w:val="el-GR"/>
        </w:rPr>
        <w:t>β</w:t>
      </w:r>
      <w:r>
        <w:rPr>
          <w:rFonts w:ascii="Times New Roman" w:hAnsi="Times New Roman" w:cs="Times New Roman"/>
          <w:i/>
          <w:iCs/>
          <w:sz w:val="24"/>
          <w:szCs w:val="24"/>
          <w:vertAlign w:val="subscript"/>
          <w:lang w:val="el-GR"/>
        </w:rPr>
        <w:t>o</w:t>
      </w:r>
      <w:r>
        <w:rPr>
          <w:rFonts w:ascii="Times New Roman" w:hAnsi="Times New Roman" w:cs="Times New Roman"/>
          <w:i/>
          <w:iCs/>
          <w:sz w:val="24"/>
          <w:szCs w:val="24"/>
          <w:lang w:val="el-GR"/>
        </w:rPr>
        <w:t xml:space="preserve"> +CHE</w:t>
      </w:r>
      <w:r>
        <w:rPr>
          <w:rFonts w:ascii="Times New Roman" w:hAnsi="Times New Roman" w:cs="Times New Roman"/>
          <w:i/>
          <w:iCs/>
          <w:sz w:val="24"/>
          <w:szCs w:val="24"/>
          <w:vertAlign w:val="subscript"/>
          <w:lang w:val="el-GR"/>
        </w:rPr>
        <w:t>CSR</w:t>
      </w:r>
      <w:r>
        <w:rPr>
          <w:rFonts w:ascii="Times New Roman" w:hAnsi="Times New Roman" w:cs="Times New Roman"/>
          <w:i/>
          <w:iCs/>
          <w:sz w:val="24"/>
          <w:szCs w:val="24"/>
          <w:lang w:val="el-GR"/>
        </w:rPr>
        <w:t>+ ε</w:t>
      </w:r>
      <w:r>
        <w:rPr>
          <w:rFonts w:ascii="Times New Roman" w:hAnsi="Times New Roman" w:cs="Times New Roman"/>
          <w:i/>
          <w:iCs/>
          <w:sz w:val="24"/>
          <w:szCs w:val="24"/>
          <w:vertAlign w:val="subscript"/>
          <w:lang w:val="el-GR"/>
        </w:rPr>
        <w:t>0</w:t>
      </w:r>
      <w:r>
        <w:rPr>
          <w:rFonts w:ascii="Times New Roman" w:hAnsi="Times New Roman" w:cs="Times New Roman"/>
          <w:i/>
          <w:iCs/>
          <w:sz w:val="24"/>
          <w:szCs w:val="24"/>
          <w:lang w:val="el-GR"/>
        </w:rPr>
        <w:t>……………….......equation 4</w:t>
      </w:r>
    </w:p>
    <w:p w:rsidR="00B44B07" w:rsidRDefault="00B44B07" w:rsidP="00C22851">
      <w:pPr>
        <w:autoSpaceDE w:val="0"/>
        <w:autoSpaceDN w:val="0"/>
        <w:adjustRightInd w:val="0"/>
        <w:spacing w:after="0" w:line="408" w:lineRule="auto"/>
        <w:jc w:val="both"/>
        <w:rPr>
          <w:rFonts w:ascii="Times New Roman" w:hAnsi="Times New Roman" w:cs="Times New Roman"/>
          <w:i/>
          <w:iCs/>
          <w:sz w:val="24"/>
          <w:szCs w:val="24"/>
        </w:rPr>
      </w:pPr>
      <w:r>
        <w:rPr>
          <w:rFonts w:ascii="Times New Roman" w:hAnsi="Times New Roman" w:cs="Times New Roman"/>
          <w:i/>
          <w:iCs/>
          <w:sz w:val="24"/>
          <w:szCs w:val="24"/>
        </w:rPr>
        <w:t>WHERE;</w:t>
      </w:r>
    </w:p>
    <w:p w:rsidR="00B44B07" w:rsidRDefault="00B44B07" w:rsidP="00C22851">
      <w:pPr>
        <w:autoSpaceDE w:val="0"/>
        <w:autoSpaceDN w:val="0"/>
        <w:adjustRightInd w:val="0"/>
        <w:spacing w:after="0" w:line="408" w:lineRule="auto"/>
        <w:jc w:val="both"/>
        <w:rPr>
          <w:rFonts w:ascii="Times New Roman" w:hAnsi="Times New Roman" w:cs="Times New Roman"/>
          <w:i/>
          <w:iCs/>
          <w:sz w:val="24"/>
          <w:szCs w:val="24"/>
        </w:rPr>
      </w:pPr>
      <w:r>
        <w:rPr>
          <w:rFonts w:ascii="Times New Roman" w:hAnsi="Times New Roman" w:cs="Times New Roman"/>
          <w:i/>
          <w:iCs/>
          <w:sz w:val="24"/>
          <w:szCs w:val="24"/>
        </w:rPr>
        <w:t>BG = business growth</w:t>
      </w:r>
    </w:p>
    <w:p w:rsidR="00B44B07" w:rsidRDefault="00B44B07" w:rsidP="00C22851">
      <w:pPr>
        <w:autoSpaceDE w:val="0"/>
        <w:autoSpaceDN w:val="0"/>
        <w:adjustRightInd w:val="0"/>
        <w:spacing w:after="0" w:line="408" w:lineRule="auto"/>
        <w:jc w:val="both"/>
        <w:rPr>
          <w:rFonts w:ascii="Times New Roman" w:hAnsi="Times New Roman" w:cs="Times New Roman"/>
          <w:i/>
          <w:iCs/>
          <w:sz w:val="24"/>
          <w:szCs w:val="24"/>
        </w:rPr>
      </w:pPr>
      <w:r>
        <w:rPr>
          <w:rFonts w:ascii="Times New Roman" w:hAnsi="Times New Roman" w:cs="Times New Roman"/>
          <w:i/>
          <w:iCs/>
          <w:sz w:val="24"/>
          <w:szCs w:val="24"/>
        </w:rPr>
        <w:t>CSR = Corporate social responsibility</w:t>
      </w:r>
    </w:p>
    <w:p w:rsidR="00B44B07" w:rsidRDefault="00B44B07" w:rsidP="00C22851">
      <w:pPr>
        <w:autoSpaceDE w:val="0"/>
        <w:autoSpaceDN w:val="0"/>
        <w:adjustRightInd w:val="0"/>
        <w:spacing w:after="0" w:line="408" w:lineRule="auto"/>
        <w:jc w:val="both"/>
        <w:rPr>
          <w:rFonts w:ascii="Times New Roman" w:hAnsi="Times New Roman" w:cs="Times New Roman"/>
          <w:i/>
          <w:iCs/>
          <w:sz w:val="24"/>
          <w:szCs w:val="24"/>
        </w:rPr>
      </w:pPr>
      <w:r>
        <w:rPr>
          <w:rFonts w:ascii="Times New Roman" w:hAnsi="Times New Roman" w:cs="Times New Roman"/>
          <w:i/>
          <w:iCs/>
          <w:sz w:val="24"/>
          <w:szCs w:val="24"/>
        </w:rPr>
        <w:t>CDE</w:t>
      </w:r>
      <w:r>
        <w:rPr>
          <w:rFonts w:ascii="Times New Roman" w:hAnsi="Times New Roman" w:cs="Times New Roman"/>
          <w:i/>
          <w:iCs/>
          <w:sz w:val="24"/>
          <w:szCs w:val="24"/>
          <w:vertAlign w:val="subscript"/>
        </w:rPr>
        <w:t>CSR</w:t>
      </w:r>
      <w:r>
        <w:rPr>
          <w:rFonts w:ascii="Times New Roman" w:hAnsi="Times New Roman" w:cs="Times New Roman"/>
          <w:i/>
          <w:iCs/>
          <w:sz w:val="24"/>
          <w:szCs w:val="24"/>
        </w:rPr>
        <w:t xml:space="preserve"> = Corporate social responsibility directed over community development expenditure</w:t>
      </w:r>
    </w:p>
    <w:p w:rsidR="00B44B07" w:rsidRDefault="00B44B07" w:rsidP="00C22851">
      <w:pPr>
        <w:autoSpaceDE w:val="0"/>
        <w:autoSpaceDN w:val="0"/>
        <w:adjustRightInd w:val="0"/>
        <w:spacing w:after="0" w:line="408" w:lineRule="auto"/>
        <w:jc w:val="both"/>
        <w:rPr>
          <w:rFonts w:ascii="Times New Roman" w:hAnsi="Times New Roman" w:cs="Times New Roman"/>
          <w:i/>
          <w:iCs/>
          <w:sz w:val="24"/>
          <w:szCs w:val="24"/>
        </w:rPr>
      </w:pPr>
      <w:r>
        <w:rPr>
          <w:rFonts w:ascii="Times New Roman" w:hAnsi="Times New Roman" w:cs="Times New Roman"/>
          <w:i/>
          <w:iCs/>
          <w:sz w:val="24"/>
          <w:szCs w:val="24"/>
        </w:rPr>
        <w:t>WEF</w:t>
      </w:r>
      <w:r>
        <w:rPr>
          <w:rFonts w:ascii="Times New Roman" w:hAnsi="Times New Roman" w:cs="Times New Roman"/>
          <w:i/>
          <w:iCs/>
          <w:sz w:val="24"/>
          <w:szCs w:val="24"/>
          <w:vertAlign w:val="subscript"/>
        </w:rPr>
        <w:t>CSR</w:t>
      </w:r>
      <w:r>
        <w:rPr>
          <w:rFonts w:ascii="Times New Roman" w:hAnsi="Times New Roman" w:cs="Times New Roman"/>
          <w:i/>
          <w:iCs/>
          <w:sz w:val="24"/>
          <w:szCs w:val="24"/>
        </w:rPr>
        <w:t xml:space="preserve"> = Corporate social responsibility directed over welfare expenditure</w:t>
      </w:r>
    </w:p>
    <w:p w:rsidR="00B44B07" w:rsidRDefault="00B44B07" w:rsidP="00C22851">
      <w:pPr>
        <w:autoSpaceDE w:val="0"/>
        <w:autoSpaceDN w:val="0"/>
        <w:adjustRightInd w:val="0"/>
        <w:spacing w:after="0" w:line="408" w:lineRule="auto"/>
        <w:jc w:val="both"/>
        <w:rPr>
          <w:rFonts w:ascii="Times New Roman" w:hAnsi="Times New Roman" w:cs="Times New Roman"/>
          <w:i/>
          <w:iCs/>
          <w:sz w:val="24"/>
          <w:szCs w:val="24"/>
        </w:rPr>
      </w:pPr>
      <w:r>
        <w:rPr>
          <w:rFonts w:ascii="Times New Roman" w:hAnsi="Times New Roman" w:cs="Times New Roman"/>
          <w:i/>
          <w:iCs/>
          <w:sz w:val="24"/>
          <w:szCs w:val="24"/>
        </w:rPr>
        <w:t>IDE</w:t>
      </w:r>
      <w:r>
        <w:rPr>
          <w:rFonts w:ascii="Times New Roman" w:hAnsi="Times New Roman" w:cs="Times New Roman"/>
          <w:i/>
          <w:iCs/>
          <w:sz w:val="24"/>
          <w:szCs w:val="24"/>
          <w:vertAlign w:val="subscript"/>
        </w:rPr>
        <w:t>CSR</w:t>
      </w:r>
      <w:r>
        <w:rPr>
          <w:rFonts w:ascii="Times New Roman" w:hAnsi="Times New Roman" w:cs="Times New Roman"/>
          <w:i/>
          <w:iCs/>
          <w:sz w:val="24"/>
          <w:szCs w:val="24"/>
        </w:rPr>
        <w:t xml:space="preserve"> = Corporate social responsibility directed over infrastructural dev. expenditure</w:t>
      </w:r>
    </w:p>
    <w:p w:rsidR="00B44B07" w:rsidRDefault="00B44B07" w:rsidP="00C22851">
      <w:pPr>
        <w:autoSpaceDE w:val="0"/>
        <w:autoSpaceDN w:val="0"/>
        <w:adjustRightInd w:val="0"/>
        <w:spacing w:after="0" w:line="408" w:lineRule="auto"/>
        <w:jc w:val="both"/>
        <w:rPr>
          <w:rFonts w:ascii="Times New Roman" w:hAnsi="Times New Roman" w:cs="Times New Roman"/>
          <w:i/>
          <w:iCs/>
          <w:sz w:val="24"/>
          <w:szCs w:val="24"/>
        </w:rPr>
      </w:pPr>
      <w:r>
        <w:rPr>
          <w:rFonts w:ascii="Times New Roman" w:hAnsi="Times New Roman" w:cs="Times New Roman"/>
          <w:i/>
          <w:iCs/>
          <w:sz w:val="24"/>
          <w:szCs w:val="24"/>
        </w:rPr>
        <w:t>CHE</w:t>
      </w:r>
      <w:r>
        <w:rPr>
          <w:rFonts w:ascii="Times New Roman" w:hAnsi="Times New Roman" w:cs="Times New Roman"/>
          <w:i/>
          <w:iCs/>
          <w:sz w:val="24"/>
          <w:szCs w:val="24"/>
          <w:vertAlign w:val="subscript"/>
        </w:rPr>
        <w:t>CSR</w:t>
      </w:r>
      <w:r>
        <w:rPr>
          <w:rFonts w:ascii="Times New Roman" w:hAnsi="Times New Roman" w:cs="Times New Roman"/>
          <w:i/>
          <w:iCs/>
          <w:sz w:val="24"/>
          <w:szCs w:val="24"/>
        </w:rPr>
        <w:t xml:space="preserve"> =Corporate social responsibility directed over charitable expenditure</w:t>
      </w:r>
    </w:p>
    <w:p w:rsidR="00B44B07" w:rsidRDefault="00B44B07" w:rsidP="00C22851">
      <w:pPr>
        <w:autoSpaceDE w:val="0"/>
        <w:autoSpaceDN w:val="0"/>
        <w:adjustRightInd w:val="0"/>
        <w:spacing w:after="0" w:line="408" w:lineRule="auto"/>
        <w:jc w:val="both"/>
        <w:rPr>
          <w:rFonts w:ascii="Times New Roman" w:hAnsi="Times New Roman" w:cs="Times New Roman"/>
          <w:i/>
          <w:iCs/>
          <w:sz w:val="24"/>
          <w:szCs w:val="24"/>
          <w:lang w:val="el-GR"/>
        </w:rPr>
      </w:pPr>
      <w:r>
        <w:rPr>
          <w:rFonts w:ascii="Times New Roman" w:hAnsi="Times New Roman" w:cs="Times New Roman"/>
          <w:i/>
          <w:iCs/>
          <w:sz w:val="24"/>
          <w:szCs w:val="24"/>
          <w:lang w:val="el-GR"/>
        </w:rPr>
        <w:t>Β</w:t>
      </w:r>
      <w:r>
        <w:rPr>
          <w:rFonts w:ascii="Times New Roman" w:hAnsi="Times New Roman" w:cs="Times New Roman"/>
          <w:i/>
          <w:iCs/>
          <w:sz w:val="24"/>
          <w:szCs w:val="24"/>
          <w:vertAlign w:val="subscript"/>
          <w:lang w:val="el-GR"/>
        </w:rPr>
        <w:t>0</w:t>
      </w:r>
      <w:r>
        <w:rPr>
          <w:rFonts w:ascii="Times New Roman" w:hAnsi="Times New Roman" w:cs="Times New Roman"/>
          <w:i/>
          <w:iCs/>
          <w:sz w:val="24"/>
          <w:szCs w:val="24"/>
          <w:lang w:val="el-GR"/>
        </w:rPr>
        <w:t xml:space="preserve"> =intercept of the nodel</w:t>
      </w:r>
    </w:p>
    <w:p w:rsidR="00B44B07" w:rsidRDefault="00B44B07" w:rsidP="00C22851">
      <w:pPr>
        <w:autoSpaceDE w:val="0"/>
        <w:autoSpaceDN w:val="0"/>
        <w:adjustRightInd w:val="0"/>
        <w:spacing w:after="0" w:line="408" w:lineRule="auto"/>
        <w:jc w:val="both"/>
        <w:rPr>
          <w:rFonts w:ascii="Times New Roman" w:hAnsi="Times New Roman" w:cs="Times New Roman"/>
          <w:b/>
          <w:bCs/>
          <w:sz w:val="24"/>
          <w:szCs w:val="24"/>
          <w:lang w:val="el-GR"/>
        </w:rPr>
      </w:pPr>
      <w:r>
        <w:rPr>
          <w:rFonts w:ascii="Times New Roman" w:hAnsi="Times New Roman" w:cs="Times New Roman"/>
          <w:i/>
          <w:iCs/>
          <w:sz w:val="24"/>
          <w:szCs w:val="24"/>
          <w:lang w:val="el-GR"/>
        </w:rPr>
        <w:t>ε</w:t>
      </w:r>
      <w:r>
        <w:rPr>
          <w:rFonts w:ascii="Times New Roman" w:hAnsi="Times New Roman" w:cs="Times New Roman"/>
          <w:i/>
          <w:iCs/>
          <w:sz w:val="24"/>
          <w:szCs w:val="24"/>
          <w:vertAlign w:val="subscript"/>
          <w:lang w:val="el-GR"/>
        </w:rPr>
        <w:t>0</w:t>
      </w:r>
      <w:r>
        <w:rPr>
          <w:rFonts w:ascii="Times New Roman" w:hAnsi="Times New Roman" w:cs="Times New Roman"/>
          <w:i/>
          <w:iCs/>
          <w:sz w:val="24"/>
          <w:szCs w:val="24"/>
          <w:lang w:val="el-GR"/>
        </w:rPr>
        <w:t xml:space="preserve"> = Stochastic error</w:t>
      </w:r>
    </w:p>
    <w:p w:rsidR="00C22851" w:rsidRDefault="00C22851" w:rsidP="00C35033">
      <w:pPr>
        <w:autoSpaceDE w:val="0"/>
        <w:autoSpaceDN w:val="0"/>
        <w:adjustRightInd w:val="0"/>
        <w:spacing w:after="0" w:line="360" w:lineRule="auto"/>
        <w:jc w:val="both"/>
        <w:rPr>
          <w:rFonts w:ascii="Times New Roman" w:hAnsi="Times New Roman" w:cs="Times New Roman"/>
          <w:b/>
          <w:bCs/>
          <w:sz w:val="24"/>
          <w:szCs w:val="24"/>
        </w:rPr>
      </w:pPr>
    </w:p>
    <w:p w:rsidR="00C22851" w:rsidRDefault="00C22851" w:rsidP="00C35033">
      <w:pPr>
        <w:autoSpaceDE w:val="0"/>
        <w:autoSpaceDN w:val="0"/>
        <w:adjustRightInd w:val="0"/>
        <w:spacing w:after="0" w:line="360" w:lineRule="auto"/>
        <w:jc w:val="both"/>
        <w:rPr>
          <w:rFonts w:ascii="Times New Roman" w:hAnsi="Times New Roman" w:cs="Times New Roman"/>
          <w:b/>
          <w:bCs/>
          <w:sz w:val="24"/>
          <w:szCs w:val="24"/>
        </w:rPr>
      </w:pPr>
    </w:p>
    <w:p w:rsidR="00C22851" w:rsidRDefault="00C22851" w:rsidP="00C35033">
      <w:pPr>
        <w:autoSpaceDE w:val="0"/>
        <w:autoSpaceDN w:val="0"/>
        <w:adjustRightInd w:val="0"/>
        <w:spacing w:after="0" w:line="360" w:lineRule="auto"/>
        <w:jc w:val="both"/>
        <w:rPr>
          <w:rFonts w:ascii="Times New Roman" w:hAnsi="Times New Roman" w:cs="Times New Roman"/>
          <w:b/>
          <w:bCs/>
          <w:sz w:val="24"/>
          <w:szCs w:val="24"/>
        </w:rPr>
      </w:pPr>
    </w:p>
    <w:p w:rsidR="00C22851" w:rsidRDefault="00C22851" w:rsidP="00C35033">
      <w:pPr>
        <w:autoSpaceDE w:val="0"/>
        <w:autoSpaceDN w:val="0"/>
        <w:adjustRightInd w:val="0"/>
        <w:spacing w:after="0" w:line="360" w:lineRule="auto"/>
        <w:jc w:val="both"/>
        <w:rPr>
          <w:rFonts w:ascii="Times New Roman" w:hAnsi="Times New Roman" w:cs="Times New Roman"/>
          <w:b/>
          <w:bCs/>
          <w:sz w:val="24"/>
          <w:szCs w:val="24"/>
        </w:rPr>
      </w:pPr>
    </w:p>
    <w:p w:rsidR="00C22851" w:rsidRDefault="00C22851" w:rsidP="00C22851">
      <w:pPr>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rsidR="00B44B07" w:rsidRDefault="00C22851" w:rsidP="00C22851">
      <w:pPr>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DATA ANALYSIS AND INTERPRETATIONS</w:t>
      </w:r>
    </w:p>
    <w:p w:rsidR="00C22851" w:rsidRDefault="00C22851" w:rsidP="00C22851">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4.1</w:t>
      </w:r>
      <w:r>
        <w:rPr>
          <w:rFonts w:ascii="Times New Roman" w:hAnsi="Times New Roman" w:cs="Times New Roman"/>
          <w:b/>
          <w:bCs/>
          <w:sz w:val="24"/>
          <w:szCs w:val="24"/>
        </w:rPr>
        <w:tab/>
        <w:t>Data Analysis</w:t>
      </w:r>
    </w:p>
    <w:tbl>
      <w:tblPr>
        <w:tblW w:w="0" w:type="auto"/>
        <w:tblInd w:w="-4" w:type="dxa"/>
        <w:tblLayout w:type="fixed"/>
        <w:tblLook w:val="0000"/>
      </w:tblPr>
      <w:tblGrid>
        <w:gridCol w:w="2302"/>
        <w:gridCol w:w="2751"/>
        <w:gridCol w:w="2511"/>
      </w:tblGrid>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 xml:space="preserve">Years </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CSR Expenditure (</w:t>
            </w:r>
            <w:r>
              <w:rPr>
                <w:rFonts w:ascii="Times New Roman" w:hAnsi="Times New Roman" w:cs="Times New Roman"/>
                <w:b/>
                <w:bCs/>
                <w:strike/>
                <w:sz w:val="24"/>
                <w:szCs w:val="24"/>
              </w:rPr>
              <w:t>N</w:t>
            </w:r>
            <w:r>
              <w:rPr>
                <w:rFonts w:ascii="Times New Roman" w:hAnsi="Times New Roman" w:cs="Times New Roman"/>
                <w:b/>
                <w:bCs/>
                <w:sz w:val="24"/>
                <w:szCs w:val="24"/>
              </w:rPr>
              <w:t>)</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Profit after tax (%)</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2009</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6,317,100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41</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2010</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30,271,500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91</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2011</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56,881,250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86</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2012</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27,240,250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88</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2013</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29,607,000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75</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2014</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24,038,130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51</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2015</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76,966,220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93</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 xml:space="preserve">Total </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251,321,450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525</w:t>
            </w:r>
          </w:p>
        </w:tc>
      </w:tr>
    </w:tbl>
    <w:p w:rsidR="00B44B07" w:rsidRDefault="00B44B07" w:rsidP="00C35033">
      <w:pPr>
        <w:autoSpaceDE w:val="0"/>
        <w:autoSpaceDN w:val="0"/>
        <w:adjustRightInd w:val="0"/>
        <w:spacing w:after="0" w:line="360" w:lineRule="auto"/>
        <w:jc w:val="both"/>
        <w:rPr>
          <w:rFonts w:ascii="Times New Roman" w:hAnsi="Times New Roman" w:cs="Times New Roman"/>
          <w:b/>
          <w:bCs/>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The table above demonstrates that the sum of corporate social responsibility directed at community development expenditure of the sampled firms is </w:t>
      </w:r>
      <w:r>
        <w:rPr>
          <w:rFonts w:ascii="Times New Roman" w:hAnsi="Times New Roman" w:cs="Times New Roman"/>
          <w:strike/>
          <w:sz w:val="24"/>
          <w:szCs w:val="24"/>
        </w:rPr>
        <w:t>N</w:t>
      </w:r>
      <w:r>
        <w:rPr>
          <w:rFonts w:ascii="Times New Roman" w:hAnsi="Times New Roman" w:cs="Times New Roman"/>
          <w:sz w:val="24"/>
          <w:szCs w:val="24"/>
        </w:rPr>
        <w:t>251,321,450 and this yield a sum profit after tax of 525% within the seven years period of their continuous pursuance of business operation.</w:t>
      </w:r>
    </w:p>
    <w:p w:rsidR="00B44B07" w:rsidRDefault="00B44B07" w:rsidP="00C35033">
      <w:pPr>
        <w:autoSpaceDE w:val="0"/>
        <w:autoSpaceDN w:val="0"/>
        <w:adjustRightInd w:val="0"/>
        <w:spacing w:after="0" w:line="360" w:lineRule="auto"/>
        <w:jc w:val="both"/>
        <w:rPr>
          <w:rFonts w:ascii="Times New Roman" w:hAnsi="Times New Roman" w:cs="Times New Roman"/>
          <w:b/>
          <w:bCs/>
          <w:sz w:val="24"/>
          <w:szCs w:val="24"/>
        </w:rPr>
      </w:pPr>
    </w:p>
    <w:tbl>
      <w:tblPr>
        <w:tblW w:w="0" w:type="auto"/>
        <w:tblInd w:w="-4" w:type="dxa"/>
        <w:tblLayout w:type="fixed"/>
        <w:tblLook w:val="0000"/>
      </w:tblPr>
      <w:tblGrid>
        <w:gridCol w:w="2302"/>
        <w:gridCol w:w="2751"/>
        <w:gridCol w:w="2511"/>
      </w:tblGrid>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 xml:space="preserve">Years </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CSR Expenditure (</w:t>
            </w:r>
            <w:r>
              <w:rPr>
                <w:rFonts w:ascii="Times New Roman" w:hAnsi="Times New Roman" w:cs="Times New Roman"/>
                <w:b/>
                <w:bCs/>
                <w:strike/>
                <w:sz w:val="24"/>
                <w:szCs w:val="24"/>
              </w:rPr>
              <w:t>N</w:t>
            </w:r>
            <w:r>
              <w:rPr>
                <w:rFonts w:ascii="Times New Roman" w:hAnsi="Times New Roman" w:cs="Times New Roman"/>
                <w:b/>
                <w:bCs/>
                <w:sz w:val="24"/>
                <w:szCs w:val="24"/>
              </w:rPr>
              <w:t>)</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Sales (%)</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2009</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63,201,000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57</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2010</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31,265,500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72</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2011</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57,371,250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47</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2012</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27,000,250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37</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2013</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29,707,000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50</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2014</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231,138,130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135</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2015</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58,749,020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31</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 xml:space="preserve">Total </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498,432,150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429</w:t>
            </w:r>
          </w:p>
        </w:tc>
      </w:tr>
    </w:tbl>
    <w:p w:rsidR="00B44B07" w:rsidRDefault="00B44B07" w:rsidP="00C35033">
      <w:pPr>
        <w:autoSpaceDE w:val="0"/>
        <w:autoSpaceDN w:val="0"/>
        <w:adjustRightInd w:val="0"/>
        <w:spacing w:after="0" w:line="360" w:lineRule="auto"/>
        <w:jc w:val="both"/>
        <w:rPr>
          <w:rFonts w:ascii="Times New Roman" w:hAnsi="Times New Roman" w:cs="Times New Roman"/>
          <w:b/>
          <w:bCs/>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table above demonstrates that the sum of corporate social responsibility directed at welfare expenditure of the sampled firms is </w:t>
      </w:r>
      <w:r>
        <w:rPr>
          <w:rFonts w:ascii="Times New Roman" w:hAnsi="Times New Roman" w:cs="Times New Roman"/>
          <w:strike/>
          <w:sz w:val="24"/>
          <w:szCs w:val="24"/>
        </w:rPr>
        <w:t>N</w:t>
      </w:r>
      <w:r>
        <w:rPr>
          <w:rFonts w:ascii="Times New Roman" w:hAnsi="Times New Roman" w:cs="Times New Roman"/>
          <w:sz w:val="24"/>
          <w:szCs w:val="24"/>
        </w:rPr>
        <w:t xml:space="preserve"> 498,432,150 and this yield a sum increase in Sales by 429% within the period of seven years of their continuous line of business operation.</w:t>
      </w:r>
    </w:p>
    <w:p w:rsidR="00B44B07" w:rsidRDefault="00B44B07" w:rsidP="00C35033">
      <w:pPr>
        <w:autoSpaceDE w:val="0"/>
        <w:autoSpaceDN w:val="0"/>
        <w:adjustRightInd w:val="0"/>
        <w:spacing w:after="0" w:line="360" w:lineRule="auto"/>
        <w:jc w:val="both"/>
        <w:rPr>
          <w:rFonts w:ascii="Times New Roman" w:hAnsi="Times New Roman" w:cs="Times New Roman"/>
          <w:b/>
          <w:bCs/>
          <w:sz w:val="24"/>
          <w:szCs w:val="24"/>
        </w:rPr>
      </w:pPr>
    </w:p>
    <w:tbl>
      <w:tblPr>
        <w:tblW w:w="0" w:type="auto"/>
        <w:tblInd w:w="-4" w:type="dxa"/>
        <w:tblLayout w:type="fixed"/>
        <w:tblLook w:val="0000"/>
      </w:tblPr>
      <w:tblGrid>
        <w:gridCol w:w="2302"/>
        <w:gridCol w:w="2751"/>
        <w:gridCol w:w="2511"/>
      </w:tblGrid>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 xml:space="preserve">Years </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CSR Expenditure (</w:t>
            </w:r>
            <w:r>
              <w:rPr>
                <w:rFonts w:ascii="Times New Roman" w:hAnsi="Times New Roman" w:cs="Times New Roman"/>
                <w:b/>
                <w:bCs/>
                <w:strike/>
                <w:sz w:val="24"/>
                <w:szCs w:val="24"/>
              </w:rPr>
              <w:t>N</w:t>
            </w:r>
            <w:r>
              <w:rPr>
                <w:rFonts w:ascii="Times New Roman" w:hAnsi="Times New Roman" w:cs="Times New Roman"/>
                <w:b/>
                <w:bCs/>
                <w:sz w:val="24"/>
                <w:szCs w:val="24"/>
              </w:rPr>
              <w:t>)</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Equity (%)</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2009</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63,251,000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93</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2010</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30,287,150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67</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2011</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57,371,250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92</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2012</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27,000,250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26</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2013</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29,707,000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31</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2014</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23,438,130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41</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2015</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71,710,220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 xml:space="preserve">Total </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302,765,000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370</w:t>
            </w:r>
          </w:p>
        </w:tc>
      </w:tr>
    </w:tbl>
    <w:p w:rsidR="00B44B07" w:rsidRDefault="00B44B07" w:rsidP="00C35033">
      <w:pPr>
        <w:autoSpaceDE w:val="0"/>
        <w:autoSpaceDN w:val="0"/>
        <w:adjustRightInd w:val="0"/>
        <w:spacing w:after="0" w:line="360" w:lineRule="auto"/>
        <w:jc w:val="both"/>
        <w:rPr>
          <w:rFonts w:ascii="Times New Roman" w:hAnsi="Times New Roman" w:cs="Times New Roman"/>
          <w:b/>
          <w:bCs/>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 xml:space="preserve">The table above demonstrates that the sum of corporate social responsibility directed at Infrastructural development expenditure of the sampled firms is </w:t>
      </w:r>
      <w:r>
        <w:rPr>
          <w:rFonts w:ascii="Times New Roman" w:hAnsi="Times New Roman" w:cs="Times New Roman"/>
          <w:strike/>
          <w:sz w:val="24"/>
          <w:szCs w:val="24"/>
        </w:rPr>
        <w:t>N</w:t>
      </w:r>
      <w:r>
        <w:rPr>
          <w:rFonts w:ascii="Times New Roman" w:hAnsi="Times New Roman" w:cs="Times New Roman"/>
          <w:sz w:val="24"/>
          <w:szCs w:val="24"/>
        </w:rPr>
        <w:t xml:space="preserve"> 302,765,000 and this yield a sum increase in equity by 370% within the seven years period of their continuous pursuance of business operation.</w:t>
      </w:r>
    </w:p>
    <w:p w:rsidR="00B44B07" w:rsidRDefault="00B44B07" w:rsidP="00C35033">
      <w:pPr>
        <w:autoSpaceDE w:val="0"/>
        <w:autoSpaceDN w:val="0"/>
        <w:adjustRightInd w:val="0"/>
        <w:spacing w:after="0" w:line="360" w:lineRule="auto"/>
        <w:jc w:val="both"/>
        <w:rPr>
          <w:rFonts w:ascii="Times New Roman" w:hAnsi="Times New Roman" w:cs="Times New Roman"/>
          <w:b/>
          <w:bCs/>
          <w:sz w:val="24"/>
          <w:szCs w:val="24"/>
        </w:rPr>
      </w:pPr>
    </w:p>
    <w:tbl>
      <w:tblPr>
        <w:tblW w:w="0" w:type="auto"/>
        <w:tblInd w:w="-4" w:type="dxa"/>
        <w:tblLayout w:type="fixed"/>
        <w:tblLook w:val="0000"/>
      </w:tblPr>
      <w:tblGrid>
        <w:gridCol w:w="2302"/>
        <w:gridCol w:w="2751"/>
        <w:gridCol w:w="2511"/>
      </w:tblGrid>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 xml:space="preserve">Years </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CSR Expenditure (</w:t>
            </w:r>
            <w:r>
              <w:rPr>
                <w:rFonts w:ascii="Times New Roman" w:hAnsi="Times New Roman" w:cs="Times New Roman"/>
                <w:b/>
                <w:bCs/>
                <w:strike/>
                <w:sz w:val="24"/>
                <w:szCs w:val="24"/>
              </w:rPr>
              <w:t>N</w:t>
            </w:r>
            <w:r>
              <w:rPr>
                <w:rFonts w:ascii="Times New Roman" w:hAnsi="Times New Roman" w:cs="Times New Roman"/>
                <w:b/>
                <w:bCs/>
                <w:sz w:val="24"/>
                <w:szCs w:val="24"/>
              </w:rPr>
              <w:t>)</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Earnings (%)</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2009</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63,251,000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141</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2010</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30,288,150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210</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2011</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57,371,250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53</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2012</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27,000,250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53</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2013</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29,707,000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71</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2014</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23,438,130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39</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2015</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62,735,320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84</w:t>
            </w:r>
          </w:p>
        </w:tc>
      </w:tr>
      <w:tr w:rsidR="00B44B07">
        <w:trPr>
          <w:trHeight w:val="1"/>
        </w:trPr>
        <w:tc>
          <w:tcPr>
            <w:tcW w:w="230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 xml:space="preserve">Total </w:t>
            </w:r>
          </w:p>
        </w:tc>
        <w:tc>
          <w:tcPr>
            <w:tcW w:w="27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293,791,100</w:t>
            </w:r>
          </w:p>
        </w:tc>
        <w:tc>
          <w:tcPr>
            <w:tcW w:w="251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Times New Roman" w:hAnsi="Times New Roman" w:cs="Times New Roman"/>
                <w:b/>
                <w:bCs/>
                <w:sz w:val="24"/>
                <w:szCs w:val="24"/>
              </w:rPr>
              <w:t>651</w:t>
            </w:r>
          </w:p>
        </w:tc>
      </w:tr>
    </w:tbl>
    <w:p w:rsidR="00B44B07" w:rsidRDefault="00B44B07" w:rsidP="00C35033">
      <w:pPr>
        <w:autoSpaceDE w:val="0"/>
        <w:autoSpaceDN w:val="0"/>
        <w:adjustRightInd w:val="0"/>
        <w:spacing w:after="0" w:line="360" w:lineRule="auto"/>
        <w:jc w:val="both"/>
        <w:rPr>
          <w:rFonts w:ascii="Times New Roman" w:hAnsi="Times New Roman" w:cs="Times New Roman"/>
          <w:b/>
          <w:bCs/>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table above demonstrates that the sum of corporate social responsibility directed at the charitable expenditure of the sampled firms is </w:t>
      </w:r>
      <w:r>
        <w:rPr>
          <w:rFonts w:ascii="Times New Roman" w:hAnsi="Times New Roman" w:cs="Times New Roman"/>
          <w:strike/>
          <w:sz w:val="24"/>
          <w:szCs w:val="24"/>
        </w:rPr>
        <w:t>N</w:t>
      </w:r>
      <w:r>
        <w:rPr>
          <w:rFonts w:ascii="Times New Roman" w:hAnsi="Times New Roman" w:cs="Times New Roman"/>
          <w:sz w:val="24"/>
          <w:szCs w:val="24"/>
        </w:rPr>
        <w:t xml:space="preserve"> 293,791,100 and this yield a sum increase in Earnings by 651% within the seven years period of their continuous pursuance of business operation.</w:t>
      </w:r>
    </w:p>
    <w:p w:rsidR="00C22851" w:rsidRDefault="00C22851" w:rsidP="00C35033">
      <w:pPr>
        <w:autoSpaceDE w:val="0"/>
        <w:autoSpaceDN w:val="0"/>
        <w:adjustRightInd w:val="0"/>
        <w:spacing w:after="0" w:line="360" w:lineRule="auto"/>
        <w:jc w:val="both"/>
        <w:rPr>
          <w:rFonts w:ascii="Times New Roman" w:hAnsi="Times New Roman" w:cs="Times New Roman"/>
          <w:b/>
          <w:bCs/>
          <w:sz w:val="24"/>
          <w:szCs w:val="24"/>
        </w:rPr>
      </w:pPr>
    </w:p>
    <w:p w:rsidR="00B44B07" w:rsidRDefault="00B44B07" w:rsidP="00C35033">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sz w:val="24"/>
          <w:szCs w:val="24"/>
        </w:rPr>
        <w:t>Hypothesis 1:</w:t>
      </w:r>
    </w:p>
    <w:tbl>
      <w:tblPr>
        <w:tblW w:w="0" w:type="auto"/>
        <w:tblInd w:w="-8" w:type="dxa"/>
        <w:tblLayout w:type="fixed"/>
        <w:tblCellMar>
          <w:left w:w="0" w:type="dxa"/>
          <w:right w:w="0" w:type="dxa"/>
        </w:tblCellMar>
        <w:tblLook w:val="0000"/>
      </w:tblPr>
      <w:tblGrid>
        <w:gridCol w:w="1789"/>
        <w:gridCol w:w="1469"/>
        <w:gridCol w:w="1025"/>
        <w:gridCol w:w="1025"/>
      </w:tblGrid>
      <w:tr w:rsidR="00B44B07">
        <w:trPr>
          <w:trHeight w:val="1"/>
        </w:trPr>
        <w:tc>
          <w:tcPr>
            <w:tcW w:w="5308" w:type="dxa"/>
            <w:gridSpan w:val="4"/>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b/>
                <w:bCs/>
                <w:color w:val="000000"/>
                <w:sz w:val="18"/>
                <w:szCs w:val="18"/>
              </w:rPr>
              <w:t>Lagrange Multiplier Test</w:t>
            </w:r>
          </w:p>
        </w:tc>
      </w:tr>
      <w:tr w:rsidR="00B44B07">
        <w:trPr>
          <w:trHeight w:val="1"/>
        </w:trPr>
        <w:tc>
          <w:tcPr>
            <w:tcW w:w="1789" w:type="dxa"/>
            <w:tcBorders>
              <w:top w:val="single" w:sz="12" w:space="0" w:color="000000"/>
              <w:left w:val="single" w:sz="12" w:space="0" w:color="000000"/>
              <w:bottom w:val="single" w:sz="12"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jc w:val="both"/>
              <w:rPr>
                <w:rFonts w:ascii="Calibri" w:hAnsi="Calibri" w:cs="Calibri"/>
              </w:rPr>
            </w:pPr>
          </w:p>
        </w:tc>
        <w:tc>
          <w:tcPr>
            <w:tcW w:w="1469" w:type="dxa"/>
            <w:tcBorders>
              <w:top w:val="single" w:sz="12" w:space="0" w:color="000000"/>
              <w:left w:val="single" w:sz="12"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Chi-Square</w:t>
            </w:r>
          </w:p>
        </w:tc>
        <w:tc>
          <w:tcPr>
            <w:tcW w:w="1025" w:type="dxa"/>
            <w:tcBorders>
              <w:top w:val="single" w:sz="12" w:space="0" w:color="000000"/>
              <w:left w:val="single" w:sz="6" w:space="0" w:color="000000"/>
              <w:bottom w:val="single" w:sz="12" w:space="0" w:color="000000"/>
              <w:right w:val="single" w:sz="6" w:space="0" w:color="000000"/>
            </w:tcBorders>
            <w:shd w:val="clear" w:color="auto" w:fill="FFFFFF"/>
            <w:vAlign w:val="bottom"/>
          </w:tcPr>
          <w:p w:rsidR="00B44B07" w:rsidRDefault="009E6C10"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D</w:t>
            </w:r>
            <w:r w:rsidR="00B44B07">
              <w:rPr>
                <w:rFonts w:ascii="Arial" w:hAnsi="Arial" w:cs="Arial"/>
                <w:color w:val="000000"/>
                <w:sz w:val="18"/>
                <w:szCs w:val="18"/>
              </w:rPr>
              <w:t>f</w:t>
            </w:r>
          </w:p>
        </w:tc>
        <w:tc>
          <w:tcPr>
            <w:tcW w:w="1025" w:type="dxa"/>
            <w:tcBorders>
              <w:top w:val="single" w:sz="12" w:space="0" w:color="000000"/>
              <w:left w:val="single" w:sz="6" w:space="0" w:color="000000"/>
              <w:bottom w:val="single" w:sz="12"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Sig.</w:t>
            </w:r>
          </w:p>
        </w:tc>
      </w:tr>
      <w:tr w:rsidR="00B44B07">
        <w:trPr>
          <w:trHeight w:val="1"/>
        </w:trPr>
        <w:tc>
          <w:tcPr>
            <w:tcW w:w="1789" w:type="dxa"/>
            <w:tcBorders>
              <w:top w:val="single" w:sz="12" w:space="0" w:color="000000"/>
              <w:left w:val="single" w:sz="12" w:space="0" w:color="000000"/>
              <w:bottom w:val="single" w:sz="12"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Scale Parameter</w:t>
            </w:r>
            <w:r>
              <w:rPr>
                <w:rFonts w:ascii="Arial" w:hAnsi="Arial" w:cs="Arial"/>
                <w:color w:val="000000"/>
                <w:sz w:val="18"/>
                <w:szCs w:val="18"/>
                <w:vertAlign w:val="superscript"/>
              </w:rPr>
              <w:t>a</w:t>
            </w:r>
          </w:p>
        </w:tc>
        <w:tc>
          <w:tcPr>
            <w:tcW w:w="1469" w:type="dxa"/>
            <w:tcBorders>
              <w:top w:val="single" w:sz="12" w:space="0" w:color="000000"/>
              <w:left w:val="single" w:sz="12"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9.657e+27</w:t>
            </w:r>
          </w:p>
        </w:tc>
        <w:tc>
          <w:tcPr>
            <w:tcW w:w="1025" w:type="dxa"/>
            <w:tcBorders>
              <w:top w:val="single" w:sz="12"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1025" w:type="dxa"/>
            <w:tcBorders>
              <w:top w:val="single" w:sz="12" w:space="0" w:color="000000"/>
              <w:left w:val="single" w:sz="6" w:space="0" w:color="000000"/>
              <w:bottom w:val="single" w:sz="12"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trPr>
          <w:trHeight w:val="1"/>
        </w:trPr>
        <w:tc>
          <w:tcPr>
            <w:tcW w:w="5308" w:type="dxa"/>
            <w:gridSpan w:val="4"/>
            <w:tcBorders>
              <w:top w:val="single" w:sz="6" w:space="0" w:color="000000"/>
              <w:left w:val="single" w:sz="6" w:space="0" w:color="000000"/>
              <w:bottom w:val="single" w:sz="6" w:space="0" w:color="000000"/>
              <w:right w:val="single" w:sz="6"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a. Tests the null hypothesis that the scale parameter equals 1.000</w:t>
            </w:r>
          </w:p>
        </w:tc>
      </w:tr>
    </w:tbl>
    <w:p w:rsidR="00B44B07" w:rsidRDefault="00B44B07" w:rsidP="00C35033">
      <w:pPr>
        <w:autoSpaceDE w:val="0"/>
        <w:autoSpaceDN w:val="0"/>
        <w:adjustRightInd w:val="0"/>
        <w:spacing w:after="0" w:line="360" w:lineRule="auto"/>
        <w:jc w:val="both"/>
        <w:rPr>
          <w:rFonts w:ascii="Times New Roman" w:hAnsi="Times New Roman" w:cs="Times New Roman"/>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above model summary tested the null hypothesis that, the chi-square probability of the relationship of CDE</w:t>
      </w:r>
      <w:r>
        <w:rPr>
          <w:rFonts w:ascii="Times New Roman" w:hAnsi="Times New Roman" w:cs="Times New Roman"/>
          <w:color w:val="000000"/>
          <w:sz w:val="24"/>
          <w:szCs w:val="24"/>
          <w:vertAlign w:val="subscript"/>
        </w:rPr>
        <w:t>CSR</w:t>
      </w:r>
      <w:r>
        <w:rPr>
          <w:rFonts w:ascii="Times New Roman" w:hAnsi="Times New Roman" w:cs="Times New Roman"/>
          <w:color w:val="000000"/>
          <w:sz w:val="24"/>
          <w:szCs w:val="24"/>
        </w:rPr>
        <w:t xml:space="preserve"> on Profitability growth could not have happens by chance. Hence the P-value (0.000&lt;0.05) implies that there is significant relationship between CDE</w:t>
      </w:r>
      <w:r>
        <w:rPr>
          <w:rFonts w:ascii="Times New Roman" w:hAnsi="Times New Roman" w:cs="Times New Roman"/>
          <w:color w:val="000000"/>
          <w:sz w:val="24"/>
          <w:szCs w:val="24"/>
          <w:vertAlign w:val="subscript"/>
        </w:rPr>
        <w:t>CSR</w:t>
      </w:r>
      <w:r>
        <w:rPr>
          <w:rFonts w:ascii="Times New Roman" w:hAnsi="Times New Roman" w:cs="Times New Roman"/>
          <w:color w:val="000000"/>
          <w:sz w:val="24"/>
          <w:szCs w:val="24"/>
        </w:rPr>
        <w:t xml:space="preserve"> and the profitability growth of the selected Flour Mill in Nigeria within the 7 years period.</w:t>
      </w:r>
    </w:p>
    <w:p w:rsidR="00B44B07" w:rsidRDefault="00B44B07" w:rsidP="00C35033">
      <w:pPr>
        <w:autoSpaceDE w:val="0"/>
        <w:autoSpaceDN w:val="0"/>
        <w:adjustRightInd w:val="0"/>
        <w:spacing w:after="0" w:line="360" w:lineRule="auto"/>
        <w:jc w:val="both"/>
        <w:rPr>
          <w:rFonts w:ascii="Times New Roman" w:hAnsi="Times New Roman" w:cs="Times New Roman"/>
          <w:sz w:val="24"/>
          <w:szCs w:val="24"/>
        </w:rPr>
      </w:pPr>
    </w:p>
    <w:tbl>
      <w:tblPr>
        <w:tblW w:w="0" w:type="auto"/>
        <w:tblInd w:w="-8" w:type="dxa"/>
        <w:tblLayout w:type="fixed"/>
        <w:tblCellMar>
          <w:left w:w="0" w:type="dxa"/>
          <w:right w:w="0" w:type="dxa"/>
        </w:tblCellMar>
        <w:tblLook w:val="0000"/>
      </w:tblPr>
      <w:tblGrid>
        <w:gridCol w:w="1177"/>
        <w:gridCol w:w="1469"/>
        <w:gridCol w:w="1025"/>
        <w:gridCol w:w="1025"/>
      </w:tblGrid>
      <w:tr w:rsidR="00B44B07">
        <w:trPr>
          <w:trHeight w:val="1"/>
        </w:trPr>
        <w:tc>
          <w:tcPr>
            <w:tcW w:w="4696" w:type="dxa"/>
            <w:gridSpan w:val="4"/>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b/>
                <w:bCs/>
                <w:color w:val="000000"/>
                <w:sz w:val="18"/>
                <w:szCs w:val="18"/>
              </w:rPr>
              <w:t>Tests of Model Effects</w:t>
            </w:r>
          </w:p>
        </w:tc>
      </w:tr>
      <w:tr w:rsidR="00B44B07">
        <w:trPr>
          <w:trHeight w:val="1"/>
        </w:trPr>
        <w:tc>
          <w:tcPr>
            <w:tcW w:w="1177" w:type="dxa"/>
            <w:vMerge w:val="restart"/>
            <w:tcBorders>
              <w:top w:val="single" w:sz="12" w:space="0" w:color="000000"/>
              <w:left w:val="single" w:sz="12"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Source</w:t>
            </w:r>
          </w:p>
        </w:tc>
        <w:tc>
          <w:tcPr>
            <w:tcW w:w="3519" w:type="dxa"/>
            <w:gridSpan w:val="3"/>
            <w:tcBorders>
              <w:top w:val="single" w:sz="12" w:space="0" w:color="000000"/>
              <w:left w:val="single" w:sz="12"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Type III</w:t>
            </w:r>
          </w:p>
        </w:tc>
      </w:tr>
      <w:tr w:rsidR="00B44B07">
        <w:trPr>
          <w:trHeight w:val="1"/>
        </w:trPr>
        <w:tc>
          <w:tcPr>
            <w:tcW w:w="1177" w:type="dxa"/>
            <w:vMerge/>
            <w:tcBorders>
              <w:top w:val="single" w:sz="12" w:space="0" w:color="000000"/>
              <w:left w:val="single" w:sz="12"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rPr>
                <w:rFonts w:ascii="Calibri" w:hAnsi="Calibri" w:cs="Calibri"/>
              </w:rPr>
            </w:pPr>
          </w:p>
        </w:tc>
        <w:tc>
          <w:tcPr>
            <w:tcW w:w="1469" w:type="dxa"/>
            <w:tcBorders>
              <w:top w:val="single" w:sz="6" w:space="0" w:color="000000"/>
              <w:left w:val="single" w:sz="12"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Wald Chi-Square</w:t>
            </w:r>
          </w:p>
        </w:tc>
        <w:tc>
          <w:tcPr>
            <w:tcW w:w="1025" w:type="dxa"/>
            <w:tcBorders>
              <w:top w:val="single" w:sz="6" w:space="0" w:color="000000"/>
              <w:left w:val="single" w:sz="6"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df</w:t>
            </w:r>
          </w:p>
        </w:tc>
        <w:tc>
          <w:tcPr>
            <w:tcW w:w="1025" w:type="dxa"/>
            <w:tcBorders>
              <w:top w:val="single" w:sz="6" w:space="0" w:color="000000"/>
              <w:left w:val="single" w:sz="6" w:space="0" w:color="000000"/>
              <w:bottom w:val="single" w:sz="12"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Sig.</w:t>
            </w:r>
          </w:p>
        </w:tc>
      </w:tr>
      <w:tr w:rsidR="00B44B07">
        <w:trPr>
          <w:trHeight w:val="1"/>
        </w:trPr>
        <w:tc>
          <w:tcPr>
            <w:tcW w:w="1177" w:type="dxa"/>
            <w:tcBorders>
              <w:top w:val="single" w:sz="12"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(Intercept)</w:t>
            </w:r>
          </w:p>
        </w:tc>
        <w:tc>
          <w:tcPr>
            <w:tcW w:w="1469" w:type="dxa"/>
            <w:tcBorders>
              <w:top w:val="single" w:sz="12"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39375.000</w:t>
            </w:r>
          </w:p>
        </w:tc>
        <w:tc>
          <w:tcPr>
            <w:tcW w:w="1025" w:type="dxa"/>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1025" w:type="dxa"/>
            <w:tcBorders>
              <w:top w:val="single" w:sz="12"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trPr>
          <w:trHeight w:val="1"/>
        </w:trPr>
        <w:tc>
          <w:tcPr>
            <w:tcW w:w="1177" w:type="dxa"/>
            <w:tcBorders>
              <w:top w:val="single" w:sz="6" w:space="0" w:color="000000"/>
              <w:left w:val="single" w:sz="12" w:space="0" w:color="000000"/>
              <w:bottom w:val="single" w:sz="12"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CDE</w:t>
            </w:r>
            <w:r>
              <w:rPr>
                <w:rFonts w:ascii="Arial" w:hAnsi="Arial" w:cs="Arial"/>
                <w:color w:val="000000"/>
                <w:sz w:val="18"/>
                <w:szCs w:val="18"/>
                <w:vertAlign w:val="subscript"/>
              </w:rPr>
              <w:t>CSR</w:t>
            </w:r>
          </w:p>
        </w:tc>
        <w:tc>
          <w:tcPr>
            <w:tcW w:w="1469" w:type="dxa"/>
            <w:tcBorders>
              <w:top w:val="single" w:sz="6" w:space="0" w:color="000000"/>
              <w:left w:val="single" w:sz="12"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2602.000</w:t>
            </w:r>
          </w:p>
        </w:tc>
        <w:tc>
          <w:tcPr>
            <w:tcW w:w="1025" w:type="dxa"/>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6</w:t>
            </w:r>
          </w:p>
        </w:tc>
        <w:tc>
          <w:tcPr>
            <w:tcW w:w="1025" w:type="dxa"/>
            <w:tcBorders>
              <w:top w:val="single" w:sz="6" w:space="0" w:color="000000"/>
              <w:left w:val="single" w:sz="6" w:space="0" w:color="000000"/>
              <w:bottom w:val="single" w:sz="12"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trPr>
          <w:trHeight w:val="1"/>
        </w:trPr>
        <w:tc>
          <w:tcPr>
            <w:tcW w:w="4696" w:type="dxa"/>
            <w:gridSpan w:val="4"/>
            <w:tcBorders>
              <w:top w:val="single" w:sz="6" w:space="0" w:color="000000"/>
              <w:left w:val="single" w:sz="6" w:space="0" w:color="000000"/>
              <w:bottom w:val="single" w:sz="6" w:space="0" w:color="000000"/>
              <w:right w:val="single" w:sz="6"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Arial" w:hAnsi="Arial" w:cs="Arial"/>
                <w:color w:val="000000"/>
                <w:sz w:val="18"/>
                <w:szCs w:val="18"/>
              </w:rPr>
            </w:pPr>
            <w:r>
              <w:rPr>
                <w:rFonts w:ascii="Arial" w:hAnsi="Arial" w:cs="Arial"/>
                <w:color w:val="000000"/>
                <w:sz w:val="18"/>
                <w:szCs w:val="18"/>
              </w:rPr>
              <w:t>Dependent Variable: PAT</w:t>
            </w:r>
          </w:p>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Model: (Intercept), CDE</w:t>
            </w:r>
            <w:r>
              <w:rPr>
                <w:rFonts w:ascii="Arial" w:hAnsi="Arial" w:cs="Arial"/>
                <w:color w:val="000000"/>
                <w:sz w:val="18"/>
                <w:szCs w:val="18"/>
                <w:vertAlign w:val="subscript"/>
              </w:rPr>
              <w:t>CSR</w:t>
            </w:r>
          </w:p>
        </w:tc>
      </w:tr>
    </w:tbl>
    <w:p w:rsidR="00B44B07" w:rsidRDefault="00B44B07" w:rsidP="00C35033">
      <w:pPr>
        <w:autoSpaceDE w:val="0"/>
        <w:autoSpaceDN w:val="0"/>
        <w:adjustRightInd w:val="0"/>
        <w:spacing w:after="0" w:line="360" w:lineRule="auto"/>
        <w:jc w:val="both"/>
        <w:rPr>
          <w:rFonts w:ascii="Times New Roman" w:hAnsi="Times New Roman" w:cs="Times New Roman"/>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output above compares the fitted model against the independent variable (CDE</w:t>
      </w:r>
      <w:r>
        <w:rPr>
          <w:rFonts w:ascii="Times New Roman" w:hAnsi="Times New Roman" w:cs="Times New Roman"/>
          <w:color w:val="000000"/>
          <w:sz w:val="24"/>
          <w:szCs w:val="24"/>
          <w:vertAlign w:val="subscript"/>
        </w:rPr>
        <w:t>CSR</w:t>
      </w:r>
      <w:r>
        <w:rPr>
          <w:rFonts w:ascii="Times New Roman" w:hAnsi="Times New Roman" w:cs="Times New Roman"/>
          <w:color w:val="000000"/>
          <w:sz w:val="24"/>
          <w:szCs w:val="24"/>
        </w:rPr>
        <w:t>) by computing the likelihood ratios of the Wald chi-square showing that the higher intercept model has caused the profitability growth of the selected Flour Mill in Nigeria to be highly significant during the last seven years. Hence the effect is high at 5% level of significant. i.e. p&lt;0.05</w:t>
      </w:r>
    </w:p>
    <w:p w:rsidR="00B44B07" w:rsidRDefault="00B44B07" w:rsidP="00C35033">
      <w:pPr>
        <w:autoSpaceDE w:val="0"/>
        <w:autoSpaceDN w:val="0"/>
        <w:adjustRightInd w:val="0"/>
        <w:spacing w:after="0" w:line="360" w:lineRule="auto"/>
        <w:jc w:val="both"/>
        <w:rPr>
          <w:rFonts w:ascii="Times New Roman" w:hAnsi="Times New Roman" w:cs="Times New Roman"/>
          <w:sz w:val="24"/>
          <w:szCs w:val="24"/>
        </w:rPr>
      </w:pPr>
    </w:p>
    <w:tbl>
      <w:tblPr>
        <w:tblW w:w="5000" w:type="pct"/>
        <w:tblCellMar>
          <w:left w:w="0" w:type="dxa"/>
          <w:right w:w="0" w:type="dxa"/>
        </w:tblCellMar>
        <w:tblLook w:val="0000"/>
      </w:tblPr>
      <w:tblGrid>
        <w:gridCol w:w="2040"/>
        <w:gridCol w:w="969"/>
        <w:gridCol w:w="1014"/>
        <w:gridCol w:w="1335"/>
        <w:gridCol w:w="1338"/>
        <w:gridCol w:w="1396"/>
        <w:gridCol w:w="548"/>
        <w:gridCol w:w="736"/>
      </w:tblGrid>
      <w:tr w:rsidR="00B44B07" w:rsidTr="00C22851">
        <w:trPr>
          <w:trHeight w:val="1"/>
        </w:trPr>
        <w:tc>
          <w:tcPr>
            <w:tcW w:w="5000" w:type="pct"/>
            <w:gridSpan w:val="8"/>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b/>
                <w:bCs/>
                <w:color w:val="000000"/>
                <w:sz w:val="18"/>
                <w:szCs w:val="18"/>
              </w:rPr>
              <w:lastRenderedPageBreak/>
              <w:t>Parameter Estimates</w:t>
            </w:r>
          </w:p>
        </w:tc>
      </w:tr>
      <w:tr w:rsidR="00B44B07" w:rsidTr="00C22851">
        <w:trPr>
          <w:trHeight w:val="1"/>
        </w:trPr>
        <w:tc>
          <w:tcPr>
            <w:tcW w:w="1068" w:type="pct"/>
            <w:vMerge w:val="restart"/>
            <w:tcBorders>
              <w:top w:val="single" w:sz="12" w:space="0" w:color="000000"/>
              <w:left w:val="single" w:sz="12"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Parameter</w:t>
            </w:r>
          </w:p>
        </w:tc>
        <w:tc>
          <w:tcPr>
            <w:tcW w:w="520" w:type="pct"/>
            <w:vMerge w:val="restart"/>
            <w:tcBorders>
              <w:top w:val="single" w:sz="12" w:space="0" w:color="000000"/>
              <w:left w:val="single" w:sz="12" w:space="0" w:color="000000"/>
              <w:bottom w:val="single" w:sz="6"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B</w:t>
            </w:r>
          </w:p>
        </w:tc>
        <w:tc>
          <w:tcPr>
            <w:tcW w:w="544" w:type="pct"/>
            <w:vMerge w:val="restart"/>
            <w:tcBorders>
              <w:top w:val="single" w:sz="12" w:space="0" w:color="000000"/>
              <w:left w:val="single" w:sz="6" w:space="0" w:color="000000"/>
              <w:bottom w:val="single" w:sz="6"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Std. Error</w:t>
            </w:r>
          </w:p>
        </w:tc>
        <w:tc>
          <w:tcPr>
            <w:tcW w:w="1431" w:type="pct"/>
            <w:gridSpan w:val="2"/>
            <w:tcBorders>
              <w:top w:val="single" w:sz="12" w:space="0" w:color="000000"/>
              <w:left w:val="single" w:sz="6" w:space="0" w:color="000000"/>
              <w:bottom w:val="single" w:sz="6"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95% Wald Confidence Interval</w:t>
            </w:r>
          </w:p>
        </w:tc>
        <w:tc>
          <w:tcPr>
            <w:tcW w:w="1437" w:type="pct"/>
            <w:gridSpan w:val="3"/>
            <w:tcBorders>
              <w:top w:val="single" w:sz="12" w:space="0" w:color="000000"/>
              <w:left w:val="single" w:sz="6"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Hypothesis Test</w:t>
            </w:r>
          </w:p>
        </w:tc>
      </w:tr>
      <w:tr w:rsidR="00B44B07" w:rsidTr="00C22851">
        <w:trPr>
          <w:trHeight w:val="1"/>
        </w:trPr>
        <w:tc>
          <w:tcPr>
            <w:tcW w:w="1068" w:type="pct"/>
            <w:vMerge/>
            <w:tcBorders>
              <w:top w:val="single" w:sz="12" w:space="0" w:color="000000"/>
              <w:left w:val="single" w:sz="12"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rPr>
                <w:rFonts w:ascii="Calibri" w:hAnsi="Calibri" w:cs="Calibri"/>
              </w:rPr>
            </w:pPr>
          </w:p>
        </w:tc>
        <w:tc>
          <w:tcPr>
            <w:tcW w:w="520" w:type="pct"/>
            <w:vMerge/>
            <w:tcBorders>
              <w:top w:val="single" w:sz="12" w:space="0" w:color="000000"/>
              <w:left w:val="single" w:sz="12" w:space="0" w:color="000000"/>
              <w:bottom w:val="single" w:sz="6"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rPr>
                <w:rFonts w:ascii="Calibri" w:hAnsi="Calibri" w:cs="Calibri"/>
              </w:rPr>
            </w:pPr>
          </w:p>
        </w:tc>
        <w:tc>
          <w:tcPr>
            <w:tcW w:w="544" w:type="pct"/>
            <w:vMerge/>
            <w:tcBorders>
              <w:top w:val="single" w:sz="12" w:space="0" w:color="000000"/>
              <w:left w:val="single" w:sz="6" w:space="0" w:color="000000"/>
              <w:bottom w:val="single" w:sz="6"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rPr>
                <w:rFonts w:ascii="Calibri" w:hAnsi="Calibri" w:cs="Calibri"/>
              </w:rPr>
            </w:pPr>
          </w:p>
        </w:tc>
        <w:tc>
          <w:tcPr>
            <w:tcW w:w="715" w:type="pct"/>
            <w:tcBorders>
              <w:top w:val="single" w:sz="6" w:space="0" w:color="000000"/>
              <w:left w:val="single" w:sz="6"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Lower</w:t>
            </w:r>
          </w:p>
        </w:tc>
        <w:tc>
          <w:tcPr>
            <w:tcW w:w="715" w:type="pct"/>
            <w:tcBorders>
              <w:top w:val="single" w:sz="6" w:space="0" w:color="000000"/>
              <w:left w:val="single" w:sz="6"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Upper</w:t>
            </w:r>
          </w:p>
        </w:tc>
        <w:tc>
          <w:tcPr>
            <w:tcW w:w="747" w:type="pct"/>
            <w:tcBorders>
              <w:top w:val="single" w:sz="6" w:space="0" w:color="000000"/>
              <w:left w:val="single" w:sz="6"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Wald Chi-Square</w:t>
            </w:r>
          </w:p>
        </w:tc>
        <w:tc>
          <w:tcPr>
            <w:tcW w:w="295" w:type="pct"/>
            <w:tcBorders>
              <w:top w:val="single" w:sz="6" w:space="0" w:color="000000"/>
              <w:left w:val="single" w:sz="6"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df</w:t>
            </w:r>
          </w:p>
        </w:tc>
        <w:tc>
          <w:tcPr>
            <w:tcW w:w="395" w:type="pct"/>
            <w:tcBorders>
              <w:top w:val="single" w:sz="6" w:space="0" w:color="000000"/>
              <w:left w:val="single" w:sz="6" w:space="0" w:color="000000"/>
              <w:bottom w:val="single" w:sz="12"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Sig.</w:t>
            </w:r>
          </w:p>
        </w:tc>
      </w:tr>
      <w:tr w:rsidR="00B44B07" w:rsidTr="00C22851">
        <w:trPr>
          <w:trHeight w:val="1"/>
        </w:trPr>
        <w:tc>
          <w:tcPr>
            <w:tcW w:w="1068" w:type="pct"/>
            <w:tcBorders>
              <w:top w:val="single" w:sz="12"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(Intercept)</w:t>
            </w:r>
          </w:p>
        </w:tc>
        <w:tc>
          <w:tcPr>
            <w:tcW w:w="520" w:type="pct"/>
            <w:tcBorders>
              <w:top w:val="single" w:sz="12"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93.000</w:t>
            </w:r>
          </w:p>
        </w:tc>
        <w:tc>
          <w:tcPr>
            <w:tcW w:w="544" w:type="pct"/>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1.0000</w:t>
            </w:r>
          </w:p>
        </w:tc>
        <w:tc>
          <w:tcPr>
            <w:tcW w:w="715" w:type="pct"/>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91.040</w:t>
            </w:r>
          </w:p>
        </w:tc>
        <w:tc>
          <w:tcPr>
            <w:tcW w:w="715" w:type="pct"/>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94.960</w:t>
            </w:r>
          </w:p>
        </w:tc>
        <w:tc>
          <w:tcPr>
            <w:tcW w:w="747" w:type="pct"/>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8649.000</w:t>
            </w:r>
          </w:p>
        </w:tc>
        <w:tc>
          <w:tcPr>
            <w:tcW w:w="295" w:type="pct"/>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395" w:type="pct"/>
            <w:tcBorders>
              <w:top w:val="single" w:sz="12"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68"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[CDE</w:t>
            </w:r>
            <w:r>
              <w:rPr>
                <w:rFonts w:ascii="Arial" w:hAnsi="Arial" w:cs="Arial"/>
                <w:color w:val="000000"/>
                <w:sz w:val="18"/>
                <w:szCs w:val="18"/>
                <w:vertAlign w:val="subscript"/>
              </w:rPr>
              <w:t>CSR</w:t>
            </w:r>
            <w:r>
              <w:rPr>
                <w:rFonts w:ascii="Arial" w:hAnsi="Arial" w:cs="Arial"/>
                <w:color w:val="000000"/>
                <w:sz w:val="18"/>
                <w:szCs w:val="18"/>
              </w:rPr>
              <w:t>=24038130.00]</w:t>
            </w:r>
          </w:p>
        </w:tc>
        <w:tc>
          <w:tcPr>
            <w:tcW w:w="520"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-42.000</w:t>
            </w:r>
          </w:p>
        </w:tc>
        <w:tc>
          <w:tcPr>
            <w:tcW w:w="54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-44.772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-39.228</w:t>
            </w:r>
          </w:p>
        </w:tc>
        <w:tc>
          <w:tcPr>
            <w:tcW w:w="7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882.000</w:t>
            </w:r>
          </w:p>
        </w:tc>
        <w:tc>
          <w:tcPr>
            <w:tcW w:w="2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395"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68"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[CDE</w:t>
            </w:r>
            <w:r>
              <w:rPr>
                <w:rFonts w:ascii="Arial" w:hAnsi="Arial" w:cs="Arial"/>
                <w:color w:val="000000"/>
                <w:sz w:val="18"/>
                <w:szCs w:val="18"/>
                <w:vertAlign w:val="subscript"/>
              </w:rPr>
              <w:t>CSR</w:t>
            </w:r>
            <w:r>
              <w:rPr>
                <w:rFonts w:ascii="Arial" w:hAnsi="Arial" w:cs="Arial"/>
                <w:color w:val="000000"/>
                <w:sz w:val="18"/>
                <w:szCs w:val="18"/>
              </w:rPr>
              <w:t>=27240250.00]</w:t>
            </w:r>
          </w:p>
        </w:tc>
        <w:tc>
          <w:tcPr>
            <w:tcW w:w="520"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-5.000</w:t>
            </w:r>
          </w:p>
        </w:tc>
        <w:tc>
          <w:tcPr>
            <w:tcW w:w="54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-7.772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-2.228</w:t>
            </w:r>
          </w:p>
        </w:tc>
        <w:tc>
          <w:tcPr>
            <w:tcW w:w="7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12.500</w:t>
            </w:r>
          </w:p>
        </w:tc>
        <w:tc>
          <w:tcPr>
            <w:tcW w:w="2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395"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68"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[CDE</w:t>
            </w:r>
            <w:r>
              <w:rPr>
                <w:rFonts w:ascii="Arial" w:hAnsi="Arial" w:cs="Arial"/>
                <w:color w:val="000000"/>
                <w:sz w:val="18"/>
                <w:szCs w:val="18"/>
                <w:vertAlign w:val="subscript"/>
              </w:rPr>
              <w:t>CSR</w:t>
            </w:r>
            <w:r>
              <w:rPr>
                <w:rFonts w:ascii="Arial" w:hAnsi="Arial" w:cs="Arial"/>
                <w:color w:val="000000"/>
                <w:sz w:val="18"/>
                <w:szCs w:val="18"/>
              </w:rPr>
              <w:t>=29607000.00]</w:t>
            </w:r>
          </w:p>
        </w:tc>
        <w:tc>
          <w:tcPr>
            <w:tcW w:w="520"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-18.000</w:t>
            </w:r>
          </w:p>
        </w:tc>
        <w:tc>
          <w:tcPr>
            <w:tcW w:w="54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-20.772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-15.228</w:t>
            </w:r>
          </w:p>
        </w:tc>
        <w:tc>
          <w:tcPr>
            <w:tcW w:w="7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162.000</w:t>
            </w:r>
          </w:p>
        </w:tc>
        <w:tc>
          <w:tcPr>
            <w:tcW w:w="2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395"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68"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[CDE</w:t>
            </w:r>
            <w:r>
              <w:rPr>
                <w:rFonts w:ascii="Arial" w:hAnsi="Arial" w:cs="Arial"/>
                <w:color w:val="000000"/>
                <w:sz w:val="18"/>
                <w:szCs w:val="18"/>
                <w:vertAlign w:val="subscript"/>
              </w:rPr>
              <w:t>CSR</w:t>
            </w:r>
            <w:r>
              <w:rPr>
                <w:rFonts w:ascii="Arial" w:hAnsi="Arial" w:cs="Arial"/>
                <w:color w:val="000000"/>
                <w:sz w:val="18"/>
                <w:szCs w:val="18"/>
              </w:rPr>
              <w:t>=30271500.00]</w:t>
            </w:r>
          </w:p>
        </w:tc>
        <w:tc>
          <w:tcPr>
            <w:tcW w:w="520"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-2.000</w:t>
            </w:r>
          </w:p>
        </w:tc>
        <w:tc>
          <w:tcPr>
            <w:tcW w:w="54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-4.772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.772</w:t>
            </w:r>
          </w:p>
        </w:tc>
        <w:tc>
          <w:tcPr>
            <w:tcW w:w="7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2.000</w:t>
            </w:r>
          </w:p>
        </w:tc>
        <w:tc>
          <w:tcPr>
            <w:tcW w:w="2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395"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.157</w:t>
            </w:r>
          </w:p>
        </w:tc>
      </w:tr>
      <w:tr w:rsidR="00B44B07" w:rsidTr="00C22851">
        <w:trPr>
          <w:trHeight w:val="1"/>
        </w:trPr>
        <w:tc>
          <w:tcPr>
            <w:tcW w:w="1068"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[CDE</w:t>
            </w:r>
            <w:r>
              <w:rPr>
                <w:rFonts w:ascii="Arial" w:hAnsi="Arial" w:cs="Arial"/>
                <w:color w:val="000000"/>
                <w:sz w:val="18"/>
                <w:szCs w:val="18"/>
                <w:vertAlign w:val="subscript"/>
              </w:rPr>
              <w:t>CSR</w:t>
            </w:r>
            <w:r>
              <w:rPr>
                <w:rFonts w:ascii="Arial" w:hAnsi="Arial" w:cs="Arial"/>
                <w:color w:val="000000"/>
                <w:sz w:val="18"/>
                <w:szCs w:val="18"/>
              </w:rPr>
              <w:t>=56881250.00]</w:t>
            </w:r>
          </w:p>
        </w:tc>
        <w:tc>
          <w:tcPr>
            <w:tcW w:w="520"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-7.000</w:t>
            </w:r>
          </w:p>
        </w:tc>
        <w:tc>
          <w:tcPr>
            <w:tcW w:w="54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-9.772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-4.228</w:t>
            </w:r>
          </w:p>
        </w:tc>
        <w:tc>
          <w:tcPr>
            <w:tcW w:w="7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24.500</w:t>
            </w:r>
          </w:p>
        </w:tc>
        <w:tc>
          <w:tcPr>
            <w:tcW w:w="2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395"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68"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[CDE</w:t>
            </w:r>
            <w:r>
              <w:rPr>
                <w:rFonts w:ascii="Arial" w:hAnsi="Arial" w:cs="Arial"/>
                <w:color w:val="000000"/>
                <w:sz w:val="18"/>
                <w:szCs w:val="18"/>
                <w:vertAlign w:val="subscript"/>
              </w:rPr>
              <w:t>CSR</w:t>
            </w:r>
            <w:r>
              <w:rPr>
                <w:rFonts w:ascii="Arial" w:hAnsi="Arial" w:cs="Arial"/>
                <w:color w:val="000000"/>
                <w:sz w:val="18"/>
                <w:szCs w:val="18"/>
              </w:rPr>
              <w:t>=63171000.00]</w:t>
            </w:r>
          </w:p>
        </w:tc>
        <w:tc>
          <w:tcPr>
            <w:tcW w:w="520"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-52.000</w:t>
            </w:r>
          </w:p>
        </w:tc>
        <w:tc>
          <w:tcPr>
            <w:tcW w:w="54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-54.772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-49.228</w:t>
            </w:r>
          </w:p>
        </w:tc>
        <w:tc>
          <w:tcPr>
            <w:tcW w:w="7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1352.000</w:t>
            </w:r>
          </w:p>
        </w:tc>
        <w:tc>
          <w:tcPr>
            <w:tcW w:w="2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395"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68"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[CDE</w:t>
            </w:r>
            <w:r>
              <w:rPr>
                <w:rFonts w:ascii="Arial" w:hAnsi="Arial" w:cs="Arial"/>
                <w:color w:val="000000"/>
                <w:sz w:val="18"/>
                <w:szCs w:val="18"/>
                <w:vertAlign w:val="subscript"/>
              </w:rPr>
              <w:t>CSR</w:t>
            </w:r>
            <w:r>
              <w:rPr>
                <w:rFonts w:ascii="Arial" w:hAnsi="Arial" w:cs="Arial"/>
                <w:color w:val="000000"/>
                <w:sz w:val="18"/>
                <w:szCs w:val="18"/>
              </w:rPr>
              <w:t>=76966220.00]</w:t>
            </w:r>
          </w:p>
        </w:tc>
        <w:tc>
          <w:tcPr>
            <w:tcW w:w="520"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w:t>
            </w:r>
            <w:r>
              <w:rPr>
                <w:rFonts w:ascii="Arial" w:hAnsi="Arial" w:cs="Arial"/>
                <w:color w:val="000000"/>
                <w:sz w:val="18"/>
                <w:szCs w:val="18"/>
                <w:vertAlign w:val="superscript"/>
              </w:rPr>
              <w:t>a</w:t>
            </w:r>
          </w:p>
        </w:tc>
        <w:tc>
          <w:tcPr>
            <w:tcW w:w="54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c>
          <w:tcPr>
            <w:tcW w:w="7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c>
          <w:tcPr>
            <w:tcW w:w="2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c>
          <w:tcPr>
            <w:tcW w:w="395"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r>
      <w:tr w:rsidR="00B44B07" w:rsidTr="00C22851">
        <w:trPr>
          <w:trHeight w:val="1"/>
        </w:trPr>
        <w:tc>
          <w:tcPr>
            <w:tcW w:w="1068" w:type="pct"/>
            <w:tcBorders>
              <w:top w:val="single" w:sz="6" w:space="0" w:color="000000"/>
              <w:left w:val="single" w:sz="12" w:space="0" w:color="000000"/>
              <w:bottom w:val="single" w:sz="12"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(Scale)</w:t>
            </w:r>
          </w:p>
        </w:tc>
        <w:tc>
          <w:tcPr>
            <w:tcW w:w="520" w:type="pct"/>
            <w:tcBorders>
              <w:top w:val="single" w:sz="6" w:space="0" w:color="000000"/>
              <w:left w:val="single" w:sz="12"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1.000</w:t>
            </w:r>
            <w:r>
              <w:rPr>
                <w:rFonts w:ascii="Arial" w:hAnsi="Arial" w:cs="Arial"/>
                <w:color w:val="000000"/>
                <w:sz w:val="18"/>
                <w:szCs w:val="18"/>
                <w:vertAlign w:val="superscript"/>
              </w:rPr>
              <w:t>b</w:t>
            </w:r>
          </w:p>
        </w:tc>
        <w:tc>
          <w:tcPr>
            <w:tcW w:w="544" w:type="pct"/>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c>
          <w:tcPr>
            <w:tcW w:w="715" w:type="pct"/>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c>
          <w:tcPr>
            <w:tcW w:w="715" w:type="pct"/>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c>
          <w:tcPr>
            <w:tcW w:w="747" w:type="pct"/>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c>
          <w:tcPr>
            <w:tcW w:w="295" w:type="pct"/>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c>
          <w:tcPr>
            <w:tcW w:w="395" w:type="pct"/>
            <w:tcBorders>
              <w:top w:val="single" w:sz="6" w:space="0" w:color="000000"/>
              <w:left w:val="single" w:sz="6" w:space="0" w:color="000000"/>
              <w:bottom w:val="single" w:sz="12"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r>
      <w:tr w:rsidR="00B44B07" w:rsidTr="00C22851">
        <w:trPr>
          <w:trHeight w:val="1"/>
        </w:trPr>
        <w:tc>
          <w:tcPr>
            <w:tcW w:w="5000" w:type="pct"/>
            <w:gridSpan w:val="8"/>
            <w:tcBorders>
              <w:top w:val="single" w:sz="6" w:space="0" w:color="000000"/>
              <w:left w:val="single" w:sz="6" w:space="0" w:color="000000"/>
              <w:bottom w:val="single" w:sz="6" w:space="0" w:color="000000"/>
              <w:right w:val="single" w:sz="6"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Arial" w:hAnsi="Arial" w:cs="Arial"/>
                <w:color w:val="000000"/>
                <w:sz w:val="18"/>
                <w:szCs w:val="18"/>
              </w:rPr>
            </w:pPr>
            <w:r>
              <w:rPr>
                <w:rFonts w:ascii="Arial" w:hAnsi="Arial" w:cs="Arial"/>
                <w:color w:val="000000"/>
                <w:sz w:val="18"/>
                <w:szCs w:val="18"/>
              </w:rPr>
              <w:t>Dependent Variable: PAT</w:t>
            </w:r>
          </w:p>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Model: (Intercept), CDE</w:t>
            </w:r>
            <w:r>
              <w:rPr>
                <w:rFonts w:ascii="Arial" w:hAnsi="Arial" w:cs="Arial"/>
                <w:color w:val="000000"/>
                <w:sz w:val="18"/>
                <w:szCs w:val="18"/>
                <w:vertAlign w:val="subscript"/>
              </w:rPr>
              <w:t>CSR</w:t>
            </w:r>
          </w:p>
        </w:tc>
      </w:tr>
      <w:tr w:rsidR="00B44B07" w:rsidTr="00C22851">
        <w:trPr>
          <w:trHeight w:val="1"/>
        </w:trPr>
        <w:tc>
          <w:tcPr>
            <w:tcW w:w="5000" w:type="pct"/>
            <w:gridSpan w:val="8"/>
            <w:tcBorders>
              <w:top w:val="single" w:sz="6" w:space="0" w:color="000000"/>
              <w:left w:val="single" w:sz="6" w:space="0" w:color="000000"/>
              <w:bottom w:val="single" w:sz="6" w:space="0" w:color="000000"/>
              <w:right w:val="single" w:sz="6" w:space="0" w:color="000000"/>
            </w:tcBorders>
            <w:shd w:val="clear" w:color="auto" w:fill="FFFFFF"/>
          </w:tcPr>
          <w:p w:rsidR="00B44B07" w:rsidRDefault="00B44B07" w:rsidP="00C35033">
            <w:pPr>
              <w:autoSpaceDE w:val="0"/>
              <w:autoSpaceDN w:val="0"/>
              <w:adjustRightInd w:val="0"/>
              <w:spacing w:after="0" w:line="360" w:lineRule="auto"/>
              <w:ind w:right="60"/>
              <w:jc w:val="both"/>
              <w:rPr>
                <w:rFonts w:ascii="Calibri" w:hAnsi="Calibri" w:cs="Calibri"/>
              </w:rPr>
            </w:pPr>
          </w:p>
        </w:tc>
      </w:tr>
      <w:tr w:rsidR="00B44B07" w:rsidTr="00C22851">
        <w:trPr>
          <w:trHeight w:val="1"/>
        </w:trPr>
        <w:tc>
          <w:tcPr>
            <w:tcW w:w="5000" w:type="pct"/>
            <w:gridSpan w:val="8"/>
            <w:tcBorders>
              <w:top w:val="single" w:sz="6" w:space="0" w:color="000000"/>
              <w:left w:val="single" w:sz="6" w:space="0" w:color="000000"/>
              <w:bottom w:val="single" w:sz="6" w:space="0" w:color="000000"/>
              <w:right w:val="single" w:sz="6" w:space="0" w:color="000000"/>
            </w:tcBorders>
            <w:shd w:val="clear" w:color="auto" w:fill="FFFFFF"/>
          </w:tcPr>
          <w:p w:rsidR="00B44B07" w:rsidRDefault="00B44B07" w:rsidP="00C35033">
            <w:pPr>
              <w:autoSpaceDE w:val="0"/>
              <w:autoSpaceDN w:val="0"/>
              <w:adjustRightInd w:val="0"/>
              <w:spacing w:after="0" w:line="360" w:lineRule="auto"/>
              <w:ind w:right="60"/>
              <w:jc w:val="both"/>
              <w:rPr>
                <w:rFonts w:ascii="Calibri" w:hAnsi="Calibri" w:cs="Calibri"/>
              </w:rPr>
            </w:pPr>
          </w:p>
        </w:tc>
      </w:tr>
    </w:tbl>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t>The deviance was further investigated by the Wald Statistic basically computed, as shown in the table above revealing the significant effect of CDE</w:t>
      </w:r>
      <w:r>
        <w:rPr>
          <w:rFonts w:ascii="Times New Roman" w:hAnsi="Times New Roman" w:cs="Times New Roman"/>
          <w:sz w:val="24"/>
          <w:szCs w:val="24"/>
          <w:vertAlign w:val="subscript"/>
        </w:rPr>
        <w:t>CSR</w:t>
      </w:r>
      <w:r>
        <w:rPr>
          <w:rFonts w:ascii="Times New Roman" w:hAnsi="Times New Roman" w:cs="Times New Roman"/>
          <w:sz w:val="24"/>
          <w:szCs w:val="24"/>
        </w:rPr>
        <w:t xml:space="preserve"> on Profitability growth of the selected Flour Mills on a yearly basis and the result proved significant at 5% level for all years except in 2013 where the companies failed to realize the importance of adapting to the competitive environment.</w:t>
      </w:r>
    </w:p>
    <w:p w:rsidR="00B44B07" w:rsidRDefault="00B44B07" w:rsidP="00C35033">
      <w:pPr>
        <w:autoSpaceDE w:val="0"/>
        <w:autoSpaceDN w:val="0"/>
        <w:adjustRightInd w:val="0"/>
        <w:spacing w:after="0" w:line="360" w:lineRule="auto"/>
        <w:jc w:val="both"/>
        <w:rPr>
          <w:rFonts w:ascii="Times New Roman" w:hAnsi="Times New Roman" w:cs="Times New Roman"/>
          <w:b/>
          <w:bCs/>
          <w:color w:val="000000"/>
          <w:sz w:val="24"/>
          <w:szCs w:val="24"/>
        </w:rPr>
      </w:pPr>
    </w:p>
    <w:p w:rsidR="00B44B07" w:rsidRDefault="00B44B07" w:rsidP="00C35033">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Hypothesis 2:</w:t>
      </w:r>
    </w:p>
    <w:tbl>
      <w:tblPr>
        <w:tblW w:w="0" w:type="auto"/>
        <w:tblInd w:w="-8" w:type="dxa"/>
        <w:tblLayout w:type="fixed"/>
        <w:tblCellMar>
          <w:left w:w="0" w:type="dxa"/>
          <w:right w:w="0" w:type="dxa"/>
        </w:tblCellMar>
        <w:tblLook w:val="0000"/>
      </w:tblPr>
      <w:tblGrid>
        <w:gridCol w:w="1789"/>
        <w:gridCol w:w="1469"/>
        <w:gridCol w:w="1025"/>
        <w:gridCol w:w="1025"/>
      </w:tblGrid>
      <w:tr w:rsidR="00B44B07">
        <w:trPr>
          <w:trHeight w:val="1"/>
        </w:trPr>
        <w:tc>
          <w:tcPr>
            <w:tcW w:w="5308" w:type="dxa"/>
            <w:gridSpan w:val="4"/>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b/>
                <w:bCs/>
                <w:color w:val="000000"/>
                <w:sz w:val="18"/>
                <w:szCs w:val="18"/>
              </w:rPr>
              <w:t>Lagrange Multiplier Test</w:t>
            </w:r>
          </w:p>
        </w:tc>
      </w:tr>
      <w:tr w:rsidR="00B44B07">
        <w:trPr>
          <w:trHeight w:val="1"/>
        </w:trPr>
        <w:tc>
          <w:tcPr>
            <w:tcW w:w="1789" w:type="dxa"/>
            <w:tcBorders>
              <w:top w:val="single" w:sz="12" w:space="0" w:color="000000"/>
              <w:left w:val="single" w:sz="12" w:space="0" w:color="000000"/>
              <w:bottom w:val="single" w:sz="12"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jc w:val="both"/>
              <w:rPr>
                <w:rFonts w:ascii="Calibri" w:hAnsi="Calibri" w:cs="Calibri"/>
              </w:rPr>
            </w:pPr>
          </w:p>
        </w:tc>
        <w:tc>
          <w:tcPr>
            <w:tcW w:w="1469" w:type="dxa"/>
            <w:tcBorders>
              <w:top w:val="single" w:sz="12" w:space="0" w:color="000000"/>
              <w:left w:val="single" w:sz="12"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Chi-Square</w:t>
            </w:r>
          </w:p>
        </w:tc>
        <w:tc>
          <w:tcPr>
            <w:tcW w:w="1025" w:type="dxa"/>
            <w:tcBorders>
              <w:top w:val="single" w:sz="12" w:space="0" w:color="000000"/>
              <w:left w:val="single" w:sz="6" w:space="0" w:color="000000"/>
              <w:bottom w:val="single" w:sz="12" w:space="0" w:color="000000"/>
              <w:right w:val="single" w:sz="6" w:space="0" w:color="000000"/>
            </w:tcBorders>
            <w:shd w:val="clear" w:color="auto" w:fill="FFFFFF"/>
            <w:vAlign w:val="bottom"/>
          </w:tcPr>
          <w:p w:rsidR="00B44B07" w:rsidRDefault="009E6C10"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D</w:t>
            </w:r>
            <w:r w:rsidR="00B44B07">
              <w:rPr>
                <w:rFonts w:ascii="Arial" w:hAnsi="Arial" w:cs="Arial"/>
                <w:color w:val="000000"/>
                <w:sz w:val="18"/>
                <w:szCs w:val="18"/>
              </w:rPr>
              <w:t>f</w:t>
            </w:r>
          </w:p>
        </w:tc>
        <w:tc>
          <w:tcPr>
            <w:tcW w:w="1025" w:type="dxa"/>
            <w:tcBorders>
              <w:top w:val="single" w:sz="12" w:space="0" w:color="000000"/>
              <w:left w:val="single" w:sz="6" w:space="0" w:color="000000"/>
              <w:bottom w:val="single" w:sz="12"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Sig.</w:t>
            </w:r>
          </w:p>
        </w:tc>
      </w:tr>
      <w:tr w:rsidR="00B44B07">
        <w:trPr>
          <w:trHeight w:val="1"/>
        </w:trPr>
        <w:tc>
          <w:tcPr>
            <w:tcW w:w="1789" w:type="dxa"/>
            <w:tcBorders>
              <w:top w:val="single" w:sz="12" w:space="0" w:color="000000"/>
              <w:left w:val="single" w:sz="12" w:space="0" w:color="000000"/>
              <w:bottom w:val="single" w:sz="12"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Scale Parameter</w:t>
            </w:r>
            <w:r>
              <w:rPr>
                <w:rFonts w:ascii="Arial" w:hAnsi="Arial" w:cs="Arial"/>
                <w:color w:val="000000"/>
                <w:sz w:val="18"/>
                <w:szCs w:val="18"/>
                <w:vertAlign w:val="superscript"/>
              </w:rPr>
              <w:t>a</w:t>
            </w:r>
          </w:p>
        </w:tc>
        <w:tc>
          <w:tcPr>
            <w:tcW w:w="1469" w:type="dxa"/>
            <w:tcBorders>
              <w:top w:val="single" w:sz="12" w:space="0" w:color="000000"/>
              <w:left w:val="single" w:sz="12"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1.011e+27</w:t>
            </w:r>
          </w:p>
        </w:tc>
        <w:tc>
          <w:tcPr>
            <w:tcW w:w="1025" w:type="dxa"/>
            <w:tcBorders>
              <w:top w:val="single" w:sz="12"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1025" w:type="dxa"/>
            <w:tcBorders>
              <w:top w:val="single" w:sz="12" w:space="0" w:color="000000"/>
              <w:left w:val="single" w:sz="6" w:space="0" w:color="000000"/>
              <w:bottom w:val="single" w:sz="12"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trPr>
          <w:trHeight w:val="1"/>
        </w:trPr>
        <w:tc>
          <w:tcPr>
            <w:tcW w:w="5308" w:type="dxa"/>
            <w:gridSpan w:val="4"/>
            <w:tcBorders>
              <w:top w:val="single" w:sz="6" w:space="0" w:color="000000"/>
              <w:left w:val="single" w:sz="6" w:space="0" w:color="000000"/>
              <w:bottom w:val="single" w:sz="6" w:space="0" w:color="000000"/>
              <w:right w:val="single" w:sz="6"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a. Tests the null hypothesis that the scale parameter equals 1.000</w:t>
            </w:r>
          </w:p>
        </w:tc>
      </w:tr>
    </w:tbl>
    <w:p w:rsidR="00B44B07" w:rsidRDefault="00B44B07" w:rsidP="00C35033">
      <w:pPr>
        <w:autoSpaceDE w:val="0"/>
        <w:autoSpaceDN w:val="0"/>
        <w:adjustRightInd w:val="0"/>
        <w:spacing w:after="0" w:line="360" w:lineRule="auto"/>
        <w:jc w:val="both"/>
        <w:rPr>
          <w:rFonts w:ascii="Times New Roman" w:hAnsi="Times New Roman" w:cs="Times New Roman"/>
          <w:color w:val="000000"/>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chi-square test of the Langrange Multiplier reveals that the significant relationship between WEF</w:t>
      </w:r>
      <w:r>
        <w:rPr>
          <w:rFonts w:ascii="Times New Roman" w:hAnsi="Times New Roman" w:cs="Times New Roman"/>
          <w:color w:val="000000"/>
          <w:sz w:val="24"/>
          <w:szCs w:val="24"/>
          <w:vertAlign w:val="subscript"/>
        </w:rPr>
        <w:t>CSR</w:t>
      </w:r>
      <w:r>
        <w:rPr>
          <w:rFonts w:ascii="Times New Roman" w:hAnsi="Times New Roman" w:cs="Times New Roman"/>
          <w:color w:val="000000"/>
          <w:sz w:val="24"/>
          <w:szCs w:val="24"/>
        </w:rPr>
        <w:t xml:space="preserve"> and Sales could not have happens by chance. Hence the P-value (0.000&lt;0.05) implies </w:t>
      </w:r>
      <w:r>
        <w:rPr>
          <w:rFonts w:ascii="Times New Roman" w:hAnsi="Times New Roman" w:cs="Times New Roman"/>
          <w:color w:val="000000"/>
          <w:sz w:val="24"/>
          <w:szCs w:val="24"/>
        </w:rPr>
        <w:lastRenderedPageBreak/>
        <w:t>that there is significant relationship between WEF</w:t>
      </w:r>
      <w:r>
        <w:rPr>
          <w:rFonts w:ascii="Times New Roman" w:hAnsi="Times New Roman" w:cs="Times New Roman"/>
          <w:color w:val="000000"/>
          <w:sz w:val="24"/>
          <w:szCs w:val="24"/>
          <w:vertAlign w:val="subscript"/>
        </w:rPr>
        <w:t xml:space="preserve">CSR </w:t>
      </w:r>
      <w:r>
        <w:rPr>
          <w:rFonts w:ascii="Times New Roman" w:hAnsi="Times New Roman" w:cs="Times New Roman"/>
          <w:color w:val="000000"/>
          <w:sz w:val="24"/>
          <w:szCs w:val="24"/>
        </w:rPr>
        <w:t>and Sales of the selected Flour Mills in Nigeria within the 7 years period.</w:t>
      </w:r>
    </w:p>
    <w:tbl>
      <w:tblPr>
        <w:tblW w:w="0" w:type="auto"/>
        <w:tblInd w:w="-8" w:type="dxa"/>
        <w:tblLayout w:type="fixed"/>
        <w:tblCellMar>
          <w:left w:w="0" w:type="dxa"/>
          <w:right w:w="0" w:type="dxa"/>
        </w:tblCellMar>
        <w:tblLook w:val="0000"/>
      </w:tblPr>
      <w:tblGrid>
        <w:gridCol w:w="1177"/>
        <w:gridCol w:w="1469"/>
        <w:gridCol w:w="1025"/>
        <w:gridCol w:w="1025"/>
      </w:tblGrid>
      <w:tr w:rsidR="00B44B07">
        <w:trPr>
          <w:trHeight w:val="1"/>
        </w:trPr>
        <w:tc>
          <w:tcPr>
            <w:tcW w:w="4696" w:type="dxa"/>
            <w:gridSpan w:val="4"/>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b/>
                <w:bCs/>
                <w:color w:val="000000"/>
                <w:sz w:val="18"/>
                <w:szCs w:val="18"/>
              </w:rPr>
              <w:t>Tests of Model Effects</w:t>
            </w:r>
          </w:p>
        </w:tc>
      </w:tr>
      <w:tr w:rsidR="00B44B07">
        <w:trPr>
          <w:trHeight w:val="1"/>
        </w:trPr>
        <w:tc>
          <w:tcPr>
            <w:tcW w:w="1177" w:type="dxa"/>
            <w:vMerge w:val="restart"/>
            <w:tcBorders>
              <w:top w:val="single" w:sz="12" w:space="0" w:color="000000"/>
              <w:left w:val="single" w:sz="12"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Source</w:t>
            </w:r>
          </w:p>
        </w:tc>
        <w:tc>
          <w:tcPr>
            <w:tcW w:w="3519" w:type="dxa"/>
            <w:gridSpan w:val="3"/>
            <w:tcBorders>
              <w:top w:val="single" w:sz="12" w:space="0" w:color="000000"/>
              <w:left w:val="single" w:sz="12"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Type III</w:t>
            </w:r>
          </w:p>
        </w:tc>
      </w:tr>
      <w:tr w:rsidR="00B44B07">
        <w:trPr>
          <w:trHeight w:val="1"/>
        </w:trPr>
        <w:tc>
          <w:tcPr>
            <w:tcW w:w="1177" w:type="dxa"/>
            <w:vMerge/>
            <w:tcBorders>
              <w:top w:val="single" w:sz="12" w:space="0" w:color="000000"/>
              <w:left w:val="single" w:sz="12"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rPr>
                <w:rFonts w:ascii="Calibri" w:hAnsi="Calibri" w:cs="Calibri"/>
              </w:rPr>
            </w:pPr>
          </w:p>
        </w:tc>
        <w:tc>
          <w:tcPr>
            <w:tcW w:w="1469" w:type="dxa"/>
            <w:tcBorders>
              <w:top w:val="single" w:sz="6" w:space="0" w:color="000000"/>
              <w:left w:val="single" w:sz="12"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Wald Chi-Square</w:t>
            </w:r>
          </w:p>
        </w:tc>
        <w:tc>
          <w:tcPr>
            <w:tcW w:w="1025" w:type="dxa"/>
            <w:tcBorders>
              <w:top w:val="single" w:sz="6" w:space="0" w:color="000000"/>
              <w:left w:val="single" w:sz="6"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df</w:t>
            </w:r>
          </w:p>
        </w:tc>
        <w:tc>
          <w:tcPr>
            <w:tcW w:w="1025" w:type="dxa"/>
            <w:tcBorders>
              <w:top w:val="single" w:sz="6" w:space="0" w:color="000000"/>
              <w:left w:val="single" w:sz="6" w:space="0" w:color="000000"/>
              <w:bottom w:val="single" w:sz="12"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Sig.</w:t>
            </w:r>
          </w:p>
        </w:tc>
      </w:tr>
      <w:tr w:rsidR="00B44B07">
        <w:trPr>
          <w:trHeight w:val="1"/>
        </w:trPr>
        <w:tc>
          <w:tcPr>
            <w:tcW w:w="1177" w:type="dxa"/>
            <w:tcBorders>
              <w:top w:val="single" w:sz="12"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(Intercept)</w:t>
            </w:r>
          </w:p>
        </w:tc>
        <w:tc>
          <w:tcPr>
            <w:tcW w:w="1469" w:type="dxa"/>
            <w:tcBorders>
              <w:top w:val="single" w:sz="12"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26291.571</w:t>
            </w:r>
          </w:p>
        </w:tc>
        <w:tc>
          <w:tcPr>
            <w:tcW w:w="1025" w:type="dxa"/>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1025" w:type="dxa"/>
            <w:tcBorders>
              <w:top w:val="single" w:sz="12"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trPr>
          <w:trHeight w:val="1"/>
        </w:trPr>
        <w:tc>
          <w:tcPr>
            <w:tcW w:w="1177" w:type="dxa"/>
            <w:tcBorders>
              <w:top w:val="single" w:sz="6" w:space="0" w:color="000000"/>
              <w:left w:val="single" w:sz="12" w:space="0" w:color="000000"/>
              <w:bottom w:val="single" w:sz="12"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WEF</w:t>
            </w:r>
            <w:r>
              <w:rPr>
                <w:rFonts w:ascii="Arial" w:hAnsi="Arial" w:cs="Arial"/>
                <w:color w:val="000000"/>
                <w:sz w:val="18"/>
                <w:szCs w:val="18"/>
                <w:vertAlign w:val="subscript"/>
              </w:rPr>
              <w:t>CSR</w:t>
            </w:r>
          </w:p>
        </w:tc>
        <w:tc>
          <w:tcPr>
            <w:tcW w:w="1469" w:type="dxa"/>
            <w:tcBorders>
              <w:top w:val="single" w:sz="6" w:space="0" w:color="000000"/>
              <w:left w:val="single" w:sz="12"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7405.429</w:t>
            </w:r>
          </w:p>
        </w:tc>
        <w:tc>
          <w:tcPr>
            <w:tcW w:w="1025" w:type="dxa"/>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6</w:t>
            </w:r>
          </w:p>
        </w:tc>
        <w:tc>
          <w:tcPr>
            <w:tcW w:w="1025" w:type="dxa"/>
            <w:tcBorders>
              <w:top w:val="single" w:sz="6" w:space="0" w:color="000000"/>
              <w:left w:val="single" w:sz="6" w:space="0" w:color="000000"/>
              <w:bottom w:val="single" w:sz="12"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trPr>
          <w:trHeight w:val="1"/>
        </w:trPr>
        <w:tc>
          <w:tcPr>
            <w:tcW w:w="4696" w:type="dxa"/>
            <w:gridSpan w:val="4"/>
            <w:tcBorders>
              <w:top w:val="single" w:sz="6" w:space="0" w:color="000000"/>
              <w:left w:val="single" w:sz="6" w:space="0" w:color="000000"/>
              <w:bottom w:val="single" w:sz="6" w:space="0" w:color="000000"/>
              <w:right w:val="single" w:sz="6"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Arial" w:hAnsi="Arial" w:cs="Arial"/>
                <w:color w:val="000000"/>
                <w:sz w:val="18"/>
                <w:szCs w:val="18"/>
              </w:rPr>
            </w:pPr>
            <w:r>
              <w:rPr>
                <w:rFonts w:ascii="Arial" w:hAnsi="Arial" w:cs="Arial"/>
                <w:color w:val="000000"/>
                <w:sz w:val="18"/>
                <w:szCs w:val="18"/>
              </w:rPr>
              <w:t>Dependent Variable: Sales</w:t>
            </w:r>
          </w:p>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Model: (Intercept), WEF</w:t>
            </w:r>
            <w:r>
              <w:rPr>
                <w:rFonts w:ascii="Arial" w:hAnsi="Arial" w:cs="Arial"/>
                <w:color w:val="000000"/>
                <w:sz w:val="18"/>
                <w:szCs w:val="18"/>
                <w:vertAlign w:val="subscript"/>
              </w:rPr>
              <w:t>CSR</w:t>
            </w:r>
          </w:p>
        </w:tc>
      </w:tr>
    </w:tbl>
    <w:p w:rsidR="00B44B07" w:rsidRDefault="00B44B07" w:rsidP="00C35033">
      <w:pPr>
        <w:autoSpaceDE w:val="0"/>
        <w:autoSpaceDN w:val="0"/>
        <w:adjustRightInd w:val="0"/>
        <w:spacing w:after="0" w:line="360" w:lineRule="auto"/>
        <w:jc w:val="both"/>
        <w:rPr>
          <w:rFonts w:ascii="Times New Roman" w:hAnsi="Times New Roman" w:cs="Times New Roman"/>
          <w:color w:val="000000"/>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output above compares the fitted model against the independent variable (WEF</w:t>
      </w:r>
      <w:r>
        <w:rPr>
          <w:rFonts w:ascii="Times New Roman" w:hAnsi="Times New Roman" w:cs="Times New Roman"/>
          <w:color w:val="000000"/>
          <w:sz w:val="24"/>
          <w:szCs w:val="24"/>
          <w:vertAlign w:val="subscript"/>
        </w:rPr>
        <w:t>CSR</w:t>
      </w:r>
      <w:r>
        <w:rPr>
          <w:rFonts w:ascii="Times New Roman" w:hAnsi="Times New Roman" w:cs="Times New Roman"/>
          <w:color w:val="000000"/>
          <w:sz w:val="24"/>
          <w:szCs w:val="24"/>
        </w:rPr>
        <w:t>) by computing the likelihood ratios of the Wald chi-square showing that the higher intercept model has caused the Sales growth of the selected Flour Mills in Nigeria to be highly significant. Hence the effect is high at 5% level of significant. i.e. p&lt;0.05</w:t>
      </w:r>
    </w:p>
    <w:tbl>
      <w:tblPr>
        <w:tblW w:w="5000" w:type="pct"/>
        <w:tblCellMar>
          <w:left w:w="0" w:type="dxa"/>
          <w:right w:w="0" w:type="dxa"/>
        </w:tblCellMar>
        <w:tblLook w:val="0000"/>
      </w:tblPr>
      <w:tblGrid>
        <w:gridCol w:w="2160"/>
        <w:gridCol w:w="955"/>
        <w:gridCol w:w="986"/>
        <w:gridCol w:w="1307"/>
        <w:gridCol w:w="1309"/>
        <w:gridCol w:w="1367"/>
        <w:gridCol w:w="585"/>
        <w:gridCol w:w="707"/>
      </w:tblGrid>
      <w:tr w:rsidR="00B44B07" w:rsidTr="00C22851">
        <w:trPr>
          <w:trHeight w:val="1"/>
        </w:trPr>
        <w:tc>
          <w:tcPr>
            <w:tcW w:w="5000" w:type="pct"/>
            <w:gridSpan w:val="8"/>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b/>
                <w:bCs/>
                <w:color w:val="000000"/>
                <w:sz w:val="18"/>
                <w:szCs w:val="18"/>
              </w:rPr>
              <w:t>Parameter Estimates</w:t>
            </w:r>
          </w:p>
        </w:tc>
      </w:tr>
      <w:tr w:rsidR="00B44B07" w:rsidTr="00C22851">
        <w:trPr>
          <w:trHeight w:val="1"/>
        </w:trPr>
        <w:tc>
          <w:tcPr>
            <w:tcW w:w="1025" w:type="pct"/>
            <w:vMerge w:val="restart"/>
            <w:tcBorders>
              <w:top w:val="single" w:sz="12" w:space="0" w:color="000000"/>
              <w:left w:val="single" w:sz="12"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Parameter</w:t>
            </w:r>
          </w:p>
        </w:tc>
        <w:tc>
          <w:tcPr>
            <w:tcW w:w="528" w:type="pct"/>
            <w:vMerge w:val="restart"/>
            <w:tcBorders>
              <w:top w:val="single" w:sz="12" w:space="0" w:color="000000"/>
              <w:left w:val="single" w:sz="12" w:space="0" w:color="000000"/>
              <w:bottom w:val="single" w:sz="6"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B</w:t>
            </w:r>
          </w:p>
        </w:tc>
        <w:tc>
          <w:tcPr>
            <w:tcW w:w="544" w:type="pct"/>
            <w:vMerge w:val="restart"/>
            <w:tcBorders>
              <w:top w:val="single" w:sz="12" w:space="0" w:color="000000"/>
              <w:left w:val="single" w:sz="6" w:space="0" w:color="000000"/>
              <w:bottom w:val="single" w:sz="6"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Std. Error</w:t>
            </w:r>
          </w:p>
        </w:tc>
        <w:tc>
          <w:tcPr>
            <w:tcW w:w="1431" w:type="pct"/>
            <w:gridSpan w:val="2"/>
            <w:tcBorders>
              <w:top w:val="single" w:sz="12" w:space="0" w:color="000000"/>
              <w:left w:val="single" w:sz="6" w:space="0" w:color="000000"/>
              <w:bottom w:val="single" w:sz="6"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95% Wald Confidence Interval</w:t>
            </w:r>
          </w:p>
        </w:tc>
        <w:tc>
          <w:tcPr>
            <w:tcW w:w="1472" w:type="pct"/>
            <w:gridSpan w:val="3"/>
            <w:tcBorders>
              <w:top w:val="single" w:sz="12" w:space="0" w:color="000000"/>
              <w:left w:val="single" w:sz="6"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Hypothesis Test</w:t>
            </w:r>
          </w:p>
        </w:tc>
      </w:tr>
      <w:tr w:rsidR="00B44B07" w:rsidTr="00C22851">
        <w:trPr>
          <w:trHeight w:val="1"/>
        </w:trPr>
        <w:tc>
          <w:tcPr>
            <w:tcW w:w="1025" w:type="pct"/>
            <w:vMerge/>
            <w:tcBorders>
              <w:top w:val="single" w:sz="12" w:space="0" w:color="000000"/>
              <w:left w:val="single" w:sz="12"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rPr>
                <w:rFonts w:ascii="Calibri" w:hAnsi="Calibri" w:cs="Calibri"/>
              </w:rPr>
            </w:pPr>
          </w:p>
        </w:tc>
        <w:tc>
          <w:tcPr>
            <w:tcW w:w="528" w:type="pct"/>
            <w:vMerge/>
            <w:tcBorders>
              <w:top w:val="single" w:sz="12" w:space="0" w:color="000000"/>
              <w:left w:val="single" w:sz="12" w:space="0" w:color="000000"/>
              <w:bottom w:val="single" w:sz="6"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rPr>
                <w:rFonts w:ascii="Calibri" w:hAnsi="Calibri" w:cs="Calibri"/>
              </w:rPr>
            </w:pPr>
          </w:p>
        </w:tc>
        <w:tc>
          <w:tcPr>
            <w:tcW w:w="544" w:type="pct"/>
            <w:vMerge/>
            <w:tcBorders>
              <w:top w:val="single" w:sz="12" w:space="0" w:color="000000"/>
              <w:left w:val="single" w:sz="6" w:space="0" w:color="000000"/>
              <w:bottom w:val="single" w:sz="6"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rPr>
                <w:rFonts w:ascii="Calibri" w:hAnsi="Calibri" w:cs="Calibri"/>
              </w:rPr>
            </w:pPr>
          </w:p>
        </w:tc>
        <w:tc>
          <w:tcPr>
            <w:tcW w:w="715" w:type="pct"/>
            <w:tcBorders>
              <w:top w:val="single" w:sz="6" w:space="0" w:color="000000"/>
              <w:left w:val="single" w:sz="6"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Lower</w:t>
            </w:r>
          </w:p>
        </w:tc>
        <w:tc>
          <w:tcPr>
            <w:tcW w:w="715" w:type="pct"/>
            <w:tcBorders>
              <w:top w:val="single" w:sz="6" w:space="0" w:color="000000"/>
              <w:left w:val="single" w:sz="6"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Upper</w:t>
            </w:r>
          </w:p>
        </w:tc>
        <w:tc>
          <w:tcPr>
            <w:tcW w:w="747" w:type="pct"/>
            <w:tcBorders>
              <w:top w:val="single" w:sz="6" w:space="0" w:color="000000"/>
              <w:left w:val="single" w:sz="6"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Wald Chi-Square</w:t>
            </w:r>
          </w:p>
        </w:tc>
        <w:tc>
          <w:tcPr>
            <w:tcW w:w="330" w:type="pct"/>
            <w:tcBorders>
              <w:top w:val="single" w:sz="6" w:space="0" w:color="000000"/>
              <w:left w:val="single" w:sz="6"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df</w:t>
            </w:r>
          </w:p>
        </w:tc>
        <w:tc>
          <w:tcPr>
            <w:tcW w:w="395" w:type="pct"/>
            <w:tcBorders>
              <w:top w:val="single" w:sz="6" w:space="0" w:color="000000"/>
              <w:left w:val="single" w:sz="6" w:space="0" w:color="000000"/>
              <w:bottom w:val="single" w:sz="12"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Sig.</w:t>
            </w:r>
          </w:p>
        </w:tc>
      </w:tr>
      <w:tr w:rsidR="00B44B07" w:rsidTr="00C22851">
        <w:trPr>
          <w:trHeight w:val="1"/>
        </w:trPr>
        <w:tc>
          <w:tcPr>
            <w:tcW w:w="1025" w:type="pct"/>
            <w:tcBorders>
              <w:top w:val="single" w:sz="12"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(Intercept)</w:t>
            </w:r>
          </w:p>
        </w:tc>
        <w:tc>
          <w:tcPr>
            <w:tcW w:w="528" w:type="pct"/>
            <w:tcBorders>
              <w:top w:val="single" w:sz="12"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135.000</w:t>
            </w:r>
          </w:p>
        </w:tc>
        <w:tc>
          <w:tcPr>
            <w:tcW w:w="544" w:type="pct"/>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1.0000</w:t>
            </w:r>
          </w:p>
        </w:tc>
        <w:tc>
          <w:tcPr>
            <w:tcW w:w="715" w:type="pct"/>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133.040</w:t>
            </w:r>
          </w:p>
        </w:tc>
        <w:tc>
          <w:tcPr>
            <w:tcW w:w="715" w:type="pct"/>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136.960</w:t>
            </w:r>
          </w:p>
        </w:tc>
        <w:tc>
          <w:tcPr>
            <w:tcW w:w="747" w:type="pct"/>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18225.000</w:t>
            </w:r>
          </w:p>
        </w:tc>
        <w:tc>
          <w:tcPr>
            <w:tcW w:w="330" w:type="pct"/>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395" w:type="pct"/>
            <w:tcBorders>
              <w:top w:val="single" w:sz="12"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25"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[WEF</w:t>
            </w:r>
            <w:r>
              <w:rPr>
                <w:rFonts w:ascii="Arial" w:hAnsi="Arial" w:cs="Arial"/>
                <w:color w:val="000000"/>
                <w:sz w:val="18"/>
                <w:szCs w:val="18"/>
                <w:vertAlign w:val="subscript"/>
              </w:rPr>
              <w:t>CSR</w:t>
            </w:r>
            <w:r>
              <w:rPr>
                <w:rFonts w:ascii="Arial" w:hAnsi="Arial" w:cs="Arial"/>
                <w:color w:val="000000"/>
                <w:sz w:val="18"/>
                <w:szCs w:val="18"/>
              </w:rPr>
              <w:t>=27000250.00]</w:t>
            </w:r>
          </w:p>
        </w:tc>
        <w:tc>
          <w:tcPr>
            <w:tcW w:w="528"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-98.000</w:t>
            </w:r>
          </w:p>
        </w:tc>
        <w:tc>
          <w:tcPr>
            <w:tcW w:w="54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-100.772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-95.228</w:t>
            </w:r>
          </w:p>
        </w:tc>
        <w:tc>
          <w:tcPr>
            <w:tcW w:w="7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4802.000</w:t>
            </w:r>
          </w:p>
        </w:tc>
        <w:tc>
          <w:tcPr>
            <w:tcW w:w="33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395"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25"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[WEF</w:t>
            </w:r>
            <w:r>
              <w:rPr>
                <w:rFonts w:ascii="Arial" w:hAnsi="Arial" w:cs="Arial"/>
                <w:color w:val="000000"/>
                <w:sz w:val="18"/>
                <w:szCs w:val="18"/>
                <w:vertAlign w:val="subscript"/>
              </w:rPr>
              <w:t>CSR</w:t>
            </w:r>
            <w:r>
              <w:rPr>
                <w:rFonts w:ascii="Arial" w:hAnsi="Arial" w:cs="Arial"/>
                <w:color w:val="000000"/>
                <w:sz w:val="18"/>
                <w:szCs w:val="18"/>
              </w:rPr>
              <w:t>=29707000.00]</w:t>
            </w:r>
          </w:p>
        </w:tc>
        <w:tc>
          <w:tcPr>
            <w:tcW w:w="528"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-85.000</w:t>
            </w:r>
          </w:p>
        </w:tc>
        <w:tc>
          <w:tcPr>
            <w:tcW w:w="54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-87.772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-82.228</w:t>
            </w:r>
          </w:p>
        </w:tc>
        <w:tc>
          <w:tcPr>
            <w:tcW w:w="7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3612.500</w:t>
            </w:r>
          </w:p>
        </w:tc>
        <w:tc>
          <w:tcPr>
            <w:tcW w:w="33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395"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25"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[WEF</w:t>
            </w:r>
            <w:r>
              <w:rPr>
                <w:rFonts w:ascii="Arial" w:hAnsi="Arial" w:cs="Arial"/>
                <w:color w:val="000000"/>
                <w:sz w:val="18"/>
                <w:szCs w:val="18"/>
                <w:vertAlign w:val="subscript"/>
              </w:rPr>
              <w:t>CSR</w:t>
            </w:r>
            <w:r>
              <w:rPr>
                <w:rFonts w:ascii="Arial" w:hAnsi="Arial" w:cs="Arial"/>
                <w:color w:val="000000"/>
                <w:sz w:val="18"/>
                <w:szCs w:val="18"/>
              </w:rPr>
              <w:t>=31265500.00]</w:t>
            </w:r>
          </w:p>
        </w:tc>
        <w:tc>
          <w:tcPr>
            <w:tcW w:w="528"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-63.000</w:t>
            </w:r>
          </w:p>
        </w:tc>
        <w:tc>
          <w:tcPr>
            <w:tcW w:w="54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-65.772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-60.228</w:t>
            </w:r>
          </w:p>
        </w:tc>
        <w:tc>
          <w:tcPr>
            <w:tcW w:w="7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1984.500</w:t>
            </w:r>
          </w:p>
        </w:tc>
        <w:tc>
          <w:tcPr>
            <w:tcW w:w="33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395"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25"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[WEF</w:t>
            </w:r>
            <w:r>
              <w:rPr>
                <w:rFonts w:ascii="Arial" w:hAnsi="Arial" w:cs="Arial"/>
                <w:color w:val="000000"/>
                <w:sz w:val="18"/>
                <w:szCs w:val="18"/>
                <w:vertAlign w:val="subscript"/>
              </w:rPr>
              <w:t>CSR</w:t>
            </w:r>
            <w:r>
              <w:rPr>
                <w:rFonts w:ascii="Arial" w:hAnsi="Arial" w:cs="Arial"/>
                <w:color w:val="000000"/>
                <w:sz w:val="18"/>
                <w:szCs w:val="18"/>
              </w:rPr>
              <w:t>=57371250.00]</w:t>
            </w:r>
          </w:p>
        </w:tc>
        <w:tc>
          <w:tcPr>
            <w:tcW w:w="528"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-88.000</w:t>
            </w:r>
          </w:p>
        </w:tc>
        <w:tc>
          <w:tcPr>
            <w:tcW w:w="54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-90.772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-85.228</w:t>
            </w:r>
          </w:p>
        </w:tc>
        <w:tc>
          <w:tcPr>
            <w:tcW w:w="7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3872.000</w:t>
            </w:r>
          </w:p>
        </w:tc>
        <w:tc>
          <w:tcPr>
            <w:tcW w:w="33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395"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25"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[WEF</w:t>
            </w:r>
            <w:r>
              <w:rPr>
                <w:rFonts w:ascii="Arial" w:hAnsi="Arial" w:cs="Arial"/>
                <w:color w:val="000000"/>
                <w:sz w:val="18"/>
                <w:szCs w:val="18"/>
                <w:vertAlign w:val="subscript"/>
              </w:rPr>
              <w:t>CSR</w:t>
            </w:r>
            <w:r>
              <w:rPr>
                <w:rFonts w:ascii="Arial" w:hAnsi="Arial" w:cs="Arial"/>
                <w:color w:val="000000"/>
                <w:sz w:val="18"/>
                <w:szCs w:val="18"/>
              </w:rPr>
              <w:t>=58749020.00]</w:t>
            </w:r>
          </w:p>
        </w:tc>
        <w:tc>
          <w:tcPr>
            <w:tcW w:w="528"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-104.000</w:t>
            </w:r>
          </w:p>
        </w:tc>
        <w:tc>
          <w:tcPr>
            <w:tcW w:w="54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-106.772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-101.228</w:t>
            </w:r>
          </w:p>
        </w:tc>
        <w:tc>
          <w:tcPr>
            <w:tcW w:w="7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5408.000</w:t>
            </w:r>
          </w:p>
        </w:tc>
        <w:tc>
          <w:tcPr>
            <w:tcW w:w="33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395"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25"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[WEF</w:t>
            </w:r>
            <w:r>
              <w:rPr>
                <w:rFonts w:ascii="Arial" w:hAnsi="Arial" w:cs="Arial"/>
                <w:color w:val="000000"/>
                <w:sz w:val="18"/>
                <w:szCs w:val="18"/>
                <w:vertAlign w:val="subscript"/>
              </w:rPr>
              <w:t>CSR</w:t>
            </w:r>
            <w:r>
              <w:rPr>
                <w:rFonts w:ascii="Arial" w:hAnsi="Arial" w:cs="Arial"/>
                <w:color w:val="000000"/>
                <w:sz w:val="18"/>
                <w:szCs w:val="18"/>
              </w:rPr>
              <w:t>=63201000.00]</w:t>
            </w:r>
          </w:p>
        </w:tc>
        <w:tc>
          <w:tcPr>
            <w:tcW w:w="528"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-78.000</w:t>
            </w:r>
          </w:p>
        </w:tc>
        <w:tc>
          <w:tcPr>
            <w:tcW w:w="54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-80.772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-75.228</w:t>
            </w:r>
          </w:p>
        </w:tc>
        <w:tc>
          <w:tcPr>
            <w:tcW w:w="7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3042.000</w:t>
            </w:r>
          </w:p>
        </w:tc>
        <w:tc>
          <w:tcPr>
            <w:tcW w:w="33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395"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25"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[WEF</w:t>
            </w:r>
            <w:r>
              <w:rPr>
                <w:rFonts w:ascii="Arial" w:hAnsi="Arial" w:cs="Arial"/>
                <w:color w:val="000000"/>
                <w:sz w:val="18"/>
                <w:szCs w:val="18"/>
                <w:vertAlign w:val="subscript"/>
              </w:rPr>
              <w:t>CSR</w:t>
            </w:r>
            <w:r>
              <w:rPr>
                <w:rFonts w:ascii="Arial" w:hAnsi="Arial" w:cs="Arial"/>
                <w:color w:val="000000"/>
                <w:sz w:val="18"/>
                <w:szCs w:val="18"/>
              </w:rPr>
              <w:t>=231138130.00]</w:t>
            </w:r>
          </w:p>
        </w:tc>
        <w:tc>
          <w:tcPr>
            <w:tcW w:w="528"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w:t>
            </w:r>
            <w:r>
              <w:rPr>
                <w:rFonts w:ascii="Arial" w:hAnsi="Arial" w:cs="Arial"/>
                <w:color w:val="000000"/>
                <w:sz w:val="18"/>
                <w:szCs w:val="18"/>
                <w:vertAlign w:val="superscript"/>
              </w:rPr>
              <w:t>a</w:t>
            </w:r>
          </w:p>
        </w:tc>
        <w:tc>
          <w:tcPr>
            <w:tcW w:w="54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c>
          <w:tcPr>
            <w:tcW w:w="7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c>
          <w:tcPr>
            <w:tcW w:w="33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c>
          <w:tcPr>
            <w:tcW w:w="395"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r>
      <w:tr w:rsidR="00B44B07" w:rsidTr="00C22851">
        <w:trPr>
          <w:trHeight w:val="1"/>
        </w:trPr>
        <w:tc>
          <w:tcPr>
            <w:tcW w:w="1025" w:type="pct"/>
            <w:tcBorders>
              <w:top w:val="single" w:sz="6" w:space="0" w:color="000000"/>
              <w:left w:val="single" w:sz="12" w:space="0" w:color="000000"/>
              <w:bottom w:val="single" w:sz="12"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(Scale)</w:t>
            </w:r>
          </w:p>
        </w:tc>
        <w:tc>
          <w:tcPr>
            <w:tcW w:w="528" w:type="pct"/>
            <w:tcBorders>
              <w:top w:val="single" w:sz="6" w:space="0" w:color="000000"/>
              <w:left w:val="single" w:sz="12"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1.000</w:t>
            </w:r>
            <w:r>
              <w:rPr>
                <w:rFonts w:ascii="Arial" w:hAnsi="Arial" w:cs="Arial"/>
                <w:color w:val="000000"/>
                <w:sz w:val="18"/>
                <w:szCs w:val="18"/>
                <w:vertAlign w:val="superscript"/>
              </w:rPr>
              <w:t>b</w:t>
            </w:r>
          </w:p>
        </w:tc>
        <w:tc>
          <w:tcPr>
            <w:tcW w:w="544" w:type="pct"/>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c>
          <w:tcPr>
            <w:tcW w:w="715" w:type="pct"/>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c>
          <w:tcPr>
            <w:tcW w:w="715" w:type="pct"/>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c>
          <w:tcPr>
            <w:tcW w:w="747" w:type="pct"/>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c>
          <w:tcPr>
            <w:tcW w:w="330" w:type="pct"/>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c>
          <w:tcPr>
            <w:tcW w:w="395" w:type="pct"/>
            <w:tcBorders>
              <w:top w:val="single" w:sz="6" w:space="0" w:color="000000"/>
              <w:left w:val="single" w:sz="6" w:space="0" w:color="000000"/>
              <w:bottom w:val="single" w:sz="12"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r>
      <w:tr w:rsidR="00B44B07" w:rsidTr="00C22851">
        <w:trPr>
          <w:trHeight w:val="1"/>
        </w:trPr>
        <w:tc>
          <w:tcPr>
            <w:tcW w:w="5000" w:type="pct"/>
            <w:gridSpan w:val="8"/>
            <w:tcBorders>
              <w:top w:val="single" w:sz="6" w:space="0" w:color="000000"/>
              <w:left w:val="single" w:sz="6" w:space="0" w:color="000000"/>
              <w:bottom w:val="single" w:sz="6" w:space="0" w:color="000000"/>
              <w:right w:val="single" w:sz="6"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Arial" w:hAnsi="Arial" w:cs="Arial"/>
                <w:color w:val="000000"/>
                <w:sz w:val="18"/>
                <w:szCs w:val="18"/>
              </w:rPr>
            </w:pPr>
            <w:r>
              <w:rPr>
                <w:rFonts w:ascii="Arial" w:hAnsi="Arial" w:cs="Arial"/>
                <w:color w:val="000000"/>
                <w:sz w:val="18"/>
                <w:szCs w:val="18"/>
              </w:rPr>
              <w:t>Dependent Variable: Sales</w:t>
            </w:r>
          </w:p>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Model: (Intercept), WEF</w:t>
            </w:r>
            <w:r>
              <w:rPr>
                <w:rFonts w:ascii="Arial" w:hAnsi="Arial" w:cs="Arial"/>
                <w:color w:val="000000"/>
                <w:sz w:val="18"/>
                <w:szCs w:val="18"/>
                <w:vertAlign w:val="subscript"/>
              </w:rPr>
              <w:t>CSR</w:t>
            </w:r>
          </w:p>
        </w:tc>
      </w:tr>
      <w:tr w:rsidR="00B44B07" w:rsidTr="00C22851">
        <w:trPr>
          <w:trHeight w:val="1"/>
        </w:trPr>
        <w:tc>
          <w:tcPr>
            <w:tcW w:w="5000" w:type="pct"/>
            <w:gridSpan w:val="8"/>
            <w:tcBorders>
              <w:top w:val="single" w:sz="6" w:space="0" w:color="000000"/>
              <w:left w:val="single" w:sz="6" w:space="0" w:color="000000"/>
              <w:bottom w:val="single" w:sz="6" w:space="0" w:color="000000"/>
              <w:right w:val="single" w:sz="6" w:space="0" w:color="000000"/>
            </w:tcBorders>
            <w:shd w:val="clear" w:color="auto" w:fill="FFFFFF"/>
          </w:tcPr>
          <w:p w:rsidR="00B44B07" w:rsidRDefault="00B44B07" w:rsidP="00C35033">
            <w:pPr>
              <w:autoSpaceDE w:val="0"/>
              <w:autoSpaceDN w:val="0"/>
              <w:adjustRightInd w:val="0"/>
              <w:spacing w:after="0" w:line="360" w:lineRule="auto"/>
              <w:ind w:right="60"/>
              <w:jc w:val="both"/>
              <w:rPr>
                <w:rFonts w:ascii="Calibri" w:hAnsi="Calibri" w:cs="Calibri"/>
              </w:rPr>
            </w:pPr>
          </w:p>
        </w:tc>
      </w:tr>
      <w:tr w:rsidR="00B44B07" w:rsidTr="00C22851">
        <w:trPr>
          <w:trHeight w:val="1"/>
        </w:trPr>
        <w:tc>
          <w:tcPr>
            <w:tcW w:w="5000" w:type="pct"/>
            <w:gridSpan w:val="8"/>
            <w:tcBorders>
              <w:top w:val="single" w:sz="6" w:space="0" w:color="000000"/>
              <w:left w:val="single" w:sz="6" w:space="0" w:color="000000"/>
              <w:bottom w:val="single" w:sz="6" w:space="0" w:color="000000"/>
              <w:right w:val="single" w:sz="6" w:space="0" w:color="000000"/>
            </w:tcBorders>
            <w:shd w:val="clear" w:color="auto" w:fill="FFFFFF"/>
          </w:tcPr>
          <w:p w:rsidR="00B44B07" w:rsidRDefault="00B44B07" w:rsidP="00C35033">
            <w:pPr>
              <w:autoSpaceDE w:val="0"/>
              <w:autoSpaceDN w:val="0"/>
              <w:adjustRightInd w:val="0"/>
              <w:spacing w:after="0" w:line="360" w:lineRule="auto"/>
              <w:ind w:right="60"/>
              <w:jc w:val="both"/>
              <w:rPr>
                <w:rFonts w:ascii="Calibri" w:hAnsi="Calibri" w:cs="Calibri"/>
              </w:rPr>
            </w:pPr>
          </w:p>
        </w:tc>
      </w:tr>
    </w:tbl>
    <w:p w:rsidR="00B44B07" w:rsidRDefault="00B44B07" w:rsidP="00C35033">
      <w:pPr>
        <w:autoSpaceDE w:val="0"/>
        <w:autoSpaceDN w:val="0"/>
        <w:adjustRightInd w:val="0"/>
        <w:spacing w:after="0" w:line="360" w:lineRule="auto"/>
        <w:jc w:val="both"/>
        <w:rPr>
          <w:rFonts w:ascii="Times New Roman" w:hAnsi="Times New Roman" w:cs="Times New Roman"/>
          <w:sz w:val="24"/>
          <w:szCs w:val="24"/>
        </w:rPr>
      </w:pPr>
    </w:p>
    <w:p w:rsidR="00B44B07" w:rsidRDefault="00B44B07" w:rsidP="00C35033">
      <w:pPr>
        <w:autoSpaceDE w:val="0"/>
        <w:autoSpaceDN w:val="0"/>
        <w:adjustRightInd w:val="0"/>
        <w:spacing w:after="0" w:line="360" w:lineRule="auto"/>
        <w:jc w:val="both"/>
        <w:rPr>
          <w:rFonts w:ascii="Times New Roman" w:hAnsi="Times New Roman" w:cs="Times New Roman"/>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sz w:val="24"/>
          <w:szCs w:val="24"/>
        </w:rPr>
      </w:pPr>
      <w:r>
        <w:rPr>
          <w:rFonts w:ascii="Times New Roman" w:hAnsi="Times New Roman" w:cs="Times New Roman"/>
          <w:sz w:val="24"/>
          <w:szCs w:val="24"/>
        </w:rPr>
        <w:lastRenderedPageBreak/>
        <w:t>The deviance was further investigated by the Wald Statistic basically computed, as shown in the table above to reveal the significant effect of WEF</w:t>
      </w:r>
      <w:r>
        <w:rPr>
          <w:rFonts w:ascii="Times New Roman" w:hAnsi="Times New Roman" w:cs="Times New Roman"/>
          <w:sz w:val="24"/>
          <w:szCs w:val="24"/>
          <w:vertAlign w:val="subscript"/>
        </w:rPr>
        <w:t>CSR</w:t>
      </w:r>
      <w:r>
        <w:rPr>
          <w:rFonts w:ascii="Times New Roman" w:hAnsi="Times New Roman" w:cs="Times New Roman"/>
          <w:sz w:val="24"/>
          <w:szCs w:val="24"/>
        </w:rPr>
        <w:t xml:space="preserve"> on the Sales growth of the selected Flour Mills on a yearly basis and the result proved significant at 5% level for all years throughout.</w:t>
      </w:r>
    </w:p>
    <w:p w:rsidR="00C22851" w:rsidRDefault="00C22851" w:rsidP="00C35033">
      <w:pPr>
        <w:autoSpaceDE w:val="0"/>
        <w:autoSpaceDN w:val="0"/>
        <w:adjustRightInd w:val="0"/>
        <w:spacing w:after="0" w:line="360" w:lineRule="auto"/>
        <w:jc w:val="both"/>
        <w:rPr>
          <w:rFonts w:ascii="Times New Roman" w:hAnsi="Times New Roman" w:cs="Times New Roman"/>
          <w:b/>
          <w:bCs/>
          <w:color w:val="000000"/>
          <w:sz w:val="24"/>
          <w:szCs w:val="24"/>
        </w:rPr>
      </w:pPr>
    </w:p>
    <w:p w:rsidR="00B44B07" w:rsidRPr="00C22851" w:rsidRDefault="00B44B07" w:rsidP="00C35033">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Hypothesis 3:</w:t>
      </w:r>
    </w:p>
    <w:tbl>
      <w:tblPr>
        <w:tblW w:w="0" w:type="auto"/>
        <w:tblInd w:w="-8" w:type="dxa"/>
        <w:tblLayout w:type="fixed"/>
        <w:tblCellMar>
          <w:left w:w="0" w:type="dxa"/>
          <w:right w:w="0" w:type="dxa"/>
        </w:tblCellMar>
        <w:tblLook w:val="0000"/>
      </w:tblPr>
      <w:tblGrid>
        <w:gridCol w:w="1789"/>
        <w:gridCol w:w="1469"/>
        <w:gridCol w:w="1025"/>
        <w:gridCol w:w="1025"/>
      </w:tblGrid>
      <w:tr w:rsidR="00B44B07">
        <w:trPr>
          <w:trHeight w:val="1"/>
        </w:trPr>
        <w:tc>
          <w:tcPr>
            <w:tcW w:w="5308" w:type="dxa"/>
            <w:gridSpan w:val="4"/>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b/>
                <w:bCs/>
                <w:color w:val="000000"/>
                <w:sz w:val="18"/>
                <w:szCs w:val="18"/>
              </w:rPr>
              <w:t>Lagrange Multiplier Test</w:t>
            </w:r>
          </w:p>
        </w:tc>
      </w:tr>
      <w:tr w:rsidR="00B44B07">
        <w:trPr>
          <w:trHeight w:val="1"/>
        </w:trPr>
        <w:tc>
          <w:tcPr>
            <w:tcW w:w="1789" w:type="dxa"/>
            <w:tcBorders>
              <w:top w:val="single" w:sz="12" w:space="0" w:color="000000"/>
              <w:left w:val="single" w:sz="12" w:space="0" w:color="000000"/>
              <w:bottom w:val="single" w:sz="12"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jc w:val="both"/>
              <w:rPr>
                <w:rFonts w:ascii="Calibri" w:hAnsi="Calibri" w:cs="Calibri"/>
              </w:rPr>
            </w:pPr>
          </w:p>
        </w:tc>
        <w:tc>
          <w:tcPr>
            <w:tcW w:w="1469" w:type="dxa"/>
            <w:tcBorders>
              <w:top w:val="single" w:sz="12" w:space="0" w:color="000000"/>
              <w:left w:val="single" w:sz="12"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Chi-Square</w:t>
            </w:r>
          </w:p>
        </w:tc>
        <w:tc>
          <w:tcPr>
            <w:tcW w:w="1025" w:type="dxa"/>
            <w:tcBorders>
              <w:top w:val="single" w:sz="12" w:space="0" w:color="000000"/>
              <w:left w:val="single" w:sz="6" w:space="0" w:color="000000"/>
              <w:bottom w:val="single" w:sz="12" w:space="0" w:color="000000"/>
              <w:right w:val="single" w:sz="6" w:space="0" w:color="000000"/>
            </w:tcBorders>
            <w:shd w:val="clear" w:color="auto" w:fill="FFFFFF"/>
            <w:vAlign w:val="bottom"/>
          </w:tcPr>
          <w:p w:rsidR="00B44B07" w:rsidRDefault="009E6C10"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D</w:t>
            </w:r>
            <w:r w:rsidR="00B44B07">
              <w:rPr>
                <w:rFonts w:ascii="Arial" w:hAnsi="Arial" w:cs="Arial"/>
                <w:color w:val="000000"/>
                <w:sz w:val="18"/>
                <w:szCs w:val="18"/>
              </w:rPr>
              <w:t>f</w:t>
            </w:r>
          </w:p>
        </w:tc>
        <w:tc>
          <w:tcPr>
            <w:tcW w:w="1025" w:type="dxa"/>
            <w:tcBorders>
              <w:top w:val="single" w:sz="12" w:space="0" w:color="000000"/>
              <w:left w:val="single" w:sz="6" w:space="0" w:color="000000"/>
              <w:bottom w:val="single" w:sz="12"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Sig.</w:t>
            </w:r>
          </w:p>
        </w:tc>
      </w:tr>
      <w:tr w:rsidR="00B44B07">
        <w:trPr>
          <w:trHeight w:val="1"/>
        </w:trPr>
        <w:tc>
          <w:tcPr>
            <w:tcW w:w="1789" w:type="dxa"/>
            <w:tcBorders>
              <w:top w:val="single" w:sz="12" w:space="0" w:color="000000"/>
              <w:left w:val="single" w:sz="12" w:space="0" w:color="000000"/>
              <w:bottom w:val="single" w:sz="12"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Scale Parameter</w:t>
            </w:r>
            <w:r>
              <w:rPr>
                <w:rFonts w:ascii="Arial" w:hAnsi="Arial" w:cs="Arial"/>
                <w:color w:val="000000"/>
                <w:sz w:val="18"/>
                <w:szCs w:val="18"/>
                <w:vertAlign w:val="superscript"/>
              </w:rPr>
              <w:t>a</w:t>
            </w:r>
          </w:p>
        </w:tc>
        <w:tc>
          <w:tcPr>
            <w:tcW w:w="1469" w:type="dxa"/>
            <w:tcBorders>
              <w:top w:val="single" w:sz="12" w:space="0" w:color="000000"/>
              <w:left w:val="single" w:sz="12"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5.218e+27</w:t>
            </w:r>
          </w:p>
        </w:tc>
        <w:tc>
          <w:tcPr>
            <w:tcW w:w="1025" w:type="dxa"/>
            <w:tcBorders>
              <w:top w:val="single" w:sz="12"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1025" w:type="dxa"/>
            <w:tcBorders>
              <w:top w:val="single" w:sz="12" w:space="0" w:color="000000"/>
              <w:left w:val="single" w:sz="6" w:space="0" w:color="000000"/>
              <w:bottom w:val="single" w:sz="12"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trPr>
          <w:trHeight w:val="1"/>
        </w:trPr>
        <w:tc>
          <w:tcPr>
            <w:tcW w:w="5308" w:type="dxa"/>
            <w:gridSpan w:val="4"/>
            <w:tcBorders>
              <w:top w:val="single" w:sz="6" w:space="0" w:color="000000"/>
              <w:left w:val="single" w:sz="6" w:space="0" w:color="000000"/>
              <w:bottom w:val="single" w:sz="6" w:space="0" w:color="000000"/>
              <w:right w:val="single" w:sz="6"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a. Tests the null hypothesis that the scale parameter equals 1.000</w:t>
            </w:r>
          </w:p>
        </w:tc>
      </w:tr>
    </w:tbl>
    <w:p w:rsidR="00B44B07" w:rsidRDefault="00B44B07" w:rsidP="00C35033">
      <w:pPr>
        <w:autoSpaceDE w:val="0"/>
        <w:autoSpaceDN w:val="0"/>
        <w:adjustRightInd w:val="0"/>
        <w:spacing w:after="0" w:line="360" w:lineRule="auto"/>
        <w:jc w:val="both"/>
        <w:rPr>
          <w:rFonts w:ascii="Times New Roman" w:hAnsi="Times New Roman" w:cs="Times New Roman"/>
          <w:color w:val="000000"/>
          <w:sz w:val="24"/>
          <w:szCs w:val="24"/>
        </w:rPr>
      </w:pPr>
    </w:p>
    <w:p w:rsidR="00B44B07" w:rsidRDefault="00B44B07" w:rsidP="00C3503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chi-square test of the Langrange Multiplier reveals that the significant relationship of IDE</w:t>
      </w:r>
      <w:r>
        <w:rPr>
          <w:rFonts w:ascii="Times New Roman" w:hAnsi="Times New Roman" w:cs="Times New Roman"/>
          <w:color w:val="000000"/>
          <w:sz w:val="24"/>
          <w:szCs w:val="24"/>
          <w:vertAlign w:val="subscript"/>
        </w:rPr>
        <w:t>CSR</w:t>
      </w:r>
      <w:r>
        <w:rPr>
          <w:rFonts w:ascii="Times New Roman" w:hAnsi="Times New Roman" w:cs="Times New Roman"/>
          <w:color w:val="000000"/>
          <w:sz w:val="24"/>
          <w:szCs w:val="24"/>
        </w:rPr>
        <w:t xml:space="preserve"> on Equity could not have happens by chance. Hence the P-value (0.000&lt;0.05) implies that there is significant relationship between IDE</w:t>
      </w:r>
      <w:r>
        <w:rPr>
          <w:rFonts w:ascii="Times New Roman" w:hAnsi="Times New Roman" w:cs="Times New Roman"/>
          <w:color w:val="000000"/>
          <w:sz w:val="24"/>
          <w:szCs w:val="24"/>
          <w:vertAlign w:val="subscript"/>
        </w:rPr>
        <w:t>CSR</w:t>
      </w:r>
      <w:r>
        <w:rPr>
          <w:rFonts w:ascii="Times New Roman" w:hAnsi="Times New Roman" w:cs="Times New Roman"/>
          <w:color w:val="000000"/>
          <w:sz w:val="24"/>
          <w:szCs w:val="24"/>
        </w:rPr>
        <w:t xml:space="preserve"> and Equity of the selected Flour Mills in Nigeria within the 7 years period.</w:t>
      </w:r>
    </w:p>
    <w:p w:rsidR="00B44B07" w:rsidRDefault="00B44B07" w:rsidP="00C35033">
      <w:pPr>
        <w:autoSpaceDE w:val="0"/>
        <w:autoSpaceDN w:val="0"/>
        <w:adjustRightInd w:val="0"/>
        <w:spacing w:after="0" w:line="360" w:lineRule="auto"/>
        <w:jc w:val="both"/>
        <w:rPr>
          <w:rFonts w:ascii="Times New Roman" w:hAnsi="Times New Roman" w:cs="Times New Roman"/>
          <w:sz w:val="24"/>
          <w:szCs w:val="24"/>
        </w:rPr>
      </w:pPr>
    </w:p>
    <w:tbl>
      <w:tblPr>
        <w:tblW w:w="0" w:type="auto"/>
        <w:tblInd w:w="-8" w:type="dxa"/>
        <w:tblLayout w:type="fixed"/>
        <w:tblCellMar>
          <w:left w:w="0" w:type="dxa"/>
          <w:right w:w="0" w:type="dxa"/>
        </w:tblCellMar>
        <w:tblLook w:val="0000"/>
      </w:tblPr>
      <w:tblGrid>
        <w:gridCol w:w="1177"/>
        <w:gridCol w:w="1469"/>
        <w:gridCol w:w="1025"/>
        <w:gridCol w:w="1025"/>
      </w:tblGrid>
      <w:tr w:rsidR="00B44B07">
        <w:trPr>
          <w:trHeight w:val="1"/>
        </w:trPr>
        <w:tc>
          <w:tcPr>
            <w:tcW w:w="4696" w:type="dxa"/>
            <w:gridSpan w:val="4"/>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b/>
                <w:bCs/>
                <w:color w:val="000000"/>
                <w:sz w:val="18"/>
                <w:szCs w:val="18"/>
              </w:rPr>
              <w:t>Tests of Model Effects</w:t>
            </w:r>
          </w:p>
        </w:tc>
      </w:tr>
      <w:tr w:rsidR="00B44B07">
        <w:trPr>
          <w:trHeight w:val="1"/>
        </w:trPr>
        <w:tc>
          <w:tcPr>
            <w:tcW w:w="1177" w:type="dxa"/>
            <w:vMerge w:val="restart"/>
            <w:tcBorders>
              <w:top w:val="single" w:sz="12" w:space="0" w:color="000000"/>
              <w:left w:val="single" w:sz="12"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Source</w:t>
            </w:r>
          </w:p>
        </w:tc>
        <w:tc>
          <w:tcPr>
            <w:tcW w:w="3519" w:type="dxa"/>
            <w:gridSpan w:val="3"/>
            <w:tcBorders>
              <w:top w:val="single" w:sz="12" w:space="0" w:color="000000"/>
              <w:left w:val="single" w:sz="12"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Type III</w:t>
            </w:r>
          </w:p>
        </w:tc>
      </w:tr>
      <w:tr w:rsidR="00B44B07">
        <w:trPr>
          <w:trHeight w:val="1"/>
        </w:trPr>
        <w:tc>
          <w:tcPr>
            <w:tcW w:w="1177" w:type="dxa"/>
            <w:vMerge/>
            <w:tcBorders>
              <w:top w:val="single" w:sz="12" w:space="0" w:color="000000"/>
              <w:left w:val="single" w:sz="12"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rPr>
                <w:rFonts w:ascii="Calibri" w:hAnsi="Calibri" w:cs="Calibri"/>
              </w:rPr>
            </w:pPr>
          </w:p>
        </w:tc>
        <w:tc>
          <w:tcPr>
            <w:tcW w:w="1469" w:type="dxa"/>
            <w:tcBorders>
              <w:top w:val="single" w:sz="6" w:space="0" w:color="000000"/>
              <w:left w:val="single" w:sz="12"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Wald Chi-Square</w:t>
            </w:r>
          </w:p>
        </w:tc>
        <w:tc>
          <w:tcPr>
            <w:tcW w:w="1025" w:type="dxa"/>
            <w:tcBorders>
              <w:top w:val="single" w:sz="6" w:space="0" w:color="000000"/>
              <w:left w:val="single" w:sz="6"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df</w:t>
            </w:r>
          </w:p>
        </w:tc>
        <w:tc>
          <w:tcPr>
            <w:tcW w:w="1025" w:type="dxa"/>
            <w:tcBorders>
              <w:top w:val="single" w:sz="6" w:space="0" w:color="000000"/>
              <w:left w:val="single" w:sz="6" w:space="0" w:color="000000"/>
              <w:bottom w:val="single" w:sz="12"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Sig.</w:t>
            </w:r>
          </w:p>
        </w:tc>
      </w:tr>
      <w:tr w:rsidR="00B44B07">
        <w:trPr>
          <w:trHeight w:val="1"/>
        </w:trPr>
        <w:tc>
          <w:tcPr>
            <w:tcW w:w="1177" w:type="dxa"/>
            <w:tcBorders>
              <w:top w:val="single" w:sz="12"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(Intercept)</w:t>
            </w:r>
          </w:p>
        </w:tc>
        <w:tc>
          <w:tcPr>
            <w:tcW w:w="1469" w:type="dxa"/>
            <w:tcBorders>
              <w:top w:val="single" w:sz="12"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19557.143</w:t>
            </w:r>
          </w:p>
        </w:tc>
        <w:tc>
          <w:tcPr>
            <w:tcW w:w="1025" w:type="dxa"/>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1025" w:type="dxa"/>
            <w:tcBorders>
              <w:top w:val="single" w:sz="12"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trPr>
          <w:trHeight w:val="1"/>
        </w:trPr>
        <w:tc>
          <w:tcPr>
            <w:tcW w:w="1177" w:type="dxa"/>
            <w:tcBorders>
              <w:top w:val="single" w:sz="6" w:space="0" w:color="000000"/>
              <w:left w:val="single" w:sz="12" w:space="0" w:color="000000"/>
              <w:bottom w:val="single" w:sz="12"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IDE</w:t>
            </w:r>
            <w:r>
              <w:rPr>
                <w:rFonts w:ascii="Arial" w:hAnsi="Arial" w:cs="Arial"/>
                <w:color w:val="000000"/>
                <w:sz w:val="18"/>
                <w:szCs w:val="18"/>
                <w:vertAlign w:val="subscript"/>
              </w:rPr>
              <w:t>CSR</w:t>
            </w:r>
          </w:p>
        </w:tc>
        <w:tc>
          <w:tcPr>
            <w:tcW w:w="1469" w:type="dxa"/>
            <w:tcBorders>
              <w:top w:val="single" w:sz="6" w:space="0" w:color="000000"/>
              <w:left w:val="single" w:sz="12"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5762.857</w:t>
            </w:r>
          </w:p>
        </w:tc>
        <w:tc>
          <w:tcPr>
            <w:tcW w:w="1025" w:type="dxa"/>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6</w:t>
            </w:r>
          </w:p>
        </w:tc>
        <w:tc>
          <w:tcPr>
            <w:tcW w:w="1025" w:type="dxa"/>
            <w:tcBorders>
              <w:top w:val="single" w:sz="6" w:space="0" w:color="000000"/>
              <w:left w:val="single" w:sz="6" w:space="0" w:color="000000"/>
              <w:bottom w:val="single" w:sz="12"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trPr>
          <w:trHeight w:val="1"/>
        </w:trPr>
        <w:tc>
          <w:tcPr>
            <w:tcW w:w="4696" w:type="dxa"/>
            <w:gridSpan w:val="4"/>
            <w:tcBorders>
              <w:top w:val="single" w:sz="6" w:space="0" w:color="000000"/>
              <w:left w:val="single" w:sz="6" w:space="0" w:color="000000"/>
              <w:bottom w:val="single" w:sz="6" w:space="0" w:color="000000"/>
              <w:right w:val="single" w:sz="6"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Arial" w:hAnsi="Arial" w:cs="Arial"/>
                <w:color w:val="000000"/>
                <w:sz w:val="18"/>
                <w:szCs w:val="18"/>
              </w:rPr>
            </w:pPr>
            <w:r>
              <w:rPr>
                <w:rFonts w:ascii="Arial" w:hAnsi="Arial" w:cs="Arial"/>
                <w:color w:val="000000"/>
                <w:sz w:val="18"/>
                <w:szCs w:val="18"/>
              </w:rPr>
              <w:t>Dependent Variable: Equity</w:t>
            </w:r>
          </w:p>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Model: (Intercept), IDE</w:t>
            </w:r>
            <w:r>
              <w:rPr>
                <w:rFonts w:ascii="Arial" w:hAnsi="Arial" w:cs="Arial"/>
                <w:color w:val="000000"/>
                <w:sz w:val="18"/>
                <w:szCs w:val="18"/>
                <w:vertAlign w:val="subscript"/>
              </w:rPr>
              <w:t>CSR</w:t>
            </w:r>
          </w:p>
        </w:tc>
      </w:tr>
    </w:tbl>
    <w:p w:rsidR="00B44B07" w:rsidRDefault="00B44B07" w:rsidP="00C35033">
      <w:pPr>
        <w:autoSpaceDE w:val="0"/>
        <w:autoSpaceDN w:val="0"/>
        <w:adjustRightInd w:val="0"/>
        <w:spacing w:after="0" w:line="360" w:lineRule="auto"/>
        <w:jc w:val="both"/>
        <w:rPr>
          <w:rFonts w:ascii="Times New Roman" w:hAnsi="Times New Roman" w:cs="Times New Roman"/>
          <w:color w:val="000000"/>
          <w:sz w:val="24"/>
          <w:szCs w:val="24"/>
        </w:rPr>
      </w:pPr>
    </w:p>
    <w:p w:rsidR="00B44B07" w:rsidRDefault="00B44B07" w:rsidP="00C3503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output above compares the fitted model against the independent variable (IDE</w:t>
      </w:r>
      <w:r>
        <w:rPr>
          <w:rFonts w:ascii="Times New Roman" w:hAnsi="Times New Roman" w:cs="Times New Roman"/>
          <w:color w:val="000000"/>
          <w:sz w:val="24"/>
          <w:szCs w:val="24"/>
          <w:vertAlign w:val="subscript"/>
        </w:rPr>
        <w:t>CSR</w:t>
      </w:r>
      <w:r>
        <w:rPr>
          <w:rFonts w:ascii="Times New Roman" w:hAnsi="Times New Roman" w:cs="Times New Roman"/>
          <w:color w:val="000000"/>
          <w:sz w:val="24"/>
          <w:szCs w:val="24"/>
        </w:rPr>
        <w:t>) by computing the likelihood ratios of the Wald chi-square showing that the higher intercept model has caused the Equity growth of the selected Flour Mill in Nigeria to be highly significant. Hence the effect is high at 5% level of significant. i.e. p&lt;0.05</w:t>
      </w:r>
    </w:p>
    <w:p w:rsidR="00C22851" w:rsidRDefault="00C22851" w:rsidP="00C35033">
      <w:pPr>
        <w:autoSpaceDE w:val="0"/>
        <w:autoSpaceDN w:val="0"/>
        <w:adjustRightInd w:val="0"/>
        <w:spacing w:after="0" w:line="360" w:lineRule="auto"/>
        <w:jc w:val="both"/>
        <w:rPr>
          <w:rFonts w:ascii="Times New Roman" w:hAnsi="Times New Roman" w:cs="Times New Roman"/>
          <w:color w:val="000000"/>
          <w:sz w:val="24"/>
          <w:szCs w:val="24"/>
        </w:rPr>
      </w:pPr>
    </w:p>
    <w:p w:rsidR="00C22851" w:rsidRDefault="00C22851" w:rsidP="00C35033">
      <w:pPr>
        <w:autoSpaceDE w:val="0"/>
        <w:autoSpaceDN w:val="0"/>
        <w:adjustRightInd w:val="0"/>
        <w:spacing w:after="0" w:line="360" w:lineRule="auto"/>
        <w:jc w:val="both"/>
        <w:rPr>
          <w:rFonts w:ascii="Times New Roman" w:hAnsi="Times New Roman" w:cs="Times New Roman"/>
          <w:color w:val="000000"/>
          <w:sz w:val="24"/>
          <w:szCs w:val="24"/>
        </w:rPr>
      </w:pPr>
    </w:p>
    <w:p w:rsidR="00C22851" w:rsidRDefault="00C22851" w:rsidP="00C35033">
      <w:pPr>
        <w:autoSpaceDE w:val="0"/>
        <w:autoSpaceDN w:val="0"/>
        <w:adjustRightInd w:val="0"/>
        <w:spacing w:after="0" w:line="360" w:lineRule="auto"/>
        <w:jc w:val="both"/>
        <w:rPr>
          <w:rFonts w:ascii="Times New Roman" w:hAnsi="Times New Roman" w:cs="Times New Roman"/>
          <w:color w:val="000000"/>
          <w:sz w:val="24"/>
          <w:szCs w:val="24"/>
        </w:rPr>
      </w:pPr>
    </w:p>
    <w:p w:rsidR="00C22851" w:rsidRDefault="00C22851" w:rsidP="00C35033">
      <w:pPr>
        <w:autoSpaceDE w:val="0"/>
        <w:autoSpaceDN w:val="0"/>
        <w:adjustRightInd w:val="0"/>
        <w:spacing w:after="0" w:line="360" w:lineRule="auto"/>
        <w:jc w:val="both"/>
        <w:rPr>
          <w:rFonts w:ascii="Times New Roman" w:hAnsi="Times New Roman" w:cs="Times New Roman"/>
          <w:color w:val="000000"/>
          <w:sz w:val="24"/>
          <w:szCs w:val="24"/>
        </w:rPr>
      </w:pPr>
    </w:p>
    <w:tbl>
      <w:tblPr>
        <w:tblW w:w="5000" w:type="pct"/>
        <w:tblCellMar>
          <w:left w:w="0" w:type="dxa"/>
          <w:right w:w="0" w:type="dxa"/>
        </w:tblCellMar>
        <w:tblLook w:val="0000"/>
      </w:tblPr>
      <w:tblGrid>
        <w:gridCol w:w="2039"/>
        <w:gridCol w:w="994"/>
        <w:gridCol w:w="1039"/>
        <w:gridCol w:w="1365"/>
        <w:gridCol w:w="1365"/>
        <w:gridCol w:w="1425"/>
        <w:gridCol w:w="564"/>
        <w:gridCol w:w="585"/>
      </w:tblGrid>
      <w:tr w:rsidR="00B44B07" w:rsidTr="00C22851">
        <w:trPr>
          <w:trHeight w:val="1"/>
        </w:trPr>
        <w:tc>
          <w:tcPr>
            <w:tcW w:w="5000" w:type="pct"/>
            <w:gridSpan w:val="8"/>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b/>
                <w:bCs/>
                <w:color w:val="000000"/>
                <w:sz w:val="18"/>
                <w:szCs w:val="18"/>
              </w:rPr>
              <w:t>Parameter Estimates</w:t>
            </w:r>
          </w:p>
        </w:tc>
      </w:tr>
      <w:tr w:rsidR="00B44B07" w:rsidTr="00C22851">
        <w:trPr>
          <w:trHeight w:val="1"/>
        </w:trPr>
        <w:tc>
          <w:tcPr>
            <w:tcW w:w="1087" w:type="pct"/>
            <w:vMerge w:val="restart"/>
            <w:tcBorders>
              <w:top w:val="single" w:sz="12" w:space="0" w:color="000000"/>
              <w:left w:val="single" w:sz="12"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Parameter</w:t>
            </w:r>
          </w:p>
        </w:tc>
        <w:tc>
          <w:tcPr>
            <w:tcW w:w="530" w:type="pct"/>
            <w:vMerge w:val="restart"/>
            <w:tcBorders>
              <w:top w:val="single" w:sz="12" w:space="0" w:color="000000"/>
              <w:left w:val="single" w:sz="12" w:space="0" w:color="000000"/>
              <w:bottom w:val="single" w:sz="6"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B</w:t>
            </w:r>
          </w:p>
        </w:tc>
        <w:tc>
          <w:tcPr>
            <w:tcW w:w="554" w:type="pct"/>
            <w:vMerge w:val="restart"/>
            <w:tcBorders>
              <w:top w:val="single" w:sz="12" w:space="0" w:color="000000"/>
              <w:left w:val="single" w:sz="6" w:space="0" w:color="000000"/>
              <w:bottom w:val="single" w:sz="6"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Std. Error</w:t>
            </w:r>
          </w:p>
        </w:tc>
        <w:tc>
          <w:tcPr>
            <w:tcW w:w="1455" w:type="pct"/>
            <w:gridSpan w:val="2"/>
            <w:tcBorders>
              <w:top w:val="single" w:sz="12" w:space="0" w:color="000000"/>
              <w:left w:val="single" w:sz="6" w:space="0" w:color="000000"/>
              <w:bottom w:val="single" w:sz="6"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95% Wald Confidence Interval</w:t>
            </w:r>
          </w:p>
        </w:tc>
        <w:tc>
          <w:tcPr>
            <w:tcW w:w="1373" w:type="pct"/>
            <w:gridSpan w:val="3"/>
            <w:tcBorders>
              <w:top w:val="single" w:sz="12" w:space="0" w:color="000000"/>
              <w:left w:val="single" w:sz="6"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Hypothesis Test</w:t>
            </w:r>
          </w:p>
        </w:tc>
      </w:tr>
      <w:tr w:rsidR="00B44B07" w:rsidTr="00C22851">
        <w:trPr>
          <w:trHeight w:val="1"/>
        </w:trPr>
        <w:tc>
          <w:tcPr>
            <w:tcW w:w="1087" w:type="pct"/>
            <w:vMerge/>
            <w:tcBorders>
              <w:top w:val="single" w:sz="12" w:space="0" w:color="000000"/>
              <w:left w:val="single" w:sz="12"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rPr>
                <w:rFonts w:ascii="Calibri" w:hAnsi="Calibri" w:cs="Calibri"/>
              </w:rPr>
            </w:pPr>
          </w:p>
        </w:tc>
        <w:tc>
          <w:tcPr>
            <w:tcW w:w="530" w:type="pct"/>
            <w:vMerge/>
            <w:tcBorders>
              <w:top w:val="single" w:sz="12" w:space="0" w:color="000000"/>
              <w:left w:val="single" w:sz="12" w:space="0" w:color="000000"/>
              <w:bottom w:val="single" w:sz="6"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rPr>
                <w:rFonts w:ascii="Calibri" w:hAnsi="Calibri" w:cs="Calibri"/>
              </w:rPr>
            </w:pPr>
          </w:p>
        </w:tc>
        <w:tc>
          <w:tcPr>
            <w:tcW w:w="554" w:type="pct"/>
            <w:vMerge/>
            <w:tcBorders>
              <w:top w:val="single" w:sz="12" w:space="0" w:color="000000"/>
              <w:left w:val="single" w:sz="6" w:space="0" w:color="000000"/>
              <w:bottom w:val="single" w:sz="6"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rPr>
                <w:rFonts w:ascii="Calibri" w:hAnsi="Calibri" w:cs="Calibri"/>
              </w:rPr>
            </w:pPr>
          </w:p>
        </w:tc>
        <w:tc>
          <w:tcPr>
            <w:tcW w:w="728" w:type="pct"/>
            <w:tcBorders>
              <w:top w:val="single" w:sz="6" w:space="0" w:color="000000"/>
              <w:left w:val="single" w:sz="6"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Lower</w:t>
            </w:r>
          </w:p>
        </w:tc>
        <w:tc>
          <w:tcPr>
            <w:tcW w:w="728" w:type="pct"/>
            <w:tcBorders>
              <w:top w:val="single" w:sz="6" w:space="0" w:color="000000"/>
              <w:left w:val="single" w:sz="6"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Upper</w:t>
            </w:r>
          </w:p>
        </w:tc>
        <w:tc>
          <w:tcPr>
            <w:tcW w:w="760" w:type="pct"/>
            <w:tcBorders>
              <w:top w:val="single" w:sz="6" w:space="0" w:color="000000"/>
              <w:left w:val="single" w:sz="6"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Wald Chi-Square</w:t>
            </w:r>
          </w:p>
        </w:tc>
        <w:tc>
          <w:tcPr>
            <w:tcW w:w="301" w:type="pct"/>
            <w:tcBorders>
              <w:top w:val="single" w:sz="6" w:space="0" w:color="000000"/>
              <w:left w:val="single" w:sz="6"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df</w:t>
            </w:r>
          </w:p>
        </w:tc>
        <w:tc>
          <w:tcPr>
            <w:tcW w:w="312" w:type="pct"/>
            <w:tcBorders>
              <w:top w:val="single" w:sz="6" w:space="0" w:color="000000"/>
              <w:left w:val="single" w:sz="6" w:space="0" w:color="000000"/>
              <w:bottom w:val="single" w:sz="12"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Sig.</w:t>
            </w:r>
          </w:p>
        </w:tc>
      </w:tr>
      <w:tr w:rsidR="00B44B07" w:rsidTr="00C22851">
        <w:trPr>
          <w:trHeight w:val="1"/>
        </w:trPr>
        <w:tc>
          <w:tcPr>
            <w:tcW w:w="1087" w:type="pct"/>
            <w:tcBorders>
              <w:top w:val="single" w:sz="12"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(Intercept)</w:t>
            </w:r>
          </w:p>
        </w:tc>
        <w:tc>
          <w:tcPr>
            <w:tcW w:w="530" w:type="pct"/>
            <w:tcBorders>
              <w:top w:val="single" w:sz="12"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20.000</w:t>
            </w:r>
          </w:p>
        </w:tc>
        <w:tc>
          <w:tcPr>
            <w:tcW w:w="554" w:type="pct"/>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1.0000</w:t>
            </w:r>
          </w:p>
        </w:tc>
        <w:tc>
          <w:tcPr>
            <w:tcW w:w="728" w:type="pct"/>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18.040</w:t>
            </w:r>
          </w:p>
        </w:tc>
        <w:tc>
          <w:tcPr>
            <w:tcW w:w="728" w:type="pct"/>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21.960</w:t>
            </w:r>
          </w:p>
        </w:tc>
        <w:tc>
          <w:tcPr>
            <w:tcW w:w="760" w:type="pct"/>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400.000</w:t>
            </w:r>
          </w:p>
        </w:tc>
        <w:tc>
          <w:tcPr>
            <w:tcW w:w="301" w:type="pct"/>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312" w:type="pct"/>
            <w:tcBorders>
              <w:top w:val="single" w:sz="12"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87"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[IDE</w:t>
            </w:r>
            <w:r>
              <w:rPr>
                <w:rFonts w:ascii="Arial" w:hAnsi="Arial" w:cs="Arial"/>
                <w:color w:val="000000"/>
                <w:sz w:val="18"/>
                <w:szCs w:val="18"/>
                <w:vertAlign w:val="subscript"/>
              </w:rPr>
              <w:t>CSR</w:t>
            </w:r>
            <w:r>
              <w:rPr>
                <w:rFonts w:ascii="Arial" w:hAnsi="Arial" w:cs="Arial"/>
                <w:color w:val="000000"/>
                <w:sz w:val="18"/>
                <w:szCs w:val="18"/>
              </w:rPr>
              <w:t>=23438130.00]</w:t>
            </w:r>
          </w:p>
        </w:tc>
        <w:tc>
          <w:tcPr>
            <w:tcW w:w="530"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21.000</w:t>
            </w:r>
          </w:p>
        </w:tc>
        <w:tc>
          <w:tcPr>
            <w:tcW w:w="55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72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18.228</w:t>
            </w:r>
          </w:p>
        </w:tc>
        <w:tc>
          <w:tcPr>
            <w:tcW w:w="72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23.772</w:t>
            </w:r>
          </w:p>
        </w:tc>
        <w:tc>
          <w:tcPr>
            <w:tcW w:w="76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220.500</w:t>
            </w:r>
          </w:p>
        </w:tc>
        <w:tc>
          <w:tcPr>
            <w:tcW w:w="30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312"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87"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[IDE</w:t>
            </w:r>
            <w:r>
              <w:rPr>
                <w:rFonts w:ascii="Arial" w:hAnsi="Arial" w:cs="Arial"/>
                <w:color w:val="000000"/>
                <w:sz w:val="18"/>
                <w:szCs w:val="18"/>
                <w:vertAlign w:val="subscript"/>
              </w:rPr>
              <w:t>CSR</w:t>
            </w:r>
            <w:r>
              <w:rPr>
                <w:rFonts w:ascii="Arial" w:hAnsi="Arial" w:cs="Arial"/>
                <w:color w:val="000000"/>
                <w:sz w:val="18"/>
                <w:szCs w:val="18"/>
              </w:rPr>
              <w:t>=27000250.00]</w:t>
            </w:r>
          </w:p>
        </w:tc>
        <w:tc>
          <w:tcPr>
            <w:tcW w:w="530"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6.000</w:t>
            </w:r>
          </w:p>
        </w:tc>
        <w:tc>
          <w:tcPr>
            <w:tcW w:w="55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72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3.228</w:t>
            </w:r>
          </w:p>
        </w:tc>
        <w:tc>
          <w:tcPr>
            <w:tcW w:w="72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8.772</w:t>
            </w:r>
          </w:p>
        </w:tc>
        <w:tc>
          <w:tcPr>
            <w:tcW w:w="76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18.000</w:t>
            </w:r>
          </w:p>
        </w:tc>
        <w:tc>
          <w:tcPr>
            <w:tcW w:w="30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312"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87"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[IDE</w:t>
            </w:r>
            <w:r>
              <w:rPr>
                <w:rFonts w:ascii="Arial" w:hAnsi="Arial" w:cs="Arial"/>
                <w:color w:val="000000"/>
                <w:sz w:val="18"/>
                <w:szCs w:val="18"/>
                <w:vertAlign w:val="subscript"/>
              </w:rPr>
              <w:t>CSR</w:t>
            </w:r>
            <w:r>
              <w:rPr>
                <w:rFonts w:ascii="Arial" w:hAnsi="Arial" w:cs="Arial"/>
                <w:color w:val="000000"/>
                <w:sz w:val="18"/>
                <w:szCs w:val="18"/>
              </w:rPr>
              <w:t>=29707000.00]</w:t>
            </w:r>
          </w:p>
        </w:tc>
        <w:tc>
          <w:tcPr>
            <w:tcW w:w="530"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11.000</w:t>
            </w:r>
          </w:p>
        </w:tc>
        <w:tc>
          <w:tcPr>
            <w:tcW w:w="55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72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8.228</w:t>
            </w:r>
          </w:p>
        </w:tc>
        <w:tc>
          <w:tcPr>
            <w:tcW w:w="72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13.772</w:t>
            </w:r>
          </w:p>
        </w:tc>
        <w:tc>
          <w:tcPr>
            <w:tcW w:w="76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60.500</w:t>
            </w:r>
          </w:p>
        </w:tc>
        <w:tc>
          <w:tcPr>
            <w:tcW w:w="30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312"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87"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[IDE</w:t>
            </w:r>
            <w:r>
              <w:rPr>
                <w:rFonts w:ascii="Arial" w:hAnsi="Arial" w:cs="Arial"/>
                <w:color w:val="000000"/>
                <w:sz w:val="18"/>
                <w:szCs w:val="18"/>
                <w:vertAlign w:val="subscript"/>
              </w:rPr>
              <w:t>CSR</w:t>
            </w:r>
            <w:r>
              <w:rPr>
                <w:rFonts w:ascii="Arial" w:hAnsi="Arial" w:cs="Arial"/>
                <w:color w:val="000000"/>
                <w:sz w:val="18"/>
                <w:szCs w:val="18"/>
              </w:rPr>
              <w:t>=30287150.00]</w:t>
            </w:r>
          </w:p>
        </w:tc>
        <w:tc>
          <w:tcPr>
            <w:tcW w:w="530"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47.000</w:t>
            </w:r>
          </w:p>
        </w:tc>
        <w:tc>
          <w:tcPr>
            <w:tcW w:w="55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72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44.228</w:t>
            </w:r>
          </w:p>
        </w:tc>
        <w:tc>
          <w:tcPr>
            <w:tcW w:w="72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49.772</w:t>
            </w:r>
          </w:p>
        </w:tc>
        <w:tc>
          <w:tcPr>
            <w:tcW w:w="76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1104.500</w:t>
            </w:r>
          </w:p>
        </w:tc>
        <w:tc>
          <w:tcPr>
            <w:tcW w:w="30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312"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87"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[IDE</w:t>
            </w:r>
            <w:r>
              <w:rPr>
                <w:rFonts w:ascii="Arial" w:hAnsi="Arial" w:cs="Arial"/>
                <w:color w:val="000000"/>
                <w:sz w:val="18"/>
                <w:szCs w:val="18"/>
                <w:vertAlign w:val="subscript"/>
              </w:rPr>
              <w:t>CSR</w:t>
            </w:r>
            <w:r>
              <w:rPr>
                <w:rFonts w:ascii="Arial" w:hAnsi="Arial" w:cs="Arial"/>
                <w:color w:val="000000"/>
                <w:sz w:val="18"/>
                <w:szCs w:val="18"/>
              </w:rPr>
              <w:t>=57371250.00]</w:t>
            </w:r>
          </w:p>
        </w:tc>
        <w:tc>
          <w:tcPr>
            <w:tcW w:w="530"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72.000</w:t>
            </w:r>
          </w:p>
        </w:tc>
        <w:tc>
          <w:tcPr>
            <w:tcW w:w="55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72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69.228</w:t>
            </w:r>
          </w:p>
        </w:tc>
        <w:tc>
          <w:tcPr>
            <w:tcW w:w="72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74.772</w:t>
            </w:r>
          </w:p>
        </w:tc>
        <w:tc>
          <w:tcPr>
            <w:tcW w:w="76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2592.000</w:t>
            </w:r>
          </w:p>
        </w:tc>
        <w:tc>
          <w:tcPr>
            <w:tcW w:w="30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312"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87"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[IDE</w:t>
            </w:r>
            <w:r>
              <w:rPr>
                <w:rFonts w:ascii="Arial" w:hAnsi="Arial" w:cs="Arial"/>
                <w:color w:val="000000"/>
                <w:sz w:val="18"/>
                <w:szCs w:val="18"/>
                <w:vertAlign w:val="subscript"/>
              </w:rPr>
              <w:t>CSR</w:t>
            </w:r>
            <w:r>
              <w:rPr>
                <w:rFonts w:ascii="Arial" w:hAnsi="Arial" w:cs="Arial"/>
                <w:color w:val="000000"/>
                <w:sz w:val="18"/>
                <w:szCs w:val="18"/>
              </w:rPr>
              <w:t>=63251000.00]</w:t>
            </w:r>
          </w:p>
        </w:tc>
        <w:tc>
          <w:tcPr>
            <w:tcW w:w="530"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73.000</w:t>
            </w:r>
          </w:p>
        </w:tc>
        <w:tc>
          <w:tcPr>
            <w:tcW w:w="55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72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70.228</w:t>
            </w:r>
          </w:p>
        </w:tc>
        <w:tc>
          <w:tcPr>
            <w:tcW w:w="72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75.772</w:t>
            </w:r>
          </w:p>
        </w:tc>
        <w:tc>
          <w:tcPr>
            <w:tcW w:w="76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2664.500</w:t>
            </w:r>
          </w:p>
        </w:tc>
        <w:tc>
          <w:tcPr>
            <w:tcW w:w="30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312"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87"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[IDE</w:t>
            </w:r>
            <w:r>
              <w:rPr>
                <w:rFonts w:ascii="Arial" w:hAnsi="Arial" w:cs="Arial"/>
                <w:color w:val="000000"/>
                <w:sz w:val="18"/>
                <w:szCs w:val="18"/>
                <w:vertAlign w:val="subscript"/>
              </w:rPr>
              <w:t>CSR</w:t>
            </w:r>
            <w:r>
              <w:rPr>
                <w:rFonts w:ascii="Arial" w:hAnsi="Arial" w:cs="Arial"/>
                <w:color w:val="000000"/>
                <w:sz w:val="18"/>
                <w:szCs w:val="18"/>
              </w:rPr>
              <w:t>=71710220.00]</w:t>
            </w:r>
          </w:p>
        </w:tc>
        <w:tc>
          <w:tcPr>
            <w:tcW w:w="530"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w:t>
            </w:r>
            <w:r>
              <w:rPr>
                <w:rFonts w:ascii="Arial" w:hAnsi="Arial" w:cs="Arial"/>
                <w:color w:val="000000"/>
                <w:sz w:val="18"/>
                <w:szCs w:val="18"/>
                <w:vertAlign w:val="superscript"/>
              </w:rPr>
              <w:t>a</w:t>
            </w:r>
          </w:p>
        </w:tc>
        <w:tc>
          <w:tcPr>
            <w:tcW w:w="554"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c>
          <w:tcPr>
            <w:tcW w:w="72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c>
          <w:tcPr>
            <w:tcW w:w="728"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c>
          <w:tcPr>
            <w:tcW w:w="76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c>
          <w:tcPr>
            <w:tcW w:w="30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c>
          <w:tcPr>
            <w:tcW w:w="312"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r>
      <w:tr w:rsidR="00B44B07" w:rsidTr="00C22851">
        <w:trPr>
          <w:trHeight w:val="1"/>
        </w:trPr>
        <w:tc>
          <w:tcPr>
            <w:tcW w:w="1087" w:type="pct"/>
            <w:tcBorders>
              <w:top w:val="single" w:sz="6" w:space="0" w:color="000000"/>
              <w:left w:val="single" w:sz="12" w:space="0" w:color="000000"/>
              <w:bottom w:val="single" w:sz="12"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(Scale)</w:t>
            </w:r>
          </w:p>
        </w:tc>
        <w:tc>
          <w:tcPr>
            <w:tcW w:w="530" w:type="pct"/>
            <w:tcBorders>
              <w:top w:val="single" w:sz="6" w:space="0" w:color="000000"/>
              <w:left w:val="single" w:sz="12"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1.000</w:t>
            </w:r>
            <w:r>
              <w:rPr>
                <w:rFonts w:ascii="Arial" w:hAnsi="Arial" w:cs="Arial"/>
                <w:color w:val="000000"/>
                <w:sz w:val="18"/>
                <w:szCs w:val="18"/>
                <w:vertAlign w:val="superscript"/>
              </w:rPr>
              <w:t>b</w:t>
            </w:r>
          </w:p>
        </w:tc>
        <w:tc>
          <w:tcPr>
            <w:tcW w:w="554" w:type="pct"/>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c>
          <w:tcPr>
            <w:tcW w:w="728" w:type="pct"/>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c>
          <w:tcPr>
            <w:tcW w:w="728" w:type="pct"/>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c>
          <w:tcPr>
            <w:tcW w:w="760" w:type="pct"/>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c>
          <w:tcPr>
            <w:tcW w:w="301" w:type="pct"/>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c>
          <w:tcPr>
            <w:tcW w:w="312" w:type="pct"/>
            <w:tcBorders>
              <w:top w:val="single" w:sz="6" w:space="0" w:color="000000"/>
              <w:left w:val="single" w:sz="6" w:space="0" w:color="000000"/>
              <w:bottom w:val="single" w:sz="12"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r>
      <w:tr w:rsidR="00B44B07" w:rsidTr="00C22851">
        <w:trPr>
          <w:trHeight w:val="1"/>
        </w:trPr>
        <w:tc>
          <w:tcPr>
            <w:tcW w:w="5000" w:type="pct"/>
            <w:gridSpan w:val="8"/>
            <w:tcBorders>
              <w:top w:val="single" w:sz="6" w:space="0" w:color="000000"/>
              <w:left w:val="single" w:sz="6" w:space="0" w:color="000000"/>
              <w:bottom w:val="single" w:sz="6" w:space="0" w:color="000000"/>
              <w:right w:val="single" w:sz="6"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Arial" w:hAnsi="Arial" w:cs="Arial"/>
                <w:color w:val="000000"/>
                <w:sz w:val="18"/>
                <w:szCs w:val="18"/>
              </w:rPr>
            </w:pPr>
            <w:r>
              <w:rPr>
                <w:rFonts w:ascii="Arial" w:hAnsi="Arial" w:cs="Arial"/>
                <w:color w:val="000000"/>
                <w:sz w:val="18"/>
                <w:szCs w:val="18"/>
              </w:rPr>
              <w:t>Dependent Variable: Equity</w:t>
            </w:r>
          </w:p>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Model: (Intercept), IDE</w:t>
            </w:r>
            <w:r>
              <w:rPr>
                <w:rFonts w:ascii="Arial" w:hAnsi="Arial" w:cs="Arial"/>
                <w:color w:val="000000"/>
                <w:sz w:val="18"/>
                <w:szCs w:val="18"/>
                <w:vertAlign w:val="subscript"/>
              </w:rPr>
              <w:t>CSR</w:t>
            </w:r>
          </w:p>
        </w:tc>
      </w:tr>
    </w:tbl>
    <w:p w:rsidR="00C22851" w:rsidRDefault="00C22851" w:rsidP="00C35033">
      <w:pPr>
        <w:autoSpaceDE w:val="0"/>
        <w:autoSpaceDN w:val="0"/>
        <w:adjustRightInd w:val="0"/>
        <w:spacing w:after="0" w:line="360" w:lineRule="auto"/>
        <w:jc w:val="both"/>
        <w:rPr>
          <w:rFonts w:ascii="Times New Roman" w:hAnsi="Times New Roman" w:cs="Times New Roman"/>
          <w:sz w:val="24"/>
          <w:szCs w:val="24"/>
        </w:rPr>
      </w:pPr>
    </w:p>
    <w:p w:rsidR="00B44B07" w:rsidRDefault="00B44B07" w:rsidP="00C2285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deviance was further investigated by the Wald Statistic, basically computed as shown in the table above to reveal the significant effect of IDE</w:t>
      </w:r>
      <w:r>
        <w:rPr>
          <w:rFonts w:ascii="Times New Roman" w:hAnsi="Times New Roman" w:cs="Times New Roman"/>
          <w:sz w:val="24"/>
          <w:szCs w:val="24"/>
          <w:vertAlign w:val="subscript"/>
        </w:rPr>
        <w:t>CSR</w:t>
      </w:r>
      <w:r>
        <w:rPr>
          <w:rFonts w:ascii="Times New Roman" w:hAnsi="Times New Roman" w:cs="Times New Roman"/>
          <w:sz w:val="24"/>
          <w:szCs w:val="24"/>
        </w:rPr>
        <w:t xml:space="preserve"> on the Equity growth of the selected Flour Mills on a yearly basis and the result proved significant at 5% level for all years throughout. i.e. P&lt;0.05</w:t>
      </w:r>
    </w:p>
    <w:p w:rsidR="00B44B07" w:rsidRDefault="00B44B07" w:rsidP="00C35033">
      <w:pPr>
        <w:autoSpaceDE w:val="0"/>
        <w:autoSpaceDN w:val="0"/>
        <w:adjustRightInd w:val="0"/>
        <w:spacing w:after="0" w:line="360" w:lineRule="auto"/>
        <w:jc w:val="both"/>
        <w:rPr>
          <w:rFonts w:ascii="Times New Roman" w:hAnsi="Times New Roman" w:cs="Times New Roman"/>
          <w:sz w:val="24"/>
          <w:szCs w:val="24"/>
        </w:rPr>
      </w:pPr>
    </w:p>
    <w:p w:rsidR="00B44B07" w:rsidRDefault="00B44B07" w:rsidP="00C35033">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Hypothesis 4:</w:t>
      </w:r>
    </w:p>
    <w:tbl>
      <w:tblPr>
        <w:tblW w:w="0" w:type="auto"/>
        <w:tblInd w:w="-8" w:type="dxa"/>
        <w:tblLayout w:type="fixed"/>
        <w:tblCellMar>
          <w:left w:w="0" w:type="dxa"/>
          <w:right w:w="0" w:type="dxa"/>
        </w:tblCellMar>
        <w:tblLook w:val="0000"/>
      </w:tblPr>
      <w:tblGrid>
        <w:gridCol w:w="1789"/>
        <w:gridCol w:w="1469"/>
        <w:gridCol w:w="1025"/>
        <w:gridCol w:w="1025"/>
      </w:tblGrid>
      <w:tr w:rsidR="00B44B07">
        <w:trPr>
          <w:trHeight w:val="1"/>
        </w:trPr>
        <w:tc>
          <w:tcPr>
            <w:tcW w:w="5308" w:type="dxa"/>
            <w:gridSpan w:val="4"/>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b/>
                <w:bCs/>
                <w:color w:val="000000"/>
                <w:sz w:val="18"/>
                <w:szCs w:val="18"/>
              </w:rPr>
              <w:t>Lagrange Multiplier Test</w:t>
            </w:r>
          </w:p>
        </w:tc>
      </w:tr>
      <w:tr w:rsidR="00B44B07">
        <w:trPr>
          <w:trHeight w:val="1"/>
        </w:trPr>
        <w:tc>
          <w:tcPr>
            <w:tcW w:w="1789" w:type="dxa"/>
            <w:tcBorders>
              <w:top w:val="single" w:sz="12" w:space="0" w:color="000000"/>
              <w:left w:val="single" w:sz="12" w:space="0" w:color="000000"/>
              <w:bottom w:val="single" w:sz="12"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jc w:val="both"/>
              <w:rPr>
                <w:rFonts w:ascii="Calibri" w:hAnsi="Calibri" w:cs="Calibri"/>
              </w:rPr>
            </w:pPr>
          </w:p>
        </w:tc>
        <w:tc>
          <w:tcPr>
            <w:tcW w:w="1469" w:type="dxa"/>
            <w:tcBorders>
              <w:top w:val="single" w:sz="12" w:space="0" w:color="000000"/>
              <w:left w:val="single" w:sz="12"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Chi-Square</w:t>
            </w:r>
          </w:p>
        </w:tc>
        <w:tc>
          <w:tcPr>
            <w:tcW w:w="1025" w:type="dxa"/>
            <w:tcBorders>
              <w:top w:val="single" w:sz="12" w:space="0" w:color="000000"/>
              <w:left w:val="single" w:sz="6" w:space="0" w:color="000000"/>
              <w:bottom w:val="single" w:sz="12" w:space="0" w:color="000000"/>
              <w:right w:val="single" w:sz="6" w:space="0" w:color="000000"/>
            </w:tcBorders>
            <w:shd w:val="clear" w:color="auto" w:fill="FFFFFF"/>
            <w:vAlign w:val="bottom"/>
          </w:tcPr>
          <w:p w:rsidR="00B44B07" w:rsidRDefault="009E6C10"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D</w:t>
            </w:r>
            <w:r w:rsidR="00B44B07">
              <w:rPr>
                <w:rFonts w:ascii="Arial" w:hAnsi="Arial" w:cs="Arial"/>
                <w:color w:val="000000"/>
                <w:sz w:val="18"/>
                <w:szCs w:val="18"/>
              </w:rPr>
              <w:t>f</w:t>
            </w:r>
          </w:p>
        </w:tc>
        <w:tc>
          <w:tcPr>
            <w:tcW w:w="1025" w:type="dxa"/>
            <w:tcBorders>
              <w:top w:val="single" w:sz="12" w:space="0" w:color="000000"/>
              <w:left w:val="single" w:sz="6" w:space="0" w:color="000000"/>
              <w:bottom w:val="single" w:sz="12"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Sig.</w:t>
            </w:r>
          </w:p>
        </w:tc>
      </w:tr>
      <w:tr w:rsidR="00B44B07">
        <w:trPr>
          <w:trHeight w:val="1"/>
        </w:trPr>
        <w:tc>
          <w:tcPr>
            <w:tcW w:w="1789" w:type="dxa"/>
            <w:tcBorders>
              <w:top w:val="single" w:sz="12" w:space="0" w:color="000000"/>
              <w:left w:val="single" w:sz="12" w:space="0" w:color="000000"/>
              <w:bottom w:val="single" w:sz="12"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Scale Parameter</w:t>
            </w:r>
            <w:r>
              <w:rPr>
                <w:rFonts w:ascii="Arial" w:hAnsi="Arial" w:cs="Arial"/>
                <w:color w:val="000000"/>
                <w:sz w:val="18"/>
                <w:szCs w:val="18"/>
                <w:vertAlign w:val="superscript"/>
              </w:rPr>
              <w:t>a</w:t>
            </w:r>
          </w:p>
        </w:tc>
        <w:tc>
          <w:tcPr>
            <w:tcW w:w="1469" w:type="dxa"/>
            <w:tcBorders>
              <w:top w:val="single" w:sz="12" w:space="0" w:color="000000"/>
              <w:left w:val="single" w:sz="12"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7.703e+27</w:t>
            </w:r>
          </w:p>
        </w:tc>
        <w:tc>
          <w:tcPr>
            <w:tcW w:w="1025" w:type="dxa"/>
            <w:tcBorders>
              <w:top w:val="single" w:sz="12"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1025" w:type="dxa"/>
            <w:tcBorders>
              <w:top w:val="single" w:sz="12" w:space="0" w:color="000000"/>
              <w:left w:val="single" w:sz="6" w:space="0" w:color="000000"/>
              <w:bottom w:val="single" w:sz="12"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trPr>
          <w:trHeight w:val="1"/>
        </w:trPr>
        <w:tc>
          <w:tcPr>
            <w:tcW w:w="5308" w:type="dxa"/>
            <w:gridSpan w:val="4"/>
            <w:tcBorders>
              <w:top w:val="single" w:sz="6" w:space="0" w:color="000000"/>
              <w:left w:val="single" w:sz="6" w:space="0" w:color="000000"/>
              <w:bottom w:val="single" w:sz="6" w:space="0" w:color="000000"/>
              <w:right w:val="single" w:sz="6"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a. Tests the null hypothesis that the scale parameter equals 1.000</w:t>
            </w:r>
          </w:p>
        </w:tc>
      </w:tr>
    </w:tbl>
    <w:p w:rsidR="00C22851" w:rsidRDefault="00C22851" w:rsidP="00C35033">
      <w:pPr>
        <w:autoSpaceDE w:val="0"/>
        <w:autoSpaceDN w:val="0"/>
        <w:adjustRightInd w:val="0"/>
        <w:spacing w:after="0" w:line="360" w:lineRule="auto"/>
        <w:jc w:val="both"/>
        <w:rPr>
          <w:rFonts w:ascii="Times New Roman" w:hAnsi="Times New Roman" w:cs="Times New Roman"/>
          <w:color w:val="000000"/>
          <w:sz w:val="24"/>
          <w:szCs w:val="24"/>
        </w:rPr>
      </w:pPr>
    </w:p>
    <w:p w:rsidR="00B44B07" w:rsidRDefault="00B44B07" w:rsidP="00C3503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chi-square test of the Langrange Multiplier reveals that the significant relationship of CHE</w:t>
      </w:r>
      <w:r>
        <w:rPr>
          <w:rFonts w:ascii="Times New Roman" w:hAnsi="Times New Roman" w:cs="Times New Roman"/>
          <w:color w:val="000000"/>
          <w:sz w:val="24"/>
          <w:szCs w:val="24"/>
          <w:vertAlign w:val="subscript"/>
        </w:rPr>
        <w:t>CSR</w:t>
      </w:r>
      <w:r>
        <w:rPr>
          <w:rFonts w:ascii="Times New Roman" w:hAnsi="Times New Roman" w:cs="Times New Roman"/>
          <w:color w:val="000000"/>
          <w:sz w:val="24"/>
          <w:szCs w:val="24"/>
        </w:rPr>
        <w:t xml:space="preserve"> on Earnings could not have happens by chance. Hence the P-value (0.000&lt;0.05) implies that there is significant relationship between IDE</w:t>
      </w:r>
      <w:r>
        <w:rPr>
          <w:rFonts w:ascii="Times New Roman" w:hAnsi="Times New Roman" w:cs="Times New Roman"/>
          <w:color w:val="000000"/>
          <w:sz w:val="24"/>
          <w:szCs w:val="24"/>
          <w:vertAlign w:val="subscript"/>
        </w:rPr>
        <w:t>CSR</w:t>
      </w:r>
      <w:r>
        <w:rPr>
          <w:rFonts w:ascii="Times New Roman" w:hAnsi="Times New Roman" w:cs="Times New Roman"/>
          <w:color w:val="000000"/>
          <w:sz w:val="24"/>
          <w:szCs w:val="24"/>
        </w:rPr>
        <w:t xml:space="preserve"> and Earnings of the selected Flour Mills in Nigeria within the 7 years period.</w:t>
      </w:r>
    </w:p>
    <w:p w:rsidR="00B44B07" w:rsidRDefault="00B44B07" w:rsidP="00C35033">
      <w:pPr>
        <w:autoSpaceDE w:val="0"/>
        <w:autoSpaceDN w:val="0"/>
        <w:adjustRightInd w:val="0"/>
        <w:spacing w:after="0" w:line="360" w:lineRule="auto"/>
        <w:jc w:val="both"/>
        <w:rPr>
          <w:rFonts w:ascii="Times New Roman" w:hAnsi="Times New Roman" w:cs="Times New Roman"/>
          <w:sz w:val="24"/>
          <w:szCs w:val="24"/>
        </w:rPr>
      </w:pPr>
    </w:p>
    <w:p w:rsidR="00C22851" w:rsidRDefault="00C22851" w:rsidP="00C35033">
      <w:pPr>
        <w:autoSpaceDE w:val="0"/>
        <w:autoSpaceDN w:val="0"/>
        <w:adjustRightInd w:val="0"/>
        <w:spacing w:after="0" w:line="360" w:lineRule="auto"/>
        <w:jc w:val="both"/>
        <w:rPr>
          <w:rFonts w:ascii="Times New Roman" w:hAnsi="Times New Roman" w:cs="Times New Roman"/>
          <w:sz w:val="24"/>
          <w:szCs w:val="24"/>
        </w:rPr>
      </w:pPr>
    </w:p>
    <w:tbl>
      <w:tblPr>
        <w:tblW w:w="0" w:type="auto"/>
        <w:tblInd w:w="-8" w:type="dxa"/>
        <w:tblLayout w:type="fixed"/>
        <w:tblCellMar>
          <w:left w:w="0" w:type="dxa"/>
          <w:right w:w="0" w:type="dxa"/>
        </w:tblCellMar>
        <w:tblLook w:val="0000"/>
      </w:tblPr>
      <w:tblGrid>
        <w:gridCol w:w="1177"/>
        <w:gridCol w:w="1469"/>
        <w:gridCol w:w="1025"/>
        <w:gridCol w:w="1025"/>
      </w:tblGrid>
      <w:tr w:rsidR="00B44B07">
        <w:trPr>
          <w:trHeight w:val="1"/>
        </w:trPr>
        <w:tc>
          <w:tcPr>
            <w:tcW w:w="4696" w:type="dxa"/>
            <w:gridSpan w:val="4"/>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b/>
                <w:bCs/>
                <w:color w:val="000000"/>
                <w:sz w:val="18"/>
                <w:szCs w:val="18"/>
              </w:rPr>
              <w:t>Tests of Model Effects</w:t>
            </w:r>
          </w:p>
        </w:tc>
      </w:tr>
      <w:tr w:rsidR="00B44B07">
        <w:trPr>
          <w:trHeight w:val="1"/>
        </w:trPr>
        <w:tc>
          <w:tcPr>
            <w:tcW w:w="1177" w:type="dxa"/>
            <w:vMerge w:val="restart"/>
            <w:tcBorders>
              <w:top w:val="single" w:sz="12" w:space="0" w:color="000000"/>
              <w:left w:val="single" w:sz="12"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Source</w:t>
            </w:r>
          </w:p>
        </w:tc>
        <w:tc>
          <w:tcPr>
            <w:tcW w:w="3519" w:type="dxa"/>
            <w:gridSpan w:val="3"/>
            <w:tcBorders>
              <w:top w:val="single" w:sz="12" w:space="0" w:color="000000"/>
              <w:left w:val="single" w:sz="12"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Type III</w:t>
            </w:r>
          </w:p>
        </w:tc>
      </w:tr>
      <w:tr w:rsidR="00B44B07">
        <w:trPr>
          <w:trHeight w:val="1"/>
        </w:trPr>
        <w:tc>
          <w:tcPr>
            <w:tcW w:w="1177" w:type="dxa"/>
            <w:vMerge/>
            <w:tcBorders>
              <w:top w:val="single" w:sz="12" w:space="0" w:color="000000"/>
              <w:left w:val="single" w:sz="12"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rPr>
                <w:rFonts w:ascii="Calibri" w:hAnsi="Calibri" w:cs="Calibri"/>
              </w:rPr>
            </w:pPr>
          </w:p>
        </w:tc>
        <w:tc>
          <w:tcPr>
            <w:tcW w:w="1469" w:type="dxa"/>
            <w:tcBorders>
              <w:top w:val="single" w:sz="6" w:space="0" w:color="000000"/>
              <w:left w:val="single" w:sz="12"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Wald Chi-Square</w:t>
            </w:r>
          </w:p>
        </w:tc>
        <w:tc>
          <w:tcPr>
            <w:tcW w:w="1025" w:type="dxa"/>
            <w:tcBorders>
              <w:top w:val="single" w:sz="6" w:space="0" w:color="000000"/>
              <w:left w:val="single" w:sz="6"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df</w:t>
            </w:r>
          </w:p>
        </w:tc>
        <w:tc>
          <w:tcPr>
            <w:tcW w:w="1025" w:type="dxa"/>
            <w:tcBorders>
              <w:top w:val="single" w:sz="6" w:space="0" w:color="000000"/>
              <w:left w:val="single" w:sz="6" w:space="0" w:color="000000"/>
              <w:bottom w:val="single" w:sz="12"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Sig.</w:t>
            </w:r>
          </w:p>
        </w:tc>
      </w:tr>
      <w:tr w:rsidR="00B44B07">
        <w:trPr>
          <w:trHeight w:val="1"/>
        </w:trPr>
        <w:tc>
          <w:tcPr>
            <w:tcW w:w="1177" w:type="dxa"/>
            <w:tcBorders>
              <w:top w:val="single" w:sz="12"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(Intercept)</w:t>
            </w:r>
          </w:p>
        </w:tc>
        <w:tc>
          <w:tcPr>
            <w:tcW w:w="1469" w:type="dxa"/>
            <w:tcBorders>
              <w:top w:val="single" w:sz="12"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60543.000</w:t>
            </w:r>
          </w:p>
        </w:tc>
        <w:tc>
          <w:tcPr>
            <w:tcW w:w="1025" w:type="dxa"/>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1025" w:type="dxa"/>
            <w:tcBorders>
              <w:top w:val="single" w:sz="12"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trPr>
          <w:trHeight w:val="1"/>
        </w:trPr>
        <w:tc>
          <w:tcPr>
            <w:tcW w:w="1177" w:type="dxa"/>
            <w:tcBorders>
              <w:top w:val="single" w:sz="6" w:space="0" w:color="000000"/>
              <w:left w:val="single" w:sz="12" w:space="0" w:color="000000"/>
              <w:bottom w:val="single" w:sz="12"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CHE</w:t>
            </w:r>
            <w:r>
              <w:rPr>
                <w:rFonts w:ascii="Arial" w:hAnsi="Arial" w:cs="Arial"/>
                <w:color w:val="000000"/>
                <w:sz w:val="18"/>
                <w:szCs w:val="18"/>
                <w:vertAlign w:val="subscript"/>
              </w:rPr>
              <w:t>CSR</w:t>
            </w:r>
          </w:p>
        </w:tc>
        <w:tc>
          <w:tcPr>
            <w:tcW w:w="1469" w:type="dxa"/>
            <w:tcBorders>
              <w:top w:val="single" w:sz="6" w:space="0" w:color="000000"/>
              <w:left w:val="single" w:sz="12"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22674.000</w:t>
            </w:r>
          </w:p>
        </w:tc>
        <w:tc>
          <w:tcPr>
            <w:tcW w:w="1025" w:type="dxa"/>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6</w:t>
            </w:r>
          </w:p>
        </w:tc>
        <w:tc>
          <w:tcPr>
            <w:tcW w:w="1025" w:type="dxa"/>
            <w:tcBorders>
              <w:top w:val="single" w:sz="6" w:space="0" w:color="000000"/>
              <w:left w:val="single" w:sz="6" w:space="0" w:color="000000"/>
              <w:bottom w:val="single" w:sz="12"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trPr>
          <w:trHeight w:val="1"/>
        </w:trPr>
        <w:tc>
          <w:tcPr>
            <w:tcW w:w="4696" w:type="dxa"/>
            <w:gridSpan w:val="4"/>
            <w:tcBorders>
              <w:top w:val="single" w:sz="6" w:space="0" w:color="000000"/>
              <w:left w:val="single" w:sz="6" w:space="0" w:color="000000"/>
              <w:bottom w:val="single" w:sz="6" w:space="0" w:color="000000"/>
              <w:right w:val="single" w:sz="6"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Arial" w:hAnsi="Arial" w:cs="Arial"/>
                <w:color w:val="000000"/>
                <w:sz w:val="18"/>
                <w:szCs w:val="18"/>
              </w:rPr>
            </w:pPr>
            <w:r>
              <w:rPr>
                <w:rFonts w:ascii="Arial" w:hAnsi="Arial" w:cs="Arial"/>
                <w:color w:val="000000"/>
                <w:sz w:val="18"/>
                <w:szCs w:val="18"/>
              </w:rPr>
              <w:t>Dependent Variable: Earnings</w:t>
            </w:r>
          </w:p>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Model: (Intercept), CHE</w:t>
            </w:r>
            <w:r>
              <w:rPr>
                <w:rFonts w:ascii="Arial" w:hAnsi="Arial" w:cs="Arial"/>
                <w:color w:val="000000"/>
                <w:sz w:val="18"/>
                <w:szCs w:val="18"/>
                <w:vertAlign w:val="subscript"/>
              </w:rPr>
              <w:t>CSR</w:t>
            </w:r>
          </w:p>
        </w:tc>
      </w:tr>
    </w:tbl>
    <w:p w:rsidR="00C22851" w:rsidRDefault="00C22851" w:rsidP="00C35033">
      <w:pPr>
        <w:autoSpaceDE w:val="0"/>
        <w:autoSpaceDN w:val="0"/>
        <w:adjustRightInd w:val="0"/>
        <w:spacing w:after="0" w:line="360" w:lineRule="auto"/>
        <w:jc w:val="both"/>
        <w:rPr>
          <w:rFonts w:ascii="Times New Roman" w:hAnsi="Times New Roman" w:cs="Times New Roman"/>
          <w:color w:val="000000"/>
          <w:sz w:val="24"/>
          <w:szCs w:val="24"/>
        </w:rPr>
      </w:pPr>
    </w:p>
    <w:p w:rsidR="00B44B07" w:rsidRDefault="00B44B07" w:rsidP="00C3503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output above compares the fitted model against the independent variable (CHE</w:t>
      </w:r>
      <w:r>
        <w:rPr>
          <w:rFonts w:ascii="Times New Roman" w:hAnsi="Times New Roman" w:cs="Times New Roman"/>
          <w:color w:val="000000"/>
          <w:sz w:val="24"/>
          <w:szCs w:val="24"/>
          <w:vertAlign w:val="subscript"/>
        </w:rPr>
        <w:t>CSR</w:t>
      </w:r>
      <w:r>
        <w:rPr>
          <w:rFonts w:ascii="Times New Roman" w:hAnsi="Times New Roman" w:cs="Times New Roman"/>
          <w:color w:val="000000"/>
          <w:sz w:val="24"/>
          <w:szCs w:val="24"/>
        </w:rPr>
        <w:t>) by computing the likelihood ratios of the Wald chi-square showing that the higher intercept model has caused the Earnings growth of the selected Flour Mill in Nigeria to be highly significant. Hence the effect is high at 5% level of significant. i.e. p&lt;0.05</w:t>
      </w:r>
    </w:p>
    <w:p w:rsidR="00C22851" w:rsidRDefault="00C22851" w:rsidP="00C35033">
      <w:pPr>
        <w:autoSpaceDE w:val="0"/>
        <w:autoSpaceDN w:val="0"/>
        <w:adjustRightInd w:val="0"/>
        <w:spacing w:after="0" w:line="360" w:lineRule="auto"/>
        <w:jc w:val="both"/>
        <w:rPr>
          <w:rFonts w:ascii="Times New Roman" w:hAnsi="Times New Roman" w:cs="Times New Roman"/>
          <w:color w:val="000000"/>
          <w:sz w:val="24"/>
          <w:szCs w:val="24"/>
        </w:rPr>
      </w:pPr>
    </w:p>
    <w:tbl>
      <w:tblPr>
        <w:tblW w:w="5000" w:type="pct"/>
        <w:tblCellMar>
          <w:left w:w="0" w:type="dxa"/>
          <w:right w:w="0" w:type="dxa"/>
        </w:tblCellMar>
        <w:tblLook w:val="0000"/>
      </w:tblPr>
      <w:tblGrid>
        <w:gridCol w:w="2040"/>
        <w:gridCol w:w="931"/>
        <w:gridCol w:w="960"/>
        <w:gridCol w:w="1268"/>
        <w:gridCol w:w="1269"/>
        <w:gridCol w:w="1324"/>
        <w:gridCol w:w="735"/>
        <w:gridCol w:w="849"/>
      </w:tblGrid>
      <w:tr w:rsidR="00B44B07" w:rsidTr="00C22851">
        <w:trPr>
          <w:trHeight w:val="1"/>
        </w:trPr>
        <w:tc>
          <w:tcPr>
            <w:tcW w:w="5000" w:type="pct"/>
            <w:gridSpan w:val="8"/>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b/>
                <w:bCs/>
                <w:color w:val="000000"/>
                <w:sz w:val="18"/>
                <w:szCs w:val="18"/>
              </w:rPr>
              <w:t>Parameter Estimates</w:t>
            </w:r>
          </w:p>
        </w:tc>
      </w:tr>
      <w:tr w:rsidR="00B44B07" w:rsidTr="00C22851">
        <w:trPr>
          <w:trHeight w:val="1"/>
        </w:trPr>
        <w:tc>
          <w:tcPr>
            <w:tcW w:w="1024" w:type="pct"/>
            <w:vMerge w:val="restart"/>
            <w:tcBorders>
              <w:top w:val="single" w:sz="12" w:space="0" w:color="000000"/>
              <w:left w:val="single" w:sz="12"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Parameter</w:t>
            </w:r>
          </w:p>
        </w:tc>
        <w:tc>
          <w:tcPr>
            <w:tcW w:w="506" w:type="pct"/>
            <w:vMerge w:val="restart"/>
            <w:tcBorders>
              <w:top w:val="single" w:sz="12" w:space="0" w:color="000000"/>
              <w:left w:val="single" w:sz="12" w:space="0" w:color="000000"/>
              <w:bottom w:val="single" w:sz="6"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B</w:t>
            </w:r>
          </w:p>
        </w:tc>
        <w:tc>
          <w:tcPr>
            <w:tcW w:w="521" w:type="pct"/>
            <w:vMerge w:val="restart"/>
            <w:tcBorders>
              <w:top w:val="single" w:sz="12" w:space="0" w:color="000000"/>
              <w:left w:val="single" w:sz="6" w:space="0" w:color="000000"/>
              <w:bottom w:val="single" w:sz="6"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Std. Error</w:t>
            </w:r>
          </w:p>
        </w:tc>
        <w:tc>
          <w:tcPr>
            <w:tcW w:w="1371" w:type="pct"/>
            <w:gridSpan w:val="2"/>
            <w:tcBorders>
              <w:top w:val="single" w:sz="12" w:space="0" w:color="000000"/>
              <w:left w:val="single" w:sz="6" w:space="0" w:color="000000"/>
              <w:bottom w:val="single" w:sz="6"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95% Wald Confidence Interval</w:t>
            </w:r>
          </w:p>
        </w:tc>
        <w:tc>
          <w:tcPr>
            <w:tcW w:w="1578" w:type="pct"/>
            <w:gridSpan w:val="3"/>
            <w:tcBorders>
              <w:top w:val="single" w:sz="12" w:space="0" w:color="000000"/>
              <w:left w:val="single" w:sz="6"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Hypothesis Test</w:t>
            </w:r>
          </w:p>
        </w:tc>
      </w:tr>
      <w:tr w:rsidR="00B44B07" w:rsidTr="00C22851">
        <w:trPr>
          <w:trHeight w:val="1"/>
        </w:trPr>
        <w:tc>
          <w:tcPr>
            <w:tcW w:w="1024" w:type="pct"/>
            <w:vMerge/>
            <w:tcBorders>
              <w:top w:val="single" w:sz="12" w:space="0" w:color="000000"/>
              <w:left w:val="single" w:sz="12" w:space="0" w:color="000000"/>
              <w:bottom w:val="single" w:sz="6"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rPr>
                <w:rFonts w:ascii="Calibri" w:hAnsi="Calibri" w:cs="Calibri"/>
              </w:rPr>
            </w:pPr>
          </w:p>
        </w:tc>
        <w:tc>
          <w:tcPr>
            <w:tcW w:w="506" w:type="pct"/>
            <w:vMerge/>
            <w:tcBorders>
              <w:top w:val="single" w:sz="12" w:space="0" w:color="000000"/>
              <w:left w:val="single" w:sz="12" w:space="0" w:color="000000"/>
              <w:bottom w:val="single" w:sz="6"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rPr>
                <w:rFonts w:ascii="Calibri" w:hAnsi="Calibri" w:cs="Calibri"/>
              </w:rPr>
            </w:pPr>
          </w:p>
        </w:tc>
        <w:tc>
          <w:tcPr>
            <w:tcW w:w="521" w:type="pct"/>
            <w:vMerge/>
            <w:tcBorders>
              <w:top w:val="single" w:sz="12" w:space="0" w:color="000000"/>
              <w:left w:val="single" w:sz="6" w:space="0" w:color="000000"/>
              <w:bottom w:val="single" w:sz="6"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rPr>
                <w:rFonts w:ascii="Calibri" w:hAnsi="Calibri" w:cs="Calibri"/>
              </w:rPr>
            </w:pPr>
          </w:p>
        </w:tc>
        <w:tc>
          <w:tcPr>
            <w:tcW w:w="685" w:type="pct"/>
            <w:tcBorders>
              <w:top w:val="single" w:sz="6" w:space="0" w:color="000000"/>
              <w:left w:val="single" w:sz="6"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Lower</w:t>
            </w:r>
          </w:p>
        </w:tc>
        <w:tc>
          <w:tcPr>
            <w:tcW w:w="685" w:type="pct"/>
            <w:tcBorders>
              <w:top w:val="single" w:sz="6" w:space="0" w:color="000000"/>
              <w:left w:val="single" w:sz="6"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Upper</w:t>
            </w:r>
          </w:p>
        </w:tc>
        <w:tc>
          <w:tcPr>
            <w:tcW w:w="715" w:type="pct"/>
            <w:tcBorders>
              <w:top w:val="single" w:sz="6" w:space="0" w:color="000000"/>
              <w:left w:val="single" w:sz="6"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Wald Chi-Square</w:t>
            </w:r>
          </w:p>
        </w:tc>
        <w:tc>
          <w:tcPr>
            <w:tcW w:w="401" w:type="pct"/>
            <w:tcBorders>
              <w:top w:val="single" w:sz="6" w:space="0" w:color="000000"/>
              <w:left w:val="single" w:sz="6" w:space="0" w:color="000000"/>
              <w:bottom w:val="single" w:sz="12" w:space="0" w:color="000000"/>
              <w:right w:val="single" w:sz="6"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df</w:t>
            </w:r>
          </w:p>
        </w:tc>
        <w:tc>
          <w:tcPr>
            <w:tcW w:w="462" w:type="pct"/>
            <w:tcBorders>
              <w:top w:val="single" w:sz="6" w:space="0" w:color="000000"/>
              <w:left w:val="single" w:sz="6" w:space="0" w:color="000000"/>
              <w:bottom w:val="single" w:sz="12" w:space="0" w:color="000000"/>
              <w:right w:val="single" w:sz="12" w:space="0" w:color="000000"/>
            </w:tcBorders>
            <w:shd w:val="clear" w:color="auto" w:fill="FFFFFF"/>
            <w:vAlign w:val="bottom"/>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Sig.</w:t>
            </w:r>
          </w:p>
        </w:tc>
      </w:tr>
      <w:tr w:rsidR="00B44B07" w:rsidTr="00C22851">
        <w:trPr>
          <w:trHeight w:val="1"/>
        </w:trPr>
        <w:tc>
          <w:tcPr>
            <w:tcW w:w="1024" w:type="pct"/>
            <w:tcBorders>
              <w:top w:val="single" w:sz="12"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(Intercept)</w:t>
            </w:r>
          </w:p>
        </w:tc>
        <w:tc>
          <w:tcPr>
            <w:tcW w:w="506" w:type="pct"/>
            <w:tcBorders>
              <w:top w:val="single" w:sz="12"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141.000</w:t>
            </w:r>
          </w:p>
        </w:tc>
        <w:tc>
          <w:tcPr>
            <w:tcW w:w="521" w:type="pct"/>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1.0000</w:t>
            </w:r>
          </w:p>
        </w:tc>
        <w:tc>
          <w:tcPr>
            <w:tcW w:w="685" w:type="pct"/>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139.040</w:t>
            </w:r>
          </w:p>
        </w:tc>
        <w:tc>
          <w:tcPr>
            <w:tcW w:w="685" w:type="pct"/>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142.960</w:t>
            </w:r>
          </w:p>
        </w:tc>
        <w:tc>
          <w:tcPr>
            <w:tcW w:w="715" w:type="pct"/>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19881.000</w:t>
            </w:r>
          </w:p>
        </w:tc>
        <w:tc>
          <w:tcPr>
            <w:tcW w:w="401" w:type="pct"/>
            <w:tcBorders>
              <w:top w:val="single" w:sz="12"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462" w:type="pct"/>
            <w:tcBorders>
              <w:top w:val="single" w:sz="12"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24"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[CHE</w:t>
            </w:r>
            <w:r>
              <w:rPr>
                <w:rFonts w:ascii="Arial" w:hAnsi="Arial" w:cs="Arial"/>
                <w:color w:val="000000"/>
                <w:sz w:val="18"/>
                <w:szCs w:val="18"/>
                <w:vertAlign w:val="subscript"/>
              </w:rPr>
              <w:t>CSR</w:t>
            </w:r>
            <w:r>
              <w:rPr>
                <w:rFonts w:ascii="Arial" w:hAnsi="Arial" w:cs="Arial"/>
                <w:color w:val="000000"/>
                <w:sz w:val="18"/>
                <w:szCs w:val="18"/>
              </w:rPr>
              <w:t>=23438130.00]</w:t>
            </w:r>
          </w:p>
        </w:tc>
        <w:tc>
          <w:tcPr>
            <w:tcW w:w="506"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-102.000</w:t>
            </w:r>
          </w:p>
        </w:tc>
        <w:tc>
          <w:tcPr>
            <w:tcW w:w="5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68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-104.772</w:t>
            </w:r>
          </w:p>
        </w:tc>
        <w:tc>
          <w:tcPr>
            <w:tcW w:w="68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-99.228</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5202.000</w:t>
            </w:r>
          </w:p>
        </w:tc>
        <w:tc>
          <w:tcPr>
            <w:tcW w:w="40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462"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24"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[CHE</w:t>
            </w:r>
            <w:r>
              <w:rPr>
                <w:rFonts w:ascii="Arial" w:hAnsi="Arial" w:cs="Arial"/>
                <w:color w:val="000000"/>
                <w:sz w:val="18"/>
                <w:szCs w:val="18"/>
                <w:vertAlign w:val="subscript"/>
              </w:rPr>
              <w:t>CSR</w:t>
            </w:r>
            <w:r>
              <w:rPr>
                <w:rFonts w:ascii="Arial" w:hAnsi="Arial" w:cs="Arial"/>
                <w:color w:val="000000"/>
                <w:sz w:val="18"/>
                <w:szCs w:val="18"/>
              </w:rPr>
              <w:t>=27000250.00]</w:t>
            </w:r>
          </w:p>
        </w:tc>
        <w:tc>
          <w:tcPr>
            <w:tcW w:w="506"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-88.000</w:t>
            </w:r>
          </w:p>
        </w:tc>
        <w:tc>
          <w:tcPr>
            <w:tcW w:w="5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68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-90.772</w:t>
            </w:r>
          </w:p>
        </w:tc>
        <w:tc>
          <w:tcPr>
            <w:tcW w:w="68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-85.228</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3872.000</w:t>
            </w:r>
          </w:p>
        </w:tc>
        <w:tc>
          <w:tcPr>
            <w:tcW w:w="40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462"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24"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[CHE</w:t>
            </w:r>
            <w:r>
              <w:rPr>
                <w:rFonts w:ascii="Arial" w:hAnsi="Arial" w:cs="Arial"/>
                <w:color w:val="000000"/>
                <w:sz w:val="18"/>
                <w:szCs w:val="18"/>
                <w:vertAlign w:val="subscript"/>
              </w:rPr>
              <w:t>CSR</w:t>
            </w:r>
            <w:r>
              <w:rPr>
                <w:rFonts w:ascii="Arial" w:hAnsi="Arial" w:cs="Arial"/>
                <w:color w:val="000000"/>
                <w:sz w:val="18"/>
                <w:szCs w:val="18"/>
              </w:rPr>
              <w:t>=29707000.00]</w:t>
            </w:r>
          </w:p>
        </w:tc>
        <w:tc>
          <w:tcPr>
            <w:tcW w:w="506"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-70.000</w:t>
            </w:r>
          </w:p>
        </w:tc>
        <w:tc>
          <w:tcPr>
            <w:tcW w:w="5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68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-72.772</w:t>
            </w:r>
          </w:p>
        </w:tc>
        <w:tc>
          <w:tcPr>
            <w:tcW w:w="68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-67.228</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2450.000</w:t>
            </w:r>
          </w:p>
        </w:tc>
        <w:tc>
          <w:tcPr>
            <w:tcW w:w="40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462"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24"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[CHE</w:t>
            </w:r>
            <w:r>
              <w:rPr>
                <w:rFonts w:ascii="Arial" w:hAnsi="Arial" w:cs="Arial"/>
                <w:color w:val="000000"/>
                <w:sz w:val="18"/>
                <w:szCs w:val="18"/>
                <w:vertAlign w:val="subscript"/>
              </w:rPr>
              <w:t>CSR</w:t>
            </w:r>
            <w:r>
              <w:rPr>
                <w:rFonts w:ascii="Arial" w:hAnsi="Arial" w:cs="Arial"/>
                <w:color w:val="000000"/>
                <w:sz w:val="18"/>
                <w:szCs w:val="18"/>
              </w:rPr>
              <w:t>=30288150.00]</w:t>
            </w:r>
          </w:p>
        </w:tc>
        <w:tc>
          <w:tcPr>
            <w:tcW w:w="506"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69.000</w:t>
            </w:r>
          </w:p>
        </w:tc>
        <w:tc>
          <w:tcPr>
            <w:tcW w:w="5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68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66.228</w:t>
            </w:r>
          </w:p>
        </w:tc>
        <w:tc>
          <w:tcPr>
            <w:tcW w:w="68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71.772</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2380.500</w:t>
            </w:r>
          </w:p>
        </w:tc>
        <w:tc>
          <w:tcPr>
            <w:tcW w:w="40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462"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24"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[CHE</w:t>
            </w:r>
            <w:r>
              <w:rPr>
                <w:rFonts w:ascii="Arial" w:hAnsi="Arial" w:cs="Arial"/>
                <w:color w:val="000000"/>
                <w:sz w:val="18"/>
                <w:szCs w:val="18"/>
                <w:vertAlign w:val="subscript"/>
              </w:rPr>
              <w:t>CSR</w:t>
            </w:r>
            <w:r>
              <w:rPr>
                <w:rFonts w:ascii="Arial" w:hAnsi="Arial" w:cs="Arial"/>
                <w:color w:val="000000"/>
                <w:sz w:val="18"/>
                <w:szCs w:val="18"/>
              </w:rPr>
              <w:t>=57371250.00]</w:t>
            </w:r>
          </w:p>
        </w:tc>
        <w:tc>
          <w:tcPr>
            <w:tcW w:w="506"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-88.000</w:t>
            </w:r>
          </w:p>
        </w:tc>
        <w:tc>
          <w:tcPr>
            <w:tcW w:w="5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68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-90.772</w:t>
            </w:r>
          </w:p>
        </w:tc>
        <w:tc>
          <w:tcPr>
            <w:tcW w:w="68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-85.228</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3872.000</w:t>
            </w:r>
          </w:p>
        </w:tc>
        <w:tc>
          <w:tcPr>
            <w:tcW w:w="40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462"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24"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[CHE</w:t>
            </w:r>
            <w:r>
              <w:rPr>
                <w:rFonts w:ascii="Arial" w:hAnsi="Arial" w:cs="Arial"/>
                <w:color w:val="000000"/>
                <w:sz w:val="18"/>
                <w:szCs w:val="18"/>
                <w:vertAlign w:val="subscript"/>
              </w:rPr>
              <w:t>CSR</w:t>
            </w:r>
            <w:r>
              <w:rPr>
                <w:rFonts w:ascii="Arial" w:hAnsi="Arial" w:cs="Arial"/>
                <w:color w:val="000000"/>
                <w:sz w:val="18"/>
                <w:szCs w:val="18"/>
              </w:rPr>
              <w:t>=62735320.00]</w:t>
            </w:r>
          </w:p>
        </w:tc>
        <w:tc>
          <w:tcPr>
            <w:tcW w:w="506"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-57.000</w:t>
            </w:r>
          </w:p>
        </w:tc>
        <w:tc>
          <w:tcPr>
            <w:tcW w:w="5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1.4142</w:t>
            </w:r>
          </w:p>
        </w:tc>
        <w:tc>
          <w:tcPr>
            <w:tcW w:w="68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-59.772</w:t>
            </w:r>
          </w:p>
        </w:tc>
        <w:tc>
          <w:tcPr>
            <w:tcW w:w="68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-54.228</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1624.500</w:t>
            </w:r>
          </w:p>
        </w:tc>
        <w:tc>
          <w:tcPr>
            <w:tcW w:w="40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w:t>
            </w:r>
          </w:p>
        </w:tc>
        <w:tc>
          <w:tcPr>
            <w:tcW w:w="462"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.000</w:t>
            </w:r>
          </w:p>
        </w:tc>
      </w:tr>
      <w:tr w:rsidR="00B44B07" w:rsidTr="00C22851">
        <w:trPr>
          <w:trHeight w:val="1"/>
        </w:trPr>
        <w:tc>
          <w:tcPr>
            <w:tcW w:w="1024" w:type="pct"/>
            <w:tcBorders>
              <w:top w:val="single" w:sz="6" w:space="0" w:color="000000"/>
              <w:left w:val="single" w:sz="12" w:space="0" w:color="000000"/>
              <w:bottom w:val="single" w:sz="6"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[CHE</w:t>
            </w:r>
            <w:r>
              <w:rPr>
                <w:rFonts w:ascii="Arial" w:hAnsi="Arial" w:cs="Arial"/>
                <w:color w:val="000000"/>
                <w:sz w:val="18"/>
                <w:szCs w:val="18"/>
                <w:vertAlign w:val="subscript"/>
              </w:rPr>
              <w:t>CSR</w:t>
            </w:r>
            <w:r>
              <w:rPr>
                <w:rFonts w:ascii="Arial" w:hAnsi="Arial" w:cs="Arial"/>
                <w:color w:val="000000"/>
                <w:sz w:val="18"/>
                <w:szCs w:val="18"/>
              </w:rPr>
              <w:t>=63251000.00]</w:t>
            </w:r>
          </w:p>
        </w:tc>
        <w:tc>
          <w:tcPr>
            <w:tcW w:w="506" w:type="pct"/>
            <w:tcBorders>
              <w:top w:val="single" w:sz="6" w:space="0" w:color="000000"/>
              <w:left w:val="single" w:sz="12"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0</w:t>
            </w:r>
            <w:r>
              <w:rPr>
                <w:rFonts w:ascii="Arial" w:hAnsi="Arial" w:cs="Arial"/>
                <w:color w:val="000000"/>
                <w:sz w:val="18"/>
                <w:szCs w:val="18"/>
                <w:vertAlign w:val="superscript"/>
              </w:rPr>
              <w:t>a</w:t>
            </w:r>
          </w:p>
        </w:tc>
        <w:tc>
          <w:tcPr>
            <w:tcW w:w="5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c>
          <w:tcPr>
            <w:tcW w:w="68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c>
          <w:tcPr>
            <w:tcW w:w="68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c>
          <w:tcPr>
            <w:tcW w:w="71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c>
          <w:tcPr>
            <w:tcW w:w="40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c>
          <w:tcPr>
            <w:tcW w:w="462" w:type="pct"/>
            <w:tcBorders>
              <w:top w:val="single" w:sz="6" w:space="0" w:color="000000"/>
              <w:left w:val="single" w:sz="6" w:space="0" w:color="000000"/>
              <w:bottom w:val="single" w:sz="6"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w:t>
            </w:r>
          </w:p>
        </w:tc>
      </w:tr>
      <w:tr w:rsidR="00B44B07" w:rsidTr="00C22851">
        <w:trPr>
          <w:trHeight w:val="1"/>
        </w:trPr>
        <w:tc>
          <w:tcPr>
            <w:tcW w:w="1024" w:type="pct"/>
            <w:tcBorders>
              <w:top w:val="single" w:sz="6" w:space="0" w:color="000000"/>
              <w:left w:val="single" w:sz="12" w:space="0" w:color="000000"/>
              <w:bottom w:val="single" w:sz="12" w:space="0" w:color="000000"/>
              <w:right w:val="single" w:sz="12"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(Scale)</w:t>
            </w:r>
          </w:p>
        </w:tc>
        <w:tc>
          <w:tcPr>
            <w:tcW w:w="506" w:type="pct"/>
            <w:tcBorders>
              <w:top w:val="single" w:sz="6" w:space="0" w:color="000000"/>
              <w:left w:val="single" w:sz="12"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1.000</w:t>
            </w:r>
            <w:r>
              <w:rPr>
                <w:rFonts w:ascii="Arial" w:hAnsi="Arial" w:cs="Arial"/>
                <w:color w:val="000000"/>
                <w:sz w:val="18"/>
                <w:szCs w:val="18"/>
                <w:vertAlign w:val="superscript"/>
              </w:rPr>
              <w:t>b</w:t>
            </w:r>
          </w:p>
        </w:tc>
        <w:tc>
          <w:tcPr>
            <w:tcW w:w="521" w:type="pct"/>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c>
          <w:tcPr>
            <w:tcW w:w="685" w:type="pct"/>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c>
          <w:tcPr>
            <w:tcW w:w="685" w:type="pct"/>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c>
          <w:tcPr>
            <w:tcW w:w="715" w:type="pct"/>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c>
          <w:tcPr>
            <w:tcW w:w="401" w:type="pct"/>
            <w:tcBorders>
              <w:top w:val="single" w:sz="6" w:space="0" w:color="000000"/>
              <w:left w:val="single" w:sz="6" w:space="0" w:color="000000"/>
              <w:bottom w:val="single" w:sz="12" w:space="0" w:color="000000"/>
              <w:right w:val="single" w:sz="6"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c>
          <w:tcPr>
            <w:tcW w:w="462" w:type="pct"/>
            <w:tcBorders>
              <w:top w:val="single" w:sz="6" w:space="0" w:color="000000"/>
              <w:left w:val="single" w:sz="6" w:space="0" w:color="000000"/>
              <w:bottom w:val="single" w:sz="12" w:space="0" w:color="000000"/>
              <w:right w:val="single" w:sz="12" w:space="0" w:color="000000"/>
            </w:tcBorders>
            <w:shd w:val="clear" w:color="auto" w:fill="FFFFFF"/>
            <w:vAlign w:val="center"/>
          </w:tcPr>
          <w:p w:rsidR="00B44B07" w:rsidRDefault="00B44B07" w:rsidP="00C35033">
            <w:pPr>
              <w:autoSpaceDE w:val="0"/>
              <w:autoSpaceDN w:val="0"/>
              <w:adjustRightInd w:val="0"/>
              <w:spacing w:after="0" w:line="360" w:lineRule="auto"/>
              <w:jc w:val="both"/>
              <w:rPr>
                <w:rFonts w:ascii="Calibri" w:hAnsi="Calibri" w:cs="Calibri"/>
              </w:rPr>
            </w:pPr>
          </w:p>
        </w:tc>
      </w:tr>
      <w:tr w:rsidR="00B44B07" w:rsidTr="00C22851">
        <w:trPr>
          <w:trHeight w:val="1"/>
        </w:trPr>
        <w:tc>
          <w:tcPr>
            <w:tcW w:w="5000" w:type="pct"/>
            <w:gridSpan w:val="8"/>
            <w:tcBorders>
              <w:top w:val="single" w:sz="6" w:space="0" w:color="000000"/>
              <w:left w:val="single" w:sz="6" w:space="0" w:color="000000"/>
              <w:bottom w:val="single" w:sz="6" w:space="0" w:color="000000"/>
              <w:right w:val="single" w:sz="6" w:space="0" w:color="000000"/>
            </w:tcBorders>
            <w:shd w:val="clear" w:color="auto" w:fill="FFFFFF"/>
          </w:tcPr>
          <w:p w:rsidR="00B44B07" w:rsidRDefault="00B44B07" w:rsidP="00C35033">
            <w:pPr>
              <w:autoSpaceDE w:val="0"/>
              <w:autoSpaceDN w:val="0"/>
              <w:adjustRightInd w:val="0"/>
              <w:spacing w:after="0" w:line="360" w:lineRule="auto"/>
              <w:ind w:left="60" w:right="60"/>
              <w:jc w:val="both"/>
              <w:rPr>
                <w:rFonts w:ascii="Arial" w:hAnsi="Arial" w:cs="Arial"/>
                <w:color w:val="000000"/>
                <w:sz w:val="18"/>
                <w:szCs w:val="18"/>
              </w:rPr>
            </w:pPr>
            <w:r>
              <w:rPr>
                <w:rFonts w:ascii="Arial" w:hAnsi="Arial" w:cs="Arial"/>
                <w:color w:val="000000"/>
                <w:sz w:val="18"/>
                <w:szCs w:val="18"/>
              </w:rPr>
              <w:t>Dependent Variable: Earnings</w:t>
            </w:r>
          </w:p>
          <w:p w:rsidR="00B44B07" w:rsidRDefault="00B44B07" w:rsidP="00C35033">
            <w:pPr>
              <w:autoSpaceDE w:val="0"/>
              <w:autoSpaceDN w:val="0"/>
              <w:adjustRightInd w:val="0"/>
              <w:spacing w:after="0" w:line="360" w:lineRule="auto"/>
              <w:ind w:left="60" w:right="60"/>
              <w:jc w:val="both"/>
              <w:rPr>
                <w:rFonts w:ascii="Calibri" w:hAnsi="Calibri" w:cs="Calibri"/>
              </w:rPr>
            </w:pPr>
            <w:r>
              <w:rPr>
                <w:rFonts w:ascii="Arial" w:hAnsi="Arial" w:cs="Arial"/>
                <w:color w:val="000000"/>
                <w:sz w:val="18"/>
                <w:szCs w:val="18"/>
              </w:rPr>
              <w:t>Model: (Intercept), CHE</w:t>
            </w:r>
            <w:r>
              <w:rPr>
                <w:rFonts w:ascii="Arial" w:hAnsi="Arial" w:cs="Arial"/>
                <w:color w:val="000000"/>
                <w:sz w:val="18"/>
                <w:szCs w:val="18"/>
                <w:vertAlign w:val="subscript"/>
              </w:rPr>
              <w:t>CSR</w:t>
            </w:r>
          </w:p>
        </w:tc>
      </w:tr>
    </w:tbl>
    <w:p w:rsidR="00B44B07" w:rsidRDefault="00B44B07" w:rsidP="00C35033">
      <w:pPr>
        <w:autoSpaceDE w:val="0"/>
        <w:autoSpaceDN w:val="0"/>
        <w:adjustRightInd w:val="0"/>
        <w:spacing w:after="0" w:line="360" w:lineRule="auto"/>
        <w:jc w:val="both"/>
        <w:rPr>
          <w:rFonts w:ascii="Times New Roman" w:hAnsi="Times New Roman" w:cs="Times New Roman"/>
          <w:sz w:val="24"/>
          <w:szCs w:val="24"/>
        </w:rPr>
      </w:pPr>
    </w:p>
    <w:p w:rsidR="00B44B07" w:rsidRDefault="00B44B07" w:rsidP="00C3503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deviance was further investigated by the Wald Statistic basically computed, as shown in the table above to reveal the significant effect of CHE</w:t>
      </w:r>
      <w:r>
        <w:rPr>
          <w:rFonts w:ascii="Times New Roman" w:hAnsi="Times New Roman" w:cs="Times New Roman"/>
          <w:sz w:val="24"/>
          <w:szCs w:val="24"/>
          <w:vertAlign w:val="subscript"/>
        </w:rPr>
        <w:t>CSR</w:t>
      </w:r>
      <w:r>
        <w:rPr>
          <w:rFonts w:ascii="Times New Roman" w:hAnsi="Times New Roman" w:cs="Times New Roman"/>
          <w:sz w:val="24"/>
          <w:szCs w:val="24"/>
        </w:rPr>
        <w:t xml:space="preserve"> on the Earnings growth of the selected </w:t>
      </w:r>
      <w:r>
        <w:rPr>
          <w:rFonts w:ascii="Times New Roman" w:hAnsi="Times New Roman" w:cs="Times New Roman"/>
          <w:sz w:val="24"/>
          <w:szCs w:val="24"/>
        </w:rPr>
        <w:lastRenderedPageBreak/>
        <w:t>Flour Mills on a yearly basis and the result proved significant at 5% level for all years throughout. i.e. P&lt;0.05</w:t>
      </w:r>
    </w:p>
    <w:p w:rsidR="00B44B07" w:rsidRDefault="00C22851" w:rsidP="00C22851">
      <w:pPr>
        <w:autoSpaceDE w:val="0"/>
        <w:autoSpaceDN w:val="0"/>
        <w:adjustRightInd w:val="0"/>
        <w:spacing w:after="0" w:line="408"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4.2</w:t>
      </w:r>
      <w:r>
        <w:rPr>
          <w:rFonts w:ascii="Times New Roman" w:hAnsi="Times New Roman" w:cs="Times New Roman"/>
          <w:b/>
          <w:bCs/>
          <w:color w:val="000000"/>
          <w:sz w:val="24"/>
          <w:szCs w:val="24"/>
        </w:rPr>
        <w:tab/>
      </w:r>
      <w:r w:rsidR="00B44B07">
        <w:rPr>
          <w:rFonts w:ascii="Times New Roman" w:hAnsi="Times New Roman" w:cs="Times New Roman"/>
          <w:b/>
          <w:bCs/>
          <w:color w:val="000000"/>
          <w:sz w:val="24"/>
          <w:szCs w:val="24"/>
        </w:rPr>
        <w:t>Discussion of Findings</w:t>
      </w:r>
    </w:p>
    <w:p w:rsidR="00C22851" w:rsidRDefault="00B44B07" w:rsidP="00C22851">
      <w:pPr>
        <w:autoSpaceDE w:val="0"/>
        <w:autoSpaceDN w:val="0"/>
        <w:adjustRightInd w:val="0"/>
        <w:spacing w:after="0" w:line="408"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findings from the above analyses reveals that corporate social responsibility directed toward welfare expenditure was found to be higher than the infrastructure development expenditure, charity expenditure and community development expenditure. The explanatory variables, CSRs seem to be more potent and efficient in predicting the Earnings growth than profits, equity and sales as shown in the analysis i.e 651% higher than others. Nevertheless CSR variables were significant in predicting the four measures of business growth of the firms. Going by the </w:t>
      </w:r>
      <w:r>
        <w:rPr>
          <w:rFonts w:ascii="Times New Roman" w:hAnsi="Times New Roman" w:cs="Times New Roman"/>
          <w:i/>
          <w:iCs/>
          <w:color w:val="000000"/>
          <w:sz w:val="24"/>
          <w:szCs w:val="24"/>
        </w:rPr>
        <w:t>Wald chi square</w:t>
      </w:r>
      <w:r>
        <w:rPr>
          <w:rFonts w:ascii="Times New Roman" w:hAnsi="Times New Roman" w:cs="Times New Roman"/>
          <w:color w:val="000000"/>
          <w:sz w:val="24"/>
          <w:szCs w:val="24"/>
        </w:rPr>
        <w:t xml:space="preserve"> results in the analysis tables, the independent variables employed to predicts the business growth were found to be statistically relevant. First, the findings from this study has provided statistically evidence on the use of four independent variables (community development expenditures, welfare expenditures, infrastructural development expenditures and charitable expenditure) in explaining and predicting financial performance of the sampled firms. </w:t>
      </w:r>
    </w:p>
    <w:p w:rsidR="00B44B07" w:rsidRDefault="00B44B07" w:rsidP="00C22851">
      <w:pPr>
        <w:autoSpaceDE w:val="0"/>
        <w:autoSpaceDN w:val="0"/>
        <w:adjustRightInd w:val="0"/>
        <w:spacing w:after="0" w:line="408"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Langrange Multiplier test indicates a strong positive relationship between investment in CSR and profits, CSR and Sales, CSR and Equity, CSR and increase in Earnings. This implies that CSR makes positive contribution to the business growth of the four selected Flour Mills in Nigeria and the management may need to increase the funds budgeted for corporate social responsibility activities. These findings show that the four variables have significant impact at 5% level of significant on profits, sales, equity and increase in earnings of the sampled firms. Therefore the findings are robust to the four measures of business growth through community development expenditure, welfare expenditure, infrastructure development expenditure and the charitable expenditures. However the findings agree with the results in literatures. The amount invested on CSR varies from one company to another. Dangote Flour Mill and Northern Nigeria Flour Mill were the most socially responsible than other sampled firms from other sectors based on the available data. This finding suggests that some managers of the sampled firms may be </w:t>
      </w:r>
      <w:r>
        <w:rPr>
          <w:rFonts w:ascii="Times New Roman" w:hAnsi="Times New Roman" w:cs="Times New Roman"/>
          <w:color w:val="000000"/>
          <w:sz w:val="24"/>
          <w:szCs w:val="24"/>
        </w:rPr>
        <w:lastRenderedPageBreak/>
        <w:t>ignorant of the impact of corporate social responsibility and the business growth in the business environment.</w:t>
      </w:r>
    </w:p>
    <w:p w:rsidR="00C22851" w:rsidRDefault="00C22851" w:rsidP="00C35033">
      <w:pPr>
        <w:autoSpaceDE w:val="0"/>
        <w:autoSpaceDN w:val="0"/>
        <w:adjustRightInd w:val="0"/>
        <w:spacing w:after="0" w:line="360" w:lineRule="auto"/>
        <w:jc w:val="both"/>
        <w:rPr>
          <w:rFonts w:ascii="Times New Roman" w:hAnsi="Times New Roman" w:cs="Times New Roman"/>
          <w:b/>
          <w:bCs/>
          <w:color w:val="000000"/>
          <w:sz w:val="24"/>
          <w:szCs w:val="24"/>
        </w:rPr>
      </w:pPr>
    </w:p>
    <w:p w:rsidR="00C22851" w:rsidRDefault="00C22851" w:rsidP="00C35033">
      <w:pPr>
        <w:autoSpaceDE w:val="0"/>
        <w:autoSpaceDN w:val="0"/>
        <w:adjustRightInd w:val="0"/>
        <w:spacing w:after="0" w:line="360" w:lineRule="auto"/>
        <w:jc w:val="both"/>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9E6C10" w:rsidRDefault="009E6C10" w:rsidP="00C22851">
      <w:pPr>
        <w:autoSpaceDE w:val="0"/>
        <w:autoSpaceDN w:val="0"/>
        <w:adjustRightInd w:val="0"/>
        <w:spacing w:after="0" w:line="408" w:lineRule="auto"/>
        <w:jc w:val="center"/>
        <w:rPr>
          <w:rFonts w:ascii="Times New Roman" w:hAnsi="Times New Roman" w:cs="Times New Roman"/>
          <w:b/>
          <w:bCs/>
          <w:color w:val="000000"/>
          <w:sz w:val="24"/>
          <w:szCs w:val="24"/>
        </w:rPr>
      </w:pPr>
    </w:p>
    <w:p w:rsidR="00B44B07" w:rsidRDefault="00B44B07" w:rsidP="00C22851">
      <w:pPr>
        <w:autoSpaceDE w:val="0"/>
        <w:autoSpaceDN w:val="0"/>
        <w:adjustRightInd w:val="0"/>
        <w:spacing w:after="0" w:line="408"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CHAPTER FIVE</w:t>
      </w:r>
    </w:p>
    <w:p w:rsidR="00B44B07" w:rsidRDefault="00B44B07" w:rsidP="00C22851">
      <w:pPr>
        <w:autoSpaceDE w:val="0"/>
        <w:autoSpaceDN w:val="0"/>
        <w:adjustRightInd w:val="0"/>
        <w:spacing w:after="0" w:line="408"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SUMMARY, CONCLUSION AND RECOMMENDATION</w:t>
      </w:r>
      <w:r w:rsidR="004667FC">
        <w:rPr>
          <w:rFonts w:ascii="Times New Roman" w:hAnsi="Times New Roman" w:cs="Times New Roman"/>
          <w:b/>
          <w:bCs/>
          <w:color w:val="000000"/>
          <w:sz w:val="24"/>
          <w:szCs w:val="24"/>
        </w:rPr>
        <w:t>S</w:t>
      </w:r>
    </w:p>
    <w:p w:rsidR="00B44B07" w:rsidRDefault="00B44B07" w:rsidP="00C22851">
      <w:pPr>
        <w:autoSpaceDE w:val="0"/>
        <w:autoSpaceDN w:val="0"/>
        <w:adjustRightInd w:val="0"/>
        <w:spacing w:after="0" w:line="408"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C22851">
        <w:rPr>
          <w:rFonts w:ascii="Times New Roman" w:hAnsi="Times New Roman" w:cs="Times New Roman"/>
          <w:b/>
          <w:bCs/>
          <w:sz w:val="24"/>
          <w:szCs w:val="24"/>
        </w:rPr>
        <w:t>1</w:t>
      </w:r>
      <w:r w:rsidR="00C22851">
        <w:rPr>
          <w:rFonts w:ascii="Times New Roman" w:hAnsi="Times New Roman" w:cs="Times New Roman"/>
          <w:b/>
          <w:bCs/>
          <w:sz w:val="24"/>
          <w:szCs w:val="24"/>
        </w:rPr>
        <w:tab/>
      </w:r>
      <w:r>
        <w:rPr>
          <w:rFonts w:ascii="Times New Roman" w:hAnsi="Times New Roman" w:cs="Times New Roman"/>
          <w:b/>
          <w:bCs/>
          <w:sz w:val="24"/>
          <w:szCs w:val="24"/>
        </w:rPr>
        <w:t>SUMMARY OF FINDINGS</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Based on the above analysis on Wald chi-square analogous to independent T-test , </w:t>
      </w:r>
      <w:r>
        <w:rPr>
          <w:rFonts w:ascii="Times New Roman" w:hAnsi="Times New Roman" w:cs="Times New Roman"/>
          <w:color w:val="000000"/>
          <w:sz w:val="24"/>
          <w:szCs w:val="24"/>
        </w:rPr>
        <w:t>the use of the four independent variables (community development expenditures, welfare expenditures, infrastructural development expenditures and charitable expenditure) directed towards corporate social responsibility is highly contributing to the financial performance of the selected firms</w:t>
      </w:r>
      <w:r>
        <w:rPr>
          <w:rFonts w:ascii="Times New Roman" w:hAnsi="Times New Roman" w:cs="Times New Roman"/>
          <w:sz w:val="24"/>
          <w:szCs w:val="24"/>
        </w:rPr>
        <w:t xml:space="preserve"> and the organization needs to establishing a mindset of risk management, business ethics and corporate social responsibility through internal management of people and process. Despite greater interest on CSR particularly in the area of its relationship with financial performance, results of previous studies are indeterminate as it focuses only on profitability. This implies that this area is riddled with inconclusiveness and this gap motivates the current study to focus more on market share, equity, sales and profitability indicating dearth of studies in manufacturing industries in Nigeria. </w:t>
      </w:r>
    </w:p>
    <w:p w:rsidR="00C22851" w:rsidRDefault="00C22851" w:rsidP="00C22851">
      <w:pPr>
        <w:autoSpaceDE w:val="0"/>
        <w:autoSpaceDN w:val="0"/>
        <w:adjustRightInd w:val="0"/>
        <w:spacing w:after="0" w:line="408" w:lineRule="auto"/>
        <w:jc w:val="both"/>
        <w:rPr>
          <w:rFonts w:ascii="Times New Roman" w:hAnsi="Times New Roman" w:cs="Times New Roman"/>
          <w:sz w:val="24"/>
          <w:szCs w:val="24"/>
        </w:rPr>
      </w:pPr>
    </w:p>
    <w:p w:rsidR="00B44B07" w:rsidRPr="00C22851" w:rsidRDefault="00B44B07" w:rsidP="00C22851">
      <w:pPr>
        <w:autoSpaceDE w:val="0"/>
        <w:autoSpaceDN w:val="0"/>
        <w:adjustRightInd w:val="0"/>
        <w:spacing w:after="0" w:line="408" w:lineRule="auto"/>
        <w:jc w:val="both"/>
        <w:rPr>
          <w:rFonts w:ascii="Times New Roman" w:hAnsi="Times New Roman" w:cs="Times New Roman"/>
          <w:b/>
          <w:bCs/>
          <w:sz w:val="24"/>
          <w:szCs w:val="24"/>
        </w:rPr>
      </w:pPr>
      <w:r w:rsidRPr="00C22851">
        <w:rPr>
          <w:rFonts w:ascii="Times New Roman" w:hAnsi="Times New Roman" w:cs="Times New Roman"/>
          <w:b/>
          <w:bCs/>
          <w:sz w:val="24"/>
          <w:szCs w:val="24"/>
        </w:rPr>
        <w:t>5.</w:t>
      </w:r>
      <w:r w:rsidR="00C22851">
        <w:rPr>
          <w:rFonts w:ascii="Times New Roman" w:hAnsi="Times New Roman" w:cs="Times New Roman"/>
          <w:b/>
          <w:bCs/>
          <w:sz w:val="24"/>
          <w:szCs w:val="24"/>
        </w:rPr>
        <w:t>2</w:t>
      </w:r>
      <w:r w:rsidR="00C22851">
        <w:rPr>
          <w:rFonts w:ascii="Times New Roman" w:hAnsi="Times New Roman" w:cs="Times New Roman"/>
          <w:b/>
          <w:bCs/>
          <w:sz w:val="24"/>
          <w:szCs w:val="24"/>
        </w:rPr>
        <w:tab/>
      </w:r>
      <w:r w:rsidRPr="00C22851">
        <w:rPr>
          <w:rFonts w:ascii="Times New Roman" w:hAnsi="Times New Roman" w:cs="Times New Roman"/>
          <w:b/>
          <w:bCs/>
          <w:sz w:val="24"/>
          <w:szCs w:val="24"/>
        </w:rPr>
        <w:t xml:space="preserve">CONCLUSION </w:t>
      </w:r>
    </w:p>
    <w:p w:rsidR="00B44B07" w:rsidRDefault="00B44B07" w:rsidP="00C22851">
      <w:pPr>
        <w:autoSpaceDE w:val="0"/>
        <w:autoSpaceDN w:val="0"/>
        <w:adjustRightInd w:val="0"/>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CSR has become very complicated and multifaceted. Links between CSR and earnings, Sales growth, profit, equity and long-range survival, etc. are not clear. Firms are driven into CSR practices to meet stakeholders, ethical, legitimacy, shareholders and information asymmetry/agency expectations, and in turn gain image/reputation, profit, recognition, risk management and loyalty benefits. To achieve organizational aims and objectives in the short and long run and also to achieve maximum organization performance and effectiveness requires giving full attention to CSR practices. From the foregoing, it is obvious that a lot of studies need to be conducted in Nigeria on CSR. Relationship between CSR and profitability, market share, equity, sales growth and long-range survival, etc. need further empirical research. These results have not been conclusive based on the findings illustrated above because the empirical research </w:t>
      </w:r>
      <w:r>
        <w:rPr>
          <w:rFonts w:ascii="Times New Roman" w:hAnsi="Times New Roman" w:cs="Times New Roman"/>
          <w:sz w:val="24"/>
          <w:szCs w:val="24"/>
        </w:rPr>
        <w:lastRenderedPageBreak/>
        <w:t>into the relationship between CSR and economic performance is confusing and far from conclusive in manufacturing industry in Nigeria. There is need for an understanding of whether CSR is compatible with organizational performance through the use of primary data at the grass root. Further research should check other factors as: Why business environment does not affect corporate performance?</w:t>
      </w:r>
    </w:p>
    <w:p w:rsidR="00C22851" w:rsidRDefault="00C22851" w:rsidP="00C22851">
      <w:pPr>
        <w:autoSpaceDE w:val="0"/>
        <w:autoSpaceDN w:val="0"/>
        <w:adjustRightInd w:val="0"/>
        <w:spacing w:after="0" w:line="408" w:lineRule="auto"/>
        <w:jc w:val="both"/>
        <w:rPr>
          <w:rFonts w:ascii="Times New Roman" w:hAnsi="Times New Roman" w:cs="Times New Roman"/>
          <w:b/>
          <w:bCs/>
          <w:sz w:val="24"/>
          <w:szCs w:val="24"/>
        </w:rPr>
      </w:pPr>
    </w:p>
    <w:p w:rsidR="00B44B07" w:rsidRDefault="00B44B07" w:rsidP="00C22851">
      <w:pPr>
        <w:autoSpaceDE w:val="0"/>
        <w:autoSpaceDN w:val="0"/>
        <w:adjustRightInd w:val="0"/>
        <w:spacing w:after="0" w:line="408"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C22851">
        <w:rPr>
          <w:rFonts w:ascii="Times New Roman" w:hAnsi="Times New Roman" w:cs="Times New Roman"/>
          <w:b/>
          <w:bCs/>
          <w:sz w:val="24"/>
          <w:szCs w:val="24"/>
        </w:rPr>
        <w:t>3</w:t>
      </w:r>
      <w:r w:rsidR="00C22851">
        <w:rPr>
          <w:rFonts w:ascii="Times New Roman" w:hAnsi="Times New Roman" w:cs="Times New Roman"/>
          <w:b/>
          <w:bCs/>
          <w:sz w:val="24"/>
          <w:szCs w:val="24"/>
        </w:rPr>
        <w:tab/>
      </w:r>
      <w:r>
        <w:rPr>
          <w:rFonts w:ascii="Times New Roman" w:hAnsi="Times New Roman" w:cs="Times New Roman"/>
          <w:b/>
          <w:bCs/>
          <w:sz w:val="24"/>
          <w:szCs w:val="24"/>
        </w:rPr>
        <w:t>RECOMMENDATION</w:t>
      </w:r>
    </w:p>
    <w:p w:rsidR="00B44B07" w:rsidRDefault="00B44B07" w:rsidP="006B1D93">
      <w:pPr>
        <w:numPr>
          <w:ilvl w:val="0"/>
          <w:numId w:val="1"/>
        </w:numPr>
        <w:autoSpaceDE w:val="0"/>
        <w:autoSpaceDN w:val="0"/>
        <w:adjustRightInd w:val="0"/>
        <w:spacing w:after="0" w:line="408" w:lineRule="auto"/>
        <w:ind w:left="720" w:hanging="720"/>
        <w:jc w:val="both"/>
        <w:rPr>
          <w:rFonts w:ascii="Times New Roman" w:hAnsi="Times New Roman" w:cs="Times New Roman"/>
          <w:sz w:val="24"/>
          <w:szCs w:val="24"/>
        </w:rPr>
      </w:pPr>
      <w:r>
        <w:rPr>
          <w:rFonts w:ascii="Times New Roman" w:hAnsi="Times New Roman" w:cs="Times New Roman"/>
          <w:sz w:val="24"/>
          <w:szCs w:val="24"/>
        </w:rPr>
        <w:t>CSR environment has got significant impact on organization performance</w:t>
      </w:r>
    </w:p>
    <w:p w:rsidR="00B44B07" w:rsidRDefault="00B44B07" w:rsidP="006B1D93">
      <w:pPr>
        <w:numPr>
          <w:ilvl w:val="0"/>
          <w:numId w:val="1"/>
        </w:numPr>
        <w:autoSpaceDE w:val="0"/>
        <w:autoSpaceDN w:val="0"/>
        <w:adjustRightInd w:val="0"/>
        <w:spacing w:after="0" w:line="408"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management of Nigerian Flour Mills shall have appropriate policy in place for establishing positive organizational culture and social responsible mindset of staff members </w:t>
      </w:r>
    </w:p>
    <w:p w:rsidR="00B44B07" w:rsidRDefault="00B44B07" w:rsidP="006B1D93">
      <w:pPr>
        <w:numPr>
          <w:ilvl w:val="0"/>
          <w:numId w:val="1"/>
        </w:numPr>
        <w:autoSpaceDE w:val="0"/>
        <w:autoSpaceDN w:val="0"/>
        <w:adjustRightInd w:val="0"/>
        <w:spacing w:after="0" w:line="408"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Manufacturing Industries should consider in investing much in ethical activities then philanthropic as this will lead to improve in performance </w:t>
      </w:r>
    </w:p>
    <w:p w:rsidR="00B44B07" w:rsidRDefault="00B44B07" w:rsidP="00C35033">
      <w:pPr>
        <w:autoSpaceDE w:val="0"/>
        <w:autoSpaceDN w:val="0"/>
        <w:adjustRightInd w:val="0"/>
        <w:spacing w:after="0" w:line="360" w:lineRule="auto"/>
        <w:jc w:val="both"/>
        <w:rPr>
          <w:rFonts w:ascii="Times New Roman" w:hAnsi="Times New Roman" w:cs="Times New Roman"/>
          <w:b/>
          <w:bCs/>
          <w:color w:val="000000"/>
          <w:sz w:val="24"/>
          <w:szCs w:val="24"/>
        </w:rPr>
      </w:pPr>
    </w:p>
    <w:p w:rsidR="006B1D93" w:rsidRDefault="006B1D93" w:rsidP="00C35033">
      <w:pPr>
        <w:autoSpaceDE w:val="0"/>
        <w:autoSpaceDN w:val="0"/>
        <w:adjustRightInd w:val="0"/>
        <w:spacing w:after="0" w:line="360" w:lineRule="auto"/>
        <w:jc w:val="both"/>
        <w:rPr>
          <w:rFonts w:ascii="Times New Roman" w:hAnsi="Times New Roman" w:cs="Times New Roman"/>
          <w:b/>
          <w:bCs/>
          <w:color w:val="000000"/>
          <w:sz w:val="24"/>
          <w:szCs w:val="24"/>
        </w:rPr>
      </w:pPr>
    </w:p>
    <w:p w:rsidR="006B1D93" w:rsidRDefault="006B1D93" w:rsidP="00C35033">
      <w:pPr>
        <w:autoSpaceDE w:val="0"/>
        <w:autoSpaceDN w:val="0"/>
        <w:adjustRightInd w:val="0"/>
        <w:spacing w:after="0" w:line="360" w:lineRule="auto"/>
        <w:jc w:val="both"/>
        <w:rPr>
          <w:rFonts w:ascii="Times New Roman" w:hAnsi="Times New Roman" w:cs="Times New Roman"/>
          <w:b/>
          <w:bCs/>
          <w:color w:val="000000"/>
          <w:sz w:val="24"/>
          <w:szCs w:val="24"/>
        </w:rPr>
      </w:pPr>
    </w:p>
    <w:p w:rsidR="006B1D93" w:rsidRDefault="006B1D93" w:rsidP="00C35033">
      <w:pPr>
        <w:autoSpaceDE w:val="0"/>
        <w:autoSpaceDN w:val="0"/>
        <w:adjustRightInd w:val="0"/>
        <w:spacing w:after="0" w:line="360" w:lineRule="auto"/>
        <w:jc w:val="both"/>
        <w:rPr>
          <w:rFonts w:ascii="Times New Roman" w:hAnsi="Times New Roman" w:cs="Times New Roman"/>
          <w:b/>
          <w:bCs/>
          <w:color w:val="000000"/>
          <w:sz w:val="24"/>
          <w:szCs w:val="24"/>
        </w:rPr>
      </w:pPr>
    </w:p>
    <w:p w:rsidR="006B1D93" w:rsidRDefault="006B1D93" w:rsidP="00C35033">
      <w:pPr>
        <w:autoSpaceDE w:val="0"/>
        <w:autoSpaceDN w:val="0"/>
        <w:adjustRightInd w:val="0"/>
        <w:spacing w:after="0" w:line="360" w:lineRule="auto"/>
        <w:jc w:val="both"/>
        <w:rPr>
          <w:rFonts w:ascii="Times New Roman" w:hAnsi="Times New Roman" w:cs="Times New Roman"/>
          <w:b/>
          <w:bCs/>
          <w:color w:val="000000"/>
          <w:sz w:val="24"/>
          <w:szCs w:val="24"/>
        </w:rPr>
      </w:pPr>
    </w:p>
    <w:p w:rsidR="006B1D93" w:rsidRDefault="006B1D93" w:rsidP="00C35033">
      <w:pPr>
        <w:autoSpaceDE w:val="0"/>
        <w:autoSpaceDN w:val="0"/>
        <w:adjustRightInd w:val="0"/>
        <w:spacing w:after="0" w:line="360" w:lineRule="auto"/>
        <w:jc w:val="both"/>
        <w:rPr>
          <w:rFonts w:ascii="Times New Roman" w:hAnsi="Times New Roman" w:cs="Times New Roman"/>
          <w:b/>
          <w:bCs/>
          <w:color w:val="000000"/>
          <w:sz w:val="24"/>
          <w:szCs w:val="24"/>
        </w:rPr>
      </w:pPr>
    </w:p>
    <w:p w:rsidR="006B1D93" w:rsidRDefault="006B1D93" w:rsidP="00C35033">
      <w:pPr>
        <w:autoSpaceDE w:val="0"/>
        <w:autoSpaceDN w:val="0"/>
        <w:adjustRightInd w:val="0"/>
        <w:spacing w:after="0" w:line="360" w:lineRule="auto"/>
        <w:jc w:val="both"/>
        <w:rPr>
          <w:rFonts w:ascii="Times New Roman" w:hAnsi="Times New Roman" w:cs="Times New Roman"/>
          <w:b/>
          <w:bCs/>
          <w:color w:val="000000"/>
          <w:sz w:val="24"/>
          <w:szCs w:val="24"/>
        </w:rPr>
      </w:pPr>
    </w:p>
    <w:p w:rsidR="006B1D93" w:rsidRDefault="006B1D93" w:rsidP="00C35033">
      <w:pPr>
        <w:autoSpaceDE w:val="0"/>
        <w:autoSpaceDN w:val="0"/>
        <w:adjustRightInd w:val="0"/>
        <w:spacing w:after="0" w:line="360" w:lineRule="auto"/>
        <w:jc w:val="both"/>
        <w:rPr>
          <w:rFonts w:ascii="Times New Roman" w:hAnsi="Times New Roman" w:cs="Times New Roman"/>
          <w:b/>
          <w:bCs/>
          <w:color w:val="000000"/>
          <w:sz w:val="24"/>
          <w:szCs w:val="24"/>
        </w:rPr>
      </w:pPr>
    </w:p>
    <w:p w:rsidR="006B1D93" w:rsidRDefault="006B1D93" w:rsidP="00C35033">
      <w:pPr>
        <w:autoSpaceDE w:val="0"/>
        <w:autoSpaceDN w:val="0"/>
        <w:adjustRightInd w:val="0"/>
        <w:spacing w:after="0" w:line="360" w:lineRule="auto"/>
        <w:jc w:val="both"/>
        <w:rPr>
          <w:rFonts w:ascii="Times New Roman" w:hAnsi="Times New Roman" w:cs="Times New Roman"/>
          <w:b/>
          <w:bCs/>
          <w:color w:val="000000"/>
          <w:sz w:val="24"/>
          <w:szCs w:val="24"/>
        </w:rPr>
      </w:pPr>
    </w:p>
    <w:p w:rsidR="006B1D93" w:rsidRDefault="006B1D93" w:rsidP="00C35033">
      <w:pPr>
        <w:autoSpaceDE w:val="0"/>
        <w:autoSpaceDN w:val="0"/>
        <w:adjustRightInd w:val="0"/>
        <w:spacing w:after="0" w:line="360" w:lineRule="auto"/>
        <w:jc w:val="both"/>
        <w:rPr>
          <w:rFonts w:ascii="Times New Roman" w:hAnsi="Times New Roman" w:cs="Times New Roman"/>
          <w:b/>
          <w:bCs/>
          <w:color w:val="000000"/>
          <w:sz w:val="24"/>
          <w:szCs w:val="24"/>
        </w:rPr>
      </w:pPr>
    </w:p>
    <w:p w:rsidR="006B1D93" w:rsidRDefault="006B1D93" w:rsidP="00C35033">
      <w:pPr>
        <w:autoSpaceDE w:val="0"/>
        <w:autoSpaceDN w:val="0"/>
        <w:adjustRightInd w:val="0"/>
        <w:spacing w:after="0" w:line="360" w:lineRule="auto"/>
        <w:jc w:val="both"/>
        <w:rPr>
          <w:rFonts w:ascii="Times New Roman" w:hAnsi="Times New Roman" w:cs="Times New Roman"/>
          <w:b/>
          <w:bCs/>
          <w:color w:val="000000"/>
          <w:sz w:val="24"/>
          <w:szCs w:val="24"/>
        </w:rPr>
      </w:pPr>
    </w:p>
    <w:p w:rsidR="006B1D93" w:rsidRDefault="006B1D93" w:rsidP="00C35033">
      <w:pPr>
        <w:autoSpaceDE w:val="0"/>
        <w:autoSpaceDN w:val="0"/>
        <w:adjustRightInd w:val="0"/>
        <w:spacing w:after="0" w:line="360" w:lineRule="auto"/>
        <w:jc w:val="both"/>
        <w:rPr>
          <w:rFonts w:ascii="Times New Roman" w:hAnsi="Times New Roman" w:cs="Times New Roman"/>
          <w:b/>
          <w:bCs/>
          <w:color w:val="000000"/>
          <w:sz w:val="24"/>
          <w:szCs w:val="24"/>
        </w:rPr>
      </w:pPr>
    </w:p>
    <w:p w:rsidR="006B1D93" w:rsidRDefault="006B1D93" w:rsidP="00C35033">
      <w:pPr>
        <w:autoSpaceDE w:val="0"/>
        <w:autoSpaceDN w:val="0"/>
        <w:adjustRightInd w:val="0"/>
        <w:spacing w:after="0" w:line="360" w:lineRule="auto"/>
        <w:jc w:val="both"/>
        <w:rPr>
          <w:rFonts w:ascii="Times New Roman" w:hAnsi="Times New Roman" w:cs="Times New Roman"/>
          <w:b/>
          <w:bCs/>
          <w:color w:val="000000"/>
          <w:sz w:val="24"/>
          <w:szCs w:val="24"/>
        </w:rPr>
      </w:pPr>
    </w:p>
    <w:p w:rsidR="006B1D93" w:rsidRDefault="006B1D93" w:rsidP="00C35033">
      <w:pPr>
        <w:autoSpaceDE w:val="0"/>
        <w:autoSpaceDN w:val="0"/>
        <w:adjustRightInd w:val="0"/>
        <w:spacing w:after="0" w:line="360" w:lineRule="auto"/>
        <w:jc w:val="both"/>
        <w:rPr>
          <w:rFonts w:ascii="Times New Roman" w:hAnsi="Times New Roman" w:cs="Times New Roman"/>
          <w:b/>
          <w:bCs/>
          <w:color w:val="000000"/>
          <w:sz w:val="24"/>
          <w:szCs w:val="24"/>
        </w:rPr>
      </w:pPr>
    </w:p>
    <w:p w:rsidR="006B1D93" w:rsidRDefault="006B1D93" w:rsidP="00C35033">
      <w:pPr>
        <w:autoSpaceDE w:val="0"/>
        <w:autoSpaceDN w:val="0"/>
        <w:adjustRightInd w:val="0"/>
        <w:spacing w:after="0" w:line="360" w:lineRule="auto"/>
        <w:jc w:val="both"/>
        <w:rPr>
          <w:rFonts w:ascii="Times New Roman" w:hAnsi="Times New Roman" w:cs="Times New Roman"/>
          <w:b/>
          <w:bCs/>
          <w:color w:val="000000"/>
          <w:sz w:val="24"/>
          <w:szCs w:val="24"/>
        </w:rPr>
      </w:pPr>
    </w:p>
    <w:p w:rsidR="006B1D93" w:rsidRDefault="006B1D93" w:rsidP="00C35033">
      <w:pPr>
        <w:autoSpaceDE w:val="0"/>
        <w:autoSpaceDN w:val="0"/>
        <w:adjustRightInd w:val="0"/>
        <w:spacing w:after="0" w:line="360" w:lineRule="auto"/>
        <w:jc w:val="both"/>
        <w:rPr>
          <w:rFonts w:ascii="Times New Roman" w:hAnsi="Times New Roman" w:cs="Times New Roman"/>
          <w:b/>
          <w:bCs/>
          <w:color w:val="000000"/>
          <w:sz w:val="24"/>
          <w:szCs w:val="24"/>
        </w:rPr>
      </w:pPr>
    </w:p>
    <w:p w:rsidR="006B1D93" w:rsidRDefault="006B1D93" w:rsidP="00C35033">
      <w:pPr>
        <w:autoSpaceDE w:val="0"/>
        <w:autoSpaceDN w:val="0"/>
        <w:adjustRightInd w:val="0"/>
        <w:spacing w:after="0" w:line="360" w:lineRule="auto"/>
        <w:jc w:val="both"/>
        <w:rPr>
          <w:rFonts w:ascii="Times New Roman" w:hAnsi="Times New Roman" w:cs="Times New Roman"/>
          <w:b/>
          <w:bCs/>
          <w:color w:val="000000"/>
          <w:sz w:val="24"/>
          <w:szCs w:val="24"/>
        </w:rPr>
      </w:pPr>
    </w:p>
    <w:p w:rsidR="00B44B07" w:rsidRDefault="006B1D93" w:rsidP="006B1D93">
      <w:pPr>
        <w:autoSpaceDE w:val="0"/>
        <w:autoSpaceDN w:val="0"/>
        <w:adjustRightInd w:val="0"/>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REFERENCES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Jatana, R., and Crowther, D. (2007). Corporate social responsibility and the empowerment of    </w:t>
      </w:r>
      <w:r>
        <w:rPr>
          <w:rFonts w:ascii="Times New Roman" w:hAnsi="Times New Roman" w:cs="Times New Roman"/>
          <w:color w:val="000000"/>
          <w:sz w:val="24"/>
          <w:szCs w:val="24"/>
        </w:rPr>
        <w:tab/>
        <w:t xml:space="preserve">women: An Indian perspective. </w:t>
      </w:r>
      <w:r>
        <w:rPr>
          <w:rFonts w:ascii="Times New Roman" w:hAnsi="Times New Roman" w:cs="Times New Roman"/>
          <w:i/>
          <w:iCs/>
          <w:color w:val="000000"/>
          <w:sz w:val="24"/>
          <w:szCs w:val="24"/>
        </w:rPr>
        <w:t>Social Responsibility Journal 3:40-48.</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Jobber, D., (2007).Principles and Practice of Marketing, (5th edition), Berkshire McGraw Hill.</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Kapoor, S., and Sandhu, H.S., (2010). Does it Pay to be Socially Responsible? An Empirical Examination of Impact of Corporate Social Responsibility on Financial Performance, </w:t>
      </w:r>
      <w:r>
        <w:rPr>
          <w:rFonts w:ascii="Times New Roman" w:hAnsi="Times New Roman" w:cs="Times New Roman"/>
          <w:color w:val="000000"/>
          <w:sz w:val="24"/>
          <w:szCs w:val="24"/>
        </w:rPr>
        <w:tab/>
      </w:r>
      <w:r>
        <w:rPr>
          <w:rFonts w:ascii="Times New Roman" w:hAnsi="Times New Roman" w:cs="Times New Roman"/>
          <w:i/>
          <w:iCs/>
          <w:color w:val="000000"/>
          <w:sz w:val="24"/>
          <w:szCs w:val="24"/>
        </w:rPr>
        <w:t>Global Business Review 11:185</w:t>
      </w:r>
      <w:r>
        <w:rPr>
          <w:rFonts w:ascii="Times New Roman" w:hAnsi="Times New Roman" w:cs="Times New Roman"/>
          <w:color w:val="000000"/>
          <w:sz w:val="24"/>
          <w:szCs w:val="24"/>
        </w:rPr>
        <w:t>.</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Kotler, P., and Armstrong, G., (2008). Principles of Marketing, (12th edition), New Jersey, </w:t>
      </w:r>
      <w:r>
        <w:rPr>
          <w:rFonts w:ascii="Times New Roman" w:hAnsi="Times New Roman" w:cs="Times New Roman"/>
          <w:color w:val="000000"/>
          <w:sz w:val="24"/>
          <w:szCs w:val="24"/>
        </w:rPr>
        <w:tab/>
        <w:t>Pearson Prentice Hall.</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Kotler, P., and Keller, K.L., (2006). Marketing Management, (12th edition), New Jersey, Pearson </w:t>
      </w:r>
      <w:r>
        <w:rPr>
          <w:rFonts w:ascii="Times New Roman" w:hAnsi="Times New Roman" w:cs="Times New Roman"/>
          <w:color w:val="000000"/>
          <w:sz w:val="24"/>
          <w:szCs w:val="24"/>
        </w:rPr>
        <w:tab/>
        <w:t>Prentice Hall.</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Barkin, D. (2002). The Greening of Business in Mexico: The Greening of Business in </w:t>
      </w:r>
      <w:r>
        <w:rPr>
          <w:rFonts w:ascii="Times New Roman" w:hAnsi="Times New Roman" w:cs="Times New Roman"/>
          <w:color w:val="000000"/>
          <w:sz w:val="24"/>
          <w:szCs w:val="24"/>
        </w:rPr>
        <w:tab/>
        <w:t xml:space="preserve">Developing Contries: Rhetoric, Reality and Prospect. </w:t>
      </w:r>
      <w:r>
        <w:rPr>
          <w:rFonts w:ascii="Times New Roman" w:hAnsi="Times New Roman" w:cs="Times New Roman"/>
          <w:i/>
          <w:iCs/>
          <w:color w:val="000000"/>
          <w:sz w:val="24"/>
          <w:szCs w:val="24"/>
        </w:rPr>
        <w:t>Zed Books and UNRISD 17-39</w:t>
      </w:r>
      <w:r>
        <w:rPr>
          <w:rFonts w:ascii="Times New Roman" w:hAnsi="Times New Roman" w:cs="Times New Roman"/>
          <w:color w:val="000000"/>
          <w:sz w:val="24"/>
          <w:szCs w:val="24"/>
        </w:rPr>
        <w:t>.</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Moser, T. and Miller, D., (2001). Multinational Corporation impacts on the environment and </w:t>
      </w:r>
      <w:r>
        <w:rPr>
          <w:rFonts w:ascii="Times New Roman" w:hAnsi="Times New Roman" w:cs="Times New Roman"/>
          <w:color w:val="000000"/>
          <w:sz w:val="24"/>
          <w:szCs w:val="24"/>
        </w:rPr>
        <w:tab/>
        <w:t xml:space="preserve">communities in the developing world: A synthesis of the contemporary debate. </w:t>
      </w:r>
      <w:r>
        <w:rPr>
          <w:rFonts w:ascii="Times New Roman" w:hAnsi="Times New Roman" w:cs="Times New Roman"/>
          <w:i/>
          <w:iCs/>
          <w:color w:val="000000"/>
          <w:sz w:val="24"/>
          <w:szCs w:val="24"/>
        </w:rPr>
        <w:t>Business Society 37:333-343.</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Idemudia, U. (2011). Corporate Social Responsibility and Developing Countries: Moving the </w:t>
      </w:r>
      <w:r>
        <w:rPr>
          <w:rFonts w:ascii="Times New Roman" w:hAnsi="Times New Roman" w:cs="Times New Roman"/>
          <w:color w:val="000000"/>
          <w:sz w:val="24"/>
          <w:szCs w:val="24"/>
        </w:rPr>
        <w:tab/>
        <w:t xml:space="preserve">Critical CSR Research Agenda in Africa Forward. </w:t>
      </w:r>
      <w:r>
        <w:rPr>
          <w:rFonts w:ascii="Times New Roman" w:hAnsi="Times New Roman" w:cs="Times New Roman"/>
          <w:i/>
          <w:iCs/>
          <w:color w:val="000000"/>
          <w:sz w:val="24"/>
          <w:szCs w:val="24"/>
        </w:rPr>
        <w:t>Progress in Development Studies 11:1</w:t>
      </w:r>
      <w:r>
        <w:rPr>
          <w:rFonts w:ascii="Times New Roman" w:hAnsi="Times New Roman" w:cs="Times New Roman"/>
          <w:color w:val="000000"/>
          <w:sz w:val="24"/>
          <w:szCs w:val="24"/>
        </w:rPr>
        <w:t>.</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Ite, U. (2004). Multinationals and Corporate Social Responsibility in Deloping Countries: A </w:t>
      </w:r>
      <w:r>
        <w:rPr>
          <w:rFonts w:ascii="Times New Roman" w:hAnsi="Times New Roman" w:cs="Times New Roman"/>
          <w:color w:val="000000"/>
          <w:sz w:val="24"/>
          <w:szCs w:val="24"/>
        </w:rPr>
        <w:tab/>
        <w:t xml:space="preserve">Case Study of Nigeria. . </w:t>
      </w:r>
      <w:r>
        <w:rPr>
          <w:rFonts w:ascii="Times New Roman" w:hAnsi="Times New Roman" w:cs="Times New Roman"/>
          <w:i/>
          <w:iCs/>
          <w:color w:val="000000"/>
          <w:sz w:val="24"/>
          <w:szCs w:val="24"/>
        </w:rPr>
        <w:t>Corporate Social Responsibilty and Environment Management 11:1-11</w:t>
      </w:r>
      <w:r>
        <w:rPr>
          <w:rFonts w:ascii="Times New Roman" w:hAnsi="Times New Roman" w:cs="Times New Roman"/>
          <w:color w:val="000000"/>
          <w:sz w:val="24"/>
          <w:szCs w:val="24"/>
        </w:rPr>
        <w:t>.</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Ant, K. (2008), </w:t>
      </w:r>
      <w:r>
        <w:rPr>
          <w:rFonts w:ascii="Times New Roman" w:hAnsi="Times New Roman" w:cs="Times New Roman"/>
          <w:i/>
          <w:iCs/>
          <w:color w:val="000000"/>
          <w:sz w:val="24"/>
          <w:szCs w:val="24"/>
        </w:rPr>
        <w:t>Corporate Social Responsibility Jobs and the Current Financial Crisis</w:t>
      </w:r>
      <w:r>
        <w:rPr>
          <w:rFonts w:ascii="Times New Roman" w:hAnsi="Times New Roman" w:cs="Times New Roman"/>
          <w:color w:val="000000"/>
          <w:sz w:val="24"/>
          <w:szCs w:val="24"/>
        </w:rPr>
        <w:t>.</w:t>
      </w:r>
      <w:r>
        <w:rPr>
          <w:rFonts w:ascii="Times New Roman" w:hAnsi="Times New Roman" w:cs="Times New Roman"/>
          <w:color w:val="000000"/>
          <w:sz w:val="24"/>
          <w:szCs w:val="24"/>
        </w:rPr>
        <w:tab/>
        <w:t xml:space="preserve">Available at: </w:t>
      </w:r>
      <w:hyperlink r:id="rId9" w:history="1">
        <w:r>
          <w:rPr>
            <w:rFonts w:ascii="Times New Roman" w:hAnsi="Times New Roman" w:cs="Times New Roman"/>
            <w:sz w:val="24"/>
            <w:szCs w:val="24"/>
          </w:rPr>
          <w:t>http://ezinearticles.com/?Corporate-Social-Responsibility-Jobs-and-the</w:t>
        </w:r>
      </w:hyperlink>
      <w:r>
        <w:rPr>
          <w:rFonts w:ascii="Times New Roman" w:hAnsi="Times New Roman" w:cs="Times New Roman"/>
          <w:sz w:val="24"/>
          <w:szCs w:val="24"/>
        </w:rPr>
        <w:t>-</w:t>
      </w:r>
      <w:r>
        <w:rPr>
          <w:rFonts w:ascii="Times New Roman" w:hAnsi="Times New Roman" w:cs="Times New Roman"/>
          <w:color w:val="000000"/>
          <w:sz w:val="24"/>
          <w:szCs w:val="24"/>
        </w:rPr>
        <w:tab/>
        <w:t>Current-Financial- Crisis &amp; id=1680753 (accessed October 27, 2011).</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Branco, M.C. and Rodrigues, L.L. (2006) ‘Corporate social responsibility and resource-based </w:t>
      </w:r>
      <w:r>
        <w:rPr>
          <w:rFonts w:ascii="Times New Roman" w:hAnsi="Times New Roman" w:cs="Times New Roman"/>
          <w:color w:val="000000"/>
          <w:sz w:val="24"/>
          <w:szCs w:val="24"/>
        </w:rPr>
        <w:tab/>
        <w:t xml:space="preserve">perspectives’, </w:t>
      </w:r>
      <w:r>
        <w:rPr>
          <w:rFonts w:ascii="Times New Roman" w:hAnsi="Times New Roman" w:cs="Times New Roman"/>
          <w:i/>
          <w:iCs/>
          <w:color w:val="000000"/>
          <w:sz w:val="24"/>
          <w:szCs w:val="24"/>
        </w:rPr>
        <w:t>Journal of Business Ethics 69(2):111-132</w:t>
      </w:r>
      <w:r>
        <w:rPr>
          <w:rFonts w:ascii="Times New Roman" w:hAnsi="Times New Roman" w:cs="Times New Roman"/>
          <w:color w:val="000000"/>
          <w:sz w:val="24"/>
          <w:szCs w:val="24"/>
        </w:rPr>
        <w:t>.</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Bryer, A. (2010). Beyond Bureaucracies?: The Struggle for Social Responsibility in the </w:t>
      </w:r>
      <w:r>
        <w:rPr>
          <w:rFonts w:ascii="Times New Roman" w:hAnsi="Times New Roman" w:cs="Times New Roman"/>
          <w:color w:val="000000"/>
          <w:sz w:val="24"/>
          <w:szCs w:val="24"/>
        </w:rPr>
        <w:tab/>
        <w:t xml:space="preserve">Argentine Workers' Cooperatives. </w:t>
      </w:r>
      <w:r>
        <w:rPr>
          <w:rFonts w:ascii="Times New Roman" w:hAnsi="Times New Roman" w:cs="Times New Roman"/>
          <w:i/>
          <w:iCs/>
          <w:color w:val="000000"/>
          <w:sz w:val="24"/>
          <w:szCs w:val="24"/>
        </w:rPr>
        <w:t>Critique of Anthropology 30:41l</w:t>
      </w:r>
      <w:r>
        <w:rPr>
          <w:rFonts w:ascii="Times New Roman" w:hAnsi="Times New Roman" w:cs="Times New Roman"/>
          <w:color w:val="000000"/>
          <w:sz w:val="24"/>
          <w:szCs w:val="24"/>
        </w:rPr>
        <w:t>.</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Butler, K.M. (2006) ‘Examining the benefits of corporate social responsibility’, </w:t>
      </w:r>
      <w:r>
        <w:rPr>
          <w:rFonts w:ascii="Times New Roman" w:hAnsi="Times New Roman" w:cs="Times New Roman"/>
          <w:i/>
          <w:iCs/>
          <w:color w:val="000000"/>
          <w:sz w:val="24"/>
          <w:szCs w:val="24"/>
        </w:rPr>
        <w:t xml:space="preserve">Employee </w:t>
      </w:r>
      <w:r>
        <w:rPr>
          <w:rFonts w:ascii="Times New Roman" w:hAnsi="Times New Roman" w:cs="Times New Roman"/>
          <w:i/>
          <w:iCs/>
          <w:color w:val="000000"/>
          <w:sz w:val="24"/>
          <w:szCs w:val="24"/>
        </w:rPr>
        <w:tab/>
        <w:t>Benefit News 20(6):26</w:t>
      </w:r>
      <w:r>
        <w:rPr>
          <w:rFonts w:ascii="Times New Roman" w:hAnsi="Times New Roman" w:cs="Times New Roman"/>
          <w:color w:val="000000"/>
          <w:sz w:val="24"/>
          <w:szCs w:val="24"/>
        </w:rPr>
        <w:t>.</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Cappellin, P. and Giuliani, G., (2004). The political economy of corporate responsibility in </w:t>
      </w:r>
      <w:r>
        <w:rPr>
          <w:rFonts w:ascii="Times New Roman" w:hAnsi="Times New Roman" w:cs="Times New Roman"/>
          <w:color w:val="000000"/>
          <w:sz w:val="24"/>
          <w:szCs w:val="24"/>
        </w:rPr>
        <w:tab/>
        <w:t xml:space="preserve">Brazil: Social and environmental dimensions: </w:t>
      </w:r>
      <w:r>
        <w:rPr>
          <w:rFonts w:ascii="Times New Roman" w:hAnsi="Times New Roman" w:cs="Times New Roman"/>
          <w:i/>
          <w:iCs/>
          <w:color w:val="000000"/>
          <w:sz w:val="24"/>
          <w:szCs w:val="24"/>
        </w:rPr>
        <w:t xml:space="preserve">Technology, Business and Society </w:t>
      </w:r>
      <w:r>
        <w:rPr>
          <w:rFonts w:ascii="Times New Roman" w:hAnsi="Times New Roman" w:cs="Times New Roman"/>
          <w:i/>
          <w:iCs/>
          <w:color w:val="000000"/>
          <w:sz w:val="24"/>
          <w:szCs w:val="24"/>
        </w:rPr>
        <w:tab/>
      </w:r>
      <w:r>
        <w:rPr>
          <w:rFonts w:ascii="Times New Roman" w:hAnsi="Times New Roman" w:cs="Times New Roman"/>
          <w:i/>
          <w:iCs/>
          <w:color w:val="000000"/>
          <w:sz w:val="24"/>
          <w:szCs w:val="24"/>
        </w:rPr>
        <w:tab/>
        <w:t>Programme Paper 14. Geneva: United NationsResearch Institute for Social Development</w:t>
      </w:r>
      <w:r>
        <w:rPr>
          <w:rFonts w:ascii="Times New Roman" w:hAnsi="Times New Roman" w:cs="Times New Roman"/>
          <w:color w:val="000000"/>
          <w:sz w:val="24"/>
          <w:szCs w:val="24"/>
        </w:rPr>
        <w:t>.</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Cavett-Goodwin, D. (2007) ‘Making the case for corporate social responsibility’, </w:t>
      </w:r>
      <w:r>
        <w:rPr>
          <w:rFonts w:ascii="Times New Roman" w:hAnsi="Times New Roman" w:cs="Times New Roman"/>
          <w:i/>
          <w:iCs/>
          <w:color w:val="000000"/>
          <w:sz w:val="24"/>
          <w:szCs w:val="24"/>
        </w:rPr>
        <w:t>Cultural Shifts</w:t>
      </w:r>
      <w:r>
        <w:rPr>
          <w:rFonts w:ascii="Times New Roman" w:hAnsi="Times New Roman" w:cs="Times New Roman"/>
          <w:color w:val="000000"/>
          <w:sz w:val="24"/>
          <w:szCs w:val="24"/>
        </w:rPr>
        <w:t>.</w:t>
      </w:r>
      <w:r>
        <w:rPr>
          <w:rFonts w:ascii="Times New Roman" w:hAnsi="Times New Roman" w:cs="Times New Roman"/>
          <w:color w:val="000000"/>
          <w:sz w:val="24"/>
          <w:szCs w:val="24"/>
        </w:rPr>
        <w:tab/>
        <w:t xml:space="preserve">Available at: </w:t>
      </w:r>
      <w:hyperlink r:id="rId10" w:history="1">
        <w:r>
          <w:rPr>
            <w:rFonts w:ascii="Times New Roman" w:hAnsi="Times New Roman" w:cs="Times New Roman"/>
            <w:color w:val="000000"/>
            <w:sz w:val="24"/>
            <w:szCs w:val="24"/>
          </w:rPr>
          <w:t>http://culturalshifts.com/archives/181</w:t>
        </w:r>
      </w:hyperlink>
      <w:r>
        <w:rPr>
          <w:rFonts w:ascii="Times New Roman" w:hAnsi="Times New Roman" w:cs="Times New Roman"/>
          <w:color w:val="000000"/>
          <w:sz w:val="24"/>
          <w:szCs w:val="24"/>
        </w:rPr>
        <w:t xml:space="preserve"> (accessed October 27, 2011).</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Chaudhry, K., and Krishnan, V.R., (2007). Impact of Corporate Social Responsibility and </w:t>
      </w:r>
      <w:r>
        <w:rPr>
          <w:rFonts w:ascii="Times New Roman" w:hAnsi="Times New Roman" w:cs="Times New Roman"/>
          <w:color w:val="000000"/>
          <w:sz w:val="24"/>
          <w:szCs w:val="24"/>
        </w:rPr>
        <w:tab/>
        <w:t xml:space="preserve">Transformational Leadership on Brand Community, </w:t>
      </w:r>
      <w:r>
        <w:rPr>
          <w:rFonts w:ascii="Times New Roman" w:hAnsi="Times New Roman" w:cs="Times New Roman"/>
          <w:i/>
          <w:iCs/>
          <w:color w:val="000000"/>
          <w:sz w:val="24"/>
          <w:szCs w:val="24"/>
        </w:rPr>
        <w:t>Global Business Review.8:205.</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Choi, A.S. and Grey, E.R. (2008) Socially responsible entrepreneurs: What do they do to create </w:t>
      </w:r>
      <w:r>
        <w:rPr>
          <w:rFonts w:ascii="Times New Roman" w:hAnsi="Times New Roman" w:cs="Times New Roman"/>
          <w:color w:val="000000"/>
          <w:sz w:val="24"/>
          <w:szCs w:val="24"/>
        </w:rPr>
        <w:tab/>
        <w:t>and build their companies?,</w:t>
      </w:r>
      <w:r>
        <w:rPr>
          <w:rFonts w:ascii="Times New Roman" w:hAnsi="Times New Roman" w:cs="Times New Roman"/>
          <w:i/>
          <w:iCs/>
          <w:color w:val="000000"/>
          <w:sz w:val="24"/>
          <w:szCs w:val="24"/>
        </w:rPr>
        <w:t>Business Horizons</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51(4):341-352</w:t>
      </w:r>
      <w:r>
        <w:rPr>
          <w:rFonts w:ascii="Times New Roman" w:hAnsi="Times New Roman" w:cs="Times New Roman"/>
          <w:color w:val="000000"/>
          <w:sz w:val="24"/>
          <w:szCs w:val="24"/>
        </w:rPr>
        <w:t>.</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Branco, M.C. and Rodrigues, L.L. (2006) ‘Corporate social responsibility and resource-based </w:t>
      </w:r>
      <w:r>
        <w:rPr>
          <w:rFonts w:ascii="Times New Roman" w:hAnsi="Times New Roman" w:cs="Times New Roman"/>
          <w:color w:val="000000"/>
          <w:sz w:val="24"/>
          <w:szCs w:val="24"/>
        </w:rPr>
        <w:tab/>
        <w:t xml:space="preserve">perspectives’, </w:t>
      </w:r>
      <w:r>
        <w:rPr>
          <w:rFonts w:ascii="Times New Roman" w:hAnsi="Times New Roman" w:cs="Times New Roman"/>
          <w:i/>
          <w:iCs/>
          <w:color w:val="000000"/>
          <w:sz w:val="24"/>
          <w:szCs w:val="24"/>
        </w:rPr>
        <w:t>Journal of Business Ethics 69(2):111-132</w:t>
      </w:r>
      <w:r>
        <w:rPr>
          <w:rFonts w:ascii="Times New Roman" w:hAnsi="Times New Roman" w:cs="Times New Roman"/>
          <w:color w:val="000000"/>
          <w:sz w:val="24"/>
          <w:szCs w:val="24"/>
        </w:rPr>
        <w:t>.</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Butler, K.M. (2006) ‘Examining the benefits of corporate social responsibility’, </w:t>
      </w:r>
      <w:r>
        <w:rPr>
          <w:rFonts w:ascii="Times New Roman" w:hAnsi="Times New Roman" w:cs="Times New Roman"/>
          <w:i/>
          <w:iCs/>
          <w:color w:val="000000"/>
          <w:sz w:val="24"/>
          <w:szCs w:val="24"/>
        </w:rPr>
        <w:t>Employee Benefit News 20(6):26</w:t>
      </w:r>
      <w:r>
        <w:rPr>
          <w:rFonts w:ascii="Times New Roman" w:hAnsi="Times New Roman" w:cs="Times New Roman"/>
          <w:color w:val="000000"/>
          <w:sz w:val="24"/>
          <w:szCs w:val="24"/>
        </w:rPr>
        <w:t>.</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Cappellin, P. and Giuliani, G., (2004). The political economy of corporate responsibility in Brazil: Social and environmental dimensions: </w:t>
      </w:r>
      <w:r>
        <w:rPr>
          <w:rFonts w:ascii="Times New Roman" w:hAnsi="Times New Roman" w:cs="Times New Roman"/>
          <w:i/>
          <w:iCs/>
          <w:color w:val="000000"/>
          <w:sz w:val="24"/>
          <w:szCs w:val="24"/>
        </w:rPr>
        <w:t>Technology, Business and Society Programme</w:t>
      </w:r>
      <w:r>
        <w:rPr>
          <w:rFonts w:ascii="Times New Roman" w:hAnsi="Times New Roman" w:cs="Times New Roman"/>
          <w:i/>
          <w:iCs/>
          <w:color w:val="000000"/>
          <w:sz w:val="24"/>
          <w:szCs w:val="24"/>
        </w:rPr>
        <w:tab/>
        <w:t>Paper 14. Geneva: United NationsResearch Institute for Social Development</w:t>
      </w:r>
      <w:r>
        <w:rPr>
          <w:rFonts w:ascii="Times New Roman" w:hAnsi="Times New Roman" w:cs="Times New Roman"/>
          <w:color w:val="000000"/>
          <w:sz w:val="24"/>
          <w:szCs w:val="24"/>
        </w:rPr>
        <w:t>.</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Cavett-Goodwin, D. (2007) ‘Making the case for corporate social responsibility’, </w:t>
      </w:r>
      <w:r>
        <w:rPr>
          <w:rFonts w:ascii="Times New Roman" w:hAnsi="Times New Roman" w:cs="Times New Roman"/>
          <w:i/>
          <w:iCs/>
          <w:color w:val="000000"/>
          <w:sz w:val="24"/>
          <w:szCs w:val="24"/>
        </w:rPr>
        <w:t>Cultural Shifts</w:t>
      </w:r>
      <w:r>
        <w:rPr>
          <w:rFonts w:ascii="Times New Roman" w:hAnsi="Times New Roman" w:cs="Times New Roman"/>
          <w:color w:val="000000"/>
          <w:sz w:val="24"/>
          <w:szCs w:val="24"/>
        </w:rPr>
        <w:t>.</w:t>
      </w:r>
      <w:r>
        <w:rPr>
          <w:rFonts w:ascii="Times New Roman" w:hAnsi="Times New Roman" w:cs="Times New Roman"/>
          <w:color w:val="000000"/>
          <w:sz w:val="24"/>
          <w:szCs w:val="24"/>
        </w:rPr>
        <w:tab/>
        <w:t xml:space="preserve">Available at: </w:t>
      </w:r>
      <w:hyperlink r:id="rId11" w:history="1">
        <w:r>
          <w:rPr>
            <w:rFonts w:ascii="Times New Roman" w:hAnsi="Times New Roman" w:cs="Times New Roman"/>
            <w:color w:val="000000"/>
            <w:sz w:val="24"/>
            <w:szCs w:val="24"/>
          </w:rPr>
          <w:t>http://culturalshifts.com/archives/181</w:t>
        </w:r>
      </w:hyperlink>
      <w:r>
        <w:rPr>
          <w:rFonts w:ascii="Times New Roman" w:hAnsi="Times New Roman" w:cs="Times New Roman"/>
          <w:color w:val="000000"/>
          <w:sz w:val="24"/>
          <w:szCs w:val="24"/>
        </w:rPr>
        <w:t xml:space="preserve"> (accessed October 27, 2011).</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Chaudhry, K., and Krishnan, V.R., (2007). Impact of Corporate Social Responsibility and </w:t>
      </w:r>
      <w:r>
        <w:rPr>
          <w:rFonts w:ascii="Times New Roman" w:hAnsi="Times New Roman" w:cs="Times New Roman"/>
          <w:color w:val="000000"/>
          <w:sz w:val="24"/>
          <w:szCs w:val="24"/>
        </w:rPr>
        <w:tab/>
        <w:t xml:space="preserve">Transformational Leadership on Brand Community, </w:t>
      </w:r>
      <w:r>
        <w:rPr>
          <w:rFonts w:ascii="Times New Roman" w:hAnsi="Times New Roman" w:cs="Times New Roman"/>
          <w:i/>
          <w:iCs/>
          <w:color w:val="000000"/>
          <w:sz w:val="24"/>
          <w:szCs w:val="24"/>
        </w:rPr>
        <w:t>Global Business Review.8:205.</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Choi, A.S. and Grey, E.R. (2008) Socially responsible entrepreneurs: What do they do to create </w:t>
      </w:r>
      <w:r>
        <w:rPr>
          <w:rFonts w:ascii="Times New Roman" w:hAnsi="Times New Roman" w:cs="Times New Roman"/>
          <w:color w:val="000000"/>
          <w:sz w:val="24"/>
          <w:szCs w:val="24"/>
        </w:rPr>
        <w:tab/>
        <w:t>and build their companies?,</w:t>
      </w:r>
      <w:r>
        <w:rPr>
          <w:rFonts w:ascii="Times New Roman" w:hAnsi="Times New Roman" w:cs="Times New Roman"/>
          <w:i/>
          <w:iCs/>
          <w:color w:val="000000"/>
          <w:sz w:val="24"/>
          <w:szCs w:val="24"/>
        </w:rPr>
        <w:t>Business Horizons</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51(4):341-352</w:t>
      </w:r>
      <w:r>
        <w:rPr>
          <w:rFonts w:ascii="Times New Roman" w:hAnsi="Times New Roman" w:cs="Times New Roman"/>
          <w:color w:val="000000"/>
          <w:sz w:val="24"/>
          <w:szCs w:val="24"/>
        </w:rPr>
        <w:t>.</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Sorsa, V. (2008). How to Explain Socially Responsible Corporate Actions Institutionally: </w:t>
      </w:r>
      <w:r>
        <w:rPr>
          <w:rFonts w:ascii="Times New Roman" w:hAnsi="Times New Roman" w:cs="Times New Roman"/>
          <w:color w:val="000000"/>
          <w:sz w:val="24"/>
          <w:szCs w:val="24"/>
        </w:rPr>
        <w:tab/>
        <w:t xml:space="preserve">Theoretical and Methodilogical Critique, Electronic. </w:t>
      </w:r>
      <w:r>
        <w:rPr>
          <w:rFonts w:ascii="Times New Roman" w:hAnsi="Times New Roman" w:cs="Times New Roman"/>
          <w:i/>
          <w:iCs/>
          <w:color w:val="000000"/>
          <w:sz w:val="24"/>
          <w:szCs w:val="24"/>
        </w:rPr>
        <w:t xml:space="preserve">Journal of Business Ethics and </w:t>
      </w:r>
      <w:r>
        <w:rPr>
          <w:rFonts w:ascii="Times New Roman" w:hAnsi="Times New Roman" w:cs="Times New Roman"/>
          <w:i/>
          <w:iCs/>
          <w:color w:val="000000"/>
          <w:sz w:val="24"/>
          <w:szCs w:val="24"/>
        </w:rPr>
        <w:tab/>
        <w:t>Organizational Studies 13:32-41</w:t>
      </w:r>
      <w:r>
        <w:rPr>
          <w:rFonts w:ascii="Times New Roman" w:hAnsi="Times New Roman" w:cs="Times New Roman"/>
          <w:color w:val="000000"/>
          <w:sz w:val="24"/>
          <w:szCs w:val="24"/>
        </w:rPr>
        <w:t>.</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Van Riel, A.C., Mortanges, C.P. and Straukens, S, (2005). Marketing Antecedents of Industrial </w:t>
      </w:r>
      <w:r>
        <w:rPr>
          <w:rFonts w:ascii="Times New Roman" w:hAnsi="Times New Roman" w:cs="Times New Roman"/>
          <w:color w:val="000000"/>
          <w:sz w:val="24"/>
          <w:szCs w:val="24"/>
        </w:rPr>
        <w:tab/>
        <w:t>Brand Equity: An empirical Investigation in Specialty Chemicals.</w:t>
      </w:r>
      <w:r>
        <w:rPr>
          <w:rFonts w:ascii="Times New Roman" w:hAnsi="Times New Roman" w:cs="Times New Roman"/>
          <w:i/>
          <w:iCs/>
          <w:color w:val="000000"/>
          <w:sz w:val="24"/>
          <w:szCs w:val="24"/>
        </w:rPr>
        <w:t xml:space="preserve">Industrial marketing </w:t>
      </w:r>
      <w:r>
        <w:rPr>
          <w:rFonts w:ascii="Times New Roman" w:hAnsi="Times New Roman" w:cs="Times New Roman"/>
          <w:i/>
          <w:iCs/>
          <w:color w:val="000000"/>
          <w:sz w:val="24"/>
          <w:szCs w:val="24"/>
        </w:rPr>
        <w:tab/>
        <w:t>Management 34(4):841-847.</w:t>
      </w:r>
      <w:hyperlink r:id="rId12" w:history="1">
        <w:r>
          <w:rPr>
            <w:rFonts w:ascii="Times New Roman" w:hAnsi="Times New Roman" w:cs="Times New Roman"/>
            <w:color w:val="000000"/>
            <w:sz w:val="24"/>
            <w:szCs w:val="24"/>
          </w:rPr>
          <w:t>www.nse.org.ke</w:t>
        </w:r>
      </w:hyperlink>
      <w:r>
        <w:rPr>
          <w:rFonts w:ascii="Times New Roman" w:hAnsi="Times New Roman" w:cs="Times New Roman"/>
          <w:color w:val="000000"/>
          <w:sz w:val="24"/>
          <w:szCs w:val="24"/>
        </w:rPr>
        <w:t>.</w:t>
      </w:r>
    </w:p>
    <w:p w:rsidR="00B44B07" w:rsidRDefault="00B44B07" w:rsidP="006B1D9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Davis, K. (1960). Can business afford to ignore corporate social responsibility? </w:t>
      </w:r>
      <w:r>
        <w:rPr>
          <w:rFonts w:ascii="Times New Roman" w:hAnsi="Times New Roman" w:cs="Times New Roman"/>
          <w:i/>
          <w:iCs/>
          <w:sz w:val="24"/>
          <w:szCs w:val="24"/>
        </w:rPr>
        <w:t xml:space="preserve">California </w:t>
      </w:r>
      <w:r>
        <w:rPr>
          <w:rFonts w:ascii="Times New Roman" w:hAnsi="Times New Roman" w:cs="Times New Roman"/>
          <w:i/>
          <w:iCs/>
          <w:sz w:val="24"/>
          <w:szCs w:val="24"/>
        </w:rPr>
        <w:tab/>
        <w:t>Management Review</w:t>
      </w:r>
      <w:r>
        <w:rPr>
          <w:rFonts w:ascii="Times New Roman" w:hAnsi="Times New Roman" w:cs="Times New Roman"/>
          <w:sz w:val="24"/>
          <w:szCs w:val="24"/>
        </w:rPr>
        <w:t>, 2, 70-76.</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Jenkins, M. &amp; Johnson, G. (1997). Entrepreneurial intentions and outcomes: A comparative </w:t>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causal mapping study. </w:t>
      </w:r>
      <w:r>
        <w:rPr>
          <w:rFonts w:ascii="Times New Roman" w:hAnsi="Times New Roman" w:cs="Times New Roman"/>
          <w:i/>
          <w:iCs/>
          <w:color w:val="000000"/>
          <w:sz w:val="24"/>
          <w:szCs w:val="24"/>
        </w:rPr>
        <w:t>Journal of Management Studies, 34</w:t>
      </w:r>
      <w:r>
        <w:rPr>
          <w:rFonts w:ascii="Times New Roman" w:hAnsi="Times New Roman" w:cs="Times New Roman"/>
          <w:color w:val="000000"/>
          <w:sz w:val="24"/>
          <w:szCs w:val="24"/>
        </w:rPr>
        <w:t>(6), 895-920.</w:t>
      </w:r>
    </w:p>
    <w:p w:rsidR="00B44B07" w:rsidRDefault="00B44B07" w:rsidP="006B1D9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Stijnclaessen&amp; Luc leaven (2006) international corporate finance volume two, Washington.Stephen H Penman (2003) financial statement analysis and security valuation,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edition,</w:t>
      </w:r>
      <w:r>
        <w:rPr>
          <w:rFonts w:ascii="Times New Roman" w:hAnsi="Times New Roman" w:cs="Times New Roman"/>
          <w:sz w:val="24"/>
          <w:szCs w:val="24"/>
        </w:rPr>
        <w:tab/>
        <w:t>McGraw-Hill education (Asia).</w:t>
      </w:r>
    </w:p>
    <w:p w:rsidR="00B44B07" w:rsidRDefault="00B44B07" w:rsidP="006B1D9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Barton, J. H. (2007</w:t>
      </w:r>
      <w:r>
        <w:rPr>
          <w:rFonts w:ascii="Times New Roman" w:hAnsi="Times New Roman" w:cs="Times New Roman"/>
          <w:i/>
          <w:iCs/>
          <w:sz w:val="24"/>
          <w:szCs w:val="24"/>
        </w:rPr>
        <w:t>). New Trends in Technology Transfer: Implications for National and</w:t>
      </w:r>
      <w:r>
        <w:rPr>
          <w:rFonts w:ascii="Times New Roman" w:hAnsi="Times New Roman" w:cs="Times New Roman"/>
          <w:i/>
          <w:iCs/>
          <w:sz w:val="24"/>
          <w:szCs w:val="24"/>
        </w:rPr>
        <w:tab/>
      </w:r>
      <w:r>
        <w:rPr>
          <w:rFonts w:ascii="Times New Roman" w:hAnsi="Times New Roman" w:cs="Times New Roman"/>
          <w:sz w:val="24"/>
          <w:szCs w:val="24"/>
        </w:rPr>
        <w:t>Geneva: International centre for Trade and Sustainable Development (ICTSD).</w:t>
      </w:r>
    </w:p>
    <w:p w:rsidR="00B44B07" w:rsidRDefault="00B44B07" w:rsidP="006B1D93">
      <w:pPr>
        <w:autoSpaceDE w:val="0"/>
        <w:autoSpaceDN w:val="0"/>
        <w:adjustRightInd w:val="0"/>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Bichta, C. (2003). Corporate socially responsible industry (CSR) practices in the context of </w:t>
      </w:r>
      <w:r>
        <w:rPr>
          <w:rFonts w:ascii="Times New Roman" w:hAnsi="Times New Roman" w:cs="Times New Roman"/>
          <w:sz w:val="24"/>
          <w:szCs w:val="24"/>
        </w:rPr>
        <w:tab/>
        <w:t xml:space="preserve">Greek. </w:t>
      </w:r>
      <w:r>
        <w:rPr>
          <w:rFonts w:ascii="Times New Roman" w:hAnsi="Times New Roman" w:cs="Times New Roman"/>
          <w:i/>
          <w:iCs/>
          <w:sz w:val="24"/>
          <w:szCs w:val="24"/>
        </w:rPr>
        <w:t>Social Responsibility and Environmental Management</w:t>
      </w:r>
      <w:r>
        <w:rPr>
          <w:rFonts w:ascii="Times New Roman" w:hAnsi="Times New Roman" w:cs="Times New Roman"/>
          <w:sz w:val="24"/>
          <w:szCs w:val="24"/>
        </w:rPr>
        <w:t>, 10, 12-24.</w:t>
      </w:r>
    </w:p>
    <w:p w:rsidR="00B44B07" w:rsidRDefault="00B44B07" w:rsidP="006B1D9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Career Service (2009).Corporate Social Responsibility and Ethical Careers. Available at: </w:t>
      </w:r>
      <w:r>
        <w:rPr>
          <w:rFonts w:ascii="Times New Roman" w:hAnsi="Times New Roman" w:cs="Times New Roman"/>
          <w:sz w:val="24"/>
          <w:szCs w:val="24"/>
        </w:rPr>
        <w:tab/>
      </w:r>
      <w:hyperlink r:id="rId13" w:history="1">
        <w:r>
          <w:rPr>
            <w:rFonts w:ascii="Times New Roman" w:hAnsi="Times New Roman" w:cs="Times New Roman"/>
            <w:sz w:val="24"/>
            <w:szCs w:val="24"/>
          </w:rPr>
          <w:t>http://www.careers.ed.ac.uk</w:t>
        </w:r>
      </w:hyperlink>
      <w:r>
        <w:rPr>
          <w:rFonts w:ascii="Times New Roman" w:hAnsi="Times New Roman" w:cs="Times New Roman"/>
          <w:sz w:val="24"/>
          <w:szCs w:val="24"/>
        </w:rPr>
        <w:t xml:space="preserve"> , accessed on 12 Dec. 2008.</w:t>
      </w:r>
    </w:p>
    <w:p w:rsidR="00B44B07" w:rsidRDefault="00B44B07" w:rsidP="006B1D9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CSR@Intel (2009). Does Technology have a role in Community Development? Available at </w:t>
      </w:r>
      <w:r>
        <w:rPr>
          <w:rFonts w:ascii="Times New Roman" w:hAnsi="Times New Roman" w:cs="Times New Roman"/>
          <w:sz w:val="24"/>
          <w:szCs w:val="24"/>
        </w:rPr>
        <w:tab/>
      </w:r>
      <w:hyperlink r:id="rId14" w:history="1">
        <w:r>
          <w:rPr>
            <w:rFonts w:ascii="Times New Roman" w:hAnsi="Times New Roman" w:cs="Times New Roman"/>
            <w:sz w:val="24"/>
            <w:szCs w:val="24"/>
          </w:rPr>
          <w:t>http://blogs.intel.com/csr/2007/06</w:t>
        </w:r>
      </w:hyperlink>
      <w:r>
        <w:rPr>
          <w:rFonts w:ascii="Times New Roman" w:hAnsi="Times New Roman" w:cs="Times New Roman"/>
          <w:sz w:val="24"/>
          <w:szCs w:val="24"/>
        </w:rPr>
        <w:t>, accessed on 12 Dec. 2008.</w:t>
      </w:r>
    </w:p>
    <w:p w:rsidR="00B44B07" w:rsidRDefault="00B44B07" w:rsidP="006B1D9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Davis, K. (1960). Can business afford to ignore corporate social responsibility? </w:t>
      </w:r>
      <w:r>
        <w:rPr>
          <w:rFonts w:ascii="Times New Roman" w:hAnsi="Times New Roman" w:cs="Times New Roman"/>
          <w:i/>
          <w:iCs/>
          <w:sz w:val="24"/>
          <w:szCs w:val="24"/>
        </w:rPr>
        <w:t xml:space="preserve">California </w:t>
      </w:r>
      <w:r>
        <w:rPr>
          <w:rFonts w:ascii="Times New Roman" w:hAnsi="Times New Roman" w:cs="Times New Roman"/>
          <w:i/>
          <w:iCs/>
          <w:sz w:val="24"/>
          <w:szCs w:val="24"/>
        </w:rPr>
        <w:tab/>
        <w:t>Management Review</w:t>
      </w:r>
      <w:r>
        <w:rPr>
          <w:rFonts w:ascii="Times New Roman" w:hAnsi="Times New Roman" w:cs="Times New Roman"/>
          <w:sz w:val="24"/>
          <w:szCs w:val="24"/>
        </w:rPr>
        <w:t>, 2, 70-76.</w:t>
      </w:r>
    </w:p>
    <w:p w:rsidR="00B44B07" w:rsidRDefault="00B44B07" w:rsidP="006B1D93">
      <w:pPr>
        <w:autoSpaceDE w:val="0"/>
        <w:autoSpaceDN w:val="0"/>
        <w:adjustRightInd w:val="0"/>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Detomasi, D. A. (2008).The political roots of corporate social responsibility.</w:t>
      </w:r>
      <w:r>
        <w:rPr>
          <w:rFonts w:ascii="Times New Roman" w:hAnsi="Times New Roman" w:cs="Times New Roman"/>
          <w:i/>
          <w:iCs/>
          <w:sz w:val="24"/>
          <w:szCs w:val="24"/>
        </w:rPr>
        <w:t xml:space="preserve">Journal of </w:t>
      </w:r>
      <w:r>
        <w:rPr>
          <w:rFonts w:ascii="Times New Roman" w:hAnsi="Times New Roman" w:cs="Times New Roman"/>
          <w:i/>
          <w:iCs/>
          <w:sz w:val="24"/>
          <w:szCs w:val="24"/>
        </w:rPr>
        <w:tab/>
        <w:t>Business Ethics, 82, 807-819.</w:t>
      </w:r>
    </w:p>
    <w:p w:rsidR="00B44B07" w:rsidRDefault="00B44B07" w:rsidP="006B1D9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Friedman, (1970) The social responsibility of business in to increase its profits. </w:t>
      </w:r>
      <w:r>
        <w:rPr>
          <w:rFonts w:ascii="Times New Roman" w:hAnsi="Times New Roman" w:cs="Times New Roman"/>
          <w:i/>
          <w:iCs/>
          <w:sz w:val="24"/>
          <w:szCs w:val="24"/>
        </w:rPr>
        <w:t xml:space="preserve">New York Times </w:t>
      </w:r>
      <w:r>
        <w:rPr>
          <w:rFonts w:ascii="Times New Roman" w:hAnsi="Times New Roman" w:cs="Times New Roman"/>
          <w:i/>
          <w:iCs/>
          <w:sz w:val="24"/>
          <w:szCs w:val="24"/>
        </w:rPr>
        <w:tab/>
        <w:t xml:space="preserve">Magazines, </w:t>
      </w:r>
      <w:r>
        <w:rPr>
          <w:rFonts w:ascii="Times New Roman" w:hAnsi="Times New Roman" w:cs="Times New Roman"/>
          <w:sz w:val="24"/>
          <w:szCs w:val="24"/>
        </w:rPr>
        <w:t>13 Sept., 32-33.</w:t>
      </w:r>
    </w:p>
    <w:p w:rsidR="00B44B07" w:rsidRDefault="00B44B07" w:rsidP="006B1D9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Freeman, R. E. and Phillips, R. A. (2002). Stakeholder theory: A libertarian defense. </w:t>
      </w:r>
      <w:r>
        <w:rPr>
          <w:rFonts w:ascii="Times New Roman" w:hAnsi="Times New Roman" w:cs="Times New Roman"/>
          <w:i/>
          <w:iCs/>
          <w:sz w:val="24"/>
          <w:szCs w:val="24"/>
        </w:rPr>
        <w:t xml:space="preserve">Business </w:t>
      </w:r>
      <w:r>
        <w:rPr>
          <w:rFonts w:ascii="Times New Roman" w:hAnsi="Times New Roman" w:cs="Times New Roman"/>
          <w:i/>
          <w:iCs/>
          <w:sz w:val="24"/>
          <w:szCs w:val="24"/>
        </w:rPr>
        <w:tab/>
        <w:t>Ethics Quarterly</w:t>
      </w:r>
      <w:r>
        <w:rPr>
          <w:rFonts w:ascii="Times New Roman" w:hAnsi="Times New Roman" w:cs="Times New Roman"/>
          <w:sz w:val="24"/>
          <w:szCs w:val="24"/>
        </w:rPr>
        <w:t>, 12(3), 331-349.</w:t>
      </w:r>
    </w:p>
    <w:p w:rsidR="00B44B07" w:rsidRDefault="00B44B07" w:rsidP="006B1D9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Garriga, E. and Mele, D. (2004) Corporate social responsibility theories: Mapping and territory. </w:t>
      </w:r>
      <w:r>
        <w:rPr>
          <w:rFonts w:ascii="Times New Roman" w:hAnsi="Times New Roman" w:cs="Times New Roman"/>
          <w:sz w:val="24"/>
          <w:szCs w:val="24"/>
        </w:rPr>
        <w:tab/>
      </w:r>
      <w:r>
        <w:rPr>
          <w:rFonts w:ascii="Times New Roman" w:hAnsi="Times New Roman" w:cs="Times New Roman"/>
          <w:i/>
          <w:iCs/>
          <w:sz w:val="24"/>
          <w:szCs w:val="24"/>
        </w:rPr>
        <w:t>Journal of Business Ethics</w:t>
      </w:r>
      <w:r>
        <w:rPr>
          <w:rFonts w:ascii="Times New Roman" w:hAnsi="Times New Roman" w:cs="Times New Roman"/>
          <w:sz w:val="24"/>
          <w:szCs w:val="24"/>
        </w:rPr>
        <w:t>, 53, 51-74.</w:t>
      </w:r>
    </w:p>
    <w:p w:rsidR="00B44B07" w:rsidRDefault="00B44B07" w:rsidP="006B1D9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Jensen, M. C. (2002) Value maximization, stakeholder theory, and the corporate objective </w:t>
      </w:r>
      <w:r>
        <w:rPr>
          <w:rFonts w:ascii="Times New Roman" w:hAnsi="Times New Roman" w:cs="Times New Roman"/>
          <w:sz w:val="24"/>
          <w:szCs w:val="24"/>
        </w:rPr>
        <w:tab/>
        <w:t>function. Business Ethics Quarterly, 12, 2, 235-256.</w:t>
      </w:r>
    </w:p>
    <w:p w:rsidR="00B44B07" w:rsidRDefault="00B44B07" w:rsidP="006B1D93">
      <w:pPr>
        <w:autoSpaceDE w:val="0"/>
        <w:autoSpaceDN w:val="0"/>
        <w:adjustRightInd w:val="0"/>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lastRenderedPageBreak/>
        <w:t xml:space="preserve">Korhonen, J. (2003). should we measure corporate social responsibility? </w:t>
      </w:r>
      <w:r>
        <w:rPr>
          <w:rFonts w:ascii="Times New Roman" w:hAnsi="Times New Roman" w:cs="Times New Roman"/>
          <w:i/>
          <w:iCs/>
          <w:sz w:val="24"/>
          <w:szCs w:val="24"/>
        </w:rPr>
        <w:t xml:space="preserve">Corporate Social </w:t>
      </w:r>
      <w:r>
        <w:rPr>
          <w:rFonts w:ascii="Times New Roman" w:hAnsi="Times New Roman" w:cs="Times New Roman"/>
          <w:i/>
          <w:iCs/>
          <w:sz w:val="24"/>
          <w:szCs w:val="24"/>
        </w:rPr>
        <w:tab/>
        <w:t>Responsibility and Environmental Management</w:t>
      </w:r>
      <w:r>
        <w:rPr>
          <w:rFonts w:ascii="Times New Roman" w:hAnsi="Times New Roman" w:cs="Times New Roman"/>
          <w:sz w:val="24"/>
          <w:szCs w:val="24"/>
        </w:rPr>
        <w:t>, 10, 25-39.</w:t>
      </w:r>
    </w:p>
    <w:p w:rsidR="00B44B07" w:rsidRDefault="00B44B07" w:rsidP="006B1D93">
      <w:pPr>
        <w:autoSpaceDE w:val="0"/>
        <w:autoSpaceDN w:val="0"/>
        <w:adjustRightInd w:val="0"/>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Lee, M. P. (2008). Review of the theories of corporate social responsibility: Its evolutionary path </w:t>
      </w:r>
      <w:r>
        <w:rPr>
          <w:rFonts w:ascii="Times New Roman" w:hAnsi="Times New Roman" w:cs="Times New Roman"/>
          <w:sz w:val="24"/>
          <w:szCs w:val="24"/>
        </w:rPr>
        <w:tab/>
        <w:t xml:space="preserve">and the road ahead. </w:t>
      </w:r>
      <w:r>
        <w:rPr>
          <w:rFonts w:ascii="Times New Roman" w:hAnsi="Times New Roman" w:cs="Times New Roman"/>
          <w:i/>
          <w:iCs/>
          <w:sz w:val="24"/>
          <w:szCs w:val="24"/>
        </w:rPr>
        <w:t>International Journal of Management Reviews, 10,1, 53-73.</w:t>
      </w:r>
    </w:p>
    <w:p w:rsidR="00B44B07" w:rsidRDefault="00B44B07" w:rsidP="006B1D9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Litz, R. A. (1996). A resource-based view of the socially responsible firm: Stakeholder </w:t>
      </w:r>
      <w:r>
        <w:rPr>
          <w:rFonts w:ascii="Times New Roman" w:hAnsi="Times New Roman" w:cs="Times New Roman"/>
          <w:sz w:val="24"/>
          <w:szCs w:val="24"/>
        </w:rPr>
        <w:tab/>
        <w:t xml:space="preserve">interdependence, ethical awareness, and issue of responsiveness as strategic assets.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iCs/>
          <w:sz w:val="24"/>
          <w:szCs w:val="24"/>
        </w:rPr>
        <w:t xml:space="preserve">Journal of Business Ethics, </w:t>
      </w:r>
      <w:r>
        <w:rPr>
          <w:rFonts w:ascii="Times New Roman" w:hAnsi="Times New Roman" w:cs="Times New Roman"/>
          <w:sz w:val="24"/>
          <w:szCs w:val="24"/>
        </w:rPr>
        <w:t>15, 1355-1363.</w:t>
      </w:r>
    </w:p>
    <w:p w:rsidR="00B44B07" w:rsidRDefault="00B44B07" w:rsidP="006B1D9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Mitchell, R. K., Agle, B. R. and Wood, D. J. (1997). Towards a theory of stakeholder </w:t>
      </w:r>
      <w:r>
        <w:rPr>
          <w:rFonts w:ascii="Times New Roman" w:hAnsi="Times New Roman" w:cs="Times New Roman"/>
          <w:sz w:val="24"/>
          <w:szCs w:val="24"/>
        </w:rPr>
        <w:tab/>
        <w:t xml:space="preserve">identification and salience: Defining the principle of who and what really counts, </w:t>
      </w:r>
      <w:r>
        <w:rPr>
          <w:rFonts w:ascii="Times New Roman" w:hAnsi="Times New Roman" w:cs="Times New Roman"/>
          <w:sz w:val="24"/>
          <w:szCs w:val="24"/>
        </w:rPr>
        <w:tab/>
      </w:r>
      <w:r>
        <w:rPr>
          <w:rFonts w:ascii="Times New Roman" w:hAnsi="Times New Roman" w:cs="Times New Roman"/>
          <w:i/>
          <w:iCs/>
          <w:sz w:val="24"/>
          <w:szCs w:val="24"/>
        </w:rPr>
        <w:t xml:space="preserve">Academy of Management Review, </w:t>
      </w:r>
      <w:r>
        <w:rPr>
          <w:rFonts w:ascii="Times New Roman" w:hAnsi="Times New Roman" w:cs="Times New Roman"/>
          <w:sz w:val="24"/>
          <w:szCs w:val="24"/>
        </w:rPr>
        <w:t>22(4),853-886.</w:t>
      </w:r>
    </w:p>
    <w:p w:rsidR="00B44B07" w:rsidRDefault="00B44B07" w:rsidP="006B1D9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Syarikat FaizaSendirianBerhad (SFSB) (2009). </w:t>
      </w:r>
      <w:r>
        <w:rPr>
          <w:rFonts w:ascii="Times New Roman" w:hAnsi="Times New Roman" w:cs="Times New Roman"/>
          <w:i/>
          <w:iCs/>
          <w:sz w:val="24"/>
          <w:szCs w:val="24"/>
        </w:rPr>
        <w:t xml:space="preserve">SantapanBerkhasiatSepanjang Hayat. </w:t>
      </w:r>
      <w:r>
        <w:rPr>
          <w:rFonts w:ascii="Times New Roman" w:hAnsi="Times New Roman" w:cs="Times New Roman"/>
          <w:sz w:val="24"/>
          <w:szCs w:val="24"/>
        </w:rPr>
        <w:t xml:space="preserve">(An </w:t>
      </w:r>
      <w:r>
        <w:rPr>
          <w:rFonts w:ascii="Times New Roman" w:hAnsi="Times New Roman" w:cs="Times New Roman"/>
          <w:sz w:val="24"/>
          <w:szCs w:val="24"/>
        </w:rPr>
        <w:tab/>
        <w:t xml:space="preserve">Everlasting Nutritional Food). Available at: </w:t>
      </w:r>
      <w:hyperlink r:id="rId15" w:history="1">
        <w:r>
          <w:rPr>
            <w:rFonts w:ascii="Times New Roman" w:hAnsi="Times New Roman" w:cs="Times New Roman"/>
            <w:sz w:val="24"/>
            <w:szCs w:val="24"/>
          </w:rPr>
          <w:t>http://www.faizarice.com/index.htm</w:t>
        </w:r>
      </w:hyperlink>
      <w:r>
        <w:rPr>
          <w:rFonts w:ascii="Times New Roman" w:hAnsi="Times New Roman" w:cs="Times New Roman"/>
          <w:sz w:val="24"/>
          <w:szCs w:val="24"/>
        </w:rPr>
        <w:t xml:space="preserve">, </w:t>
      </w:r>
      <w:r>
        <w:rPr>
          <w:rFonts w:ascii="Times New Roman" w:hAnsi="Times New Roman" w:cs="Times New Roman"/>
          <w:sz w:val="24"/>
          <w:szCs w:val="24"/>
        </w:rPr>
        <w:tab/>
        <w:t>accessed on 12 Dec. 2008.</w:t>
      </w:r>
    </w:p>
    <w:p w:rsidR="00B44B07" w:rsidRDefault="00B44B07" w:rsidP="006B1D93">
      <w:pPr>
        <w:autoSpaceDE w:val="0"/>
        <w:autoSpaceDN w:val="0"/>
        <w:adjustRightInd w:val="0"/>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Secchi, D. (2005). The Italian experience in social reporting: An empirical analysis. </w:t>
      </w:r>
      <w:r>
        <w:rPr>
          <w:rFonts w:ascii="Times New Roman" w:hAnsi="Times New Roman" w:cs="Times New Roman"/>
          <w:i/>
          <w:iCs/>
          <w:sz w:val="24"/>
          <w:szCs w:val="24"/>
        </w:rPr>
        <w:t xml:space="preserve">Corporate </w:t>
      </w:r>
      <w:r>
        <w:rPr>
          <w:rFonts w:ascii="Times New Roman" w:hAnsi="Times New Roman" w:cs="Times New Roman"/>
          <w:i/>
          <w:iCs/>
          <w:sz w:val="24"/>
          <w:szCs w:val="24"/>
        </w:rPr>
        <w:tab/>
        <w:t>Social Responsibility and Environmental Management</w:t>
      </w:r>
      <w:r>
        <w:rPr>
          <w:rFonts w:ascii="Times New Roman" w:hAnsi="Times New Roman" w:cs="Times New Roman"/>
          <w:sz w:val="24"/>
          <w:szCs w:val="24"/>
        </w:rPr>
        <w:t>, 13, 135-149.</w:t>
      </w:r>
    </w:p>
    <w:p w:rsidR="00B44B07" w:rsidRDefault="00B44B07" w:rsidP="006B1D93">
      <w:pPr>
        <w:autoSpaceDE w:val="0"/>
        <w:autoSpaceDN w:val="0"/>
        <w:adjustRightInd w:val="0"/>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Secchi, D. (2007). Utilitarian, managerial and relational theories of corporate social </w:t>
      </w:r>
      <w:r>
        <w:rPr>
          <w:rFonts w:ascii="Times New Roman" w:hAnsi="Times New Roman" w:cs="Times New Roman"/>
          <w:sz w:val="24"/>
          <w:szCs w:val="24"/>
        </w:rPr>
        <w:tab/>
        <w:t>responsibility.</w:t>
      </w:r>
      <w:r>
        <w:rPr>
          <w:rFonts w:ascii="Times New Roman" w:hAnsi="Times New Roman" w:cs="Times New Roman"/>
          <w:i/>
          <w:iCs/>
          <w:sz w:val="24"/>
          <w:szCs w:val="24"/>
        </w:rPr>
        <w:t>International Journal of Management Reviews</w:t>
      </w:r>
      <w:r>
        <w:rPr>
          <w:rFonts w:ascii="Times New Roman" w:hAnsi="Times New Roman" w:cs="Times New Roman"/>
          <w:sz w:val="24"/>
          <w:szCs w:val="24"/>
        </w:rPr>
        <w:t>, 9, 4, 347-373.</w:t>
      </w:r>
    </w:p>
    <w:p w:rsidR="00B44B07" w:rsidRDefault="00B44B07" w:rsidP="006B1D93">
      <w:pPr>
        <w:autoSpaceDE w:val="0"/>
        <w:autoSpaceDN w:val="0"/>
        <w:adjustRightInd w:val="0"/>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Swanson, D. L. (1995).Addressing a theoretical problem by reorienting the corporate social </w:t>
      </w:r>
      <w:r>
        <w:rPr>
          <w:rFonts w:ascii="Times New Roman" w:hAnsi="Times New Roman" w:cs="Times New Roman"/>
          <w:sz w:val="24"/>
          <w:szCs w:val="24"/>
        </w:rPr>
        <w:tab/>
        <w:t>performance model.</w:t>
      </w:r>
      <w:r>
        <w:rPr>
          <w:rFonts w:ascii="Times New Roman" w:hAnsi="Times New Roman" w:cs="Times New Roman"/>
          <w:i/>
          <w:iCs/>
          <w:sz w:val="24"/>
          <w:szCs w:val="24"/>
        </w:rPr>
        <w:t>Academy of Management Review</w:t>
      </w:r>
      <w:r>
        <w:rPr>
          <w:rFonts w:ascii="Times New Roman" w:hAnsi="Times New Roman" w:cs="Times New Roman"/>
          <w:sz w:val="24"/>
          <w:szCs w:val="24"/>
        </w:rPr>
        <w:t>, 20(1), 43-64.</w:t>
      </w:r>
    </w:p>
    <w:p w:rsidR="00B44B07" w:rsidRDefault="00B44B07" w:rsidP="006B1D9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Towers Perrin (2009) </w:t>
      </w:r>
      <w:r>
        <w:rPr>
          <w:rFonts w:ascii="Times New Roman" w:hAnsi="Times New Roman" w:cs="Times New Roman"/>
          <w:i/>
          <w:iCs/>
          <w:sz w:val="24"/>
          <w:szCs w:val="24"/>
        </w:rPr>
        <w:t>Corporate Social Responsibility: It's No Longer an Option.</w:t>
      </w:r>
      <w:r>
        <w:rPr>
          <w:rFonts w:ascii="Times New Roman" w:hAnsi="Times New Roman" w:cs="Times New Roman"/>
          <w:sz w:val="24"/>
          <w:szCs w:val="24"/>
        </w:rPr>
        <w:t xml:space="preserve">Available at </w:t>
      </w:r>
      <w:r>
        <w:rPr>
          <w:rFonts w:ascii="Times New Roman" w:hAnsi="Times New Roman" w:cs="Times New Roman"/>
          <w:sz w:val="24"/>
          <w:szCs w:val="24"/>
        </w:rPr>
        <w:tab/>
      </w:r>
      <w:hyperlink r:id="rId16" w:history="1">
        <w:r>
          <w:rPr>
            <w:rFonts w:ascii="Times New Roman" w:hAnsi="Times New Roman" w:cs="Times New Roman"/>
            <w:sz w:val="24"/>
            <w:szCs w:val="24"/>
          </w:rPr>
          <w:t>http://www.towersperrin.com/tp/showdctmdoc.jsp</w:t>
        </w:r>
      </w:hyperlink>
      <w:r>
        <w:rPr>
          <w:rFonts w:ascii="Times New Roman" w:hAnsi="Times New Roman" w:cs="Times New Roman"/>
          <w:sz w:val="24"/>
          <w:szCs w:val="24"/>
        </w:rPr>
        <w:t>, accessed on 12 Dec. 2008.</w:t>
      </w:r>
    </w:p>
    <w:p w:rsidR="00B44B07" w:rsidRDefault="00B44B07" w:rsidP="006B1D9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Wikipedia (2009).Corporate Social Responsibility. Available at: </w:t>
      </w:r>
      <w:r>
        <w:rPr>
          <w:rFonts w:ascii="Times New Roman" w:hAnsi="Times New Roman" w:cs="Times New Roman"/>
          <w:sz w:val="24"/>
          <w:szCs w:val="24"/>
        </w:rPr>
        <w:tab/>
      </w:r>
      <w:hyperlink r:id="rId17" w:history="1">
        <w:r>
          <w:rPr>
            <w:rFonts w:ascii="Times New Roman" w:hAnsi="Times New Roman" w:cs="Times New Roman"/>
            <w:sz w:val="24"/>
            <w:szCs w:val="24"/>
          </w:rPr>
          <w:t>http://en.wikipedia.org/wiki/Corporate_social_responsibility</w:t>
        </w:r>
      </w:hyperlink>
      <w:r>
        <w:rPr>
          <w:rFonts w:ascii="Times New Roman" w:hAnsi="Times New Roman" w:cs="Times New Roman"/>
          <w:sz w:val="24"/>
          <w:szCs w:val="24"/>
        </w:rPr>
        <w:t>, accessed on 12 Dec. 2008.</w:t>
      </w:r>
    </w:p>
    <w:p w:rsidR="00B44B07" w:rsidRDefault="00B44B07" w:rsidP="006B1D93">
      <w:pPr>
        <w:autoSpaceDE w:val="0"/>
        <w:autoSpaceDN w:val="0"/>
        <w:adjustRightInd w:val="0"/>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Wood, D. J. and Lodgson, J. M. (2002). Business citizenship: From individuals to organizations. </w:t>
      </w:r>
      <w:r>
        <w:rPr>
          <w:rFonts w:ascii="Times New Roman" w:hAnsi="Times New Roman" w:cs="Times New Roman"/>
          <w:sz w:val="24"/>
          <w:szCs w:val="24"/>
        </w:rPr>
        <w:tab/>
      </w:r>
      <w:r>
        <w:rPr>
          <w:rFonts w:ascii="Times New Roman" w:hAnsi="Times New Roman" w:cs="Times New Roman"/>
          <w:i/>
          <w:iCs/>
          <w:sz w:val="24"/>
          <w:szCs w:val="24"/>
        </w:rPr>
        <w:t>Business Ethics Quarterly, Ruffin Series</w:t>
      </w:r>
      <w:r>
        <w:rPr>
          <w:rFonts w:ascii="Times New Roman" w:hAnsi="Times New Roman" w:cs="Times New Roman"/>
          <w:sz w:val="24"/>
          <w:szCs w:val="24"/>
        </w:rPr>
        <w:t>, 3, 59-94.</w:t>
      </w:r>
    </w:p>
    <w:p w:rsidR="00B44B07" w:rsidRDefault="00B44B07" w:rsidP="006B1D9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World Commission on Economic Development (1987).</w:t>
      </w:r>
      <w:r>
        <w:rPr>
          <w:rFonts w:ascii="Times New Roman" w:hAnsi="Times New Roman" w:cs="Times New Roman"/>
          <w:i/>
          <w:iCs/>
          <w:sz w:val="24"/>
          <w:szCs w:val="24"/>
        </w:rPr>
        <w:t>Brutland Report: Our Common Future</w:t>
      </w:r>
      <w:r>
        <w:rPr>
          <w:rFonts w:ascii="Times New Roman" w:hAnsi="Times New Roman" w:cs="Times New Roman"/>
          <w:sz w:val="24"/>
          <w:szCs w:val="24"/>
        </w:rPr>
        <w:t xml:space="preserve">. </w:t>
      </w:r>
      <w:r>
        <w:rPr>
          <w:rFonts w:ascii="Times New Roman" w:hAnsi="Times New Roman" w:cs="Times New Roman"/>
          <w:sz w:val="24"/>
          <w:szCs w:val="24"/>
        </w:rPr>
        <w:tab/>
        <w:t>Oxford: Oxford University Press.</w:t>
      </w:r>
    </w:p>
    <w:p w:rsidR="00B44B07" w:rsidRDefault="00B44B07" w:rsidP="006B1D9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Adizes, I. (1989).</w:t>
      </w:r>
      <w:r>
        <w:rPr>
          <w:rFonts w:ascii="Times New Roman" w:hAnsi="Times New Roman" w:cs="Times New Roman"/>
          <w:i/>
          <w:iCs/>
          <w:color w:val="000000"/>
          <w:sz w:val="24"/>
          <w:szCs w:val="24"/>
        </w:rPr>
        <w:t xml:space="preserve">Corporate Lifecycles: How and Why Corporations Grow and Die and Whatto </w:t>
      </w:r>
      <w:r>
        <w:rPr>
          <w:rFonts w:ascii="Times New Roman" w:hAnsi="Times New Roman" w:cs="Times New Roman"/>
          <w:i/>
          <w:iCs/>
          <w:color w:val="000000"/>
          <w:sz w:val="24"/>
          <w:szCs w:val="24"/>
        </w:rPr>
        <w:tab/>
        <w:t>Do About It</w:t>
      </w:r>
      <w:r>
        <w:rPr>
          <w:rFonts w:ascii="Times New Roman" w:hAnsi="Times New Roman" w:cs="Times New Roman"/>
          <w:color w:val="000000"/>
          <w:sz w:val="24"/>
          <w:szCs w:val="24"/>
        </w:rPr>
        <w:t>. Englewood Cliffs, NJ: Prentice Hall.</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Aldrich, H. E. (1999). </w:t>
      </w:r>
      <w:r>
        <w:rPr>
          <w:rFonts w:ascii="Times New Roman" w:hAnsi="Times New Roman" w:cs="Times New Roman"/>
          <w:i/>
          <w:iCs/>
          <w:color w:val="000000"/>
          <w:sz w:val="24"/>
          <w:szCs w:val="24"/>
        </w:rPr>
        <w:t>Organizations Evolving</w:t>
      </w:r>
      <w:r>
        <w:rPr>
          <w:rFonts w:ascii="Times New Roman" w:hAnsi="Times New Roman" w:cs="Times New Roman"/>
          <w:color w:val="000000"/>
          <w:sz w:val="24"/>
          <w:szCs w:val="24"/>
        </w:rPr>
        <w:t>. Newbury Park, CA: Sage Publications.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Arbaugh, J. B. &amp; Camp, S. M. (2000). Managing growth transitions: Theoretical perspectives</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ab/>
        <w:t xml:space="preserve">and research directions. In D. L. Sexton &amp; H. Landström (Eds.), </w:t>
      </w:r>
      <w:r>
        <w:rPr>
          <w:rFonts w:ascii="Times New Roman" w:hAnsi="Times New Roman" w:cs="Times New Roman"/>
          <w:i/>
          <w:iCs/>
          <w:color w:val="000000"/>
          <w:sz w:val="24"/>
          <w:szCs w:val="24"/>
        </w:rPr>
        <w:t xml:space="preserve">The Blackwell </w:t>
      </w:r>
      <w:r>
        <w:rPr>
          <w:rFonts w:ascii="Times New Roman" w:hAnsi="Times New Roman" w:cs="Times New Roman"/>
          <w:i/>
          <w:iCs/>
          <w:color w:val="000000"/>
          <w:sz w:val="24"/>
          <w:szCs w:val="24"/>
        </w:rPr>
        <w:tab/>
        <w:t xml:space="preserve">Handbook of Entrepreneurship </w:t>
      </w:r>
      <w:r>
        <w:rPr>
          <w:rFonts w:ascii="Times New Roman" w:hAnsi="Times New Roman" w:cs="Times New Roman"/>
          <w:color w:val="000000"/>
          <w:sz w:val="24"/>
          <w:szCs w:val="24"/>
        </w:rPr>
        <w:t>(pp. 308-328). Oxford, UK: (Blackwell.</w:t>
      </w:r>
    </w:p>
    <w:p w:rsidR="006B1D93" w:rsidRDefault="006B1D93" w:rsidP="006B1D93">
      <w:pPr>
        <w:autoSpaceDE w:val="0"/>
        <w:autoSpaceDN w:val="0"/>
        <w:adjustRightInd w:val="0"/>
        <w:spacing w:after="0" w:line="360" w:lineRule="auto"/>
        <w:jc w:val="both"/>
        <w:rPr>
          <w:rFonts w:ascii="Times New Roman" w:hAnsi="Times New Roman" w:cs="Times New Roman"/>
          <w:color w:val="000000"/>
          <w:sz w:val="24"/>
          <w:szCs w:val="24"/>
        </w:rPr>
      </w:pP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Ardishvili, A., Cardozo, S., Harmon, S. &amp;Vadakath, S. (1998, May 21-23). </w:t>
      </w:r>
      <w:r>
        <w:rPr>
          <w:rFonts w:ascii="Times New Roman" w:hAnsi="Times New Roman" w:cs="Times New Roman"/>
          <w:i/>
          <w:iCs/>
          <w:color w:val="000000"/>
          <w:sz w:val="24"/>
          <w:szCs w:val="24"/>
        </w:rPr>
        <w:t>Towards a theory</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 xml:space="preserve">of new venture growth. </w:t>
      </w:r>
      <w:r>
        <w:rPr>
          <w:rFonts w:ascii="Times New Roman" w:hAnsi="Times New Roman" w:cs="Times New Roman"/>
          <w:color w:val="000000"/>
          <w:sz w:val="24"/>
          <w:szCs w:val="24"/>
        </w:rPr>
        <w:t>Paper presented at the 1998 Babson Entrepreneurship Research</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Conference, Ghent, Belgium.</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Arrow, K. (1983). Innovation in small and large firms. In J. Ronen (Ed.), </w:t>
      </w:r>
      <w:r>
        <w:rPr>
          <w:rFonts w:ascii="Times New Roman" w:hAnsi="Times New Roman" w:cs="Times New Roman"/>
          <w:i/>
          <w:iCs/>
          <w:color w:val="000000"/>
          <w:sz w:val="24"/>
          <w:szCs w:val="24"/>
        </w:rPr>
        <w:t>Entrepreneurship</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(pp. 15-28). Lexington, MA: Lexington Books.</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Audretsch, D. (1995). Innovation, growth and survival.</w:t>
      </w:r>
      <w:r>
        <w:rPr>
          <w:rFonts w:ascii="Times New Roman" w:hAnsi="Times New Roman" w:cs="Times New Roman"/>
          <w:i/>
          <w:iCs/>
          <w:color w:val="000000"/>
          <w:sz w:val="24"/>
          <w:szCs w:val="24"/>
        </w:rPr>
        <w:t>International Journal of Industrial</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Organization, 13</w:t>
      </w:r>
      <w:r>
        <w:rPr>
          <w:rFonts w:ascii="Times New Roman" w:hAnsi="Times New Roman" w:cs="Times New Roman"/>
          <w:color w:val="000000"/>
          <w:sz w:val="24"/>
          <w:szCs w:val="24"/>
        </w:rPr>
        <w:t>(4), 441-457.</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Autio, E., Sapienza, H. J. &amp; Almeida, J. G. (2000). Effects of age at entry, knowledge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intensity, and imitability on international growth. </w:t>
      </w:r>
      <w:r>
        <w:rPr>
          <w:rFonts w:ascii="Times New Roman" w:hAnsi="Times New Roman" w:cs="Times New Roman"/>
          <w:i/>
          <w:iCs/>
          <w:color w:val="000000"/>
          <w:sz w:val="24"/>
          <w:szCs w:val="24"/>
        </w:rPr>
        <w:t xml:space="preserve">Academy of Management Journal, </w:t>
      </w:r>
      <w:r>
        <w:rPr>
          <w:rFonts w:ascii="Times New Roman" w:hAnsi="Times New Roman" w:cs="Times New Roman"/>
          <w:i/>
          <w:iCs/>
          <w:color w:val="000000"/>
          <w:sz w:val="24"/>
          <w:szCs w:val="24"/>
        </w:rPr>
        <w:tab/>
        <w:t>43</w:t>
      </w:r>
      <w:r>
        <w:rPr>
          <w:rFonts w:ascii="Times New Roman" w:hAnsi="Times New Roman" w:cs="Times New Roman"/>
          <w:color w:val="000000"/>
          <w:sz w:val="24"/>
          <w:szCs w:val="24"/>
        </w:rPr>
        <w:t>(5), 909-924.</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Bamford, C. E., Dean, T. J. &amp; McDougall, P. P. (1997). Initial strategies and new venture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growth: An examination of the effectiveness of broad vs. narrow breadth strategies. In P.</w:t>
      </w:r>
      <w:r>
        <w:rPr>
          <w:rFonts w:ascii="Times New Roman" w:hAnsi="Times New Roman" w:cs="Times New Roman"/>
          <w:color w:val="000000"/>
          <w:sz w:val="24"/>
          <w:szCs w:val="24"/>
        </w:rPr>
        <w:tab/>
        <w:t>D.</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Reynolds &amp; W. D. Bygrave&amp; N. M. Carter &amp; P. Davidsson&amp; W. B. Gartner &amp; C. M. Mason</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&amp; P. P. McDougall (Eds.), </w:t>
      </w:r>
      <w:r>
        <w:rPr>
          <w:rFonts w:ascii="Times New Roman" w:hAnsi="Times New Roman" w:cs="Times New Roman"/>
          <w:i/>
          <w:iCs/>
          <w:color w:val="000000"/>
          <w:sz w:val="24"/>
          <w:szCs w:val="24"/>
        </w:rPr>
        <w:t xml:space="preserve">Frontiers of Entrepreneurship Research 1997 </w:t>
      </w:r>
      <w:r>
        <w:rPr>
          <w:rFonts w:ascii="Times New Roman" w:hAnsi="Times New Roman" w:cs="Times New Roman"/>
          <w:color w:val="000000"/>
          <w:sz w:val="24"/>
          <w:szCs w:val="24"/>
        </w:rPr>
        <w:t>(pp. 375-389).</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Wellesley, MA: Babson College.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Barber, J., Metcalfe, J. S. &amp;Porteous, M. (1989). </w:t>
      </w:r>
      <w:r>
        <w:rPr>
          <w:rFonts w:ascii="Times New Roman" w:hAnsi="Times New Roman" w:cs="Times New Roman"/>
          <w:i/>
          <w:iCs/>
          <w:color w:val="000000"/>
          <w:sz w:val="24"/>
          <w:szCs w:val="24"/>
        </w:rPr>
        <w:t>Barriers to Growth in Small Firms</w:t>
      </w:r>
      <w:r>
        <w:rPr>
          <w:rFonts w:ascii="Times New Roman" w:hAnsi="Times New Roman" w:cs="Times New Roman"/>
          <w:color w:val="000000"/>
          <w:sz w:val="24"/>
          <w:szCs w:val="24"/>
        </w:rPr>
        <w:t>. London:</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Routledge.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Barker, R. G. &amp; Gump, P. V. (1964).</w:t>
      </w:r>
      <w:r>
        <w:rPr>
          <w:rFonts w:ascii="Times New Roman" w:hAnsi="Times New Roman" w:cs="Times New Roman"/>
          <w:i/>
          <w:iCs/>
          <w:color w:val="000000"/>
          <w:sz w:val="24"/>
          <w:szCs w:val="24"/>
        </w:rPr>
        <w:t>Big School, Small School</w:t>
      </w:r>
      <w:r>
        <w:rPr>
          <w:rFonts w:ascii="Times New Roman" w:hAnsi="Times New Roman" w:cs="Times New Roman"/>
          <w:color w:val="000000"/>
          <w:sz w:val="24"/>
          <w:szCs w:val="24"/>
        </w:rPr>
        <w:t>. Stanford, CA: Stanford</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University Press.</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Barkham, R., Gudgin, G., Hart, M. &amp;Hanvey, E. (1996).</w:t>
      </w:r>
      <w:r>
        <w:rPr>
          <w:rFonts w:ascii="Times New Roman" w:hAnsi="Times New Roman" w:cs="Times New Roman"/>
          <w:i/>
          <w:iCs/>
          <w:color w:val="000000"/>
          <w:sz w:val="24"/>
          <w:szCs w:val="24"/>
        </w:rPr>
        <w:t>The Determinants of Small Firm</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 xml:space="preserve">Growth </w:t>
      </w:r>
      <w:r>
        <w:rPr>
          <w:rFonts w:ascii="Times New Roman" w:hAnsi="Times New Roman" w:cs="Times New Roman"/>
          <w:color w:val="000000"/>
          <w:sz w:val="24"/>
          <w:szCs w:val="24"/>
        </w:rPr>
        <w:t>(Vol. 12).Gateshead, Tyne and Wear, UK: Athenaeum Press.</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Barney, J. (1991). Firm resources and sustained competitive advantage. </w:t>
      </w:r>
      <w:r>
        <w:rPr>
          <w:rFonts w:ascii="Times New Roman" w:hAnsi="Times New Roman" w:cs="Times New Roman"/>
          <w:i/>
          <w:iCs/>
          <w:color w:val="000000"/>
          <w:sz w:val="24"/>
          <w:szCs w:val="24"/>
        </w:rPr>
        <w:t>Journal of</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Management, 17</w:t>
      </w:r>
      <w:r>
        <w:rPr>
          <w:rFonts w:ascii="Times New Roman" w:hAnsi="Times New Roman" w:cs="Times New Roman"/>
          <w:color w:val="000000"/>
          <w:sz w:val="24"/>
          <w:szCs w:val="24"/>
        </w:rPr>
        <w:t>(1), 99-120.</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Barney, J. B. (1997). </w:t>
      </w:r>
      <w:r>
        <w:rPr>
          <w:rFonts w:ascii="Times New Roman" w:hAnsi="Times New Roman" w:cs="Times New Roman"/>
          <w:i/>
          <w:iCs/>
          <w:color w:val="000000"/>
          <w:sz w:val="24"/>
          <w:szCs w:val="24"/>
        </w:rPr>
        <w:t>Gaining and Sustaining Competitive Advantage</w:t>
      </w:r>
      <w:r>
        <w:rPr>
          <w:rFonts w:ascii="Times New Roman" w:hAnsi="Times New Roman" w:cs="Times New Roman"/>
          <w:color w:val="000000"/>
          <w:sz w:val="24"/>
          <w:szCs w:val="24"/>
        </w:rPr>
        <w:t>. Menlo Park, CA.:</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Addison Wesley.</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Baum, J. R. &amp; Locke, E. A. (2004). The relationship of entrepreneurial traits, skill, and</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motivation to subsequent venture growth. </w:t>
      </w:r>
      <w:r>
        <w:rPr>
          <w:rFonts w:ascii="Times New Roman" w:hAnsi="Times New Roman" w:cs="Times New Roman"/>
          <w:i/>
          <w:iCs/>
          <w:color w:val="000000"/>
          <w:sz w:val="24"/>
          <w:szCs w:val="24"/>
        </w:rPr>
        <w:t>Journal of Applied Psychology, 89</w:t>
      </w:r>
      <w:r>
        <w:rPr>
          <w:rFonts w:ascii="Times New Roman" w:hAnsi="Times New Roman" w:cs="Times New Roman"/>
          <w:color w:val="000000"/>
          <w:sz w:val="24"/>
          <w:szCs w:val="24"/>
        </w:rPr>
        <w:t>(4), 587-598.</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Baum, J. R., Locke, E. A. &amp; Kirkpatrick, S. A. (1998). A longitudinal study of the relation of</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ab/>
        <w:t xml:space="preserve">vision and vision communication to venture growth and performance. </w:t>
      </w:r>
      <w:r>
        <w:rPr>
          <w:rFonts w:ascii="Times New Roman" w:hAnsi="Times New Roman" w:cs="Times New Roman"/>
          <w:i/>
          <w:iCs/>
          <w:color w:val="000000"/>
          <w:sz w:val="24"/>
          <w:szCs w:val="24"/>
        </w:rPr>
        <w:t>Journal of Applied</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Psychology, 83</w:t>
      </w:r>
      <w:r>
        <w:rPr>
          <w:rFonts w:ascii="Times New Roman" w:hAnsi="Times New Roman" w:cs="Times New Roman"/>
          <w:color w:val="000000"/>
          <w:sz w:val="24"/>
          <w:szCs w:val="24"/>
        </w:rPr>
        <w:t>(1), 43-54.</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Baum, J. R., Locke, E. A. &amp; Smith, K. G. (2001). A multidimensional model of venture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growth. </w:t>
      </w:r>
      <w:r>
        <w:rPr>
          <w:rFonts w:ascii="Times New Roman" w:hAnsi="Times New Roman" w:cs="Times New Roman"/>
          <w:i/>
          <w:iCs/>
          <w:color w:val="000000"/>
          <w:sz w:val="24"/>
          <w:szCs w:val="24"/>
        </w:rPr>
        <w:t>Academy of Management Journal, 44</w:t>
      </w:r>
      <w:r>
        <w:rPr>
          <w:rFonts w:ascii="Times New Roman" w:hAnsi="Times New Roman" w:cs="Times New Roman"/>
          <w:color w:val="000000"/>
          <w:sz w:val="24"/>
          <w:szCs w:val="24"/>
        </w:rPr>
        <w:t>(2), 292-303.</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Becchetti, L. &amp;Trovato, G. (2002). The determinants of firm growth for small and medium</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sized firms. The role of the availability of external finance.</w:t>
      </w:r>
      <w:r>
        <w:rPr>
          <w:rFonts w:ascii="Times New Roman" w:hAnsi="Times New Roman" w:cs="Times New Roman"/>
          <w:i/>
          <w:iCs/>
          <w:color w:val="000000"/>
          <w:sz w:val="24"/>
          <w:szCs w:val="24"/>
        </w:rPr>
        <w:t xml:space="preserve">Small Business Economics, </w:t>
      </w:r>
      <w:r>
        <w:rPr>
          <w:rFonts w:ascii="Times New Roman" w:hAnsi="Times New Roman" w:cs="Times New Roman"/>
          <w:i/>
          <w:iCs/>
          <w:color w:val="000000"/>
          <w:sz w:val="24"/>
          <w:szCs w:val="24"/>
        </w:rPr>
        <w:tab/>
      </w:r>
      <w:r>
        <w:rPr>
          <w:rFonts w:ascii="Times New Roman" w:hAnsi="Times New Roman" w:cs="Times New Roman"/>
          <w:i/>
          <w:iCs/>
          <w:color w:val="000000"/>
          <w:sz w:val="24"/>
          <w:szCs w:val="24"/>
        </w:rPr>
        <w:tab/>
      </w:r>
      <w:r>
        <w:rPr>
          <w:rFonts w:ascii="Times New Roman" w:hAnsi="Times New Roman" w:cs="Times New Roman"/>
          <w:i/>
          <w:iCs/>
          <w:color w:val="000000"/>
          <w:sz w:val="24"/>
          <w:szCs w:val="24"/>
        </w:rPr>
        <w:tab/>
        <w:t>19</w:t>
      </w:r>
      <w:r>
        <w:rPr>
          <w:rFonts w:ascii="Times New Roman" w:hAnsi="Times New Roman" w:cs="Times New Roman"/>
          <w:color w:val="000000"/>
          <w:sz w:val="24"/>
          <w:szCs w:val="24"/>
        </w:rPr>
        <w:t>(4), 291-306.</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Benito, G. R. G. &amp; Welch, L. S. (1997).De-internationalisation.</w:t>
      </w:r>
      <w:r>
        <w:rPr>
          <w:rFonts w:ascii="Times New Roman" w:hAnsi="Times New Roman" w:cs="Times New Roman"/>
          <w:i/>
          <w:iCs/>
          <w:color w:val="000000"/>
          <w:sz w:val="24"/>
          <w:szCs w:val="24"/>
        </w:rPr>
        <w:t xml:space="preserve">Management International </w:t>
      </w:r>
      <w:r>
        <w:rPr>
          <w:rFonts w:ascii="Times New Roman" w:hAnsi="Times New Roman" w:cs="Times New Roman"/>
          <w:i/>
          <w:iCs/>
          <w:color w:val="000000"/>
          <w:sz w:val="24"/>
          <w:szCs w:val="24"/>
        </w:rPr>
        <w:tab/>
        <w:t>Review, 37</w:t>
      </w:r>
      <w:r>
        <w:rPr>
          <w:rFonts w:ascii="Times New Roman" w:hAnsi="Times New Roman" w:cs="Times New Roman"/>
          <w:color w:val="000000"/>
          <w:sz w:val="24"/>
          <w:szCs w:val="24"/>
        </w:rPr>
        <w:t>(2), 7-25.</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Birch, D. L. (1987).</w:t>
      </w:r>
      <w:r>
        <w:rPr>
          <w:rFonts w:ascii="Times New Roman" w:hAnsi="Times New Roman" w:cs="Times New Roman"/>
          <w:i/>
          <w:iCs/>
          <w:color w:val="000000"/>
          <w:sz w:val="24"/>
          <w:szCs w:val="24"/>
        </w:rPr>
        <w:t>Job Creation in America: How the Smallest Companies Put the Most</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People to Work</w:t>
      </w:r>
      <w:r>
        <w:rPr>
          <w:rFonts w:ascii="Times New Roman" w:hAnsi="Times New Roman" w:cs="Times New Roman"/>
          <w:color w:val="000000"/>
          <w:sz w:val="24"/>
          <w:szCs w:val="24"/>
        </w:rPr>
        <w:t>. New York: The Free Press.</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Birley, S. (1985).The role of networks in the entrepreneurial process.</w:t>
      </w:r>
      <w:r>
        <w:rPr>
          <w:rFonts w:ascii="Times New Roman" w:hAnsi="Times New Roman" w:cs="Times New Roman"/>
          <w:i/>
          <w:iCs/>
          <w:color w:val="000000"/>
          <w:sz w:val="24"/>
          <w:szCs w:val="24"/>
        </w:rPr>
        <w:t>Journal of Business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Venturing, 3</w:t>
      </w:r>
      <w:r>
        <w:rPr>
          <w:rFonts w:ascii="Times New Roman" w:hAnsi="Times New Roman" w:cs="Times New Roman"/>
          <w:color w:val="000000"/>
          <w:sz w:val="24"/>
          <w:szCs w:val="24"/>
        </w:rPr>
        <w:t>(1), 107-117.</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Birley, S. &amp;Stockley, S. (2000). Entrepreneurial teams and venture growth. In D. L. Sexton</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&amp; H. Landström (Eds.), </w:t>
      </w:r>
      <w:r>
        <w:rPr>
          <w:rFonts w:ascii="Times New Roman" w:hAnsi="Times New Roman" w:cs="Times New Roman"/>
          <w:i/>
          <w:iCs/>
          <w:color w:val="000000"/>
          <w:sz w:val="24"/>
          <w:szCs w:val="24"/>
        </w:rPr>
        <w:t xml:space="preserve">The Blackwell Handbook of Entrepreneurship </w:t>
      </w:r>
      <w:r>
        <w:rPr>
          <w:rFonts w:ascii="Times New Roman" w:hAnsi="Times New Roman" w:cs="Times New Roman"/>
          <w:color w:val="000000"/>
          <w:sz w:val="24"/>
          <w:szCs w:val="24"/>
        </w:rPr>
        <w:t xml:space="preserve">(pp. 287-307). </w:t>
      </w:r>
      <w:r>
        <w:rPr>
          <w:rFonts w:ascii="Times New Roman" w:hAnsi="Times New Roman" w:cs="Times New Roman"/>
          <w:color w:val="000000"/>
          <w:sz w:val="24"/>
          <w:szCs w:val="24"/>
        </w:rPr>
        <w:tab/>
        <w:t>Oxford, UK: Blackwell.</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Bloodgood, J. M. (1996). The internationalization of high-potential U.S. ventures: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Antecedents and outcomes.</w:t>
      </w:r>
      <w:r>
        <w:rPr>
          <w:rFonts w:ascii="Times New Roman" w:hAnsi="Times New Roman" w:cs="Times New Roman"/>
          <w:i/>
          <w:iCs/>
          <w:color w:val="000000"/>
          <w:sz w:val="24"/>
          <w:szCs w:val="24"/>
        </w:rPr>
        <w:t>Entrepreneurship Theory and Practice, 8</w:t>
      </w:r>
      <w:r>
        <w:rPr>
          <w:rFonts w:ascii="Times New Roman" w:hAnsi="Times New Roman" w:cs="Times New Roman"/>
          <w:color w:val="000000"/>
          <w:sz w:val="24"/>
          <w:szCs w:val="24"/>
        </w:rPr>
        <w:t>(4), 61-77.</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Bolton, J. E. (1971). </w:t>
      </w:r>
      <w:r>
        <w:rPr>
          <w:rFonts w:ascii="Times New Roman" w:hAnsi="Times New Roman" w:cs="Times New Roman"/>
          <w:i/>
          <w:iCs/>
          <w:color w:val="000000"/>
          <w:sz w:val="24"/>
          <w:szCs w:val="24"/>
        </w:rPr>
        <w:t>Small Firms.Report of the Committee of Inquiry on Small Firms</w:t>
      </w:r>
      <w:r>
        <w:rPr>
          <w:rFonts w:ascii="Times New Roman" w:hAnsi="Times New Roman" w:cs="Times New Roman"/>
          <w:color w:val="000000"/>
          <w:sz w:val="24"/>
          <w:szCs w:val="24"/>
        </w:rPr>
        <w:t>.</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London: Her Majesty's Stationery Office.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Butler, J. E. &amp; Hansen, G. S. (1991). Network evolution, entrepreneurial success, and regional</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development. </w:t>
      </w:r>
      <w:r>
        <w:rPr>
          <w:rFonts w:ascii="Times New Roman" w:hAnsi="Times New Roman" w:cs="Times New Roman"/>
          <w:i/>
          <w:iCs/>
          <w:color w:val="000000"/>
          <w:sz w:val="24"/>
          <w:szCs w:val="24"/>
        </w:rPr>
        <w:t>Entrepreneurship and Regional Development, 3</w:t>
      </w:r>
      <w:r>
        <w:rPr>
          <w:rFonts w:ascii="Times New Roman" w:hAnsi="Times New Roman" w:cs="Times New Roman"/>
          <w:color w:val="000000"/>
          <w:sz w:val="24"/>
          <w:szCs w:val="24"/>
        </w:rPr>
        <w:t>(1), 1-16.</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Calof, J. &amp; Beamish, P. (1995).Adapting to foreign markets: Explaining internationalisation.</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International Business Review, 4</w:t>
      </w:r>
      <w:r>
        <w:rPr>
          <w:rFonts w:ascii="Times New Roman" w:hAnsi="Times New Roman" w:cs="Times New Roman"/>
          <w:color w:val="000000"/>
          <w:sz w:val="24"/>
          <w:szCs w:val="24"/>
        </w:rPr>
        <w:t>(2), 115-131.</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Capon, N., Farley, J. U. &amp;Hoenig, S. (1990). Determinants of financial performance: a </w:t>
      </w:r>
      <w:r>
        <w:rPr>
          <w:rFonts w:ascii="Times New Roman" w:hAnsi="Times New Roman" w:cs="Times New Roman"/>
          <w:color w:val="000000"/>
          <w:sz w:val="24"/>
          <w:szCs w:val="24"/>
        </w:rPr>
        <w:tab/>
        <w:t xml:space="preserve">metaanalysis. </w:t>
      </w:r>
      <w:r>
        <w:rPr>
          <w:rFonts w:ascii="Times New Roman" w:hAnsi="Times New Roman" w:cs="Times New Roman"/>
          <w:i/>
          <w:iCs/>
          <w:color w:val="000000"/>
          <w:sz w:val="24"/>
          <w:szCs w:val="24"/>
        </w:rPr>
        <w:t>Management Science, 36</w:t>
      </w:r>
      <w:r>
        <w:rPr>
          <w:rFonts w:ascii="Times New Roman" w:hAnsi="Times New Roman" w:cs="Times New Roman"/>
          <w:color w:val="000000"/>
          <w:sz w:val="24"/>
          <w:szCs w:val="24"/>
        </w:rPr>
        <w:t>(10), 1143-1159.</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Carlsson, B. (2002). Institutions, entrepreneurship, and growth: Biomedicine and polymers in</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Sweden and Ohio.</w:t>
      </w:r>
      <w:r>
        <w:rPr>
          <w:rFonts w:ascii="Times New Roman" w:hAnsi="Times New Roman" w:cs="Times New Roman"/>
          <w:i/>
          <w:iCs/>
          <w:color w:val="000000"/>
          <w:sz w:val="24"/>
          <w:szCs w:val="24"/>
        </w:rPr>
        <w:t>Small Business Economics, 19</w:t>
      </w:r>
      <w:r>
        <w:rPr>
          <w:rFonts w:ascii="Times New Roman" w:hAnsi="Times New Roman" w:cs="Times New Roman"/>
          <w:color w:val="000000"/>
          <w:sz w:val="24"/>
          <w:szCs w:val="24"/>
        </w:rPr>
        <w:t>(2), 105-121.</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Carroll, G. R. &amp;Hannan, M. T. (2000).</w:t>
      </w:r>
      <w:r>
        <w:rPr>
          <w:rFonts w:ascii="Times New Roman" w:hAnsi="Times New Roman" w:cs="Times New Roman"/>
          <w:i/>
          <w:iCs/>
          <w:color w:val="000000"/>
          <w:sz w:val="24"/>
          <w:szCs w:val="24"/>
        </w:rPr>
        <w:t>The Demography of Corporations and Industries.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Princeton, NJ: Princeton University Press.</w:t>
      </w:r>
    </w:p>
    <w:p w:rsidR="006B1D93" w:rsidRDefault="006B1D93" w:rsidP="006B1D93">
      <w:pPr>
        <w:autoSpaceDE w:val="0"/>
        <w:autoSpaceDN w:val="0"/>
        <w:adjustRightInd w:val="0"/>
        <w:spacing w:after="0" w:line="360" w:lineRule="auto"/>
        <w:jc w:val="both"/>
        <w:rPr>
          <w:rFonts w:ascii="Times New Roman" w:hAnsi="Times New Roman" w:cs="Times New Roman"/>
          <w:color w:val="000000"/>
          <w:sz w:val="24"/>
          <w:szCs w:val="24"/>
        </w:rPr>
      </w:pP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Chandler, G. N. &amp; Hanks, S. H. (1994). Founder competence, the environment, and venture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performance. </w:t>
      </w:r>
      <w:r>
        <w:rPr>
          <w:rFonts w:ascii="Times New Roman" w:hAnsi="Times New Roman" w:cs="Times New Roman"/>
          <w:i/>
          <w:iCs/>
          <w:color w:val="000000"/>
          <w:sz w:val="24"/>
          <w:szCs w:val="24"/>
        </w:rPr>
        <w:t>Entrepreneurship Theory and Practice, 18</w:t>
      </w:r>
      <w:r>
        <w:rPr>
          <w:rFonts w:ascii="Times New Roman" w:hAnsi="Times New Roman" w:cs="Times New Roman"/>
          <w:color w:val="000000"/>
          <w:sz w:val="24"/>
          <w:szCs w:val="24"/>
        </w:rPr>
        <w:t>(3), 77-89.</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Chandler, G. N. &amp; Jansen, E. (1992). The founder's self-assessed competence and venture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performance. </w:t>
      </w:r>
      <w:r>
        <w:rPr>
          <w:rFonts w:ascii="Times New Roman" w:hAnsi="Times New Roman" w:cs="Times New Roman"/>
          <w:i/>
          <w:iCs/>
          <w:color w:val="000000"/>
          <w:sz w:val="24"/>
          <w:szCs w:val="24"/>
        </w:rPr>
        <w:t>Journal of Business Venturing, 7</w:t>
      </w:r>
      <w:r>
        <w:rPr>
          <w:rFonts w:ascii="Times New Roman" w:hAnsi="Times New Roman" w:cs="Times New Roman"/>
          <w:color w:val="000000"/>
          <w:sz w:val="24"/>
          <w:szCs w:val="24"/>
        </w:rPr>
        <w:t>(3), 223-236.</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Chandler, G. N., McKelvie, A. &amp;Davidsson, P. (2005).</w:t>
      </w:r>
      <w:r>
        <w:rPr>
          <w:rFonts w:ascii="Times New Roman" w:hAnsi="Times New Roman" w:cs="Times New Roman"/>
          <w:i/>
          <w:iCs/>
          <w:color w:val="000000"/>
          <w:sz w:val="24"/>
          <w:szCs w:val="24"/>
        </w:rPr>
        <w:t>New venture growth: A transaction</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 xml:space="preserve">cost perspective. </w:t>
      </w:r>
      <w:r>
        <w:rPr>
          <w:rFonts w:ascii="Times New Roman" w:hAnsi="Times New Roman" w:cs="Times New Roman"/>
          <w:color w:val="000000"/>
          <w:sz w:val="24"/>
          <w:szCs w:val="24"/>
        </w:rPr>
        <w:t>Paper presented at the Paper presented at the Academy of Management</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Conference, Honolulu.</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Chetty, S. (1999). Dimensions of internationalisation of manufacturing firms in the apparel</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industry. </w:t>
      </w:r>
      <w:r>
        <w:rPr>
          <w:rFonts w:ascii="Times New Roman" w:hAnsi="Times New Roman" w:cs="Times New Roman"/>
          <w:i/>
          <w:iCs/>
          <w:color w:val="000000"/>
          <w:sz w:val="24"/>
          <w:szCs w:val="24"/>
        </w:rPr>
        <w:t>European Journal of Marketing, 33</w:t>
      </w:r>
      <w:r>
        <w:rPr>
          <w:rFonts w:ascii="Times New Roman" w:hAnsi="Times New Roman" w:cs="Times New Roman"/>
          <w:color w:val="000000"/>
          <w:sz w:val="24"/>
          <w:szCs w:val="24"/>
        </w:rPr>
        <w:t>(1-2), 121-142.</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Chetty, S. &amp; Campbell-Hunt, C. (2003). Explosive international growth and problems of</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success amongst small to medium-sized firms. . </w:t>
      </w:r>
      <w:r>
        <w:rPr>
          <w:rFonts w:ascii="Times New Roman" w:hAnsi="Times New Roman" w:cs="Times New Roman"/>
          <w:i/>
          <w:iCs/>
          <w:color w:val="000000"/>
          <w:sz w:val="24"/>
          <w:szCs w:val="24"/>
        </w:rPr>
        <w:t xml:space="preserve">International Small Business Journal, </w:t>
      </w:r>
      <w:r>
        <w:rPr>
          <w:rFonts w:ascii="Times New Roman" w:hAnsi="Times New Roman" w:cs="Times New Roman"/>
          <w:i/>
          <w:iCs/>
          <w:color w:val="000000"/>
          <w:sz w:val="24"/>
          <w:szCs w:val="24"/>
        </w:rPr>
        <w:tab/>
        <w:t>21</w:t>
      </w:r>
      <w:r>
        <w:rPr>
          <w:rFonts w:ascii="Times New Roman" w:hAnsi="Times New Roman" w:cs="Times New Roman"/>
          <w:color w:val="000000"/>
          <w:sz w:val="24"/>
          <w:szCs w:val="24"/>
        </w:rPr>
        <w:t>(1), 5-27.</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Cliff, J. E. (1998). Does one size fit all? Exploring the relationship between attitudes towards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growth, gender, and business size. </w:t>
      </w:r>
      <w:r>
        <w:rPr>
          <w:rFonts w:ascii="Times New Roman" w:hAnsi="Times New Roman" w:cs="Times New Roman"/>
          <w:i/>
          <w:iCs/>
          <w:color w:val="000000"/>
          <w:sz w:val="24"/>
          <w:szCs w:val="24"/>
        </w:rPr>
        <w:t>Journal of Business Venturing, 13</w:t>
      </w:r>
      <w:r>
        <w:rPr>
          <w:rFonts w:ascii="Times New Roman" w:hAnsi="Times New Roman" w:cs="Times New Roman"/>
          <w:color w:val="000000"/>
          <w:sz w:val="24"/>
          <w:szCs w:val="24"/>
        </w:rPr>
        <w:t>(6), 523-542.</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Cooper, A. C., Gimeno-Gascon, F. J. &amp; Woo, C. Y. (1994). Initial human and financial</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capital as predictors of new venture performance. </w:t>
      </w:r>
      <w:r>
        <w:rPr>
          <w:rFonts w:ascii="Times New Roman" w:hAnsi="Times New Roman" w:cs="Times New Roman"/>
          <w:i/>
          <w:iCs/>
          <w:color w:val="000000"/>
          <w:sz w:val="24"/>
          <w:szCs w:val="24"/>
        </w:rPr>
        <w:t>Journal of Business Venturing, 9</w:t>
      </w:r>
      <w:r>
        <w:rPr>
          <w:rFonts w:ascii="Times New Roman" w:hAnsi="Times New Roman" w:cs="Times New Roman"/>
          <w:color w:val="000000"/>
          <w:sz w:val="24"/>
          <w:szCs w:val="24"/>
        </w:rPr>
        <w:t xml:space="preserve">(5), </w:t>
      </w:r>
      <w:r>
        <w:rPr>
          <w:rFonts w:ascii="Times New Roman" w:hAnsi="Times New Roman" w:cs="Times New Roman"/>
          <w:color w:val="000000"/>
          <w:sz w:val="24"/>
          <w:szCs w:val="24"/>
        </w:rPr>
        <w:tab/>
      </w:r>
      <w:r>
        <w:rPr>
          <w:rFonts w:ascii="Times New Roman" w:hAnsi="Times New Roman" w:cs="Times New Roman"/>
          <w:color w:val="000000"/>
          <w:sz w:val="24"/>
          <w:szCs w:val="24"/>
        </w:rPr>
        <w:tab/>
        <w:t>371- 395.</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Covin, J. G. &amp;Slevin, D. P. (1997). High growth transitions: theoretical perspectives and</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suggested directions. In D. L. Sexton &amp; R. W. Smilor (Eds.), </w:t>
      </w:r>
      <w:r>
        <w:rPr>
          <w:rFonts w:ascii="Times New Roman" w:hAnsi="Times New Roman" w:cs="Times New Roman"/>
          <w:i/>
          <w:iCs/>
          <w:color w:val="000000"/>
          <w:sz w:val="24"/>
          <w:szCs w:val="24"/>
        </w:rPr>
        <w:t xml:space="preserve">Entrepreneurship 2000 </w:t>
      </w:r>
      <w:r>
        <w:rPr>
          <w:rFonts w:ascii="Times New Roman" w:hAnsi="Times New Roman" w:cs="Times New Roman"/>
          <w:color w:val="000000"/>
          <w:sz w:val="24"/>
          <w:szCs w:val="24"/>
        </w:rPr>
        <w:t>(pp.</w:t>
      </w:r>
      <w:r>
        <w:rPr>
          <w:rFonts w:ascii="Times New Roman" w:hAnsi="Times New Roman" w:cs="Times New Roman"/>
          <w:color w:val="000000"/>
          <w:sz w:val="24"/>
          <w:szCs w:val="24"/>
        </w:rPr>
        <w:tab/>
        <w:t>99- 126). Chicago: Upstart.</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Cowling, M. (2004).The growth-profit nexus.</w:t>
      </w:r>
      <w:r>
        <w:rPr>
          <w:rFonts w:ascii="Times New Roman" w:hAnsi="Times New Roman" w:cs="Times New Roman"/>
          <w:i/>
          <w:iCs/>
          <w:color w:val="000000"/>
          <w:sz w:val="24"/>
          <w:szCs w:val="24"/>
        </w:rPr>
        <w:t>Small Business Economics, 22</w:t>
      </w:r>
      <w:r>
        <w:rPr>
          <w:rFonts w:ascii="Times New Roman" w:hAnsi="Times New Roman" w:cs="Times New Roman"/>
          <w:color w:val="000000"/>
          <w:sz w:val="24"/>
          <w:szCs w:val="24"/>
        </w:rPr>
        <w:t>(1), 1-9.</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ab/>
        <w:t>Cox, L. W., Camp, S. M. &amp; Ensley, M. D. (2002).</w:t>
      </w:r>
      <w:r>
        <w:rPr>
          <w:rFonts w:ascii="Times New Roman" w:hAnsi="Times New Roman" w:cs="Times New Roman"/>
          <w:i/>
          <w:iCs/>
          <w:color w:val="000000"/>
          <w:sz w:val="24"/>
          <w:szCs w:val="24"/>
        </w:rPr>
        <w:t xml:space="preserve">Does it pay to grow? The impact of </w:t>
      </w:r>
      <w:r>
        <w:rPr>
          <w:rFonts w:ascii="Times New Roman" w:hAnsi="Times New Roman" w:cs="Times New Roman"/>
          <w:i/>
          <w:iCs/>
          <w:color w:val="000000"/>
          <w:sz w:val="24"/>
          <w:szCs w:val="24"/>
        </w:rPr>
        <w:tab/>
        <w:t>growth on profitability and wealth creation.</w:t>
      </w:r>
      <w:r>
        <w:rPr>
          <w:rFonts w:ascii="Times New Roman" w:hAnsi="Times New Roman" w:cs="Times New Roman"/>
          <w:color w:val="000000"/>
          <w:sz w:val="24"/>
          <w:szCs w:val="24"/>
        </w:rPr>
        <w:t xml:space="preserve">Paper presented at the Babson </w:t>
      </w:r>
      <w:r>
        <w:rPr>
          <w:rFonts w:ascii="Times New Roman" w:hAnsi="Times New Roman" w:cs="Times New Roman"/>
          <w:color w:val="000000"/>
          <w:sz w:val="24"/>
          <w:szCs w:val="24"/>
        </w:rPr>
        <w:tab/>
        <w:t xml:space="preserve">College/KauffmanFoundation Entrepreneurship Research Conference, </w:t>
      </w:r>
      <w:r>
        <w:rPr>
          <w:rFonts w:ascii="Times New Roman" w:hAnsi="Times New Roman" w:cs="Times New Roman"/>
          <w:color w:val="000000"/>
          <w:sz w:val="24"/>
          <w:szCs w:val="24"/>
        </w:rPr>
        <w:tab/>
        <w:t xml:space="preserve">Boulder </w:t>
      </w:r>
      <w:r>
        <w:rPr>
          <w:rFonts w:ascii="Times New Roman" w:hAnsi="Times New Roman" w:cs="Times New Roman"/>
          <w:color w:val="000000"/>
          <w:sz w:val="24"/>
          <w:szCs w:val="24"/>
        </w:rPr>
        <w:tab/>
        <w:t>,Colorado.</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Cressy, R. &amp;Olofsson, C. (1996). The financial conditions for Swedish SMEs: Survey and</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 xml:space="preserve">research agenda. </w:t>
      </w:r>
      <w:r>
        <w:rPr>
          <w:rFonts w:ascii="Times New Roman" w:hAnsi="Times New Roman" w:cs="Times New Roman"/>
          <w:i/>
          <w:iCs/>
          <w:color w:val="000000"/>
          <w:sz w:val="24"/>
          <w:szCs w:val="24"/>
        </w:rPr>
        <w:t>Small Business Economics, 9</w:t>
      </w:r>
      <w:r>
        <w:rPr>
          <w:rFonts w:ascii="Times New Roman" w:hAnsi="Times New Roman" w:cs="Times New Roman"/>
          <w:color w:val="000000"/>
          <w:sz w:val="24"/>
          <w:szCs w:val="24"/>
        </w:rPr>
        <w:t>(2), 179-194.</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Davidsson, P. (1989a). </w:t>
      </w:r>
      <w:r>
        <w:rPr>
          <w:rFonts w:ascii="Times New Roman" w:hAnsi="Times New Roman" w:cs="Times New Roman"/>
          <w:i/>
          <w:iCs/>
          <w:color w:val="000000"/>
          <w:sz w:val="24"/>
          <w:szCs w:val="24"/>
        </w:rPr>
        <w:t xml:space="preserve">Continued Entrepreneurship and Small Firm Growth. </w:t>
      </w:r>
      <w:r>
        <w:rPr>
          <w:rFonts w:ascii="Times New Roman" w:hAnsi="Times New Roman" w:cs="Times New Roman"/>
          <w:color w:val="000000"/>
          <w:sz w:val="24"/>
          <w:szCs w:val="24"/>
        </w:rPr>
        <w:t>Doctoral</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dissertation. Stockholm: Stockholm School of Economics.</w:t>
      </w:r>
    </w:p>
    <w:p w:rsidR="006B1D93" w:rsidRDefault="006B1D93" w:rsidP="006B1D93">
      <w:pPr>
        <w:autoSpaceDE w:val="0"/>
        <w:autoSpaceDN w:val="0"/>
        <w:adjustRightInd w:val="0"/>
        <w:spacing w:after="0" w:line="360" w:lineRule="auto"/>
        <w:jc w:val="both"/>
        <w:rPr>
          <w:rFonts w:ascii="Times New Roman" w:hAnsi="Times New Roman" w:cs="Times New Roman"/>
          <w:color w:val="000000"/>
          <w:sz w:val="24"/>
          <w:szCs w:val="24"/>
        </w:rPr>
      </w:pP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Davidsson, P. (1989b). Entrepreneurship -- and after? A study of growth willingness in small</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firms. </w:t>
      </w:r>
      <w:r>
        <w:rPr>
          <w:rFonts w:ascii="Times New Roman" w:hAnsi="Times New Roman" w:cs="Times New Roman"/>
          <w:i/>
          <w:iCs/>
          <w:color w:val="000000"/>
          <w:sz w:val="24"/>
          <w:szCs w:val="24"/>
        </w:rPr>
        <w:t>Journal of Business Venturing, 4</w:t>
      </w:r>
      <w:r>
        <w:rPr>
          <w:rFonts w:ascii="Times New Roman" w:hAnsi="Times New Roman" w:cs="Times New Roman"/>
          <w:color w:val="000000"/>
          <w:sz w:val="24"/>
          <w:szCs w:val="24"/>
        </w:rPr>
        <w:t>(3), 211-226.</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Davidsson, P. (1991). Continued entrepreneurship: Ability, need, and opportunity as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determinants of small firm growth. </w:t>
      </w:r>
      <w:r>
        <w:rPr>
          <w:rFonts w:ascii="Times New Roman" w:hAnsi="Times New Roman" w:cs="Times New Roman"/>
          <w:i/>
          <w:iCs/>
          <w:color w:val="000000"/>
          <w:sz w:val="24"/>
          <w:szCs w:val="24"/>
        </w:rPr>
        <w:t>Journal of Business Venturing, 6</w:t>
      </w:r>
      <w:r>
        <w:rPr>
          <w:rFonts w:ascii="Times New Roman" w:hAnsi="Times New Roman" w:cs="Times New Roman"/>
          <w:color w:val="000000"/>
          <w:sz w:val="24"/>
          <w:szCs w:val="24"/>
        </w:rPr>
        <w:t>(6), 405-429.</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Davidsson, P. (2003). The domain of entrepreneurship research: Some suggestions. In J. Katz</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&amp; D. Shepherd (Eds.), </w:t>
      </w:r>
      <w:r>
        <w:rPr>
          <w:rFonts w:ascii="Times New Roman" w:hAnsi="Times New Roman" w:cs="Times New Roman"/>
          <w:i/>
          <w:iCs/>
          <w:color w:val="000000"/>
          <w:sz w:val="24"/>
          <w:szCs w:val="24"/>
        </w:rPr>
        <w:t xml:space="preserve">Cognitive Approaches to Entrepreneurship Research </w:t>
      </w:r>
      <w:r>
        <w:rPr>
          <w:rFonts w:ascii="Times New Roman" w:hAnsi="Times New Roman" w:cs="Times New Roman"/>
          <w:color w:val="000000"/>
          <w:sz w:val="24"/>
          <w:szCs w:val="24"/>
        </w:rPr>
        <w:t xml:space="preserve">(Vol. 6, pp. </w:t>
      </w:r>
      <w:r>
        <w:rPr>
          <w:rFonts w:ascii="Times New Roman" w:hAnsi="Times New Roman" w:cs="Times New Roman"/>
          <w:color w:val="000000"/>
          <w:sz w:val="24"/>
          <w:szCs w:val="24"/>
        </w:rPr>
        <w:tab/>
        <w:t>315-372). Oxford, UK: Elsevier/JAI Press.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Davidsson, P. (2004). </w:t>
      </w:r>
      <w:r>
        <w:rPr>
          <w:rFonts w:ascii="Times New Roman" w:hAnsi="Times New Roman" w:cs="Times New Roman"/>
          <w:i/>
          <w:iCs/>
          <w:color w:val="000000"/>
          <w:sz w:val="24"/>
          <w:szCs w:val="24"/>
        </w:rPr>
        <w:t>Researching Entrepreneurship</w:t>
      </w:r>
      <w:r>
        <w:rPr>
          <w:rFonts w:ascii="Times New Roman" w:hAnsi="Times New Roman" w:cs="Times New Roman"/>
          <w:color w:val="000000"/>
          <w:sz w:val="24"/>
          <w:szCs w:val="24"/>
        </w:rPr>
        <w:t>. New York: Springer.</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Davidsson, P. &amp; Delmar, F. (1997).</w:t>
      </w:r>
      <w:r>
        <w:rPr>
          <w:rFonts w:ascii="Times New Roman" w:hAnsi="Times New Roman" w:cs="Times New Roman"/>
          <w:i/>
          <w:iCs/>
          <w:color w:val="000000"/>
          <w:sz w:val="24"/>
          <w:szCs w:val="24"/>
        </w:rPr>
        <w:t>High-growth firms and their contribution to employment:</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The case of Sweden 1987-96</w:t>
      </w:r>
      <w:r>
        <w:rPr>
          <w:rFonts w:ascii="Times New Roman" w:hAnsi="Times New Roman" w:cs="Times New Roman"/>
          <w:color w:val="000000"/>
          <w:sz w:val="24"/>
          <w:szCs w:val="24"/>
        </w:rPr>
        <w:t>. Paris: OECD Working Party on SMEs.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Davidsson, P. &amp; Delmar, F. (1998). Some important observations concerning job creation by</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ab/>
        <w:t xml:space="preserve">firm size and age. In H. J. Pleitner (Ed.), </w:t>
      </w:r>
      <w:r>
        <w:rPr>
          <w:rFonts w:ascii="Times New Roman" w:hAnsi="Times New Roman" w:cs="Times New Roman"/>
          <w:i/>
          <w:iCs/>
          <w:color w:val="000000"/>
          <w:sz w:val="24"/>
          <w:szCs w:val="24"/>
        </w:rPr>
        <w:t>Renaissance der KMU in einerglobalisierten</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Wirtschaft</w:t>
      </w:r>
      <w:r>
        <w:rPr>
          <w:rFonts w:ascii="Times New Roman" w:hAnsi="Times New Roman" w:cs="Times New Roman"/>
          <w:color w:val="000000"/>
          <w:sz w:val="24"/>
          <w:szCs w:val="24"/>
        </w:rPr>
        <w:t>(pp. 57-67). St. Gallen: KMU Vlg HSG.</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Davidsson, P. &amp; Delmar, F. (2001). Les entreprises à forte croissanceetleur contribution à</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l'emploi: le cas de la Suède 1987-1996. </w:t>
      </w:r>
      <w:r>
        <w:rPr>
          <w:rFonts w:ascii="Times New Roman" w:hAnsi="Times New Roman" w:cs="Times New Roman"/>
          <w:i/>
          <w:iCs/>
          <w:color w:val="000000"/>
          <w:sz w:val="24"/>
          <w:szCs w:val="24"/>
        </w:rPr>
        <w:t>Revue Internationale PME, 14</w:t>
      </w:r>
      <w:r>
        <w:rPr>
          <w:rFonts w:ascii="Times New Roman" w:hAnsi="Times New Roman" w:cs="Times New Roman"/>
          <w:color w:val="000000"/>
          <w:sz w:val="24"/>
          <w:szCs w:val="24"/>
        </w:rPr>
        <w:t>(3-4), 164-187.</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Davidsson, P. &amp; Delmar, F. (2003). Hunting for new employment: the role of high-growth</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ab/>
        <w:t xml:space="preserve">firms. In D. Kirby &amp; A. Watson (Eds.), </w:t>
      </w:r>
      <w:r>
        <w:rPr>
          <w:rFonts w:ascii="Times New Roman" w:hAnsi="Times New Roman" w:cs="Times New Roman"/>
          <w:i/>
          <w:iCs/>
          <w:color w:val="000000"/>
          <w:sz w:val="24"/>
          <w:szCs w:val="24"/>
        </w:rPr>
        <w:t>Small Firms and Economic Development in</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 xml:space="preserve">Developed and Transition Economies: A Reader </w:t>
      </w:r>
      <w:r>
        <w:rPr>
          <w:rFonts w:ascii="Times New Roman" w:hAnsi="Times New Roman" w:cs="Times New Roman"/>
          <w:color w:val="000000"/>
          <w:sz w:val="24"/>
          <w:szCs w:val="24"/>
        </w:rPr>
        <w:t>(pp. 7-20). Aldershot, UK: Ashgate.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Davidsson, P., Delmar, F. &amp;Wiklund, J. (2002). Entrepreneurship as growth; growth as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entrepreneurship. In M. A. Hitt&amp; R. D. Ireland &amp; S. M. Camp &amp; D. L. Sexton (Eds.),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 xml:space="preserve">Strategic Entrepreneurship: Creating a New Mindset </w:t>
      </w:r>
      <w:r>
        <w:rPr>
          <w:rFonts w:ascii="Times New Roman" w:hAnsi="Times New Roman" w:cs="Times New Roman"/>
          <w:color w:val="000000"/>
          <w:sz w:val="24"/>
          <w:szCs w:val="24"/>
        </w:rPr>
        <w:t xml:space="preserve">(pp. 328-342). Oxford, UK: </w:t>
      </w:r>
      <w:r>
        <w:rPr>
          <w:rFonts w:ascii="Times New Roman" w:hAnsi="Times New Roman" w:cs="Times New Roman"/>
          <w:color w:val="000000"/>
          <w:sz w:val="24"/>
          <w:szCs w:val="24"/>
        </w:rPr>
        <w:tab/>
        <w:t>Blackwell.</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Davidsson, P. &amp;Henreksson, M. (2002). Institutional determinants of the prevalence of startups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and high-growth firms: Evidence from Sweden. </w:t>
      </w:r>
      <w:r>
        <w:rPr>
          <w:rFonts w:ascii="Times New Roman" w:hAnsi="Times New Roman" w:cs="Times New Roman"/>
          <w:i/>
          <w:iCs/>
          <w:color w:val="000000"/>
          <w:sz w:val="24"/>
          <w:szCs w:val="24"/>
        </w:rPr>
        <w:t>Small Business Economics, 19</w:t>
      </w:r>
      <w:r>
        <w:rPr>
          <w:rFonts w:ascii="Times New Roman" w:hAnsi="Times New Roman" w:cs="Times New Roman"/>
          <w:color w:val="000000"/>
          <w:sz w:val="24"/>
          <w:szCs w:val="24"/>
        </w:rPr>
        <w:t>(2), 81 -</w:t>
      </w:r>
      <w:r>
        <w:rPr>
          <w:rFonts w:ascii="Times New Roman" w:hAnsi="Times New Roman" w:cs="Times New Roman"/>
          <w:color w:val="000000"/>
          <w:sz w:val="24"/>
          <w:szCs w:val="24"/>
        </w:rPr>
        <w:tab/>
        <w:t>104</w:t>
      </w:r>
      <w:r>
        <w:rPr>
          <w:rFonts w:ascii="Times New Roman" w:hAnsi="Times New Roman" w:cs="Times New Roman"/>
          <w:i/>
          <w:iCs/>
          <w:color w:val="000000"/>
          <w:sz w:val="24"/>
          <w:szCs w:val="24"/>
        </w:rPr>
        <w:t>.</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Davidsson, P., Steffens, P. &amp; Fitzsimmons, J. (2005).</w:t>
      </w:r>
      <w:r>
        <w:rPr>
          <w:rFonts w:ascii="Times New Roman" w:hAnsi="Times New Roman" w:cs="Times New Roman"/>
          <w:i/>
          <w:iCs/>
          <w:color w:val="000000"/>
          <w:sz w:val="24"/>
          <w:szCs w:val="24"/>
        </w:rPr>
        <w:t>Growing profitable or growing from</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lastRenderedPageBreak/>
        <w:tab/>
        <w:t xml:space="preserve">profits: Putting the horse in front of the cart? </w:t>
      </w:r>
      <w:r>
        <w:rPr>
          <w:rFonts w:ascii="Times New Roman" w:hAnsi="Times New Roman" w:cs="Times New Roman"/>
          <w:color w:val="000000"/>
          <w:sz w:val="24"/>
          <w:szCs w:val="24"/>
        </w:rPr>
        <w:t xml:space="preserve">Paper presented at the Paper presented at </w:t>
      </w:r>
      <w:r>
        <w:rPr>
          <w:rFonts w:ascii="Times New Roman" w:hAnsi="Times New Roman" w:cs="Times New Roman"/>
          <w:color w:val="000000"/>
          <w:sz w:val="24"/>
          <w:szCs w:val="24"/>
        </w:rPr>
        <w:tab/>
        <w:t>the Academy of Management Meeting, Honolulu.</w:t>
      </w:r>
    </w:p>
    <w:p w:rsidR="006B1D93" w:rsidRDefault="006B1D93" w:rsidP="006B1D93">
      <w:pPr>
        <w:autoSpaceDE w:val="0"/>
        <w:autoSpaceDN w:val="0"/>
        <w:adjustRightInd w:val="0"/>
        <w:spacing w:after="0" w:line="360" w:lineRule="auto"/>
        <w:jc w:val="both"/>
        <w:rPr>
          <w:rFonts w:ascii="Times New Roman" w:hAnsi="Times New Roman" w:cs="Times New Roman"/>
          <w:color w:val="000000"/>
          <w:sz w:val="24"/>
          <w:szCs w:val="24"/>
        </w:rPr>
      </w:pPr>
    </w:p>
    <w:p w:rsidR="006B1D93" w:rsidRDefault="006B1D93" w:rsidP="006B1D93">
      <w:pPr>
        <w:autoSpaceDE w:val="0"/>
        <w:autoSpaceDN w:val="0"/>
        <w:adjustRightInd w:val="0"/>
        <w:spacing w:after="0" w:line="360" w:lineRule="auto"/>
        <w:jc w:val="both"/>
        <w:rPr>
          <w:rFonts w:ascii="Times New Roman" w:hAnsi="Times New Roman" w:cs="Times New Roman"/>
          <w:color w:val="000000"/>
          <w:sz w:val="24"/>
          <w:szCs w:val="24"/>
        </w:rPr>
      </w:pP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Davidsson, P. &amp;Wiklund, J. (2000). Conceptual and empirical challenges in the study of firm</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ab/>
        <w:t xml:space="preserve">growth. In D. Sexton &amp; H. Landström (Eds.), </w:t>
      </w:r>
      <w:r>
        <w:rPr>
          <w:rFonts w:ascii="Times New Roman" w:hAnsi="Times New Roman" w:cs="Times New Roman"/>
          <w:i/>
          <w:iCs/>
          <w:color w:val="000000"/>
          <w:sz w:val="24"/>
          <w:szCs w:val="24"/>
        </w:rPr>
        <w:t xml:space="preserve">The Blackwell Handbook of </w:t>
      </w:r>
      <w:r>
        <w:rPr>
          <w:rFonts w:ascii="Times New Roman" w:hAnsi="Times New Roman" w:cs="Times New Roman"/>
          <w:i/>
          <w:iCs/>
          <w:color w:val="000000"/>
          <w:sz w:val="24"/>
          <w:szCs w:val="24"/>
        </w:rPr>
        <w:tab/>
        <w:t>Entrepreneurship</w:t>
      </w:r>
      <w:r>
        <w:rPr>
          <w:rFonts w:ascii="Times New Roman" w:hAnsi="Times New Roman" w:cs="Times New Roman"/>
          <w:color w:val="000000"/>
          <w:sz w:val="24"/>
          <w:szCs w:val="24"/>
        </w:rPr>
        <w:t>(pp. 26-44). Oxford, MA: Blackwell Business.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Delmar, F. (1997).Measuring growth: Methodological considerations and empirical results.</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In R. Donckels&amp; A. Miettinen (Eds.), </w:t>
      </w:r>
      <w:r>
        <w:rPr>
          <w:rFonts w:ascii="Times New Roman" w:hAnsi="Times New Roman" w:cs="Times New Roman"/>
          <w:i/>
          <w:iCs/>
          <w:color w:val="000000"/>
          <w:sz w:val="24"/>
          <w:szCs w:val="24"/>
        </w:rPr>
        <w:t>Entrepreneurship and SME Research: On its Way to</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 xml:space="preserve">the Next Millennium </w:t>
      </w:r>
      <w:r>
        <w:rPr>
          <w:rFonts w:ascii="Times New Roman" w:hAnsi="Times New Roman" w:cs="Times New Roman"/>
          <w:color w:val="000000"/>
          <w:sz w:val="24"/>
          <w:szCs w:val="24"/>
        </w:rPr>
        <w:t>(pp. 190-216). Aldershot, UK and Brookfield, VA: Ashgate.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Delmar, F. &amp;Davidsson, P. (1999).Firm size expectations of nascent entrepreneurs.In P. D.</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Reynolds &amp; W. D. Bygrave&amp; S. Manigart&amp; C. Mason &amp; G. D. Meyer &amp; H. J. Sapienza</w:t>
      </w:r>
      <w:r>
        <w:rPr>
          <w:rFonts w:ascii="Times New Roman" w:hAnsi="Times New Roman" w:cs="Times New Roman"/>
          <w:color w:val="000000"/>
          <w:sz w:val="24"/>
          <w:szCs w:val="24"/>
        </w:rPr>
        <w:tab/>
        <w:t xml:space="preserve">&amp;K. G. Shaver (Eds.), </w:t>
      </w:r>
      <w:r>
        <w:rPr>
          <w:rFonts w:ascii="Times New Roman" w:hAnsi="Times New Roman" w:cs="Times New Roman"/>
          <w:i/>
          <w:iCs/>
          <w:color w:val="000000"/>
          <w:sz w:val="24"/>
          <w:szCs w:val="24"/>
        </w:rPr>
        <w:t xml:space="preserve">Frontiers of Entrepreneurship Research 1999 </w:t>
      </w:r>
      <w:r>
        <w:rPr>
          <w:rFonts w:ascii="Times New Roman" w:hAnsi="Times New Roman" w:cs="Times New Roman"/>
          <w:color w:val="000000"/>
          <w:sz w:val="24"/>
          <w:szCs w:val="24"/>
        </w:rPr>
        <w:t>(Vol. 19, pp. 90-</w:t>
      </w:r>
      <w:r>
        <w:rPr>
          <w:rFonts w:ascii="Times New Roman" w:hAnsi="Times New Roman" w:cs="Times New Roman"/>
          <w:color w:val="000000"/>
          <w:sz w:val="24"/>
          <w:szCs w:val="24"/>
        </w:rPr>
        <w:tab/>
        <w:t>104). Wellesley, MA: Babson College.</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Delmar, F., Davidsson, P. &amp; Gartner, W. (2003).Arriving at the high-growth firm.</w:t>
      </w:r>
      <w:r>
        <w:rPr>
          <w:rFonts w:ascii="Times New Roman" w:hAnsi="Times New Roman" w:cs="Times New Roman"/>
          <w:i/>
          <w:iCs/>
          <w:color w:val="000000"/>
          <w:sz w:val="24"/>
          <w:szCs w:val="24"/>
        </w:rPr>
        <w:t>Journal of</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Business Venturing, 18</w:t>
      </w:r>
      <w:r>
        <w:rPr>
          <w:rFonts w:ascii="Times New Roman" w:hAnsi="Times New Roman" w:cs="Times New Roman"/>
          <w:color w:val="000000"/>
          <w:sz w:val="24"/>
          <w:szCs w:val="24"/>
        </w:rPr>
        <w:t>(2), 189-216.</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Delmar, F. &amp;Wiklund, J. (2003).</w:t>
      </w:r>
      <w:r>
        <w:rPr>
          <w:rFonts w:ascii="Times New Roman" w:hAnsi="Times New Roman" w:cs="Times New Roman"/>
          <w:i/>
          <w:iCs/>
          <w:color w:val="000000"/>
          <w:sz w:val="24"/>
          <w:szCs w:val="24"/>
        </w:rPr>
        <w:t>The effect of the entrepreneur's growth motivation on</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 xml:space="preserve">subsequent growth: A longitudinal study. </w:t>
      </w:r>
      <w:r>
        <w:rPr>
          <w:rFonts w:ascii="Times New Roman" w:hAnsi="Times New Roman" w:cs="Times New Roman"/>
          <w:color w:val="000000"/>
          <w:sz w:val="24"/>
          <w:szCs w:val="24"/>
        </w:rPr>
        <w:t xml:space="preserve">Paper presented at the Academy of </w:t>
      </w:r>
      <w:r>
        <w:rPr>
          <w:rFonts w:ascii="Times New Roman" w:hAnsi="Times New Roman" w:cs="Times New Roman"/>
          <w:color w:val="000000"/>
          <w:sz w:val="24"/>
          <w:szCs w:val="24"/>
        </w:rPr>
        <w:tab/>
        <w:t>Management Meeting, Seattle.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Dennis, W. J. &amp; Solomon, G. (2001).</w:t>
      </w:r>
      <w:r>
        <w:rPr>
          <w:rFonts w:ascii="Times New Roman" w:hAnsi="Times New Roman" w:cs="Times New Roman"/>
          <w:i/>
          <w:iCs/>
          <w:color w:val="000000"/>
          <w:sz w:val="24"/>
          <w:szCs w:val="24"/>
        </w:rPr>
        <w:t>Changes in intention to grow over time.</w:t>
      </w:r>
      <w:r>
        <w:rPr>
          <w:rFonts w:ascii="Times New Roman" w:hAnsi="Times New Roman" w:cs="Times New Roman"/>
          <w:color w:val="000000"/>
          <w:sz w:val="24"/>
          <w:szCs w:val="24"/>
        </w:rPr>
        <w:t>Paper presented</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at the Babson/Kauffman Foundation Entrepreneurship Research Conference, Jönköping,</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Sweden.</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Dess, G. G. &amp; Beard, D. W. (1984). Dimensions of organizational task environments.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Administrative Science Quarterly, 29</w:t>
      </w:r>
      <w:r>
        <w:rPr>
          <w:rFonts w:ascii="Times New Roman" w:hAnsi="Times New Roman" w:cs="Times New Roman"/>
          <w:color w:val="000000"/>
          <w:sz w:val="24"/>
          <w:szCs w:val="24"/>
        </w:rPr>
        <w:t>(1), 52-73.</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Donckels, R. &amp;Lambrecht, J. (1995). Networks and small business growth: An explanatory</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model. </w:t>
      </w:r>
      <w:r>
        <w:rPr>
          <w:rFonts w:ascii="Times New Roman" w:hAnsi="Times New Roman" w:cs="Times New Roman"/>
          <w:i/>
          <w:iCs/>
          <w:color w:val="000000"/>
          <w:sz w:val="24"/>
          <w:szCs w:val="24"/>
        </w:rPr>
        <w:t>Small Business Economics, 7</w:t>
      </w:r>
      <w:r>
        <w:rPr>
          <w:rFonts w:ascii="Times New Roman" w:hAnsi="Times New Roman" w:cs="Times New Roman"/>
          <w:color w:val="000000"/>
          <w:sz w:val="24"/>
          <w:szCs w:val="24"/>
        </w:rPr>
        <w:t>(4), 273-289.</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DuRietz, A. &amp;Henrekson, M. (2000).Testing the female underperformance hypothesis.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Small Business Economics, 14</w:t>
      </w:r>
      <w:r>
        <w:rPr>
          <w:rFonts w:ascii="Times New Roman" w:hAnsi="Times New Roman" w:cs="Times New Roman"/>
          <w:color w:val="000000"/>
          <w:sz w:val="24"/>
          <w:szCs w:val="24"/>
        </w:rPr>
        <w:t>(1), 1-10.</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Eisenhardt, K. M. &amp;Schoonhoven, C. B. (1990). Organizational growth: Linking founding</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team, strategy, environment and growth among US semiconductor ventures, 1978-1988.</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lastRenderedPageBreak/>
        <w:tab/>
        <w:t>Administrative Science Quarterly, 35</w:t>
      </w:r>
      <w:r>
        <w:rPr>
          <w:rFonts w:ascii="Times New Roman" w:hAnsi="Times New Roman" w:cs="Times New Roman"/>
          <w:color w:val="000000"/>
          <w:sz w:val="24"/>
          <w:szCs w:val="24"/>
        </w:rPr>
        <w:t>(3), 504-530.</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Ensley, M. D., Pearson, A. W. &amp;Amaosn, A. S. (2002). Understanding the dynamics sos new</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ab/>
        <w:t xml:space="preserve">venture top management teams: Cohesion, conflict and new venture preformance. </w:t>
      </w:r>
      <w:r>
        <w:rPr>
          <w:rFonts w:ascii="Times New Roman" w:hAnsi="Times New Roman" w:cs="Times New Roman"/>
          <w:color w:val="000000"/>
          <w:sz w:val="24"/>
          <w:szCs w:val="24"/>
        </w:rPr>
        <w:tab/>
      </w:r>
      <w:r>
        <w:rPr>
          <w:rFonts w:ascii="Times New Roman" w:hAnsi="Times New Roman" w:cs="Times New Roman"/>
          <w:i/>
          <w:iCs/>
          <w:color w:val="000000"/>
          <w:sz w:val="24"/>
          <w:szCs w:val="24"/>
        </w:rPr>
        <w:t>Journal of Business Venturing, 17</w:t>
      </w:r>
      <w:r>
        <w:rPr>
          <w:rFonts w:ascii="Times New Roman" w:hAnsi="Times New Roman" w:cs="Times New Roman"/>
          <w:color w:val="000000"/>
          <w:sz w:val="24"/>
          <w:szCs w:val="24"/>
        </w:rPr>
        <w:t>(4), 365-386.</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Fischer, E., Reuber, R. &amp; Dyke, L. (1993). A theoretical overview and extension of research</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on sex, gender, and entrepreneurship. </w:t>
      </w:r>
      <w:r>
        <w:rPr>
          <w:rFonts w:ascii="Times New Roman" w:hAnsi="Times New Roman" w:cs="Times New Roman"/>
          <w:i/>
          <w:iCs/>
          <w:color w:val="000000"/>
          <w:sz w:val="24"/>
          <w:szCs w:val="24"/>
        </w:rPr>
        <w:t>Journal of Business Venturing, 8</w:t>
      </w:r>
      <w:r>
        <w:rPr>
          <w:rFonts w:ascii="Times New Roman" w:hAnsi="Times New Roman" w:cs="Times New Roman"/>
          <w:color w:val="000000"/>
          <w:sz w:val="24"/>
          <w:szCs w:val="24"/>
        </w:rPr>
        <w:t>(2), 151-168.</w:t>
      </w:r>
    </w:p>
    <w:p w:rsidR="00B44B07" w:rsidRPr="006B1D93" w:rsidRDefault="00B44B07" w:rsidP="006B1D93">
      <w:pPr>
        <w:autoSpaceDE w:val="0"/>
        <w:autoSpaceDN w:val="0"/>
        <w:adjustRightInd w:val="0"/>
        <w:spacing w:after="0" w:line="360" w:lineRule="auto"/>
        <w:ind w:left="720" w:hanging="720"/>
        <w:jc w:val="both"/>
        <w:rPr>
          <w:rFonts w:ascii="Times New Roman" w:hAnsi="Times New Roman" w:cs="Times New Roman"/>
          <w:i/>
          <w:iCs/>
          <w:color w:val="000000"/>
          <w:sz w:val="24"/>
          <w:szCs w:val="24"/>
        </w:rPr>
      </w:pPr>
      <w:r>
        <w:rPr>
          <w:rFonts w:ascii="Times New Roman" w:hAnsi="Times New Roman" w:cs="Times New Roman"/>
          <w:color w:val="000000"/>
          <w:sz w:val="24"/>
          <w:szCs w:val="24"/>
        </w:rPr>
        <w:t>Flamholtz, E. G. (1986).</w:t>
      </w:r>
      <w:r>
        <w:rPr>
          <w:rFonts w:ascii="Times New Roman" w:hAnsi="Times New Roman" w:cs="Times New Roman"/>
          <w:i/>
          <w:iCs/>
          <w:color w:val="000000"/>
          <w:sz w:val="24"/>
          <w:szCs w:val="24"/>
        </w:rPr>
        <w:t>Managing the Transition from an Entrepreneurship to aProfessionally Managed Firm</w:t>
      </w:r>
      <w:r>
        <w:rPr>
          <w:rFonts w:ascii="Times New Roman" w:hAnsi="Times New Roman" w:cs="Times New Roman"/>
          <w:color w:val="000000"/>
          <w:sz w:val="24"/>
          <w:szCs w:val="24"/>
        </w:rPr>
        <w:t>. San Francisco: Jossey-Bass.</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Flamholtz, E. G. &amp; Randle, Y. (1990).</w:t>
      </w:r>
      <w:r>
        <w:rPr>
          <w:rFonts w:ascii="Times New Roman" w:hAnsi="Times New Roman" w:cs="Times New Roman"/>
          <w:i/>
          <w:iCs/>
          <w:color w:val="000000"/>
          <w:sz w:val="24"/>
          <w:szCs w:val="24"/>
        </w:rPr>
        <w:t>Growing Pains: How to Make the Transition from</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Entrepreneurship to a Professionally Managed Firm.</w:t>
      </w:r>
      <w:r>
        <w:rPr>
          <w:rFonts w:ascii="Times New Roman" w:hAnsi="Times New Roman" w:cs="Times New Roman"/>
          <w:color w:val="000000"/>
          <w:sz w:val="24"/>
          <w:szCs w:val="24"/>
        </w:rPr>
        <w:t>San Francisco: Jossey-Bass.</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Fombrun, C. J. &amp; Wally, S. (1989). Structuring small firms for rapid growth.</w:t>
      </w:r>
      <w:r>
        <w:rPr>
          <w:rFonts w:ascii="Times New Roman" w:hAnsi="Times New Roman" w:cs="Times New Roman"/>
          <w:i/>
          <w:iCs/>
          <w:color w:val="000000"/>
          <w:sz w:val="24"/>
          <w:szCs w:val="24"/>
        </w:rPr>
        <w:t>Journal of</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Business Venturing, 4</w:t>
      </w:r>
      <w:r>
        <w:rPr>
          <w:rFonts w:ascii="Times New Roman" w:hAnsi="Times New Roman" w:cs="Times New Roman"/>
          <w:color w:val="000000"/>
          <w:sz w:val="24"/>
          <w:szCs w:val="24"/>
        </w:rPr>
        <w:t>(2), 107-222.</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Galbraith, J. (1982). The stages of growth.</w:t>
      </w:r>
      <w:r>
        <w:rPr>
          <w:rFonts w:ascii="Times New Roman" w:hAnsi="Times New Roman" w:cs="Times New Roman"/>
          <w:i/>
          <w:iCs/>
          <w:color w:val="000000"/>
          <w:sz w:val="24"/>
          <w:szCs w:val="24"/>
        </w:rPr>
        <w:t>Journal of Business Strategy, 3</w:t>
      </w:r>
      <w:r>
        <w:rPr>
          <w:rFonts w:ascii="Times New Roman" w:hAnsi="Times New Roman" w:cs="Times New Roman"/>
          <w:color w:val="000000"/>
          <w:sz w:val="24"/>
          <w:szCs w:val="24"/>
        </w:rPr>
        <w:t>(1), 70-79.</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Garnsey, E. (1998). A theory of the early growth of the firm.</w:t>
      </w:r>
      <w:r>
        <w:rPr>
          <w:rFonts w:ascii="Times New Roman" w:hAnsi="Times New Roman" w:cs="Times New Roman"/>
          <w:i/>
          <w:iCs/>
          <w:color w:val="000000"/>
          <w:sz w:val="24"/>
          <w:szCs w:val="24"/>
        </w:rPr>
        <w:t>Industrial and Corporate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Change., 7</w:t>
      </w:r>
      <w:r>
        <w:rPr>
          <w:rFonts w:ascii="Times New Roman" w:hAnsi="Times New Roman" w:cs="Times New Roman"/>
          <w:color w:val="000000"/>
          <w:sz w:val="24"/>
          <w:szCs w:val="24"/>
        </w:rPr>
        <w:t>(3), 523-556.</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Gartner, W. B. (1988). "Who is an Entrepreneur" is the wrong question. </w:t>
      </w:r>
      <w:r>
        <w:rPr>
          <w:rFonts w:ascii="Times New Roman" w:hAnsi="Times New Roman" w:cs="Times New Roman"/>
          <w:i/>
          <w:iCs/>
          <w:color w:val="000000"/>
          <w:sz w:val="24"/>
          <w:szCs w:val="24"/>
        </w:rPr>
        <w:t>American Small</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Business Journal, 12</w:t>
      </w:r>
      <w:r>
        <w:rPr>
          <w:rFonts w:ascii="Times New Roman" w:hAnsi="Times New Roman" w:cs="Times New Roman"/>
          <w:color w:val="000000"/>
          <w:sz w:val="24"/>
          <w:szCs w:val="24"/>
        </w:rPr>
        <w:t>(4), 11-31.</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Gartner, W. B. &amp; Carter, N. (2003).Entrepreneurial behavior and firm organising processes.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In Z. J. Acs&amp; D. B. Audretsch (Eds.), </w:t>
      </w:r>
      <w:r>
        <w:rPr>
          <w:rFonts w:ascii="Times New Roman" w:hAnsi="Times New Roman" w:cs="Times New Roman"/>
          <w:i/>
          <w:iCs/>
          <w:color w:val="000000"/>
          <w:sz w:val="24"/>
          <w:szCs w:val="24"/>
        </w:rPr>
        <w:t xml:space="preserve">Handbook of Entrepreneurship Research </w:t>
      </w:r>
      <w:r>
        <w:rPr>
          <w:rFonts w:ascii="Times New Roman" w:hAnsi="Times New Roman" w:cs="Times New Roman"/>
          <w:color w:val="000000"/>
          <w:sz w:val="24"/>
          <w:szCs w:val="24"/>
        </w:rPr>
        <w:t>(pp. 195-</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221). Dordrecht, NL: Kluwer.</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Gibb, A. A. &amp; Davies, L. G. (1990).in pursuit of frameworks for the development of growth</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models of the small business. </w:t>
      </w:r>
      <w:r>
        <w:rPr>
          <w:rFonts w:ascii="Times New Roman" w:hAnsi="Times New Roman" w:cs="Times New Roman"/>
          <w:i/>
          <w:iCs/>
          <w:color w:val="000000"/>
          <w:sz w:val="24"/>
          <w:szCs w:val="24"/>
        </w:rPr>
        <w:t>International Small Business Journal, 9</w:t>
      </w:r>
      <w:r>
        <w:rPr>
          <w:rFonts w:ascii="Times New Roman" w:hAnsi="Times New Roman" w:cs="Times New Roman"/>
          <w:color w:val="000000"/>
          <w:sz w:val="24"/>
          <w:szCs w:val="24"/>
        </w:rPr>
        <w:t>(1), 15-31.</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Gray, C. (1990). </w:t>
      </w:r>
      <w:r>
        <w:rPr>
          <w:rFonts w:ascii="Times New Roman" w:hAnsi="Times New Roman" w:cs="Times New Roman"/>
          <w:i/>
          <w:iCs/>
          <w:color w:val="000000"/>
          <w:sz w:val="24"/>
          <w:szCs w:val="24"/>
        </w:rPr>
        <w:t>Entrepreneurial motivation and the smaller business.</w:t>
      </w:r>
      <w:r>
        <w:rPr>
          <w:rFonts w:ascii="Times New Roman" w:hAnsi="Times New Roman" w:cs="Times New Roman"/>
          <w:color w:val="000000"/>
          <w:sz w:val="24"/>
          <w:szCs w:val="24"/>
        </w:rPr>
        <w:t>Paper presented at the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15th IAREP Colloquium, Exeter, UK.</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Greening, D. &amp;Barringer, B. (1996). A qualitative study of managerial challenges facing</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small business geographic expansion. </w:t>
      </w:r>
      <w:r>
        <w:rPr>
          <w:rFonts w:ascii="Times New Roman" w:hAnsi="Times New Roman" w:cs="Times New Roman"/>
          <w:i/>
          <w:iCs/>
          <w:color w:val="000000"/>
          <w:sz w:val="24"/>
          <w:szCs w:val="24"/>
        </w:rPr>
        <w:t>Journal of Business Venturing, 11</w:t>
      </w:r>
      <w:r>
        <w:rPr>
          <w:rFonts w:ascii="Times New Roman" w:hAnsi="Times New Roman" w:cs="Times New Roman"/>
          <w:color w:val="000000"/>
          <w:sz w:val="24"/>
          <w:szCs w:val="24"/>
        </w:rPr>
        <w:t>(4), 233-256.</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Greiner, L. E. (1972). Evolutions and revolutions as organizations grow. </w:t>
      </w:r>
      <w:r>
        <w:rPr>
          <w:rFonts w:ascii="Times New Roman" w:hAnsi="Times New Roman" w:cs="Times New Roman"/>
          <w:i/>
          <w:iCs/>
          <w:color w:val="000000"/>
          <w:sz w:val="24"/>
          <w:szCs w:val="24"/>
        </w:rPr>
        <w:t>Harvard Business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Review, 50</w:t>
      </w:r>
      <w:r>
        <w:rPr>
          <w:rFonts w:ascii="Times New Roman" w:hAnsi="Times New Roman" w:cs="Times New Roman"/>
          <w:color w:val="000000"/>
          <w:sz w:val="24"/>
          <w:szCs w:val="24"/>
        </w:rPr>
        <w:t>(4), 37-46.</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Hambrick, D. C. &amp; Crozier, L. M. (1985). Stumblers and stars in the management of rapid</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growth. </w:t>
      </w:r>
      <w:r>
        <w:rPr>
          <w:rFonts w:ascii="Times New Roman" w:hAnsi="Times New Roman" w:cs="Times New Roman"/>
          <w:i/>
          <w:iCs/>
          <w:color w:val="000000"/>
          <w:sz w:val="24"/>
          <w:szCs w:val="24"/>
        </w:rPr>
        <w:t>Journal of Business Venturing, 1</w:t>
      </w:r>
      <w:r>
        <w:rPr>
          <w:rFonts w:ascii="Times New Roman" w:hAnsi="Times New Roman" w:cs="Times New Roman"/>
          <w:color w:val="000000"/>
          <w:sz w:val="24"/>
          <w:szCs w:val="24"/>
        </w:rPr>
        <w:t>(1), 31-45.</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Hanks, S. H., Watson, C. J., Jansen, E. &amp; Chandler, G. N. (1993). Tightening the life-lycle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lonstruct: A study of growth stage configurations in high-technology organizations.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Entrepreneurship Theory and Practice, 18</w:t>
      </w:r>
      <w:r>
        <w:rPr>
          <w:rFonts w:ascii="Times New Roman" w:hAnsi="Times New Roman" w:cs="Times New Roman"/>
          <w:color w:val="000000"/>
          <w:sz w:val="24"/>
          <w:szCs w:val="24"/>
        </w:rPr>
        <w:t>(2), 5-29.</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Hannan, M. T. &amp; Freeman, J. H. (1977).The population ecology of organizations.</w:t>
      </w:r>
      <w:r>
        <w:rPr>
          <w:rFonts w:ascii="Times New Roman" w:hAnsi="Times New Roman" w:cs="Times New Roman"/>
          <w:i/>
          <w:iCs/>
          <w:color w:val="000000"/>
          <w:sz w:val="24"/>
          <w:szCs w:val="24"/>
        </w:rPr>
        <w:t>American</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Journal of Sociology, 82</w:t>
      </w:r>
      <w:r>
        <w:rPr>
          <w:rFonts w:ascii="Times New Roman" w:hAnsi="Times New Roman" w:cs="Times New Roman"/>
          <w:color w:val="000000"/>
          <w:sz w:val="24"/>
          <w:szCs w:val="24"/>
        </w:rPr>
        <w:t>(5), 929-964.</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Hansen, E. L. (1995). Entrepreneurial networks and new organization growth.</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Entrepreneurship Theory and Practice, 19</w:t>
      </w:r>
      <w:r>
        <w:rPr>
          <w:rFonts w:ascii="Times New Roman" w:hAnsi="Times New Roman" w:cs="Times New Roman"/>
          <w:color w:val="000000"/>
          <w:sz w:val="24"/>
          <w:szCs w:val="24"/>
        </w:rPr>
        <w:t>(4), 7-19.</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Hofer, C. W. &amp;Charan, R. (1984). The transition to professional management: Mission</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impossible? </w:t>
      </w:r>
      <w:r>
        <w:rPr>
          <w:rFonts w:ascii="Times New Roman" w:hAnsi="Times New Roman" w:cs="Times New Roman"/>
          <w:i/>
          <w:iCs/>
          <w:color w:val="000000"/>
          <w:sz w:val="24"/>
          <w:szCs w:val="24"/>
        </w:rPr>
        <w:t>American Journal of Small Business, 9</w:t>
      </w:r>
      <w:r>
        <w:rPr>
          <w:rFonts w:ascii="Times New Roman" w:hAnsi="Times New Roman" w:cs="Times New Roman"/>
          <w:color w:val="000000"/>
          <w:sz w:val="24"/>
          <w:szCs w:val="24"/>
        </w:rPr>
        <w:t>(1), 1-11.</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Hoy, F., McDougall, P. P. &amp;Dsouza, D. E. (1992). Strategies and environments of high</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ab/>
        <w:t xml:space="preserve">growth firms. In D. L. Sexton &amp; J. D. Kasarda (Eds.), </w:t>
      </w:r>
      <w:r>
        <w:rPr>
          <w:rFonts w:ascii="Times New Roman" w:hAnsi="Times New Roman" w:cs="Times New Roman"/>
          <w:i/>
          <w:iCs/>
          <w:color w:val="000000"/>
          <w:sz w:val="24"/>
          <w:szCs w:val="24"/>
        </w:rPr>
        <w:t>The State of the Art of</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 xml:space="preserve">Entrepreneurship </w:t>
      </w:r>
      <w:r>
        <w:rPr>
          <w:rFonts w:ascii="Times New Roman" w:hAnsi="Times New Roman" w:cs="Times New Roman"/>
          <w:color w:val="000000"/>
          <w:sz w:val="24"/>
          <w:szCs w:val="24"/>
        </w:rPr>
        <w:t>(pp. 341-357). Boston: PWS-Kent Publishing.</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Human, S. E. &amp; Matthews, C. H. (2004).Future expectations for the new business.In W. B.</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Gartner &amp; K. G. Shaver &amp; N. M. Carter &amp; P. D. Reynolds (Eds.), </w:t>
      </w:r>
      <w:r>
        <w:rPr>
          <w:rFonts w:ascii="Times New Roman" w:hAnsi="Times New Roman" w:cs="Times New Roman"/>
          <w:i/>
          <w:iCs/>
          <w:color w:val="000000"/>
          <w:sz w:val="24"/>
          <w:szCs w:val="24"/>
        </w:rPr>
        <w:t>Handbook of</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 xml:space="preserve">Entrepreneurial Dynamics: the Process of Business Creation </w:t>
      </w:r>
      <w:r>
        <w:rPr>
          <w:rFonts w:ascii="Times New Roman" w:hAnsi="Times New Roman" w:cs="Times New Roman"/>
          <w:color w:val="000000"/>
          <w:sz w:val="24"/>
          <w:szCs w:val="24"/>
        </w:rPr>
        <w:t xml:space="preserve">(pp. 94-103). Thousand </w:t>
      </w:r>
      <w:r>
        <w:rPr>
          <w:rFonts w:ascii="Times New Roman" w:hAnsi="Times New Roman" w:cs="Times New Roman"/>
          <w:color w:val="000000"/>
          <w:sz w:val="24"/>
          <w:szCs w:val="24"/>
        </w:rPr>
        <w:tab/>
        <w:t>Oaks, CA.: Sage.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Ibeh, N. (2003). Toward a contingency framework of export entrepreneurship:</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ab/>
        <w:t xml:space="preserve">conceptualizations and empirical evidence. Small Business Economics, 20(1), 49-68. </w:t>
      </w:r>
      <w:r>
        <w:rPr>
          <w:rFonts w:ascii="Times New Roman" w:hAnsi="Times New Roman" w:cs="Times New Roman"/>
          <w:color w:val="000000"/>
          <w:sz w:val="24"/>
          <w:szCs w:val="24"/>
        </w:rPr>
        <w:tab/>
      </w:r>
      <w:r>
        <w:rPr>
          <w:rFonts w:ascii="Times New Roman" w:hAnsi="Times New Roman" w:cs="Times New Roman"/>
          <w:i/>
          <w:iCs/>
          <w:color w:val="000000"/>
          <w:sz w:val="24"/>
          <w:szCs w:val="24"/>
        </w:rPr>
        <w:t>Small Business Economics, 20</w:t>
      </w:r>
      <w:r>
        <w:rPr>
          <w:rFonts w:ascii="Times New Roman" w:hAnsi="Times New Roman" w:cs="Times New Roman"/>
          <w:color w:val="000000"/>
          <w:sz w:val="24"/>
          <w:szCs w:val="24"/>
        </w:rPr>
        <w:t>(1), 49-58.</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Jarillo, J. C. (1989). Entrepreneurship and growth: The strategic use of external resources.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Journal of Business Venturing, 4</w:t>
      </w:r>
      <w:r>
        <w:rPr>
          <w:rFonts w:ascii="Times New Roman" w:hAnsi="Times New Roman" w:cs="Times New Roman"/>
          <w:color w:val="000000"/>
          <w:sz w:val="24"/>
          <w:szCs w:val="24"/>
        </w:rPr>
        <w:t>(2), 133-147.</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Jenkins, M. &amp; Johnson, G. (1997). Entrepreneurial intentions and outcomes: A comparative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causal mapping study. </w:t>
      </w:r>
      <w:r>
        <w:rPr>
          <w:rFonts w:ascii="Times New Roman" w:hAnsi="Times New Roman" w:cs="Times New Roman"/>
          <w:i/>
          <w:iCs/>
          <w:color w:val="000000"/>
          <w:sz w:val="24"/>
          <w:szCs w:val="24"/>
        </w:rPr>
        <w:t>Journal of Management Studies, 34</w:t>
      </w:r>
      <w:r>
        <w:rPr>
          <w:rFonts w:ascii="Times New Roman" w:hAnsi="Times New Roman" w:cs="Times New Roman"/>
          <w:color w:val="000000"/>
          <w:sz w:val="24"/>
          <w:szCs w:val="24"/>
        </w:rPr>
        <w:t>(6), 895-920.</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Johanson, J. &amp;Vahlne, J.-E. (1977). The internationalization process of the firm: A model of</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ab/>
        <w:t xml:space="preserve">knowledge development and increasing foreign market commitments. </w:t>
      </w:r>
      <w:r>
        <w:rPr>
          <w:rFonts w:ascii="Times New Roman" w:hAnsi="Times New Roman" w:cs="Times New Roman"/>
          <w:i/>
          <w:iCs/>
          <w:color w:val="000000"/>
          <w:sz w:val="24"/>
          <w:szCs w:val="24"/>
        </w:rPr>
        <w:t>Journal of</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International Business Studies, 8</w:t>
      </w:r>
      <w:r>
        <w:rPr>
          <w:rFonts w:ascii="Times New Roman" w:hAnsi="Times New Roman" w:cs="Times New Roman"/>
          <w:color w:val="000000"/>
          <w:sz w:val="24"/>
          <w:szCs w:val="24"/>
        </w:rPr>
        <w:t>(1), 23-32.</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Johanson, J. &amp;Wiedersheim-Paul, F. (1975). Internationalization of the firm: Four Swedish</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cases. </w:t>
      </w:r>
      <w:r>
        <w:rPr>
          <w:rFonts w:ascii="Times New Roman" w:hAnsi="Times New Roman" w:cs="Times New Roman"/>
          <w:i/>
          <w:iCs/>
          <w:color w:val="000000"/>
          <w:sz w:val="24"/>
          <w:szCs w:val="24"/>
        </w:rPr>
        <w:t>Journal of Management Studies, 12</w:t>
      </w:r>
      <w:r>
        <w:rPr>
          <w:rFonts w:ascii="Times New Roman" w:hAnsi="Times New Roman" w:cs="Times New Roman"/>
          <w:color w:val="000000"/>
          <w:sz w:val="24"/>
          <w:szCs w:val="24"/>
        </w:rPr>
        <w:t>(3), 305-322.</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Jovanovic, B. (1982). Selection and the evolution of industry.</w:t>
      </w:r>
      <w:r>
        <w:rPr>
          <w:rFonts w:ascii="Times New Roman" w:hAnsi="Times New Roman" w:cs="Times New Roman"/>
          <w:i/>
          <w:iCs/>
          <w:color w:val="000000"/>
          <w:sz w:val="24"/>
          <w:szCs w:val="24"/>
        </w:rPr>
        <w:t>Econometrica, 50</w:t>
      </w:r>
      <w:r>
        <w:rPr>
          <w:rFonts w:ascii="Times New Roman" w:hAnsi="Times New Roman" w:cs="Times New Roman"/>
          <w:color w:val="000000"/>
          <w:sz w:val="24"/>
          <w:szCs w:val="24"/>
        </w:rPr>
        <w:t>(3), 649-670.</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Julien, P.-A.&amp;Ramangalahy, C. (2003). Competitive strategy and performance of exporting</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r>
      <w:r>
        <w:rPr>
          <w:rFonts w:ascii="Times New Roman" w:hAnsi="Times New Roman" w:cs="Times New Roman"/>
          <w:color w:val="000000"/>
          <w:sz w:val="24"/>
          <w:szCs w:val="24"/>
        </w:rPr>
        <w:tab/>
        <w:t xml:space="preserve">SMEs: An empirical investigation of the impact of their export information search </w:t>
      </w:r>
      <w:r>
        <w:rPr>
          <w:rFonts w:ascii="Times New Roman" w:hAnsi="Times New Roman" w:cs="Times New Roman"/>
          <w:color w:val="000000"/>
          <w:sz w:val="24"/>
          <w:szCs w:val="24"/>
        </w:rPr>
        <w:tab/>
        <w:t xml:space="preserve">and competences. </w:t>
      </w:r>
      <w:r>
        <w:rPr>
          <w:rFonts w:ascii="Times New Roman" w:hAnsi="Times New Roman" w:cs="Times New Roman"/>
          <w:i/>
          <w:iCs/>
          <w:color w:val="000000"/>
          <w:sz w:val="24"/>
          <w:szCs w:val="24"/>
        </w:rPr>
        <w:t>Entrepreneurship Theory and Practice, 27</w:t>
      </w:r>
      <w:r>
        <w:rPr>
          <w:rFonts w:ascii="Times New Roman" w:hAnsi="Times New Roman" w:cs="Times New Roman"/>
          <w:color w:val="000000"/>
          <w:sz w:val="24"/>
          <w:szCs w:val="24"/>
        </w:rPr>
        <w:t>(3), 227-245.</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Kazanjian, R. K. (1988). Relation of dominant problems to stages of growth in technologybased</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new ventures. </w:t>
      </w:r>
      <w:r>
        <w:rPr>
          <w:rFonts w:ascii="Times New Roman" w:hAnsi="Times New Roman" w:cs="Times New Roman"/>
          <w:i/>
          <w:iCs/>
          <w:color w:val="000000"/>
          <w:sz w:val="24"/>
          <w:szCs w:val="24"/>
        </w:rPr>
        <w:t>Academy of Management Journal, 31</w:t>
      </w:r>
      <w:r>
        <w:rPr>
          <w:rFonts w:ascii="Times New Roman" w:hAnsi="Times New Roman" w:cs="Times New Roman"/>
          <w:color w:val="000000"/>
          <w:sz w:val="24"/>
          <w:szCs w:val="24"/>
        </w:rPr>
        <w:t>(2), 257-279.</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Killing, J. P. (1978).Diversification through licensing.</w:t>
      </w:r>
      <w:r>
        <w:rPr>
          <w:rFonts w:ascii="Times New Roman" w:hAnsi="Times New Roman" w:cs="Times New Roman"/>
          <w:i/>
          <w:iCs/>
          <w:color w:val="000000"/>
          <w:sz w:val="24"/>
          <w:szCs w:val="24"/>
        </w:rPr>
        <w:t>R&amp;D Management, 8</w:t>
      </w:r>
      <w:r>
        <w:rPr>
          <w:rFonts w:ascii="Times New Roman" w:hAnsi="Times New Roman" w:cs="Times New Roman"/>
          <w:color w:val="000000"/>
          <w:sz w:val="24"/>
          <w:szCs w:val="24"/>
        </w:rPr>
        <w:t>(3), 159-163.</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Kolvereid, L. &amp;Bullvåg, E. (1996). Growth intentions and actual growth: The impact of</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entrepreneurial choice. </w:t>
      </w:r>
      <w:r>
        <w:rPr>
          <w:rFonts w:ascii="Times New Roman" w:hAnsi="Times New Roman" w:cs="Times New Roman"/>
          <w:i/>
          <w:iCs/>
          <w:color w:val="000000"/>
          <w:sz w:val="24"/>
          <w:szCs w:val="24"/>
        </w:rPr>
        <w:t>Journal of Enterprising Culture, 4</w:t>
      </w:r>
      <w:r>
        <w:rPr>
          <w:rFonts w:ascii="Times New Roman" w:hAnsi="Times New Roman" w:cs="Times New Roman"/>
          <w:color w:val="000000"/>
          <w:sz w:val="24"/>
          <w:szCs w:val="24"/>
        </w:rPr>
        <w:t>(1), 1-17.</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Kraemer, T. D. &amp;Venkataraman, S. (1997). Extraordinary feats of entrepreneurial enterprise: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Strategies for rapid, sustained growth. In S. Birley&amp; I. C. MacMillan (Eds.),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 xml:space="preserve">Entrepreneurship in a Global Context </w:t>
      </w:r>
      <w:r>
        <w:rPr>
          <w:rFonts w:ascii="Times New Roman" w:hAnsi="Times New Roman" w:cs="Times New Roman"/>
          <w:color w:val="000000"/>
          <w:sz w:val="24"/>
          <w:szCs w:val="24"/>
        </w:rPr>
        <w:t>(pp. 82-107). London: Routledge.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Levie, J. (1997). Patterns of growth and performance: an empirical study of young, gorwing</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ventures in France, ireland and Scotland. In R. P.D. &amp; W. Bygrave&amp; N. M. Carter &amp; P.</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Davidsson&amp; W. B. Gartner &amp; C. Mason &amp; P. P. McDougall (Eds.), </w:t>
      </w:r>
      <w:r>
        <w:rPr>
          <w:rFonts w:ascii="Times New Roman" w:hAnsi="Times New Roman" w:cs="Times New Roman"/>
          <w:i/>
          <w:iCs/>
          <w:color w:val="000000"/>
          <w:sz w:val="24"/>
          <w:szCs w:val="24"/>
        </w:rPr>
        <w:t>Froniters of</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 xml:space="preserve">Entrepreneurship 1997 </w:t>
      </w:r>
      <w:r>
        <w:rPr>
          <w:rFonts w:ascii="Times New Roman" w:hAnsi="Times New Roman" w:cs="Times New Roman"/>
          <w:color w:val="000000"/>
          <w:sz w:val="24"/>
          <w:szCs w:val="24"/>
        </w:rPr>
        <w:t>(pp. 419-443). Wellesley: Babson College.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Low, M. B. &amp; MacMillan, I. C. (1988). Entrepreneurship: past research and future challenges.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Journal of Management, 14</w:t>
      </w:r>
      <w:r>
        <w:rPr>
          <w:rFonts w:ascii="Times New Roman" w:hAnsi="Times New Roman" w:cs="Times New Roman"/>
          <w:color w:val="000000"/>
          <w:sz w:val="24"/>
          <w:szCs w:val="24"/>
        </w:rPr>
        <w:t>(2), 139-161.</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Lumpkin, G. T. &amp;Dess, G. G. (1996). Clarifying the entrepreneurial orientation construct and</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linking it to performance. </w:t>
      </w:r>
      <w:r>
        <w:rPr>
          <w:rFonts w:ascii="Times New Roman" w:hAnsi="Times New Roman" w:cs="Times New Roman"/>
          <w:i/>
          <w:iCs/>
          <w:color w:val="000000"/>
          <w:sz w:val="24"/>
          <w:szCs w:val="24"/>
        </w:rPr>
        <w:t>Academy of Management Review, 21</w:t>
      </w:r>
      <w:r>
        <w:rPr>
          <w:rFonts w:ascii="Times New Roman" w:hAnsi="Times New Roman" w:cs="Times New Roman"/>
          <w:color w:val="000000"/>
          <w:sz w:val="24"/>
          <w:szCs w:val="24"/>
        </w:rPr>
        <w:t>(1), 135-172.</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Lumpkin, G. T. &amp;Dess, G. G. (2001). Linking two dimensions of entrepreneruial orientation</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ab/>
        <w:t xml:space="preserve">to firm performance: the moderating role of environment and industry life cycle. </w:t>
      </w:r>
      <w:r>
        <w:rPr>
          <w:rFonts w:ascii="Times New Roman" w:hAnsi="Times New Roman" w:cs="Times New Roman"/>
          <w:i/>
          <w:iCs/>
          <w:color w:val="000000"/>
          <w:sz w:val="24"/>
          <w:szCs w:val="24"/>
        </w:rPr>
        <w:t xml:space="preserve">Journal </w:t>
      </w:r>
      <w:r>
        <w:rPr>
          <w:rFonts w:ascii="Times New Roman" w:hAnsi="Times New Roman" w:cs="Times New Roman"/>
          <w:i/>
          <w:iCs/>
          <w:color w:val="000000"/>
          <w:sz w:val="24"/>
          <w:szCs w:val="24"/>
        </w:rPr>
        <w:tab/>
        <w:t>of Business Venturing, 16</w:t>
      </w:r>
      <w:r>
        <w:rPr>
          <w:rFonts w:ascii="Times New Roman" w:hAnsi="Times New Roman" w:cs="Times New Roman"/>
          <w:color w:val="000000"/>
          <w:sz w:val="24"/>
          <w:szCs w:val="24"/>
        </w:rPr>
        <w:t>(5), 429-451.</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Madsen, T. K. &amp;Servais, P. (1997). The internationalization of Born Globals: An</w:t>
      </w:r>
    </w:p>
    <w:p w:rsidR="00B44B07" w:rsidRDefault="00B44B07" w:rsidP="006B1D93">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evolutionary process? </w:t>
      </w:r>
      <w:r>
        <w:rPr>
          <w:rFonts w:ascii="Times New Roman" w:hAnsi="Times New Roman" w:cs="Times New Roman"/>
          <w:i/>
          <w:iCs/>
          <w:color w:val="000000"/>
          <w:sz w:val="24"/>
          <w:szCs w:val="24"/>
        </w:rPr>
        <w:t>International Business Review, 6</w:t>
      </w:r>
      <w:r>
        <w:rPr>
          <w:rFonts w:ascii="Times New Roman" w:hAnsi="Times New Roman" w:cs="Times New Roman"/>
          <w:color w:val="000000"/>
          <w:sz w:val="24"/>
          <w:szCs w:val="24"/>
        </w:rPr>
        <w:t>(3), 82-93.</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Markman, G. D. &amp; Gartner, W. B. (2002). Is extraordinary growth profitable? A study of </w:t>
      </w:r>
      <w:r>
        <w:rPr>
          <w:rFonts w:ascii="Times New Roman" w:hAnsi="Times New Roman" w:cs="Times New Roman"/>
          <w:i/>
          <w:iCs/>
          <w:color w:val="000000"/>
          <w:sz w:val="24"/>
          <w:szCs w:val="24"/>
        </w:rPr>
        <w:t>Inc.</w:t>
      </w:r>
    </w:p>
    <w:p w:rsidR="00B44B07" w:rsidRDefault="00B44B07" w:rsidP="006B1D93">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500 </w:t>
      </w:r>
      <w:r>
        <w:rPr>
          <w:rFonts w:ascii="Times New Roman" w:hAnsi="Times New Roman" w:cs="Times New Roman"/>
          <w:color w:val="000000"/>
          <w:sz w:val="24"/>
          <w:szCs w:val="24"/>
        </w:rPr>
        <w:t>high-growth companies.</w:t>
      </w:r>
      <w:r>
        <w:rPr>
          <w:rFonts w:ascii="Times New Roman" w:hAnsi="Times New Roman" w:cs="Times New Roman"/>
          <w:i/>
          <w:iCs/>
          <w:color w:val="000000"/>
          <w:sz w:val="24"/>
          <w:szCs w:val="24"/>
        </w:rPr>
        <w:t>Entrepreneurship Theory and Practice, 27</w:t>
      </w:r>
      <w:r>
        <w:rPr>
          <w:rFonts w:ascii="Times New Roman" w:hAnsi="Times New Roman" w:cs="Times New Roman"/>
          <w:color w:val="000000"/>
          <w:sz w:val="24"/>
          <w:szCs w:val="24"/>
        </w:rPr>
        <w:t>(1), 65-75.</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McCann, J. (1991). Patterns of growth, competitive technology, and financial strategies </w:t>
      </w:r>
      <w:r>
        <w:rPr>
          <w:rFonts w:ascii="Times New Roman" w:hAnsi="Times New Roman" w:cs="Times New Roman"/>
          <w:color w:val="000000"/>
          <w:sz w:val="24"/>
          <w:szCs w:val="24"/>
        </w:rPr>
        <w:tab/>
        <w:t>in young ventures.</w:t>
      </w:r>
      <w:r>
        <w:rPr>
          <w:rFonts w:ascii="Times New Roman" w:hAnsi="Times New Roman" w:cs="Times New Roman"/>
          <w:i/>
          <w:iCs/>
          <w:color w:val="000000"/>
          <w:sz w:val="24"/>
          <w:szCs w:val="24"/>
        </w:rPr>
        <w:t>Journal of Business Venturing, 6</w:t>
      </w:r>
      <w:r>
        <w:rPr>
          <w:rFonts w:ascii="Times New Roman" w:hAnsi="Times New Roman" w:cs="Times New Roman"/>
          <w:color w:val="000000"/>
          <w:sz w:val="24"/>
          <w:szCs w:val="24"/>
        </w:rPr>
        <w:t>(3), 198-208.</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McDougall, P., Covin, J., Robinson, R. &amp; Herron, L. (1994). The effect of industry growth</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ab/>
        <w:t xml:space="preserve">and strategic breadth on new venture performance and strategy content. </w:t>
      </w:r>
      <w:r>
        <w:rPr>
          <w:rFonts w:ascii="Times New Roman" w:hAnsi="Times New Roman" w:cs="Times New Roman"/>
          <w:i/>
          <w:iCs/>
          <w:color w:val="000000"/>
          <w:sz w:val="24"/>
          <w:szCs w:val="24"/>
        </w:rPr>
        <w:t>Strategic</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Management Journal, 15</w:t>
      </w:r>
      <w:r>
        <w:rPr>
          <w:rFonts w:ascii="Times New Roman" w:hAnsi="Times New Roman" w:cs="Times New Roman"/>
          <w:color w:val="000000"/>
          <w:sz w:val="24"/>
          <w:szCs w:val="24"/>
        </w:rPr>
        <w:t>(7), 537-554.</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McDougall, P. P. &amp;Oviatt, B. M. (1997). International entrepreneurship literature in 1990s</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ab/>
        <w:t xml:space="preserve">and directions for future research. In D. L. Sexton &amp; R. W. Smilor (Eds.), </w:t>
      </w:r>
      <w:r>
        <w:rPr>
          <w:rFonts w:ascii="Times New Roman" w:hAnsi="Times New Roman" w:cs="Times New Roman"/>
          <w:color w:val="000000"/>
          <w:sz w:val="24"/>
          <w:szCs w:val="24"/>
        </w:rPr>
        <w:tab/>
      </w:r>
      <w:r>
        <w:rPr>
          <w:rFonts w:ascii="Times New Roman" w:hAnsi="Times New Roman" w:cs="Times New Roman"/>
          <w:i/>
          <w:iCs/>
          <w:color w:val="000000"/>
          <w:sz w:val="24"/>
          <w:szCs w:val="24"/>
        </w:rPr>
        <w:t>.Entrepreneurship 2000cHICAGO.</w:t>
      </w:r>
      <w:r>
        <w:rPr>
          <w:rFonts w:ascii="Times New Roman" w:hAnsi="Times New Roman" w:cs="Times New Roman"/>
          <w:color w:val="000000"/>
          <w:sz w:val="24"/>
          <w:szCs w:val="24"/>
        </w:rPr>
        <w:t>(pp. 291-320). Chicago, IL: Upstart.</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McDougall, P. P., Shane, S. &amp;Oviatt, B. M. (1994). Explaining the formation of international</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ab/>
        <w:t xml:space="preserve">new ventures: the limits of theories from international business research. </w:t>
      </w:r>
      <w:r>
        <w:rPr>
          <w:rFonts w:ascii="Times New Roman" w:hAnsi="Times New Roman" w:cs="Times New Roman"/>
          <w:i/>
          <w:iCs/>
          <w:color w:val="000000"/>
          <w:sz w:val="24"/>
          <w:szCs w:val="24"/>
        </w:rPr>
        <w:t xml:space="preserve">Journal of </w:t>
      </w:r>
      <w:r>
        <w:rPr>
          <w:rFonts w:ascii="Times New Roman" w:hAnsi="Times New Roman" w:cs="Times New Roman"/>
          <w:i/>
          <w:iCs/>
          <w:color w:val="000000"/>
          <w:sz w:val="24"/>
          <w:szCs w:val="24"/>
        </w:rPr>
        <w:tab/>
        <w:t>Business Venturing, 9</w:t>
      </w:r>
      <w:r>
        <w:rPr>
          <w:rFonts w:ascii="Times New Roman" w:hAnsi="Times New Roman" w:cs="Times New Roman"/>
          <w:color w:val="000000"/>
          <w:sz w:val="24"/>
          <w:szCs w:val="24"/>
        </w:rPr>
        <w:t>(5), 469-487.</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Melin, L. (1992). Internationalization as strategy process.</w:t>
      </w:r>
      <w:r>
        <w:rPr>
          <w:rFonts w:ascii="Times New Roman" w:hAnsi="Times New Roman" w:cs="Times New Roman"/>
          <w:i/>
          <w:iCs/>
          <w:color w:val="000000"/>
          <w:sz w:val="24"/>
          <w:szCs w:val="24"/>
        </w:rPr>
        <w:t>Strategic Management Journal, 13</w:t>
      </w:r>
      <w:r>
        <w:rPr>
          <w:rFonts w:ascii="Times New Roman" w:hAnsi="Times New Roman" w:cs="Times New Roman"/>
          <w:color w:val="000000"/>
          <w:sz w:val="24"/>
          <w:szCs w:val="24"/>
        </w:rPr>
        <w:t>,</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161-179.</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Mendelson, H. (2000). Organizational Architechture and Success in the Information</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Technology Industry.</w:t>
      </w:r>
      <w:r>
        <w:rPr>
          <w:rFonts w:ascii="Times New Roman" w:hAnsi="Times New Roman" w:cs="Times New Roman"/>
          <w:i/>
          <w:iCs/>
          <w:color w:val="000000"/>
          <w:sz w:val="24"/>
          <w:szCs w:val="24"/>
        </w:rPr>
        <w:t>Management Science, 46</w:t>
      </w:r>
      <w:r>
        <w:rPr>
          <w:rFonts w:ascii="Times New Roman" w:hAnsi="Times New Roman" w:cs="Times New Roman"/>
          <w:color w:val="000000"/>
          <w:sz w:val="24"/>
          <w:szCs w:val="24"/>
        </w:rPr>
        <w:t>(4), 513-529.</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Meyer, G. D., Neck, H. M. &amp; Meeks, M. D. (2002). The entrepreneurship-strategic</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management interface. In M. A. Hitt&amp; R. D. Ireland &amp; M. S. Camp &amp; D. S. Sexton </w:t>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(Eds.), </w:t>
      </w:r>
      <w:r>
        <w:rPr>
          <w:rFonts w:ascii="Times New Roman" w:hAnsi="Times New Roman" w:cs="Times New Roman"/>
          <w:i/>
          <w:iCs/>
          <w:color w:val="000000"/>
          <w:sz w:val="24"/>
          <w:szCs w:val="24"/>
        </w:rPr>
        <w:t xml:space="preserve">Strategic Entrepreneurship: Creating a New Mindset </w:t>
      </w:r>
      <w:r>
        <w:rPr>
          <w:rFonts w:ascii="Times New Roman" w:hAnsi="Times New Roman" w:cs="Times New Roman"/>
          <w:color w:val="000000"/>
          <w:sz w:val="24"/>
          <w:szCs w:val="24"/>
        </w:rPr>
        <w:t xml:space="preserve">(pp. 19-44). Oxford, UK: </w:t>
      </w:r>
      <w:r>
        <w:rPr>
          <w:rFonts w:ascii="Times New Roman" w:hAnsi="Times New Roman" w:cs="Times New Roman"/>
          <w:color w:val="000000"/>
          <w:sz w:val="24"/>
          <w:szCs w:val="24"/>
        </w:rPr>
        <w:tab/>
        <w:t>Blackwell.</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Mok, A. L. &amp; van den Tillaart, H. (1990). Farmers and small businessmen: A comparative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analysis of their careers and occupational orientation. In R. Donckels&amp; A. Miettinen</w:t>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(Eds.), </w:t>
      </w:r>
      <w:r>
        <w:rPr>
          <w:rFonts w:ascii="Times New Roman" w:hAnsi="Times New Roman" w:cs="Times New Roman"/>
          <w:i/>
          <w:iCs/>
          <w:color w:val="000000"/>
          <w:sz w:val="24"/>
          <w:szCs w:val="24"/>
        </w:rPr>
        <w:t xml:space="preserve">New Findings and Perspectives in Entrepreneurship </w:t>
      </w:r>
      <w:r>
        <w:rPr>
          <w:rFonts w:ascii="Times New Roman" w:hAnsi="Times New Roman" w:cs="Times New Roman"/>
          <w:color w:val="000000"/>
          <w:sz w:val="24"/>
          <w:szCs w:val="24"/>
        </w:rPr>
        <w:t xml:space="preserve">(pp. 203-230). Aldershot, </w:t>
      </w:r>
      <w:r>
        <w:rPr>
          <w:rFonts w:ascii="Times New Roman" w:hAnsi="Times New Roman" w:cs="Times New Roman"/>
          <w:color w:val="000000"/>
          <w:sz w:val="24"/>
          <w:szCs w:val="24"/>
        </w:rPr>
        <w:tab/>
        <w:t>UK: Avebury.</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Mosakowski, E. (2002). Overcoming resource disadvantages in entrepreneurial firms: When</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ab/>
        <w:t xml:space="preserve">less is more. In M. A. Hitt&amp; R. D. Ireland &amp; S. M. Camp &amp; D. L. Sexton (Eds.), </w:t>
      </w:r>
      <w:r>
        <w:rPr>
          <w:rFonts w:ascii="Times New Roman" w:hAnsi="Times New Roman" w:cs="Times New Roman"/>
          <w:color w:val="000000"/>
          <w:sz w:val="24"/>
          <w:szCs w:val="24"/>
        </w:rPr>
        <w:tab/>
      </w:r>
      <w:r>
        <w:rPr>
          <w:rFonts w:ascii="Times New Roman" w:hAnsi="Times New Roman" w:cs="Times New Roman"/>
          <w:i/>
          <w:iCs/>
          <w:color w:val="000000"/>
          <w:sz w:val="24"/>
          <w:szCs w:val="24"/>
        </w:rPr>
        <w:t xml:space="preserve">Strategic Entrepreneurship: Creating a New Mindset </w:t>
      </w:r>
      <w:r>
        <w:rPr>
          <w:rFonts w:ascii="Times New Roman" w:hAnsi="Times New Roman" w:cs="Times New Roman"/>
          <w:color w:val="000000"/>
          <w:sz w:val="24"/>
          <w:szCs w:val="24"/>
        </w:rPr>
        <w:t xml:space="preserve">(pp. 106-126). Oxford, UK: </w:t>
      </w:r>
      <w:r>
        <w:rPr>
          <w:rFonts w:ascii="Times New Roman" w:hAnsi="Times New Roman" w:cs="Times New Roman"/>
          <w:color w:val="000000"/>
          <w:sz w:val="24"/>
          <w:szCs w:val="24"/>
        </w:rPr>
        <w:tab/>
        <w:t>Blackwell.</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O'Gorman, C. (1997). Success strategies in high growth small and medium-sized enterprises.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In D. Jones-Evans &amp; M. Klofsten (Eds.), </w:t>
      </w:r>
      <w:r>
        <w:rPr>
          <w:rFonts w:ascii="Times New Roman" w:hAnsi="Times New Roman" w:cs="Times New Roman"/>
          <w:i/>
          <w:iCs/>
          <w:color w:val="000000"/>
          <w:sz w:val="24"/>
          <w:szCs w:val="24"/>
        </w:rPr>
        <w:t xml:space="preserve">Technnolgy, Innovation and Enterprise </w:t>
      </w:r>
      <w:r>
        <w:rPr>
          <w:rFonts w:ascii="Times New Roman" w:hAnsi="Times New Roman" w:cs="Times New Roman"/>
          <w:color w:val="000000"/>
          <w:sz w:val="24"/>
          <w:szCs w:val="24"/>
        </w:rPr>
        <w:t>(pp.</w:t>
      </w:r>
      <w:r>
        <w:rPr>
          <w:rFonts w:ascii="Times New Roman" w:hAnsi="Times New Roman" w:cs="Times New Roman"/>
          <w:color w:val="000000"/>
          <w:sz w:val="24"/>
          <w:szCs w:val="24"/>
        </w:rPr>
        <w:tab/>
        <w:t>179- 208). London: MacMillan.</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Penrose, E. (1959). </w:t>
      </w:r>
      <w:r>
        <w:rPr>
          <w:rFonts w:ascii="Times New Roman" w:hAnsi="Times New Roman" w:cs="Times New Roman"/>
          <w:i/>
          <w:iCs/>
          <w:color w:val="000000"/>
          <w:sz w:val="24"/>
          <w:szCs w:val="24"/>
        </w:rPr>
        <w:t>The Theory of the Growth of the Firm</w:t>
      </w:r>
      <w:r>
        <w:rPr>
          <w:rFonts w:ascii="Times New Roman" w:hAnsi="Times New Roman" w:cs="Times New Roman"/>
          <w:color w:val="000000"/>
          <w:sz w:val="24"/>
          <w:szCs w:val="24"/>
        </w:rPr>
        <w:t>. Oxford: Oxford University Press.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Porter, M. E. (1980). </w:t>
      </w:r>
      <w:r>
        <w:rPr>
          <w:rFonts w:ascii="Times New Roman" w:hAnsi="Times New Roman" w:cs="Times New Roman"/>
          <w:i/>
          <w:iCs/>
          <w:color w:val="000000"/>
          <w:sz w:val="24"/>
          <w:szCs w:val="24"/>
        </w:rPr>
        <w:t>Competitive Strategy</w:t>
      </w:r>
      <w:r>
        <w:rPr>
          <w:rFonts w:ascii="Times New Roman" w:hAnsi="Times New Roman" w:cs="Times New Roman"/>
          <w:color w:val="000000"/>
          <w:sz w:val="24"/>
          <w:szCs w:val="24"/>
        </w:rPr>
        <w:t>. New York, NY: Free Press.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Quinn, R. E. &amp; Cameron, K. S. (1983). Organizational life cycles and shifting criteria of</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effectiveness: Some preliminary evidence. </w:t>
      </w:r>
      <w:r>
        <w:rPr>
          <w:rFonts w:ascii="Times New Roman" w:hAnsi="Times New Roman" w:cs="Times New Roman"/>
          <w:i/>
          <w:iCs/>
          <w:color w:val="000000"/>
          <w:sz w:val="24"/>
          <w:szCs w:val="24"/>
        </w:rPr>
        <w:t>Management Science, 29</w:t>
      </w:r>
      <w:r>
        <w:rPr>
          <w:rFonts w:ascii="Times New Roman" w:hAnsi="Times New Roman" w:cs="Times New Roman"/>
          <w:color w:val="000000"/>
          <w:sz w:val="24"/>
          <w:szCs w:val="24"/>
        </w:rPr>
        <w:t>(1), 33-51.</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Raffa, M., Zollo, G. &amp;Caponi, R. (1996).The development process of small firms.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lastRenderedPageBreak/>
        <w:tab/>
        <w:t>Entrepreneursip and Regional Development, 8</w:t>
      </w:r>
      <w:r>
        <w:rPr>
          <w:rFonts w:ascii="Times New Roman" w:hAnsi="Times New Roman" w:cs="Times New Roman"/>
          <w:color w:val="000000"/>
          <w:sz w:val="24"/>
          <w:szCs w:val="24"/>
        </w:rPr>
        <w:t>(4), 359-372.</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Reynolds, P. D., Bygrave, W. D. &amp;Autio, E. (2003). </w:t>
      </w:r>
      <w:r>
        <w:rPr>
          <w:rFonts w:ascii="Times New Roman" w:hAnsi="Times New Roman" w:cs="Times New Roman"/>
          <w:i/>
          <w:iCs/>
          <w:color w:val="000000"/>
          <w:sz w:val="24"/>
          <w:szCs w:val="24"/>
        </w:rPr>
        <w:t>GEM 2003 Global Report</w:t>
      </w:r>
      <w:r>
        <w:rPr>
          <w:rFonts w:ascii="Times New Roman" w:hAnsi="Times New Roman" w:cs="Times New Roman"/>
          <w:color w:val="000000"/>
          <w:sz w:val="24"/>
          <w:szCs w:val="24"/>
        </w:rPr>
        <w:t>. Kansas, MO:</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Kauffman Foundation.</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Reynolds, P. D. &amp; White, S. B. (1997).</w:t>
      </w:r>
      <w:r>
        <w:rPr>
          <w:rFonts w:ascii="Times New Roman" w:hAnsi="Times New Roman" w:cs="Times New Roman"/>
          <w:i/>
          <w:iCs/>
          <w:color w:val="000000"/>
          <w:sz w:val="24"/>
          <w:szCs w:val="24"/>
        </w:rPr>
        <w:t>The Entrepreneurial Process: Economic Growth,</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Men, Women, and Minorities</w:t>
      </w:r>
      <w:r>
        <w:rPr>
          <w:rFonts w:ascii="Times New Roman" w:hAnsi="Times New Roman" w:cs="Times New Roman"/>
          <w:color w:val="000000"/>
          <w:sz w:val="24"/>
          <w:szCs w:val="24"/>
        </w:rPr>
        <w:t>. Westport: CT: Quorum Books.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Riding, A. L. &amp; Haines, G. J. (1998). Defaulting on loan guarantees: Costs and benefits of</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encouraging early-stage growth.</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In R. P.D. &amp; W. D. Bygrave&amp; N. M. Carter &amp; S.</w:t>
      </w:r>
      <w:r>
        <w:rPr>
          <w:rFonts w:ascii="Times New Roman" w:hAnsi="Times New Roman" w:cs="Times New Roman"/>
          <w:color w:val="000000"/>
          <w:sz w:val="24"/>
          <w:szCs w:val="24"/>
        </w:rPr>
        <w:tab/>
        <w:t xml:space="preserve">Manigart&amp; G. D. Meyer &amp; K. G. Shaver </w:t>
      </w:r>
      <w:r>
        <w:rPr>
          <w:rFonts w:ascii="Times New Roman" w:hAnsi="Times New Roman" w:cs="Times New Roman"/>
          <w:color w:val="000000"/>
          <w:sz w:val="24"/>
          <w:szCs w:val="24"/>
        </w:rPr>
        <w:tab/>
        <w:t xml:space="preserve">(Eds.), </w:t>
      </w:r>
      <w:r>
        <w:rPr>
          <w:rFonts w:ascii="Times New Roman" w:hAnsi="Times New Roman" w:cs="Times New Roman"/>
          <w:i/>
          <w:iCs/>
          <w:color w:val="000000"/>
          <w:sz w:val="24"/>
          <w:szCs w:val="24"/>
        </w:rPr>
        <w:t xml:space="preserve">Frontiers of Entrepreneurship Research 1998 </w:t>
      </w:r>
      <w:r>
        <w:rPr>
          <w:rFonts w:ascii="Times New Roman" w:hAnsi="Times New Roman" w:cs="Times New Roman"/>
          <w:color w:val="000000"/>
          <w:sz w:val="24"/>
          <w:szCs w:val="24"/>
        </w:rPr>
        <w:t xml:space="preserve">(pp. 504-518). Wellesley, MA: </w:t>
      </w:r>
      <w:r>
        <w:rPr>
          <w:rFonts w:ascii="Times New Roman" w:hAnsi="Times New Roman" w:cs="Times New Roman"/>
          <w:color w:val="000000"/>
          <w:sz w:val="24"/>
          <w:szCs w:val="24"/>
        </w:rPr>
        <w:tab/>
      </w:r>
      <w:r>
        <w:rPr>
          <w:rFonts w:ascii="Times New Roman" w:hAnsi="Times New Roman" w:cs="Times New Roman"/>
          <w:color w:val="000000"/>
          <w:sz w:val="24"/>
          <w:szCs w:val="24"/>
        </w:rPr>
        <w:tab/>
        <w:t>Babson College.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Roberts, E. B. &amp; Berry, C. A. (1985). Entering new businesses: Selecting strategies for success. </w:t>
      </w:r>
      <w:r>
        <w:rPr>
          <w:rFonts w:ascii="Times New Roman" w:hAnsi="Times New Roman" w:cs="Times New Roman"/>
          <w:color w:val="000000"/>
          <w:sz w:val="24"/>
          <w:szCs w:val="24"/>
        </w:rPr>
        <w:tab/>
      </w:r>
      <w:r>
        <w:rPr>
          <w:rFonts w:ascii="Times New Roman" w:hAnsi="Times New Roman" w:cs="Times New Roman"/>
          <w:i/>
          <w:iCs/>
          <w:color w:val="000000"/>
          <w:sz w:val="24"/>
          <w:szCs w:val="24"/>
        </w:rPr>
        <w:t xml:space="preserve">Sloan Management </w:t>
      </w:r>
      <w:r>
        <w:rPr>
          <w:rFonts w:ascii="Times New Roman" w:hAnsi="Times New Roman" w:cs="Times New Roman"/>
          <w:i/>
          <w:iCs/>
          <w:color w:val="000000"/>
          <w:sz w:val="24"/>
          <w:szCs w:val="24"/>
        </w:rPr>
        <w:tab/>
        <w:t>Review, 26</w:t>
      </w:r>
      <w:r>
        <w:rPr>
          <w:rFonts w:ascii="Times New Roman" w:hAnsi="Times New Roman" w:cs="Times New Roman"/>
          <w:color w:val="000000"/>
          <w:sz w:val="24"/>
          <w:szCs w:val="24"/>
        </w:rPr>
        <w:t>(Spring), 3-17.</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Robson, P. J.A. &amp; Bennett, R. J. (2000). SME growth: The relationship with business advice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and external collaboration. </w:t>
      </w:r>
      <w:r>
        <w:rPr>
          <w:rFonts w:ascii="Times New Roman" w:hAnsi="Times New Roman" w:cs="Times New Roman"/>
          <w:i/>
          <w:iCs/>
          <w:color w:val="000000"/>
          <w:sz w:val="24"/>
          <w:szCs w:val="24"/>
        </w:rPr>
        <w:t>Small Business Economics, 15</w:t>
      </w:r>
      <w:r>
        <w:rPr>
          <w:rFonts w:ascii="Times New Roman" w:hAnsi="Times New Roman" w:cs="Times New Roman"/>
          <w:color w:val="000000"/>
          <w:sz w:val="24"/>
          <w:szCs w:val="24"/>
        </w:rPr>
        <w:t>(3), 193-208.</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Rollag, K. (2001). How fast growth promotes rapid socialization in entrepreneurial firms.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 D. Bygrave&amp; E. Autio&amp; C. G. Brush &amp; P. Davidsson&amp; P. G. Green &amp; P. D. Reynolds &amp;</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 J. Sapienza (Eds.), </w:t>
      </w:r>
      <w:r>
        <w:rPr>
          <w:rFonts w:ascii="Times New Roman" w:hAnsi="Times New Roman" w:cs="Times New Roman"/>
          <w:i/>
          <w:iCs/>
          <w:color w:val="000000"/>
          <w:sz w:val="24"/>
          <w:szCs w:val="24"/>
        </w:rPr>
        <w:t>Frontiers of Entrepreneurship Research 2001</w:t>
      </w:r>
      <w:r>
        <w:rPr>
          <w:rFonts w:ascii="Times New Roman" w:hAnsi="Times New Roman" w:cs="Times New Roman"/>
          <w:color w:val="000000"/>
          <w:sz w:val="24"/>
          <w:szCs w:val="24"/>
        </w:rPr>
        <w:t>. Wellesley, MA: Babson</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College.</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Roper, S. (1999).Modelling small business growth and profitability.</w:t>
      </w:r>
      <w:r>
        <w:rPr>
          <w:rFonts w:ascii="Times New Roman" w:hAnsi="Times New Roman" w:cs="Times New Roman"/>
          <w:i/>
          <w:iCs/>
          <w:color w:val="000000"/>
          <w:sz w:val="24"/>
          <w:szCs w:val="24"/>
        </w:rPr>
        <w:t>Small Business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Economics, 13</w:t>
      </w:r>
      <w:r>
        <w:rPr>
          <w:rFonts w:ascii="Times New Roman" w:hAnsi="Times New Roman" w:cs="Times New Roman"/>
          <w:color w:val="000000"/>
          <w:sz w:val="24"/>
          <w:szCs w:val="24"/>
        </w:rPr>
        <w:t>(3), 235-252.</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Ruef, M., Aldrich, H. E. &amp; Carter, N. M. (2003). The structure of organizational founding</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ab/>
        <w:t xml:space="preserve">teams: Homophily, strong ties, and isolation among U.S. entrepreneurs. </w:t>
      </w:r>
      <w:r>
        <w:rPr>
          <w:rFonts w:ascii="Times New Roman" w:hAnsi="Times New Roman" w:cs="Times New Roman"/>
          <w:i/>
          <w:iCs/>
          <w:color w:val="000000"/>
          <w:sz w:val="24"/>
          <w:szCs w:val="24"/>
        </w:rPr>
        <w:t>American</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Sociological Review, 68</w:t>
      </w:r>
      <w:r>
        <w:rPr>
          <w:rFonts w:ascii="Times New Roman" w:hAnsi="Times New Roman" w:cs="Times New Roman"/>
          <w:color w:val="000000"/>
          <w:sz w:val="24"/>
          <w:szCs w:val="24"/>
        </w:rPr>
        <w:t>(2), 195 - 222.</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Samuelsson, M. (2001).Modelling the nascent venture opportunity exploitation process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across time. In W. D. Bygrave&amp; E. Autio&amp; C. G. Brush &amp; P. Davidsson&amp; P. G. Green </w:t>
      </w:r>
      <w:r>
        <w:rPr>
          <w:rFonts w:ascii="Times New Roman" w:hAnsi="Times New Roman" w:cs="Times New Roman"/>
          <w:color w:val="000000"/>
          <w:sz w:val="24"/>
          <w:szCs w:val="24"/>
        </w:rPr>
        <w:tab/>
        <w:t xml:space="preserve">&amp; P. D. Reynolds &amp; H. J. Sapienza (Eds.), </w:t>
      </w:r>
      <w:r>
        <w:rPr>
          <w:rFonts w:ascii="Times New Roman" w:hAnsi="Times New Roman" w:cs="Times New Roman"/>
          <w:i/>
          <w:iCs/>
          <w:color w:val="000000"/>
          <w:sz w:val="24"/>
          <w:szCs w:val="24"/>
        </w:rPr>
        <w:t xml:space="preserve">Frontiers of Entrepreneurship Research 2001 </w:t>
      </w:r>
      <w:r>
        <w:rPr>
          <w:rFonts w:ascii="Times New Roman" w:hAnsi="Times New Roman" w:cs="Times New Roman"/>
          <w:i/>
          <w:iCs/>
          <w:color w:val="000000"/>
          <w:sz w:val="24"/>
          <w:szCs w:val="24"/>
        </w:rPr>
        <w:tab/>
      </w:r>
      <w:r>
        <w:rPr>
          <w:rFonts w:ascii="Times New Roman" w:hAnsi="Times New Roman" w:cs="Times New Roman"/>
          <w:color w:val="000000"/>
          <w:sz w:val="24"/>
          <w:szCs w:val="24"/>
        </w:rPr>
        <w:t>(pp. 66- 79). Wellesley, MA.</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Samuelsson, M. (2004).</w:t>
      </w:r>
      <w:r>
        <w:rPr>
          <w:rFonts w:ascii="Times New Roman" w:hAnsi="Times New Roman" w:cs="Times New Roman"/>
          <w:i/>
          <w:iCs/>
          <w:color w:val="000000"/>
          <w:sz w:val="24"/>
          <w:szCs w:val="24"/>
        </w:rPr>
        <w:t>Creating New Ventures: A Longitudinal Investigation of the Nascent</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Venturing Process</w:t>
      </w:r>
      <w:r>
        <w:rPr>
          <w:rFonts w:ascii="Times New Roman" w:hAnsi="Times New Roman" w:cs="Times New Roman"/>
          <w:color w:val="000000"/>
          <w:sz w:val="24"/>
          <w:szCs w:val="24"/>
        </w:rPr>
        <w:t>.Doctoral dissertation. Jönköping: Jönköping International Business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School.</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Sandberg, W. R. &amp; Hofer, C. W. (1987). Improving new venture performance: the role of</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strategy, industry structure, and the entrepreneur. </w:t>
      </w:r>
      <w:r>
        <w:rPr>
          <w:rFonts w:ascii="Times New Roman" w:hAnsi="Times New Roman" w:cs="Times New Roman"/>
          <w:i/>
          <w:iCs/>
          <w:color w:val="000000"/>
          <w:sz w:val="24"/>
          <w:szCs w:val="24"/>
        </w:rPr>
        <w:t>Journal of Business Venturing, 2</w:t>
      </w:r>
      <w:r>
        <w:rPr>
          <w:rFonts w:ascii="Times New Roman" w:hAnsi="Times New Roman" w:cs="Times New Roman"/>
          <w:color w:val="000000"/>
          <w:sz w:val="24"/>
          <w:szCs w:val="24"/>
        </w:rPr>
        <w:t>(2), 5-</w:t>
      </w:r>
      <w:r>
        <w:rPr>
          <w:rFonts w:ascii="Times New Roman" w:hAnsi="Times New Roman" w:cs="Times New Roman"/>
          <w:color w:val="000000"/>
          <w:sz w:val="24"/>
          <w:szCs w:val="24"/>
        </w:rPr>
        <w:tab/>
        <w:t>28.</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Sapienza, H. J., Korsgaard, M. A. &amp; Forbes, D. P. (2003). The self-determination motive and</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ab/>
        <w:t xml:space="preserve">entrepreneurs' choice of finanincing. In J. Katz &amp; D. Shepherd (Eds.), </w:t>
      </w:r>
      <w:r>
        <w:rPr>
          <w:rFonts w:ascii="Times New Roman" w:hAnsi="Times New Roman" w:cs="Times New Roman"/>
          <w:i/>
          <w:iCs/>
          <w:color w:val="000000"/>
          <w:sz w:val="24"/>
          <w:szCs w:val="24"/>
        </w:rPr>
        <w:t xml:space="preserve">Cognitive </w:t>
      </w:r>
      <w:r>
        <w:rPr>
          <w:rFonts w:ascii="Times New Roman" w:hAnsi="Times New Roman" w:cs="Times New Roman"/>
          <w:i/>
          <w:iCs/>
          <w:color w:val="000000"/>
          <w:sz w:val="24"/>
          <w:szCs w:val="24"/>
        </w:rPr>
        <w:tab/>
        <w:t xml:space="preserve">Approaches to Entrepreneurship Research </w:t>
      </w:r>
      <w:r>
        <w:rPr>
          <w:rFonts w:ascii="Times New Roman" w:hAnsi="Times New Roman" w:cs="Times New Roman"/>
          <w:color w:val="000000"/>
          <w:sz w:val="24"/>
          <w:szCs w:val="24"/>
        </w:rPr>
        <w:t xml:space="preserve">(Vol. 6, pp. 107-140). Oxford, UK: </w:t>
      </w:r>
      <w:r>
        <w:rPr>
          <w:rFonts w:ascii="Times New Roman" w:hAnsi="Times New Roman" w:cs="Times New Roman"/>
          <w:color w:val="000000"/>
          <w:sz w:val="24"/>
          <w:szCs w:val="24"/>
        </w:rPr>
        <w:tab/>
        <w:t>Elsevier/JAI Press.</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Scott, M. &amp; Bruce, R. (1987).Five stages of growth in small business.</w:t>
      </w:r>
      <w:r>
        <w:rPr>
          <w:rFonts w:ascii="Times New Roman" w:hAnsi="Times New Roman" w:cs="Times New Roman"/>
          <w:i/>
          <w:iCs/>
          <w:color w:val="000000"/>
          <w:sz w:val="24"/>
          <w:szCs w:val="24"/>
        </w:rPr>
        <w:t>Long Range Planning,</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20</w:t>
      </w:r>
      <w:r>
        <w:rPr>
          <w:rFonts w:ascii="Times New Roman" w:hAnsi="Times New Roman" w:cs="Times New Roman"/>
          <w:color w:val="000000"/>
          <w:sz w:val="24"/>
          <w:szCs w:val="24"/>
        </w:rPr>
        <w:t>(3), 45-52.</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Sexton, D. L. (1997). Entrepreneurship research needs and issues. In D. L. Sexton &amp; R. W.</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Smilor (Eds.), </w:t>
      </w:r>
      <w:r>
        <w:rPr>
          <w:rFonts w:ascii="Times New Roman" w:hAnsi="Times New Roman" w:cs="Times New Roman"/>
          <w:i/>
          <w:iCs/>
          <w:color w:val="000000"/>
          <w:sz w:val="24"/>
          <w:szCs w:val="24"/>
        </w:rPr>
        <w:t xml:space="preserve">Entrepreneurship 2000 </w:t>
      </w:r>
      <w:r>
        <w:rPr>
          <w:rFonts w:ascii="Times New Roman" w:hAnsi="Times New Roman" w:cs="Times New Roman"/>
          <w:color w:val="000000"/>
          <w:sz w:val="24"/>
          <w:szCs w:val="24"/>
        </w:rPr>
        <w:t>(pp. 401-408). Chicago, IL: Upstart Publishing</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Company.</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Sexton, D. L., Pricer, R. W. &amp;Nenide, B. (2000). </w:t>
      </w:r>
      <w:r>
        <w:rPr>
          <w:rFonts w:ascii="Times New Roman" w:hAnsi="Times New Roman" w:cs="Times New Roman"/>
          <w:i/>
          <w:iCs/>
          <w:color w:val="000000"/>
          <w:sz w:val="24"/>
          <w:szCs w:val="24"/>
        </w:rPr>
        <w:t>Measuring performance in high-growth</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 xml:space="preserve">firms. </w:t>
      </w:r>
      <w:r>
        <w:rPr>
          <w:rFonts w:ascii="Times New Roman" w:hAnsi="Times New Roman" w:cs="Times New Roman"/>
          <w:color w:val="000000"/>
          <w:sz w:val="24"/>
          <w:szCs w:val="24"/>
        </w:rPr>
        <w:t>Paper presented at the Babson college/Kauffman Foundation Entrepreneurship</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Research Conference, Babson College, MA.</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Shane, S. &amp;Venkataraman, S. (2000). The promise of entrepreneurship as a field of research.</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Academy of Management Review, 25</w:t>
      </w:r>
      <w:r>
        <w:rPr>
          <w:rFonts w:ascii="Times New Roman" w:hAnsi="Times New Roman" w:cs="Times New Roman"/>
          <w:color w:val="000000"/>
          <w:sz w:val="24"/>
          <w:szCs w:val="24"/>
        </w:rPr>
        <w:t>(1), 217-226.</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Stanworth, J. &amp; Curran, J. (1973).</w:t>
      </w:r>
      <w:r>
        <w:rPr>
          <w:rFonts w:ascii="Times New Roman" w:hAnsi="Times New Roman" w:cs="Times New Roman"/>
          <w:i/>
          <w:iCs/>
          <w:color w:val="000000"/>
          <w:sz w:val="24"/>
          <w:szCs w:val="24"/>
        </w:rPr>
        <w:t>Management Motivation in the Smaller Business</w:t>
      </w:r>
      <w:r>
        <w:rPr>
          <w:rFonts w:ascii="Times New Roman" w:hAnsi="Times New Roman" w:cs="Times New Roman"/>
          <w:color w:val="000000"/>
          <w:sz w:val="24"/>
          <w:szCs w:val="24"/>
        </w:rPr>
        <w:t>. Epping,</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UK: Gower Press.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Stevenson, H. H. &amp;Jarillo, J. C. (1990). A paradigm of entrepreneurship: Entrepreneurial</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management. </w:t>
      </w:r>
      <w:r>
        <w:rPr>
          <w:rFonts w:ascii="Times New Roman" w:hAnsi="Times New Roman" w:cs="Times New Roman"/>
          <w:i/>
          <w:iCs/>
          <w:color w:val="000000"/>
          <w:sz w:val="24"/>
          <w:szCs w:val="24"/>
        </w:rPr>
        <w:t>Strategic Management Journal, 11</w:t>
      </w:r>
      <w:r>
        <w:rPr>
          <w:rFonts w:ascii="Times New Roman" w:hAnsi="Times New Roman" w:cs="Times New Roman"/>
          <w:color w:val="000000"/>
          <w:sz w:val="24"/>
          <w:szCs w:val="24"/>
        </w:rPr>
        <w:t>, 17-27.</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Storey, D. J. (1994).</w:t>
      </w:r>
      <w:r>
        <w:rPr>
          <w:rFonts w:ascii="Times New Roman" w:hAnsi="Times New Roman" w:cs="Times New Roman"/>
          <w:i/>
          <w:iCs/>
          <w:color w:val="000000"/>
          <w:sz w:val="24"/>
          <w:szCs w:val="24"/>
        </w:rPr>
        <w:t>Understanding the Small Business Sector</w:t>
      </w:r>
      <w:r>
        <w:rPr>
          <w:rFonts w:ascii="Times New Roman" w:hAnsi="Times New Roman" w:cs="Times New Roman"/>
          <w:color w:val="000000"/>
          <w:sz w:val="24"/>
          <w:szCs w:val="24"/>
        </w:rPr>
        <w:t>. London: Routledge.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Storey, D. J. (1997).</w:t>
      </w:r>
      <w:r>
        <w:rPr>
          <w:rFonts w:ascii="Times New Roman" w:hAnsi="Times New Roman" w:cs="Times New Roman"/>
          <w:i/>
          <w:iCs/>
          <w:color w:val="000000"/>
          <w:sz w:val="24"/>
          <w:szCs w:val="24"/>
        </w:rPr>
        <w:t>The Ten Percenters.Second Report</w:t>
      </w:r>
      <w:r>
        <w:rPr>
          <w:rFonts w:ascii="Times New Roman" w:hAnsi="Times New Roman" w:cs="Times New Roman"/>
          <w:color w:val="000000"/>
          <w:sz w:val="24"/>
          <w:szCs w:val="24"/>
        </w:rPr>
        <w:t>. London: Deliotte&amp;Touche.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Stubbart, C. I. &amp; Smalley, R. D. (1999). The deceptive allure of stage models of strategic</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processes. </w:t>
      </w:r>
      <w:r>
        <w:rPr>
          <w:rFonts w:ascii="Times New Roman" w:hAnsi="Times New Roman" w:cs="Times New Roman"/>
          <w:i/>
          <w:iCs/>
          <w:color w:val="000000"/>
          <w:sz w:val="24"/>
          <w:szCs w:val="24"/>
        </w:rPr>
        <w:t>Journal of Management Inquiry,, 8</w:t>
      </w:r>
      <w:r>
        <w:rPr>
          <w:rFonts w:ascii="Times New Roman" w:hAnsi="Times New Roman" w:cs="Times New Roman"/>
          <w:color w:val="000000"/>
          <w:sz w:val="24"/>
          <w:szCs w:val="24"/>
        </w:rPr>
        <w:t>(3), 273-286.</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Tang, N. K. H., Jones, O. &amp; Forrester, P. L. (1997). Organizational growth demands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concurrent engineering. </w:t>
      </w:r>
      <w:r>
        <w:rPr>
          <w:rFonts w:ascii="Times New Roman" w:hAnsi="Times New Roman" w:cs="Times New Roman"/>
          <w:i/>
          <w:iCs/>
          <w:color w:val="000000"/>
          <w:sz w:val="24"/>
          <w:szCs w:val="24"/>
        </w:rPr>
        <w:t>. Integrated Manufacturing Systems, 8</w:t>
      </w:r>
      <w:r>
        <w:rPr>
          <w:rFonts w:ascii="Times New Roman" w:hAnsi="Times New Roman" w:cs="Times New Roman"/>
          <w:color w:val="000000"/>
          <w:sz w:val="24"/>
          <w:szCs w:val="24"/>
        </w:rPr>
        <w:t>(1), 29-34.</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Thorelli, H. B. (1987). Entrepreneurship in international marketing: Some research</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opportunities. In G. E. Hills (Ed.), </w:t>
      </w:r>
      <w:r>
        <w:rPr>
          <w:rFonts w:ascii="Times New Roman" w:hAnsi="Times New Roman" w:cs="Times New Roman"/>
          <w:i/>
          <w:iCs/>
          <w:color w:val="000000"/>
          <w:sz w:val="24"/>
          <w:szCs w:val="24"/>
        </w:rPr>
        <w:t xml:space="preserve">Research at the Marketing/Entrepreneurship Interface </w:t>
      </w:r>
      <w:r>
        <w:rPr>
          <w:rFonts w:ascii="Times New Roman" w:hAnsi="Times New Roman" w:cs="Times New Roman"/>
          <w:i/>
          <w:iCs/>
          <w:color w:val="000000"/>
          <w:sz w:val="24"/>
          <w:szCs w:val="24"/>
        </w:rPr>
        <w:tab/>
      </w:r>
      <w:r>
        <w:rPr>
          <w:rFonts w:ascii="Times New Roman" w:hAnsi="Times New Roman" w:cs="Times New Roman"/>
          <w:color w:val="000000"/>
          <w:sz w:val="24"/>
          <w:szCs w:val="24"/>
        </w:rPr>
        <w:t>(pp. 183-204). Marietta, GA.: USASBE.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Weinzimmer, L. G., Nystrom, P. C. &amp; Freeman, S. J. (1998). Measuring organizational</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growth: Issues, consequences and guidelines. </w:t>
      </w:r>
      <w:r>
        <w:rPr>
          <w:rFonts w:ascii="Times New Roman" w:hAnsi="Times New Roman" w:cs="Times New Roman"/>
          <w:i/>
          <w:iCs/>
          <w:color w:val="000000"/>
          <w:sz w:val="24"/>
          <w:szCs w:val="24"/>
        </w:rPr>
        <w:t>Journal of Management, 24</w:t>
      </w:r>
      <w:r>
        <w:rPr>
          <w:rFonts w:ascii="Times New Roman" w:hAnsi="Times New Roman" w:cs="Times New Roman"/>
          <w:color w:val="000000"/>
          <w:sz w:val="24"/>
          <w:szCs w:val="24"/>
        </w:rPr>
        <w:t>(2), 235-262.</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Welch, D. &amp; Welch, L. S. (1996). The internationalization process and networks: A strategic</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management perspective. </w:t>
      </w:r>
      <w:r>
        <w:rPr>
          <w:rFonts w:ascii="Times New Roman" w:hAnsi="Times New Roman" w:cs="Times New Roman"/>
          <w:i/>
          <w:iCs/>
          <w:color w:val="000000"/>
          <w:sz w:val="24"/>
          <w:szCs w:val="24"/>
        </w:rPr>
        <w:t>Journal of International Marketing., 4</w:t>
      </w:r>
      <w:r>
        <w:rPr>
          <w:rFonts w:ascii="Times New Roman" w:hAnsi="Times New Roman" w:cs="Times New Roman"/>
          <w:color w:val="000000"/>
          <w:sz w:val="24"/>
          <w:szCs w:val="24"/>
        </w:rPr>
        <w:t>(3), 11-27.</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Wernerfelt, B. (1984). A resource based view of the firm. </w:t>
      </w:r>
      <w:r>
        <w:rPr>
          <w:rFonts w:ascii="Times New Roman" w:hAnsi="Times New Roman" w:cs="Times New Roman"/>
          <w:i/>
          <w:iCs/>
          <w:color w:val="000000"/>
          <w:sz w:val="24"/>
          <w:szCs w:val="24"/>
        </w:rPr>
        <w:t>Strategic Management Journal,</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5</w:t>
      </w:r>
      <w:r>
        <w:rPr>
          <w:rFonts w:ascii="Times New Roman" w:hAnsi="Times New Roman" w:cs="Times New Roman"/>
          <w:color w:val="000000"/>
          <w:sz w:val="24"/>
          <w:szCs w:val="24"/>
        </w:rPr>
        <w:t>(2), 171-180.</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Wernerfelt, B. (1995). The resource-based view of the firm: Ten years after. </w:t>
      </w:r>
      <w:r>
        <w:rPr>
          <w:rFonts w:ascii="Times New Roman" w:hAnsi="Times New Roman" w:cs="Times New Roman"/>
          <w:i/>
          <w:iCs/>
          <w:color w:val="000000"/>
          <w:sz w:val="24"/>
          <w:szCs w:val="24"/>
        </w:rPr>
        <w:t>Strategic</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Management Journal, 16</w:t>
      </w:r>
      <w:r>
        <w:rPr>
          <w:rFonts w:ascii="Times New Roman" w:hAnsi="Times New Roman" w:cs="Times New Roman"/>
          <w:color w:val="000000"/>
          <w:sz w:val="24"/>
          <w:szCs w:val="24"/>
        </w:rPr>
        <w:t>(3), 171-174.</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Wiklund, J. (1998). </w:t>
      </w:r>
      <w:r>
        <w:rPr>
          <w:rFonts w:ascii="Times New Roman" w:hAnsi="Times New Roman" w:cs="Times New Roman"/>
          <w:i/>
          <w:iCs/>
          <w:color w:val="000000"/>
          <w:sz w:val="24"/>
          <w:szCs w:val="24"/>
        </w:rPr>
        <w:t>Small Firm Growth and Performance: Entrepreneurship and Beyond</w:t>
      </w:r>
      <w:r>
        <w:rPr>
          <w:rFonts w:ascii="Times New Roman" w:hAnsi="Times New Roman" w:cs="Times New Roman"/>
          <w:color w:val="000000"/>
          <w:sz w:val="24"/>
          <w:szCs w:val="24"/>
        </w:rPr>
        <w:t>.</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Doctoral dissertation. Jönköping: Jönköping International Business School.</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Wiklund, J. (1999). The sustainability of the entrepreneurial orientation - performance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relationship. </w:t>
      </w:r>
      <w:r>
        <w:rPr>
          <w:rFonts w:ascii="Times New Roman" w:hAnsi="Times New Roman" w:cs="Times New Roman"/>
          <w:i/>
          <w:iCs/>
          <w:color w:val="000000"/>
          <w:sz w:val="24"/>
          <w:szCs w:val="24"/>
        </w:rPr>
        <w:t>Entrepreneurship Theory &amp; Practice, 24</w:t>
      </w:r>
      <w:r>
        <w:rPr>
          <w:rFonts w:ascii="Times New Roman" w:hAnsi="Times New Roman" w:cs="Times New Roman"/>
          <w:color w:val="000000"/>
          <w:sz w:val="24"/>
          <w:szCs w:val="24"/>
        </w:rPr>
        <w:t>(1), 37-48.</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Wiklund, J. (2001). Growth motivation and its influence on subsequent growth.In W. D.</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Bygrave&amp; E. Autio&amp; C. G. Brush &amp; P. Davidsson&amp; P. G. Green &amp; P. D. Reynolds &amp; H. J.</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Sapienza (Eds.), </w:t>
      </w:r>
      <w:r>
        <w:rPr>
          <w:rFonts w:ascii="Times New Roman" w:hAnsi="Times New Roman" w:cs="Times New Roman"/>
          <w:i/>
          <w:iCs/>
          <w:color w:val="000000"/>
          <w:sz w:val="24"/>
          <w:szCs w:val="24"/>
        </w:rPr>
        <w:t xml:space="preserve">Frontiers of Entrepreneurship Research 2001 </w:t>
      </w:r>
      <w:r>
        <w:rPr>
          <w:rFonts w:ascii="Times New Roman" w:hAnsi="Times New Roman" w:cs="Times New Roman"/>
          <w:color w:val="000000"/>
          <w:sz w:val="24"/>
          <w:szCs w:val="24"/>
        </w:rPr>
        <w:t xml:space="preserve">(pp. 101-112). Wellesley, </w:t>
      </w:r>
      <w:r>
        <w:rPr>
          <w:rFonts w:ascii="Times New Roman" w:hAnsi="Times New Roman" w:cs="Times New Roman"/>
          <w:color w:val="000000"/>
          <w:sz w:val="24"/>
          <w:szCs w:val="24"/>
        </w:rPr>
        <w:tab/>
        <w:t>MA: Babson College.</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Wiklund, J. &amp;Davidsson, P. (1999).</w:t>
      </w:r>
      <w:r>
        <w:rPr>
          <w:rFonts w:ascii="Times New Roman" w:hAnsi="Times New Roman" w:cs="Times New Roman"/>
          <w:i/>
          <w:iCs/>
          <w:color w:val="000000"/>
          <w:sz w:val="24"/>
          <w:szCs w:val="24"/>
        </w:rPr>
        <w:t>A resource-based view on organic and acquired growth.</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Paper presented at the Academy of Management Conference, Chicago.</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Wiklund, J., Davidsson, P. &amp; Delmar, F. (2003). Expected consequences of growth and their</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ab/>
        <w:t xml:space="preserve">effect on growth willingness in different samples of small firms. </w:t>
      </w:r>
      <w:r>
        <w:rPr>
          <w:rFonts w:ascii="Times New Roman" w:hAnsi="Times New Roman" w:cs="Times New Roman"/>
          <w:i/>
          <w:iCs/>
          <w:color w:val="000000"/>
          <w:sz w:val="24"/>
          <w:szCs w:val="24"/>
        </w:rPr>
        <w:t xml:space="preserve">Entrepreneurship </w:t>
      </w:r>
      <w:r>
        <w:rPr>
          <w:rFonts w:ascii="Times New Roman" w:hAnsi="Times New Roman" w:cs="Times New Roman"/>
          <w:i/>
          <w:iCs/>
          <w:color w:val="000000"/>
          <w:sz w:val="24"/>
          <w:szCs w:val="24"/>
        </w:rPr>
        <w:tab/>
        <w:t>Theory &amp;Practice, 27</w:t>
      </w:r>
      <w:r>
        <w:rPr>
          <w:rFonts w:ascii="Times New Roman" w:hAnsi="Times New Roman" w:cs="Times New Roman"/>
          <w:color w:val="000000"/>
          <w:sz w:val="24"/>
          <w:szCs w:val="24"/>
        </w:rPr>
        <w:t>(3), 247-269.</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Wiklund, J. &amp; Shepherd, D. (2003). Aspiring for, and achieving growth: the moderating role</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of resources and opportunities. </w:t>
      </w:r>
      <w:r>
        <w:rPr>
          <w:rFonts w:ascii="Times New Roman" w:hAnsi="Times New Roman" w:cs="Times New Roman"/>
          <w:i/>
          <w:iCs/>
          <w:color w:val="000000"/>
          <w:sz w:val="24"/>
          <w:szCs w:val="24"/>
        </w:rPr>
        <w:t>Journal of Management Studies, 40</w:t>
      </w:r>
      <w:r>
        <w:rPr>
          <w:rFonts w:ascii="Times New Roman" w:hAnsi="Times New Roman" w:cs="Times New Roman"/>
          <w:color w:val="000000"/>
          <w:sz w:val="24"/>
          <w:szCs w:val="24"/>
        </w:rPr>
        <w:t>(8), 1911-1941.</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Wiklund, J. &amp; Shepherd, D. (2005). Entrepreneurial orientation and small business</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performance: a configurational approach. </w:t>
      </w:r>
      <w:r>
        <w:rPr>
          <w:rFonts w:ascii="Times New Roman" w:hAnsi="Times New Roman" w:cs="Times New Roman"/>
          <w:i/>
          <w:iCs/>
          <w:color w:val="000000"/>
          <w:sz w:val="24"/>
          <w:szCs w:val="24"/>
        </w:rPr>
        <w:t>Journal of Business Venturing, 20</w:t>
      </w:r>
      <w:r>
        <w:rPr>
          <w:rFonts w:ascii="Times New Roman" w:hAnsi="Times New Roman" w:cs="Times New Roman"/>
          <w:color w:val="000000"/>
          <w:sz w:val="24"/>
          <w:szCs w:val="24"/>
        </w:rPr>
        <w:t>(1), 71-91.</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Winborg, J. &amp;Landström, H. (2001). Financial bootstrapping in small businesses: examining</w:t>
      </w:r>
    </w:p>
    <w:p w:rsidR="00B44B07" w:rsidRDefault="00B44B07" w:rsidP="006B1D93">
      <w:pPr>
        <w:autoSpaceDE w:val="0"/>
        <w:autoSpaceDN w:val="0"/>
        <w:adjustRightInd w:val="0"/>
        <w:spacing w:after="0" w:line="360" w:lineRule="auto"/>
        <w:jc w:val="both"/>
        <w:rPr>
          <w:rFonts w:ascii="Times New Roman" w:hAnsi="Times New Roman" w:cs="Times New Roman"/>
          <w:i/>
          <w:iCs/>
          <w:color w:val="000000"/>
          <w:sz w:val="24"/>
          <w:szCs w:val="24"/>
        </w:rPr>
      </w:pPr>
      <w:r>
        <w:rPr>
          <w:rFonts w:ascii="Times New Roman" w:hAnsi="Times New Roman" w:cs="Times New Roman"/>
          <w:color w:val="000000"/>
          <w:sz w:val="24"/>
          <w:szCs w:val="24"/>
        </w:rPr>
        <w:tab/>
        <w:t xml:space="preserve">small business managers' resource acquistition behaviors. </w:t>
      </w:r>
      <w:r>
        <w:rPr>
          <w:rFonts w:ascii="Times New Roman" w:hAnsi="Times New Roman" w:cs="Times New Roman"/>
          <w:i/>
          <w:iCs/>
          <w:color w:val="000000"/>
          <w:sz w:val="24"/>
          <w:szCs w:val="24"/>
        </w:rPr>
        <w:t>Journal of Business Venturing,</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ab/>
        <w:t>16</w:t>
      </w:r>
      <w:r>
        <w:rPr>
          <w:rFonts w:ascii="Times New Roman" w:hAnsi="Times New Roman" w:cs="Times New Roman"/>
          <w:color w:val="000000"/>
          <w:sz w:val="24"/>
          <w:szCs w:val="24"/>
        </w:rPr>
        <w:t>(3), 235-254.</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Woo, C. Y., Cooper, A. C. &amp;Dunkelberg</w:t>
      </w:r>
      <w:r>
        <w:rPr>
          <w:rFonts w:ascii="Times New Roman" w:hAnsi="Times New Roman" w:cs="Times New Roman"/>
          <w:i/>
          <w:iCs/>
          <w:color w:val="000000"/>
          <w:sz w:val="24"/>
          <w:szCs w:val="24"/>
        </w:rPr>
        <w:t>of Business Venturing, 6</w:t>
      </w:r>
      <w:r>
        <w:rPr>
          <w:rFonts w:ascii="Times New Roman" w:hAnsi="Times New Roman" w:cs="Times New Roman"/>
          <w:color w:val="000000"/>
          <w:sz w:val="24"/>
          <w:szCs w:val="24"/>
        </w:rPr>
        <w:t>(2), 93-114.</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Zahra, S. (1991). Predictors and financial outcomes of corporate entrepreneurship: An</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 xml:space="preserve">explorative study. </w:t>
      </w:r>
      <w:r>
        <w:rPr>
          <w:rFonts w:ascii="Times New Roman" w:hAnsi="Times New Roman" w:cs="Times New Roman"/>
          <w:i/>
          <w:iCs/>
          <w:color w:val="000000"/>
          <w:sz w:val="24"/>
          <w:szCs w:val="24"/>
        </w:rPr>
        <w:t>Journal of Business Venturing, 6</w:t>
      </w:r>
      <w:r>
        <w:rPr>
          <w:rFonts w:ascii="Times New Roman" w:hAnsi="Times New Roman" w:cs="Times New Roman"/>
          <w:color w:val="000000"/>
          <w:sz w:val="24"/>
          <w:szCs w:val="24"/>
        </w:rPr>
        <w:t>(4), 259-285.</w:t>
      </w:r>
    </w:p>
    <w:p w:rsidR="00B44B07" w:rsidRDefault="00B44B07" w:rsidP="006B1D93">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W. C. (1991). The development and interpretation of entrepreneurial typologies.</w:t>
      </w:r>
      <w:r>
        <w:rPr>
          <w:rFonts w:ascii="Times New Roman" w:hAnsi="Times New Roman" w:cs="Times New Roman"/>
          <w:i/>
          <w:iCs/>
          <w:color w:val="000000"/>
          <w:sz w:val="24"/>
          <w:szCs w:val="24"/>
        </w:rPr>
        <w:t>Journal</w:t>
      </w:r>
    </w:p>
    <w:p w:rsidR="00B44B07" w:rsidRDefault="00B44B07" w:rsidP="00C35033">
      <w:pPr>
        <w:autoSpaceDE w:val="0"/>
        <w:autoSpaceDN w:val="0"/>
        <w:adjustRightInd w:val="0"/>
        <w:spacing w:after="0" w:line="360" w:lineRule="auto"/>
        <w:jc w:val="both"/>
        <w:rPr>
          <w:rFonts w:ascii="Times New Roman" w:hAnsi="Times New Roman" w:cs="Times New Roman"/>
          <w:sz w:val="24"/>
          <w:szCs w:val="24"/>
        </w:rPr>
      </w:pPr>
    </w:p>
    <w:p w:rsidR="00B44B07" w:rsidRDefault="00B44B07" w:rsidP="00C35033">
      <w:pPr>
        <w:autoSpaceDE w:val="0"/>
        <w:autoSpaceDN w:val="0"/>
        <w:adjustRightInd w:val="0"/>
        <w:spacing w:after="0" w:line="360" w:lineRule="auto"/>
        <w:jc w:val="both"/>
        <w:rPr>
          <w:rFonts w:ascii="Calibri" w:hAnsi="Calibri" w:cs="Calibri"/>
        </w:rPr>
      </w:pPr>
    </w:p>
    <w:p w:rsidR="00B44B07" w:rsidRPr="006B1D93" w:rsidRDefault="00B44B07" w:rsidP="00C35033">
      <w:pPr>
        <w:autoSpaceDE w:val="0"/>
        <w:autoSpaceDN w:val="0"/>
        <w:adjustRightInd w:val="0"/>
        <w:spacing w:after="0" w:line="360" w:lineRule="auto"/>
        <w:jc w:val="both"/>
        <w:rPr>
          <w:rFonts w:ascii="Calibri" w:hAnsi="Calibri" w:cs="Calibri"/>
          <w:b/>
          <w:bCs/>
          <w:sz w:val="24"/>
          <w:szCs w:val="24"/>
        </w:rPr>
      </w:pPr>
      <w:r w:rsidRPr="006B1D93">
        <w:rPr>
          <w:rFonts w:ascii="Calibri" w:hAnsi="Calibri" w:cs="Calibri"/>
          <w:b/>
          <w:bCs/>
          <w:sz w:val="24"/>
          <w:szCs w:val="24"/>
        </w:rPr>
        <w:t>DATA FOR THE STUDY</w:t>
      </w:r>
    </w:p>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CSR EXPENDITURE AND PERCENTAGE CHANGES IN PROFITABILITY</w:t>
      </w:r>
    </w:p>
    <w:tbl>
      <w:tblPr>
        <w:tblW w:w="0" w:type="auto"/>
        <w:tblLayout w:type="fixed"/>
        <w:tblLook w:val="0000"/>
      </w:tblPr>
      <w:tblGrid>
        <w:gridCol w:w="943"/>
        <w:gridCol w:w="1218"/>
        <w:gridCol w:w="1023"/>
        <w:gridCol w:w="1107"/>
        <w:gridCol w:w="982"/>
        <w:gridCol w:w="1218"/>
        <w:gridCol w:w="946"/>
        <w:gridCol w:w="1218"/>
        <w:gridCol w:w="917"/>
      </w:tblGrid>
      <w:tr w:rsidR="00B44B07">
        <w:trPr>
          <w:trHeight w:val="446"/>
        </w:trPr>
        <w:tc>
          <w:tcPr>
            <w:tcW w:w="94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Years</w:t>
            </w:r>
          </w:p>
        </w:tc>
        <w:tc>
          <w:tcPr>
            <w:tcW w:w="2241"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Flour mill of Nigeria</w:t>
            </w:r>
          </w:p>
        </w:tc>
        <w:tc>
          <w:tcPr>
            <w:tcW w:w="2089"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Honeywell flour mill</w:t>
            </w:r>
          </w:p>
        </w:tc>
        <w:tc>
          <w:tcPr>
            <w:tcW w:w="216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Dangote flour mill</w:t>
            </w:r>
          </w:p>
        </w:tc>
        <w:tc>
          <w:tcPr>
            <w:tcW w:w="2135"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Northern Nigeria flour mill</w:t>
            </w:r>
          </w:p>
        </w:tc>
      </w:tr>
      <w:tr w:rsidR="00B44B07">
        <w:trPr>
          <w:trHeight w:val="360"/>
        </w:trPr>
        <w:tc>
          <w:tcPr>
            <w:tcW w:w="94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CSR</w:t>
            </w:r>
          </w:p>
        </w:tc>
        <w:tc>
          <w:tcPr>
            <w:tcW w:w="102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PAT</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CSR</w:t>
            </w:r>
          </w:p>
        </w:tc>
        <w:tc>
          <w:tcPr>
            <w:tcW w:w="98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PAT</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CSR</w:t>
            </w:r>
          </w:p>
        </w:tc>
        <w:tc>
          <w:tcPr>
            <w:tcW w:w="946"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PAT</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CSR</w:t>
            </w:r>
          </w:p>
        </w:tc>
        <w:tc>
          <w:tcPr>
            <w:tcW w:w="91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PAT</w:t>
            </w:r>
          </w:p>
        </w:tc>
      </w:tr>
      <w:tr w:rsidR="00B44B07">
        <w:trPr>
          <w:trHeight w:val="351"/>
        </w:trPr>
        <w:tc>
          <w:tcPr>
            <w:tcW w:w="94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2009</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1,880,000</w:t>
            </w:r>
          </w:p>
        </w:tc>
        <w:tc>
          <w:tcPr>
            <w:tcW w:w="102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(15)</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115,000</w:t>
            </w:r>
          </w:p>
        </w:tc>
        <w:tc>
          <w:tcPr>
            <w:tcW w:w="98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3</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46,717,000</w:t>
            </w:r>
          </w:p>
        </w:tc>
        <w:tc>
          <w:tcPr>
            <w:tcW w:w="946"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14</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14,459,000</w:t>
            </w:r>
          </w:p>
        </w:tc>
        <w:tc>
          <w:tcPr>
            <w:tcW w:w="91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9</w:t>
            </w:r>
          </w:p>
        </w:tc>
      </w:tr>
      <w:tr w:rsidR="00B44B07">
        <w:trPr>
          <w:trHeight w:val="351"/>
        </w:trPr>
        <w:tc>
          <w:tcPr>
            <w:tcW w:w="94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2010</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3,020,000</w:t>
            </w:r>
          </w:p>
        </w:tc>
        <w:tc>
          <w:tcPr>
            <w:tcW w:w="102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(40)</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170,000</w:t>
            </w:r>
          </w:p>
        </w:tc>
        <w:tc>
          <w:tcPr>
            <w:tcW w:w="98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41</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19,500,000</w:t>
            </w:r>
          </w:p>
        </w:tc>
        <w:tc>
          <w:tcPr>
            <w:tcW w:w="946"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7,581,500</w:t>
            </w:r>
          </w:p>
        </w:tc>
        <w:tc>
          <w:tcPr>
            <w:tcW w:w="91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9</w:t>
            </w:r>
          </w:p>
        </w:tc>
      </w:tr>
      <w:tr w:rsidR="00B44B07">
        <w:trPr>
          <w:trHeight w:val="361"/>
        </w:trPr>
        <w:tc>
          <w:tcPr>
            <w:tcW w:w="94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2011</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5,055,000</w:t>
            </w:r>
          </w:p>
        </w:tc>
        <w:tc>
          <w:tcPr>
            <w:tcW w:w="102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33</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787,500</w:t>
            </w:r>
          </w:p>
        </w:tc>
        <w:tc>
          <w:tcPr>
            <w:tcW w:w="98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12</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25,240,000</w:t>
            </w:r>
          </w:p>
        </w:tc>
        <w:tc>
          <w:tcPr>
            <w:tcW w:w="946"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31</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25,798,750</w:t>
            </w:r>
          </w:p>
        </w:tc>
        <w:tc>
          <w:tcPr>
            <w:tcW w:w="91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10</w:t>
            </w:r>
          </w:p>
        </w:tc>
      </w:tr>
      <w:tr w:rsidR="00B44B07">
        <w:trPr>
          <w:trHeight w:val="389"/>
        </w:trPr>
        <w:tc>
          <w:tcPr>
            <w:tcW w:w="94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2012</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4,795,000</w:t>
            </w:r>
          </w:p>
        </w:tc>
        <w:tc>
          <w:tcPr>
            <w:tcW w:w="102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(44)</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972,750</w:t>
            </w:r>
          </w:p>
        </w:tc>
        <w:tc>
          <w:tcPr>
            <w:tcW w:w="98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8</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7,635,000</w:t>
            </w:r>
          </w:p>
        </w:tc>
        <w:tc>
          <w:tcPr>
            <w:tcW w:w="946"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(26)</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13,837,500</w:t>
            </w:r>
          </w:p>
        </w:tc>
        <w:tc>
          <w:tcPr>
            <w:tcW w:w="91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10</w:t>
            </w:r>
          </w:p>
        </w:tc>
      </w:tr>
      <w:tr w:rsidR="00B44B07">
        <w:trPr>
          <w:trHeight w:val="380"/>
        </w:trPr>
        <w:tc>
          <w:tcPr>
            <w:tcW w:w="94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2013</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7,550,000</w:t>
            </w:r>
          </w:p>
        </w:tc>
        <w:tc>
          <w:tcPr>
            <w:tcW w:w="102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(45)</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1,365,000</w:t>
            </w:r>
          </w:p>
        </w:tc>
        <w:tc>
          <w:tcPr>
            <w:tcW w:w="98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5</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10,245,000</w:t>
            </w:r>
          </w:p>
        </w:tc>
        <w:tc>
          <w:tcPr>
            <w:tcW w:w="946"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(17)</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10,447,000</w:t>
            </w:r>
          </w:p>
        </w:tc>
        <w:tc>
          <w:tcPr>
            <w:tcW w:w="91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8</w:t>
            </w:r>
          </w:p>
        </w:tc>
      </w:tr>
      <w:tr w:rsidR="00B44B07">
        <w:trPr>
          <w:trHeight w:val="342"/>
        </w:trPr>
        <w:tc>
          <w:tcPr>
            <w:tcW w:w="94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2014</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11,050,000</w:t>
            </w:r>
          </w:p>
        </w:tc>
        <w:tc>
          <w:tcPr>
            <w:tcW w:w="102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10</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1,920,500</w:t>
            </w:r>
          </w:p>
        </w:tc>
        <w:tc>
          <w:tcPr>
            <w:tcW w:w="98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18</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2,851,500</w:t>
            </w:r>
          </w:p>
        </w:tc>
        <w:tc>
          <w:tcPr>
            <w:tcW w:w="946"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(19)</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8,216,130</w:t>
            </w:r>
          </w:p>
        </w:tc>
        <w:tc>
          <w:tcPr>
            <w:tcW w:w="91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4</w:t>
            </w:r>
          </w:p>
        </w:tc>
      </w:tr>
      <w:tr w:rsidR="00B44B07">
        <w:trPr>
          <w:trHeight w:val="332"/>
        </w:trPr>
        <w:tc>
          <w:tcPr>
            <w:tcW w:w="94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2015</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7,100,000</w:t>
            </w:r>
          </w:p>
        </w:tc>
        <w:tc>
          <w:tcPr>
            <w:tcW w:w="102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(5)</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1,854,220</w:t>
            </w:r>
          </w:p>
        </w:tc>
        <w:tc>
          <w:tcPr>
            <w:tcW w:w="98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(67)</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3,007000</w:t>
            </w:r>
          </w:p>
        </w:tc>
        <w:tc>
          <w:tcPr>
            <w:tcW w:w="946"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(19)</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65,005,000</w:t>
            </w:r>
          </w:p>
        </w:tc>
        <w:tc>
          <w:tcPr>
            <w:tcW w:w="91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w:t>
            </w:r>
          </w:p>
        </w:tc>
      </w:tr>
    </w:tbl>
    <w:p w:rsidR="00B44B07" w:rsidRDefault="00B44B07" w:rsidP="00C35033">
      <w:pPr>
        <w:autoSpaceDE w:val="0"/>
        <w:autoSpaceDN w:val="0"/>
        <w:adjustRightInd w:val="0"/>
        <w:spacing w:after="0" w:line="360" w:lineRule="auto"/>
        <w:jc w:val="both"/>
        <w:rPr>
          <w:rFonts w:ascii="Calibri" w:hAnsi="Calibri" w:cs="Calibri"/>
        </w:rPr>
      </w:pPr>
    </w:p>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CSR EXPENDITURE AND PERCENTAGE CHANGES IN SALES/TURNOVER</w:t>
      </w:r>
    </w:p>
    <w:tbl>
      <w:tblPr>
        <w:tblW w:w="0" w:type="auto"/>
        <w:tblLayout w:type="fixed"/>
        <w:tblLook w:val="0000"/>
      </w:tblPr>
      <w:tblGrid>
        <w:gridCol w:w="912"/>
        <w:gridCol w:w="1218"/>
        <w:gridCol w:w="1015"/>
        <w:gridCol w:w="1107"/>
        <w:gridCol w:w="990"/>
        <w:gridCol w:w="1218"/>
        <w:gridCol w:w="959"/>
        <w:gridCol w:w="1218"/>
        <w:gridCol w:w="935"/>
      </w:tblGrid>
      <w:tr w:rsidR="00B44B07">
        <w:trPr>
          <w:trHeight w:val="446"/>
        </w:trPr>
        <w:tc>
          <w:tcPr>
            <w:tcW w:w="91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Years</w:t>
            </w:r>
          </w:p>
        </w:tc>
        <w:tc>
          <w:tcPr>
            <w:tcW w:w="2233"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Flour mill of Nigeria</w:t>
            </w:r>
          </w:p>
        </w:tc>
        <w:tc>
          <w:tcPr>
            <w:tcW w:w="2097"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 xml:space="preserve">Honeywell flour mill </w:t>
            </w:r>
          </w:p>
        </w:tc>
        <w:tc>
          <w:tcPr>
            <w:tcW w:w="2177"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Dangote flour mill</w:t>
            </w:r>
          </w:p>
        </w:tc>
        <w:tc>
          <w:tcPr>
            <w:tcW w:w="2153"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Northern Nigeria flour mill</w:t>
            </w:r>
          </w:p>
        </w:tc>
      </w:tr>
      <w:tr w:rsidR="00B44B07">
        <w:trPr>
          <w:trHeight w:val="360"/>
        </w:trPr>
        <w:tc>
          <w:tcPr>
            <w:tcW w:w="91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CSR</w:t>
            </w:r>
          </w:p>
        </w:tc>
        <w:tc>
          <w:tcPr>
            <w:tcW w:w="1015"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SALES</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CSR</w:t>
            </w:r>
          </w:p>
        </w:tc>
        <w:tc>
          <w:tcPr>
            <w:tcW w:w="99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SALES</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CSR</w:t>
            </w:r>
          </w:p>
        </w:tc>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SALES</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CSR</w:t>
            </w:r>
          </w:p>
        </w:tc>
        <w:tc>
          <w:tcPr>
            <w:tcW w:w="935"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SALES</w:t>
            </w:r>
          </w:p>
        </w:tc>
      </w:tr>
      <w:tr w:rsidR="00B44B07">
        <w:trPr>
          <w:trHeight w:val="351"/>
        </w:trPr>
        <w:tc>
          <w:tcPr>
            <w:tcW w:w="91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2009</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1,900,000</w:t>
            </w:r>
          </w:p>
        </w:tc>
        <w:tc>
          <w:tcPr>
            <w:tcW w:w="1015"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21</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125,000</w:t>
            </w:r>
          </w:p>
        </w:tc>
        <w:tc>
          <w:tcPr>
            <w:tcW w:w="99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46,717,000</w:t>
            </w:r>
          </w:p>
        </w:tc>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29</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14,459,000</w:t>
            </w:r>
          </w:p>
        </w:tc>
        <w:tc>
          <w:tcPr>
            <w:tcW w:w="935"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5</w:t>
            </w:r>
          </w:p>
        </w:tc>
      </w:tr>
      <w:tr w:rsidR="00B44B07">
        <w:trPr>
          <w:trHeight w:val="351"/>
        </w:trPr>
        <w:tc>
          <w:tcPr>
            <w:tcW w:w="91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2010</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4,010,000</w:t>
            </w:r>
          </w:p>
        </w:tc>
        <w:tc>
          <w:tcPr>
            <w:tcW w:w="1015"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41</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175,000</w:t>
            </w:r>
          </w:p>
        </w:tc>
        <w:tc>
          <w:tcPr>
            <w:tcW w:w="99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3</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19,500,000</w:t>
            </w:r>
          </w:p>
        </w:tc>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23</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7,581,500</w:t>
            </w:r>
          </w:p>
        </w:tc>
        <w:tc>
          <w:tcPr>
            <w:tcW w:w="935"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5</w:t>
            </w:r>
          </w:p>
        </w:tc>
      </w:tr>
      <w:tr w:rsidR="00B44B07">
        <w:trPr>
          <w:trHeight w:val="361"/>
        </w:trPr>
        <w:tc>
          <w:tcPr>
            <w:tcW w:w="91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2011</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5,545,000</w:t>
            </w:r>
          </w:p>
        </w:tc>
        <w:tc>
          <w:tcPr>
            <w:tcW w:w="1015"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15</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787,500</w:t>
            </w:r>
          </w:p>
        </w:tc>
        <w:tc>
          <w:tcPr>
            <w:tcW w:w="99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25,240,000</w:t>
            </w:r>
          </w:p>
        </w:tc>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13</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25,798,750</w:t>
            </w:r>
          </w:p>
        </w:tc>
        <w:tc>
          <w:tcPr>
            <w:tcW w:w="935"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17</w:t>
            </w:r>
          </w:p>
        </w:tc>
      </w:tr>
      <w:tr w:rsidR="00B44B07">
        <w:trPr>
          <w:trHeight w:val="389"/>
        </w:trPr>
        <w:tc>
          <w:tcPr>
            <w:tcW w:w="91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2012</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4,555,000</w:t>
            </w:r>
          </w:p>
        </w:tc>
        <w:tc>
          <w:tcPr>
            <w:tcW w:w="1015"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16</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972,750</w:t>
            </w:r>
          </w:p>
        </w:tc>
        <w:tc>
          <w:tcPr>
            <w:tcW w:w="99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12</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7,635,000</w:t>
            </w:r>
          </w:p>
        </w:tc>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(6)</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13,837,500</w:t>
            </w:r>
          </w:p>
        </w:tc>
        <w:tc>
          <w:tcPr>
            <w:tcW w:w="935"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w:t>
            </w:r>
          </w:p>
        </w:tc>
      </w:tr>
      <w:tr w:rsidR="00B44B07">
        <w:trPr>
          <w:trHeight w:val="380"/>
        </w:trPr>
        <w:tc>
          <w:tcPr>
            <w:tcW w:w="91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2013</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7,650,000</w:t>
            </w:r>
          </w:p>
        </w:tc>
        <w:tc>
          <w:tcPr>
            <w:tcW w:w="1015"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17</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1,365,000</w:t>
            </w:r>
          </w:p>
        </w:tc>
        <w:tc>
          <w:tcPr>
            <w:tcW w:w="99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10,245,000</w:t>
            </w:r>
          </w:p>
        </w:tc>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5</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10,447,000</w:t>
            </w:r>
          </w:p>
        </w:tc>
        <w:tc>
          <w:tcPr>
            <w:tcW w:w="935"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8</w:t>
            </w:r>
          </w:p>
        </w:tc>
      </w:tr>
      <w:tr w:rsidR="00B44B07">
        <w:trPr>
          <w:trHeight w:val="342"/>
        </w:trPr>
        <w:tc>
          <w:tcPr>
            <w:tcW w:w="91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2014</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10,150,000</w:t>
            </w:r>
          </w:p>
        </w:tc>
        <w:tc>
          <w:tcPr>
            <w:tcW w:w="1015"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10</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1,920,500</w:t>
            </w:r>
          </w:p>
        </w:tc>
        <w:tc>
          <w:tcPr>
            <w:tcW w:w="99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21</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2,851,500</w:t>
            </w:r>
          </w:p>
        </w:tc>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(11)</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8,216,130</w:t>
            </w:r>
          </w:p>
        </w:tc>
        <w:tc>
          <w:tcPr>
            <w:tcW w:w="935"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(93)</w:t>
            </w:r>
          </w:p>
        </w:tc>
      </w:tr>
      <w:tr w:rsidR="00B44B07">
        <w:trPr>
          <w:trHeight w:val="332"/>
        </w:trPr>
        <w:tc>
          <w:tcPr>
            <w:tcW w:w="91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2015</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7,134,000</w:t>
            </w:r>
          </w:p>
        </w:tc>
        <w:tc>
          <w:tcPr>
            <w:tcW w:w="1015"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(5)</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1,854,220</w:t>
            </w:r>
          </w:p>
        </w:tc>
        <w:tc>
          <w:tcPr>
            <w:tcW w:w="99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(11)</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3,755,800</w:t>
            </w:r>
          </w:p>
        </w:tc>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9</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46,005,000</w:t>
            </w:r>
          </w:p>
        </w:tc>
        <w:tc>
          <w:tcPr>
            <w:tcW w:w="935"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(6)</w:t>
            </w:r>
          </w:p>
        </w:tc>
      </w:tr>
    </w:tbl>
    <w:p w:rsidR="00B44B07" w:rsidRDefault="00B44B07" w:rsidP="00C35033">
      <w:pPr>
        <w:autoSpaceDE w:val="0"/>
        <w:autoSpaceDN w:val="0"/>
        <w:adjustRightInd w:val="0"/>
        <w:spacing w:after="0" w:line="360" w:lineRule="auto"/>
        <w:jc w:val="both"/>
        <w:rPr>
          <w:rFonts w:ascii="Calibri" w:hAnsi="Calibri" w:cs="Calibri"/>
        </w:rPr>
      </w:pPr>
    </w:p>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CSR EXPENDITURE AND PERCENTAGE CHANGES IN EQUITY</w:t>
      </w:r>
    </w:p>
    <w:tbl>
      <w:tblPr>
        <w:tblW w:w="0" w:type="auto"/>
        <w:tblLayout w:type="fixed"/>
        <w:tblLook w:val="0000"/>
      </w:tblPr>
      <w:tblGrid>
        <w:gridCol w:w="872"/>
        <w:gridCol w:w="1218"/>
        <w:gridCol w:w="1017"/>
        <w:gridCol w:w="1107"/>
        <w:gridCol w:w="997"/>
        <w:gridCol w:w="1218"/>
        <w:gridCol w:w="972"/>
        <w:gridCol w:w="1218"/>
        <w:gridCol w:w="953"/>
      </w:tblGrid>
      <w:tr w:rsidR="00B44B07">
        <w:trPr>
          <w:trHeight w:val="446"/>
        </w:trPr>
        <w:tc>
          <w:tcPr>
            <w:tcW w:w="87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lastRenderedPageBreak/>
              <w:t>Years</w:t>
            </w:r>
          </w:p>
        </w:tc>
        <w:tc>
          <w:tcPr>
            <w:tcW w:w="2235"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Flour mill of Nigeria</w:t>
            </w:r>
          </w:p>
        </w:tc>
        <w:tc>
          <w:tcPr>
            <w:tcW w:w="210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 xml:space="preserve">Honeywell flour mill </w:t>
            </w:r>
          </w:p>
        </w:tc>
        <w:tc>
          <w:tcPr>
            <w:tcW w:w="219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Dangote flour mill</w:t>
            </w:r>
          </w:p>
        </w:tc>
        <w:tc>
          <w:tcPr>
            <w:tcW w:w="2171"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Northern Nigeria flour mill</w:t>
            </w:r>
          </w:p>
        </w:tc>
      </w:tr>
      <w:tr w:rsidR="00B44B07">
        <w:trPr>
          <w:trHeight w:val="360"/>
        </w:trPr>
        <w:tc>
          <w:tcPr>
            <w:tcW w:w="87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CSR</w:t>
            </w:r>
          </w:p>
        </w:tc>
        <w:tc>
          <w:tcPr>
            <w:tcW w:w="101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EQUITY</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CSR</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EQUITY</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CSR</w:t>
            </w:r>
          </w:p>
        </w:tc>
        <w:tc>
          <w:tcPr>
            <w:tcW w:w="97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EQUITY</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CSR</w:t>
            </w:r>
          </w:p>
        </w:tc>
        <w:tc>
          <w:tcPr>
            <w:tcW w:w="95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EQUITY</w:t>
            </w:r>
          </w:p>
        </w:tc>
      </w:tr>
      <w:tr w:rsidR="00B44B07">
        <w:trPr>
          <w:trHeight w:val="351"/>
        </w:trPr>
        <w:tc>
          <w:tcPr>
            <w:tcW w:w="87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2009</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1,950,000</w:t>
            </w:r>
          </w:p>
        </w:tc>
        <w:tc>
          <w:tcPr>
            <w:tcW w:w="101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41</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125,000</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46,717,000</w:t>
            </w:r>
          </w:p>
        </w:tc>
        <w:tc>
          <w:tcPr>
            <w:tcW w:w="97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(9)</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14,459,000</w:t>
            </w:r>
          </w:p>
        </w:tc>
        <w:tc>
          <w:tcPr>
            <w:tcW w:w="95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23</w:t>
            </w:r>
          </w:p>
        </w:tc>
      </w:tr>
      <w:tr w:rsidR="00B44B07">
        <w:trPr>
          <w:trHeight w:val="351"/>
        </w:trPr>
        <w:tc>
          <w:tcPr>
            <w:tcW w:w="87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2010</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3,010,000</w:t>
            </w:r>
          </w:p>
        </w:tc>
        <w:tc>
          <w:tcPr>
            <w:tcW w:w="101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195,650</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50</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19,500,000</w:t>
            </w:r>
          </w:p>
        </w:tc>
        <w:tc>
          <w:tcPr>
            <w:tcW w:w="97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9</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7,581,500</w:t>
            </w:r>
          </w:p>
        </w:tc>
        <w:tc>
          <w:tcPr>
            <w:tcW w:w="95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w:t>
            </w:r>
          </w:p>
        </w:tc>
      </w:tr>
      <w:tr w:rsidR="00B44B07">
        <w:trPr>
          <w:trHeight w:val="361"/>
        </w:trPr>
        <w:tc>
          <w:tcPr>
            <w:tcW w:w="87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2011</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5,545,000</w:t>
            </w:r>
          </w:p>
        </w:tc>
        <w:tc>
          <w:tcPr>
            <w:tcW w:w="101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46</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787,500</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12</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25,240,000</w:t>
            </w:r>
          </w:p>
        </w:tc>
        <w:tc>
          <w:tcPr>
            <w:tcW w:w="97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18</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25,798,750</w:t>
            </w:r>
          </w:p>
        </w:tc>
        <w:tc>
          <w:tcPr>
            <w:tcW w:w="95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16</w:t>
            </w:r>
          </w:p>
        </w:tc>
      </w:tr>
      <w:tr w:rsidR="00B44B07">
        <w:trPr>
          <w:trHeight w:val="389"/>
        </w:trPr>
        <w:tc>
          <w:tcPr>
            <w:tcW w:w="87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2012</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4,555,000</w:t>
            </w:r>
          </w:p>
        </w:tc>
        <w:tc>
          <w:tcPr>
            <w:tcW w:w="101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(9)</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972,750</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11</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7,635,000</w:t>
            </w:r>
          </w:p>
        </w:tc>
        <w:tc>
          <w:tcPr>
            <w:tcW w:w="97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(4)</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13,837,500</w:t>
            </w:r>
          </w:p>
        </w:tc>
        <w:tc>
          <w:tcPr>
            <w:tcW w:w="95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w:t>
            </w:r>
          </w:p>
        </w:tc>
      </w:tr>
      <w:tr w:rsidR="00B44B07">
        <w:trPr>
          <w:trHeight w:val="380"/>
        </w:trPr>
        <w:tc>
          <w:tcPr>
            <w:tcW w:w="87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2013</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7,650,000</w:t>
            </w:r>
          </w:p>
        </w:tc>
        <w:tc>
          <w:tcPr>
            <w:tcW w:w="101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6</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1,365,000</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10</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10,245,000</w:t>
            </w:r>
          </w:p>
        </w:tc>
        <w:tc>
          <w:tcPr>
            <w:tcW w:w="97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19</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10,447,000</w:t>
            </w:r>
          </w:p>
        </w:tc>
        <w:tc>
          <w:tcPr>
            <w:tcW w:w="95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(5)</w:t>
            </w:r>
          </w:p>
        </w:tc>
      </w:tr>
      <w:tr w:rsidR="00B44B07">
        <w:trPr>
          <w:trHeight w:val="342"/>
        </w:trPr>
        <w:tc>
          <w:tcPr>
            <w:tcW w:w="87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2014</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10,450,000</w:t>
            </w:r>
          </w:p>
        </w:tc>
        <w:tc>
          <w:tcPr>
            <w:tcW w:w="101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4</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1,920,500</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11</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2,851,500</w:t>
            </w:r>
          </w:p>
        </w:tc>
        <w:tc>
          <w:tcPr>
            <w:tcW w:w="97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8,216,130</w:t>
            </w:r>
          </w:p>
        </w:tc>
        <w:tc>
          <w:tcPr>
            <w:tcW w:w="95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(24)</w:t>
            </w:r>
          </w:p>
        </w:tc>
      </w:tr>
      <w:tr w:rsidR="00B44B07">
        <w:trPr>
          <w:trHeight w:val="332"/>
        </w:trPr>
        <w:tc>
          <w:tcPr>
            <w:tcW w:w="87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2015</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6,925,000</w:t>
            </w:r>
          </w:p>
        </w:tc>
        <w:tc>
          <w:tcPr>
            <w:tcW w:w="101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5</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1,854,220</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2,915,650</w:t>
            </w:r>
          </w:p>
        </w:tc>
        <w:tc>
          <w:tcPr>
            <w:tcW w:w="972"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60,015,350</w:t>
            </w:r>
          </w:p>
        </w:tc>
        <w:tc>
          <w:tcPr>
            <w:tcW w:w="95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w:t>
            </w:r>
          </w:p>
        </w:tc>
      </w:tr>
    </w:tbl>
    <w:p w:rsidR="00B44B07" w:rsidRDefault="00B44B07" w:rsidP="00C35033">
      <w:pPr>
        <w:autoSpaceDE w:val="0"/>
        <w:autoSpaceDN w:val="0"/>
        <w:adjustRightInd w:val="0"/>
        <w:spacing w:after="0" w:line="360" w:lineRule="auto"/>
        <w:jc w:val="both"/>
        <w:rPr>
          <w:rFonts w:ascii="Calibri" w:hAnsi="Calibri" w:cs="Calibri"/>
        </w:rPr>
      </w:pPr>
    </w:p>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CSR EXPENDITURE AND PERCENTAGE CHANGES IN EARNINGS</w:t>
      </w:r>
    </w:p>
    <w:tbl>
      <w:tblPr>
        <w:tblW w:w="0" w:type="auto"/>
        <w:tblLayout w:type="fixed"/>
        <w:tblLook w:val="0000"/>
      </w:tblPr>
      <w:tblGrid>
        <w:gridCol w:w="740"/>
        <w:gridCol w:w="1218"/>
        <w:gridCol w:w="1151"/>
        <w:gridCol w:w="1107"/>
        <w:gridCol w:w="1150"/>
        <w:gridCol w:w="1218"/>
        <w:gridCol w:w="910"/>
        <w:gridCol w:w="1218"/>
        <w:gridCol w:w="883"/>
      </w:tblGrid>
      <w:tr w:rsidR="00B44B07">
        <w:trPr>
          <w:trHeight w:val="446"/>
        </w:trPr>
        <w:tc>
          <w:tcPr>
            <w:tcW w:w="74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Years</w:t>
            </w:r>
          </w:p>
        </w:tc>
        <w:tc>
          <w:tcPr>
            <w:tcW w:w="2369"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Flour mill of Nigeria</w:t>
            </w:r>
          </w:p>
        </w:tc>
        <w:tc>
          <w:tcPr>
            <w:tcW w:w="2257"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 xml:space="preserve">Honeywell flour mill </w:t>
            </w:r>
          </w:p>
        </w:tc>
        <w:tc>
          <w:tcPr>
            <w:tcW w:w="2128"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Dangote flour mill</w:t>
            </w:r>
          </w:p>
        </w:tc>
        <w:tc>
          <w:tcPr>
            <w:tcW w:w="2101" w:type="dxa"/>
            <w:gridSpan w:val="2"/>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Northern Nigeria flour mill</w:t>
            </w:r>
          </w:p>
        </w:tc>
      </w:tr>
      <w:tr w:rsidR="00B44B07">
        <w:trPr>
          <w:trHeight w:val="360"/>
        </w:trPr>
        <w:tc>
          <w:tcPr>
            <w:tcW w:w="74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CSR</w:t>
            </w:r>
          </w:p>
        </w:tc>
        <w:tc>
          <w:tcPr>
            <w:tcW w:w="11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EARNINGS</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CSR</w:t>
            </w:r>
          </w:p>
        </w:tc>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EARNINGS</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CSR</w:t>
            </w:r>
          </w:p>
        </w:tc>
        <w:tc>
          <w:tcPr>
            <w:tcW w:w="91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EARNIN</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CSR</w:t>
            </w:r>
          </w:p>
        </w:tc>
        <w:tc>
          <w:tcPr>
            <w:tcW w:w="88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EARN</w:t>
            </w:r>
          </w:p>
        </w:tc>
      </w:tr>
      <w:tr w:rsidR="00B44B07">
        <w:trPr>
          <w:trHeight w:val="351"/>
        </w:trPr>
        <w:tc>
          <w:tcPr>
            <w:tcW w:w="74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2009</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1,950,000</w:t>
            </w:r>
          </w:p>
        </w:tc>
        <w:tc>
          <w:tcPr>
            <w:tcW w:w="11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(45)</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125,000</w:t>
            </w:r>
          </w:p>
        </w:tc>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46,717,000</w:t>
            </w:r>
          </w:p>
        </w:tc>
        <w:tc>
          <w:tcPr>
            <w:tcW w:w="91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(84)</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14,459,000</w:t>
            </w:r>
          </w:p>
        </w:tc>
        <w:tc>
          <w:tcPr>
            <w:tcW w:w="88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12</w:t>
            </w:r>
          </w:p>
        </w:tc>
      </w:tr>
      <w:tr w:rsidR="00B44B07">
        <w:trPr>
          <w:trHeight w:val="351"/>
        </w:trPr>
        <w:tc>
          <w:tcPr>
            <w:tcW w:w="74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2010</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3,010,000</w:t>
            </w:r>
          </w:p>
        </w:tc>
        <w:tc>
          <w:tcPr>
            <w:tcW w:w="11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99</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195,650</w:t>
            </w:r>
          </w:p>
        </w:tc>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25</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19,500,000</w:t>
            </w:r>
          </w:p>
        </w:tc>
        <w:tc>
          <w:tcPr>
            <w:tcW w:w="91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(71)</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7,581,500</w:t>
            </w:r>
          </w:p>
        </w:tc>
        <w:tc>
          <w:tcPr>
            <w:tcW w:w="88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15</w:t>
            </w:r>
          </w:p>
        </w:tc>
      </w:tr>
      <w:tr w:rsidR="00B44B07">
        <w:trPr>
          <w:trHeight w:val="361"/>
        </w:trPr>
        <w:tc>
          <w:tcPr>
            <w:tcW w:w="74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2011</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5,545,000</w:t>
            </w:r>
          </w:p>
        </w:tc>
        <w:tc>
          <w:tcPr>
            <w:tcW w:w="11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10</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787,500</w:t>
            </w:r>
          </w:p>
        </w:tc>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18</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25,240,000</w:t>
            </w:r>
          </w:p>
        </w:tc>
        <w:tc>
          <w:tcPr>
            <w:tcW w:w="91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10</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25,798,750</w:t>
            </w:r>
          </w:p>
        </w:tc>
        <w:tc>
          <w:tcPr>
            <w:tcW w:w="88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15</w:t>
            </w:r>
          </w:p>
        </w:tc>
      </w:tr>
      <w:tr w:rsidR="00B44B07">
        <w:trPr>
          <w:trHeight w:val="389"/>
        </w:trPr>
        <w:tc>
          <w:tcPr>
            <w:tcW w:w="74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2012</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4,555,000</w:t>
            </w:r>
          </w:p>
        </w:tc>
        <w:tc>
          <w:tcPr>
            <w:tcW w:w="11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972,750</w:t>
            </w:r>
          </w:p>
        </w:tc>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15</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7,635,000</w:t>
            </w:r>
          </w:p>
        </w:tc>
        <w:tc>
          <w:tcPr>
            <w:tcW w:w="91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21</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13,837,500</w:t>
            </w:r>
          </w:p>
        </w:tc>
        <w:tc>
          <w:tcPr>
            <w:tcW w:w="88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16</w:t>
            </w:r>
          </w:p>
        </w:tc>
      </w:tr>
      <w:tr w:rsidR="00B44B07">
        <w:trPr>
          <w:trHeight w:val="380"/>
        </w:trPr>
        <w:tc>
          <w:tcPr>
            <w:tcW w:w="74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2013</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7,650,000</w:t>
            </w:r>
          </w:p>
        </w:tc>
        <w:tc>
          <w:tcPr>
            <w:tcW w:w="11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27</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1,365,000</w:t>
            </w:r>
          </w:p>
        </w:tc>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11</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10,245,000</w:t>
            </w:r>
          </w:p>
        </w:tc>
        <w:tc>
          <w:tcPr>
            <w:tcW w:w="91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10,447,000</w:t>
            </w:r>
          </w:p>
        </w:tc>
        <w:tc>
          <w:tcPr>
            <w:tcW w:w="88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13</w:t>
            </w:r>
          </w:p>
        </w:tc>
      </w:tr>
      <w:tr w:rsidR="00B44B07">
        <w:trPr>
          <w:trHeight w:val="342"/>
        </w:trPr>
        <w:tc>
          <w:tcPr>
            <w:tcW w:w="74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2014</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10,450,000</w:t>
            </w:r>
          </w:p>
        </w:tc>
        <w:tc>
          <w:tcPr>
            <w:tcW w:w="11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5</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1,920,500</w:t>
            </w:r>
          </w:p>
        </w:tc>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15</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2,851,500</w:t>
            </w:r>
          </w:p>
        </w:tc>
        <w:tc>
          <w:tcPr>
            <w:tcW w:w="91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(11)</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8,216,130</w:t>
            </w:r>
          </w:p>
        </w:tc>
        <w:tc>
          <w:tcPr>
            <w:tcW w:w="88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8</w:t>
            </w:r>
          </w:p>
        </w:tc>
      </w:tr>
      <w:tr w:rsidR="00B44B07">
        <w:trPr>
          <w:trHeight w:val="332"/>
        </w:trPr>
        <w:tc>
          <w:tcPr>
            <w:tcW w:w="74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2015</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6,925,000</w:t>
            </w:r>
          </w:p>
        </w:tc>
        <w:tc>
          <w:tcPr>
            <w:tcW w:w="1151"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10</w:t>
            </w:r>
          </w:p>
        </w:tc>
        <w:tc>
          <w:tcPr>
            <w:tcW w:w="1107"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1,854,220</w:t>
            </w:r>
          </w:p>
        </w:tc>
        <w:tc>
          <w:tcPr>
            <w:tcW w:w="115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(12)</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2,915,650</w:t>
            </w:r>
          </w:p>
        </w:tc>
        <w:tc>
          <w:tcPr>
            <w:tcW w:w="910"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(54)</w:t>
            </w:r>
          </w:p>
        </w:tc>
        <w:tc>
          <w:tcPr>
            <w:tcW w:w="1218"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51,040,450</w:t>
            </w:r>
          </w:p>
        </w:tc>
        <w:tc>
          <w:tcPr>
            <w:tcW w:w="883" w:type="dxa"/>
            <w:tcBorders>
              <w:top w:val="single" w:sz="3" w:space="0" w:color="000000"/>
              <w:left w:val="single" w:sz="3" w:space="0" w:color="000000"/>
              <w:bottom w:val="single" w:sz="3" w:space="0" w:color="000000"/>
              <w:right w:val="single" w:sz="3" w:space="0" w:color="000000"/>
            </w:tcBorders>
            <w:shd w:val="clear" w:color="000000" w:fill="FFFFFF"/>
          </w:tcPr>
          <w:p w:rsidR="00B44B07" w:rsidRDefault="00B44B07" w:rsidP="00C35033">
            <w:pPr>
              <w:autoSpaceDE w:val="0"/>
              <w:autoSpaceDN w:val="0"/>
              <w:adjustRightInd w:val="0"/>
              <w:spacing w:after="0" w:line="360" w:lineRule="auto"/>
              <w:jc w:val="both"/>
              <w:rPr>
                <w:rFonts w:ascii="Calibri" w:hAnsi="Calibri" w:cs="Calibri"/>
              </w:rPr>
            </w:pPr>
            <w:r>
              <w:rPr>
                <w:rFonts w:ascii="Calibri" w:hAnsi="Calibri" w:cs="Calibri"/>
              </w:rPr>
              <w:t>8</w:t>
            </w:r>
          </w:p>
        </w:tc>
      </w:tr>
    </w:tbl>
    <w:p w:rsidR="00B44B07" w:rsidRDefault="00B44B07" w:rsidP="00C35033">
      <w:pPr>
        <w:spacing w:after="0" w:line="360" w:lineRule="auto"/>
      </w:pPr>
    </w:p>
    <w:sectPr w:rsidR="00B44B07" w:rsidSect="00C35033">
      <w:pgSz w:w="12240" w:h="15840"/>
      <w:pgMar w:top="1440" w:right="1440" w:bottom="1440" w:left="1440" w:header="720" w:footer="144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2FAD" w:rsidRDefault="00BE2FAD" w:rsidP="00B44B07">
      <w:pPr>
        <w:spacing w:after="0" w:line="240" w:lineRule="auto"/>
      </w:pPr>
      <w:r>
        <w:separator/>
      </w:r>
    </w:p>
  </w:endnote>
  <w:endnote w:type="continuationSeparator" w:id="1">
    <w:p w:rsidR="00BE2FAD" w:rsidRDefault="00BE2FAD" w:rsidP="00B44B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2418163"/>
      <w:docPartObj>
        <w:docPartGallery w:val="Page Numbers (Bottom of Page)"/>
        <w:docPartUnique/>
      </w:docPartObj>
    </w:sdtPr>
    <w:sdtEndPr>
      <w:rPr>
        <w:noProof/>
      </w:rPr>
    </w:sdtEndPr>
    <w:sdtContent>
      <w:p w:rsidR="00C35033" w:rsidRDefault="003F0ECE">
        <w:pPr>
          <w:pStyle w:val="Footer"/>
          <w:jc w:val="center"/>
        </w:pPr>
        <w:r>
          <w:fldChar w:fldCharType="begin"/>
        </w:r>
        <w:r w:rsidR="00C35033">
          <w:instrText xml:space="preserve"> PAGE   \* MERGEFORMAT </w:instrText>
        </w:r>
        <w:r>
          <w:fldChar w:fldCharType="separate"/>
        </w:r>
        <w:r w:rsidR="004C5274">
          <w:rPr>
            <w:noProof/>
          </w:rPr>
          <w:t>i</w:t>
        </w:r>
        <w:r>
          <w:rPr>
            <w:noProof/>
          </w:rPr>
          <w:fldChar w:fldCharType="end"/>
        </w:r>
      </w:p>
    </w:sdtContent>
  </w:sdt>
  <w:p w:rsidR="00C35033" w:rsidRDefault="00C350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2FAD" w:rsidRDefault="00BE2FAD" w:rsidP="00B44B07">
      <w:pPr>
        <w:spacing w:after="0" w:line="240" w:lineRule="auto"/>
      </w:pPr>
      <w:r>
        <w:separator/>
      </w:r>
    </w:p>
  </w:footnote>
  <w:footnote w:type="continuationSeparator" w:id="1">
    <w:p w:rsidR="00BE2FAD" w:rsidRDefault="00BE2FAD" w:rsidP="00B44B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C502C84"/>
    <w:lvl w:ilvl="0">
      <w:numFmt w:val="bullet"/>
      <w:lvlText w:val="*"/>
      <w:lvlJc w:val="left"/>
    </w:lvl>
  </w:abstractNum>
  <w:abstractNum w:abstractNumId="1">
    <w:nsid w:val="48256463"/>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lowerRoman"/>
      <w:isLgl/>
      <w:lvlText w:val="%1.%2.%3"/>
      <w:lvlJc w:val="left"/>
      <w:pPr>
        <w:ind w:left="1080" w:hanging="108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B44B07"/>
    <w:rsid w:val="000D7A52"/>
    <w:rsid w:val="000F2706"/>
    <w:rsid w:val="002C727F"/>
    <w:rsid w:val="002D7619"/>
    <w:rsid w:val="00300AD3"/>
    <w:rsid w:val="003504CC"/>
    <w:rsid w:val="003F0ECE"/>
    <w:rsid w:val="004667FC"/>
    <w:rsid w:val="004740B6"/>
    <w:rsid w:val="004C5274"/>
    <w:rsid w:val="005456DD"/>
    <w:rsid w:val="005C2127"/>
    <w:rsid w:val="006942D0"/>
    <w:rsid w:val="006B1D93"/>
    <w:rsid w:val="006D61A9"/>
    <w:rsid w:val="008154A1"/>
    <w:rsid w:val="008C20AC"/>
    <w:rsid w:val="008F2A35"/>
    <w:rsid w:val="009E6C10"/>
    <w:rsid w:val="00A424A3"/>
    <w:rsid w:val="00AA280A"/>
    <w:rsid w:val="00B237B8"/>
    <w:rsid w:val="00B44B07"/>
    <w:rsid w:val="00BA6E6B"/>
    <w:rsid w:val="00BC2DC1"/>
    <w:rsid w:val="00BE2FAD"/>
    <w:rsid w:val="00BF5955"/>
    <w:rsid w:val="00C22851"/>
    <w:rsid w:val="00C35033"/>
    <w:rsid w:val="00C57DAB"/>
    <w:rsid w:val="00C94A3C"/>
    <w:rsid w:val="00CD0158"/>
    <w:rsid w:val="00CE7017"/>
    <w:rsid w:val="00CF4DE1"/>
    <w:rsid w:val="00DB2CD6"/>
    <w:rsid w:val="00DF3090"/>
    <w:rsid w:val="00E1074A"/>
    <w:rsid w:val="00EA1E93"/>
    <w:rsid w:val="00EA1F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13" type="connector" idref="#_x0000_s1034"/>
        <o:r id="V:Rule14" type="connector" idref="#_x0000_s1035"/>
        <o:r id="V:Rule15" type="connector" idref="#_x0000_s1032"/>
        <o:r id="V:Rule16" type="connector" idref="#_x0000_s1036"/>
        <o:r id="V:Rule17" type="connector" idref="#_x0000_s1037"/>
        <o:r id="V:Rule18"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E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4B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4B07"/>
  </w:style>
  <w:style w:type="paragraph" w:styleId="Footer">
    <w:name w:val="footer"/>
    <w:basedOn w:val="Normal"/>
    <w:link w:val="FooterChar"/>
    <w:uiPriority w:val="99"/>
    <w:unhideWhenUsed/>
    <w:rsid w:val="00B44B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4B07"/>
  </w:style>
  <w:style w:type="paragraph" w:styleId="ListParagraph">
    <w:name w:val="List Paragraph"/>
    <w:basedOn w:val="Normal"/>
    <w:uiPriority w:val="34"/>
    <w:qFormat/>
    <w:rsid w:val="00B237B8"/>
    <w:pPr>
      <w:spacing w:line="254" w:lineRule="auto"/>
      <w:ind w:left="720"/>
      <w:contextualSpacing/>
    </w:pPr>
    <w:rPr>
      <w:lang w:val="en-GB"/>
    </w:rPr>
  </w:style>
  <w:style w:type="paragraph" w:styleId="BalloonText">
    <w:name w:val="Balloon Text"/>
    <w:basedOn w:val="Normal"/>
    <w:link w:val="BalloonTextChar"/>
    <w:uiPriority w:val="99"/>
    <w:semiHidden/>
    <w:unhideWhenUsed/>
    <w:rsid w:val="009E6C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6C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1983412">
      <w:bodyDiv w:val="1"/>
      <w:marLeft w:val="0"/>
      <w:marRight w:val="0"/>
      <w:marTop w:val="0"/>
      <w:marBottom w:val="0"/>
      <w:divBdr>
        <w:top w:val="none" w:sz="0" w:space="0" w:color="auto"/>
        <w:left w:val="none" w:sz="0" w:space="0" w:color="auto"/>
        <w:bottom w:val="none" w:sz="0" w:space="0" w:color="auto"/>
        <w:right w:val="none" w:sz="0" w:space="0" w:color="auto"/>
      </w:divBdr>
    </w:div>
    <w:div w:id="668026384">
      <w:bodyDiv w:val="1"/>
      <w:marLeft w:val="0"/>
      <w:marRight w:val="0"/>
      <w:marTop w:val="0"/>
      <w:marBottom w:val="0"/>
      <w:divBdr>
        <w:top w:val="none" w:sz="0" w:space="0" w:color="auto"/>
        <w:left w:val="none" w:sz="0" w:space="0" w:color="auto"/>
        <w:bottom w:val="none" w:sz="0" w:space="0" w:color="auto"/>
        <w:right w:val="none" w:sz="0" w:space="0" w:color="auto"/>
      </w:divBdr>
    </w:div>
    <w:div w:id="907762527">
      <w:bodyDiv w:val="1"/>
      <w:marLeft w:val="0"/>
      <w:marRight w:val="0"/>
      <w:marTop w:val="0"/>
      <w:marBottom w:val="0"/>
      <w:divBdr>
        <w:top w:val="none" w:sz="0" w:space="0" w:color="auto"/>
        <w:left w:val="none" w:sz="0" w:space="0" w:color="auto"/>
        <w:bottom w:val="none" w:sz="0" w:space="0" w:color="auto"/>
        <w:right w:val="none" w:sz="0" w:space="0" w:color="auto"/>
      </w:divBdr>
    </w:div>
    <w:div w:id="956176404">
      <w:bodyDiv w:val="1"/>
      <w:marLeft w:val="0"/>
      <w:marRight w:val="0"/>
      <w:marTop w:val="0"/>
      <w:marBottom w:val="0"/>
      <w:divBdr>
        <w:top w:val="none" w:sz="0" w:space="0" w:color="auto"/>
        <w:left w:val="none" w:sz="0" w:space="0" w:color="auto"/>
        <w:bottom w:val="none" w:sz="0" w:space="0" w:color="auto"/>
        <w:right w:val="none" w:sz="0" w:space="0" w:color="auto"/>
      </w:divBdr>
    </w:div>
    <w:div w:id="125108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areers.ed.ac.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www.nse.org.ke" TargetMode="External"/><Relationship Id="rId17" Type="http://schemas.openxmlformats.org/officeDocument/2006/relationships/hyperlink" Target="http://en.wikipedia.org/wiki/Corporate_social_responsibility" TargetMode="External"/><Relationship Id="rId2" Type="http://schemas.openxmlformats.org/officeDocument/2006/relationships/styles" Target="styles.xml"/><Relationship Id="rId16" Type="http://schemas.openxmlformats.org/officeDocument/2006/relationships/hyperlink" Target="http://www.towersperrin.com/tp/showdctmdoc.j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ulturalshifts.com/archives/181" TargetMode="External"/><Relationship Id="rId5" Type="http://schemas.openxmlformats.org/officeDocument/2006/relationships/footnotes" Target="footnotes.xml"/><Relationship Id="rId15" Type="http://schemas.openxmlformats.org/officeDocument/2006/relationships/hyperlink" Target="http://www.faizarice.com/index.htm" TargetMode="External"/><Relationship Id="rId10" Type="http://schemas.openxmlformats.org/officeDocument/2006/relationships/hyperlink" Target="http://culturalshifts.com/archives/18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zinearticles.com/?Corporate-Social-Responsibility-Jobs-and-the" TargetMode="External"/><Relationship Id="rId14" Type="http://schemas.openxmlformats.org/officeDocument/2006/relationships/hyperlink" Target="http://blogs.intel.com/csr/2007/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81</Pages>
  <Words>20698</Words>
  <Characters>117985</Characters>
  <Application>Microsoft Office Word</Application>
  <DocSecurity>0</DocSecurity>
  <Lines>983</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18</cp:revision>
  <cp:lastPrinted>2022-08-03T18:03:00Z</cp:lastPrinted>
  <dcterms:created xsi:type="dcterms:W3CDTF">2022-07-28T11:05:00Z</dcterms:created>
  <dcterms:modified xsi:type="dcterms:W3CDTF">2025-09-15T08:28:00Z</dcterms:modified>
</cp:coreProperties>
</file>