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11" w:rsidRPr="00395C66" w:rsidRDefault="007B4311" w:rsidP="007B431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B4311" w:rsidRPr="00D70593" w:rsidRDefault="007B4311" w:rsidP="007B4311">
      <w:pPr>
        <w:spacing w:before="30" w:after="30"/>
        <w:ind w:right="-270"/>
        <w:jc w:val="center"/>
        <w:rPr>
          <w:rFonts w:ascii="Arial Black" w:hAnsi="Arial Black" w:cs="Aharoni"/>
          <w:sz w:val="24"/>
          <w:szCs w:val="24"/>
        </w:rPr>
      </w:pPr>
    </w:p>
    <w:p w:rsidR="007B4311" w:rsidRPr="00D70593" w:rsidRDefault="007B4311" w:rsidP="007B431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B4311" w:rsidRPr="00D70593" w:rsidRDefault="007B4311" w:rsidP="007B431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927D301" wp14:editId="27D6977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B4311" w:rsidRPr="00791394" w:rsidRDefault="007B4311" w:rsidP="007B431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7D30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B4311" w:rsidRPr="00791394" w:rsidRDefault="007B4311" w:rsidP="007B4311">
                      <w:pPr>
                        <w:jc w:val="center"/>
                        <w:rPr>
                          <w:sz w:val="28"/>
                        </w:rPr>
                      </w:pPr>
                      <w:r w:rsidRPr="00791394">
                        <w:rPr>
                          <w:sz w:val="28"/>
                        </w:rPr>
                        <w:t>PREPARED BY:</w:t>
                      </w:r>
                    </w:p>
                  </w:txbxContent>
                </v:textbox>
              </v:roundrect>
            </w:pict>
          </mc:Fallback>
        </mc:AlternateContent>
      </w:r>
    </w:p>
    <w:p w:rsidR="007B4311" w:rsidRPr="00D70593" w:rsidRDefault="007B4311" w:rsidP="007B4311">
      <w:pPr>
        <w:spacing w:after="0"/>
        <w:ind w:right="-270"/>
        <w:jc w:val="center"/>
        <w:rPr>
          <w:rFonts w:ascii="Arial Black" w:hAnsi="Arial Black" w:cs="Aharoni"/>
          <w:sz w:val="24"/>
          <w:szCs w:val="24"/>
        </w:rPr>
      </w:pPr>
    </w:p>
    <w:p w:rsidR="007B4311" w:rsidRDefault="007B4311" w:rsidP="007B4311">
      <w:pPr>
        <w:spacing w:after="0"/>
        <w:ind w:right="-270"/>
        <w:jc w:val="center"/>
        <w:rPr>
          <w:rFonts w:ascii="Arial Black" w:hAnsi="Arial Black" w:cs="Aharoni"/>
          <w:sz w:val="24"/>
          <w:szCs w:val="24"/>
          <w:u w:val="single"/>
        </w:rPr>
      </w:pPr>
    </w:p>
    <w:p w:rsidR="007B4311" w:rsidRDefault="007B4311" w:rsidP="007B4311">
      <w:pPr>
        <w:spacing w:after="0"/>
        <w:ind w:right="-270"/>
        <w:jc w:val="center"/>
        <w:rPr>
          <w:rFonts w:ascii="Arial Black" w:hAnsi="Arial Black" w:cs="Aharoni"/>
          <w:sz w:val="24"/>
          <w:szCs w:val="24"/>
          <w:u w:val="single"/>
        </w:rPr>
      </w:pPr>
    </w:p>
    <w:p w:rsidR="007B4311" w:rsidRPr="00D70593" w:rsidRDefault="007B4311" w:rsidP="007B4311">
      <w:pPr>
        <w:spacing w:after="0"/>
        <w:ind w:right="-270"/>
        <w:jc w:val="center"/>
        <w:rPr>
          <w:rFonts w:ascii="Arial Black" w:hAnsi="Arial Black" w:cs="Aharoni"/>
          <w:sz w:val="24"/>
          <w:szCs w:val="24"/>
          <w:u w:val="single"/>
        </w:rPr>
      </w:pPr>
    </w:p>
    <w:p w:rsidR="00A01032" w:rsidRPr="00A01032" w:rsidRDefault="00A01032" w:rsidP="00A01032">
      <w:pPr>
        <w:spacing w:after="0" w:line="360" w:lineRule="auto"/>
        <w:ind w:right="-720"/>
        <w:jc w:val="center"/>
        <w:rPr>
          <w:rFonts w:ascii="Arial Black" w:hAnsi="Arial Black" w:cs="Aharoni"/>
          <w:sz w:val="36"/>
          <w:szCs w:val="24"/>
        </w:rPr>
      </w:pPr>
      <w:r w:rsidRPr="00A01032">
        <w:rPr>
          <w:rFonts w:ascii="Arial Black" w:hAnsi="Arial Black" w:cs="Aharoni"/>
          <w:sz w:val="36"/>
          <w:szCs w:val="24"/>
        </w:rPr>
        <w:t>SULAIMON SHERIFF ADELEKE</w:t>
      </w:r>
    </w:p>
    <w:p w:rsidR="007B4311" w:rsidRPr="00A01032" w:rsidRDefault="007B4311" w:rsidP="00A01032">
      <w:pPr>
        <w:spacing w:after="0" w:line="360" w:lineRule="auto"/>
        <w:ind w:right="-720"/>
        <w:jc w:val="center"/>
        <w:rPr>
          <w:rFonts w:ascii="Arial Black" w:hAnsi="Arial Black" w:cs="Aharoni"/>
          <w:sz w:val="36"/>
          <w:szCs w:val="24"/>
        </w:rPr>
      </w:pPr>
      <w:r w:rsidRPr="00A01032">
        <w:rPr>
          <w:rFonts w:ascii="Arial Black" w:hAnsi="Arial Black" w:cs="Aharoni"/>
          <w:sz w:val="36"/>
          <w:szCs w:val="24"/>
        </w:rPr>
        <w:t>ND/23/MAC/PT/1116</w:t>
      </w:r>
    </w:p>
    <w:p w:rsidR="007B4311" w:rsidRPr="00A01032" w:rsidRDefault="007B4311" w:rsidP="007B4311">
      <w:pPr>
        <w:spacing w:after="0"/>
        <w:ind w:right="-270"/>
        <w:jc w:val="center"/>
        <w:rPr>
          <w:rFonts w:ascii="Arial Black" w:hAnsi="Arial Black" w:cs="Aharoni"/>
          <w:sz w:val="30"/>
          <w:szCs w:val="24"/>
        </w:rPr>
      </w:pPr>
    </w:p>
    <w:p w:rsidR="007B4311" w:rsidRPr="00A01032" w:rsidRDefault="007B4311" w:rsidP="007B4311">
      <w:pPr>
        <w:spacing w:after="0"/>
        <w:ind w:right="-270"/>
        <w:jc w:val="center"/>
        <w:rPr>
          <w:rFonts w:ascii="Arial Black" w:hAnsi="Arial Black" w:cs="Aharoni"/>
          <w:sz w:val="30"/>
          <w:szCs w:val="24"/>
        </w:rPr>
      </w:pPr>
      <w:bookmarkStart w:id="0" w:name="_GoBack"/>
      <w:bookmarkEnd w:id="0"/>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B4311" w:rsidRPr="00D70593" w:rsidRDefault="007B4311" w:rsidP="007B431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B4311" w:rsidRPr="00D70593" w:rsidRDefault="007B4311" w:rsidP="007B431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B4311" w:rsidRPr="00D70593" w:rsidRDefault="007B4311" w:rsidP="007B4311">
      <w:pPr>
        <w:spacing w:after="0"/>
        <w:ind w:right="-270"/>
        <w:rPr>
          <w:rFonts w:ascii="Arial Black" w:hAnsi="Arial Black" w:cs="Aharoni"/>
          <w:b/>
          <w:sz w:val="24"/>
          <w:szCs w:val="24"/>
        </w:rPr>
      </w:pPr>
    </w:p>
    <w:p w:rsidR="007B4311" w:rsidRPr="00D70593" w:rsidRDefault="007B4311" w:rsidP="007B4311">
      <w:pPr>
        <w:spacing w:after="0"/>
        <w:ind w:left="5040" w:right="-270"/>
        <w:rPr>
          <w:rFonts w:ascii="Arial Black" w:hAnsi="Arial Black" w:cs="Aharoni"/>
          <w:b/>
          <w:sz w:val="24"/>
          <w:szCs w:val="24"/>
        </w:rPr>
      </w:pPr>
    </w:p>
    <w:p w:rsidR="007B4311" w:rsidRPr="00D70593" w:rsidRDefault="007B4311" w:rsidP="007B4311">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7B4311" w:rsidRDefault="007B4311" w:rsidP="007B4311">
      <w:pPr>
        <w:spacing w:after="240" w:line="360" w:lineRule="auto"/>
        <w:ind w:right="-270" w:firstLine="450"/>
        <w:jc w:val="center"/>
        <w:rPr>
          <w:rFonts w:ascii="Times New Roman" w:eastAsia="Times New Roman" w:hAnsi="Times New Roman" w:cs="Times New Roman"/>
          <w:b/>
          <w:sz w:val="24"/>
          <w:szCs w:val="24"/>
        </w:rPr>
      </w:pPr>
    </w:p>
    <w:p w:rsidR="007B4311" w:rsidRPr="00217892" w:rsidRDefault="007B4311" w:rsidP="007B431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D70593" w:rsidRDefault="007B4311" w:rsidP="007B4311">
      <w:pPr>
        <w:ind w:right="-270" w:firstLine="450"/>
        <w:rPr>
          <w:rFonts w:eastAsia="Times New Roman"/>
          <w:b/>
          <w:sz w:val="24"/>
          <w:szCs w:val="24"/>
        </w:rPr>
      </w:pPr>
      <w:r w:rsidRPr="00D70593">
        <w:rPr>
          <w:rFonts w:eastAsia="Times New Roman"/>
          <w:sz w:val="24"/>
          <w:szCs w:val="24"/>
        </w:rPr>
        <w:br w:type="page"/>
      </w:r>
    </w:p>
    <w:p w:rsidR="007B4311" w:rsidRPr="00217892" w:rsidRDefault="007B4311" w:rsidP="007B431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B4311" w:rsidRPr="00217892" w:rsidRDefault="007B4311" w:rsidP="007B431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B4311" w:rsidRPr="00D70593" w:rsidRDefault="007B4311" w:rsidP="007B4311">
      <w:pPr>
        <w:spacing w:line="360" w:lineRule="auto"/>
        <w:ind w:right="-270" w:firstLine="450"/>
        <w:jc w:val="both"/>
        <w:rPr>
          <w:b/>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r>
        <w:rPr>
          <w:sz w:val="24"/>
          <w:szCs w:val="24"/>
        </w:rPr>
        <w:br/>
      </w:r>
    </w:p>
    <w:p w:rsidR="007B4311" w:rsidRDefault="007B4311" w:rsidP="007B4311">
      <w:pPr>
        <w:spacing w:before="240" w:after="0" w:line="360" w:lineRule="auto"/>
        <w:ind w:right="-270" w:firstLine="450"/>
        <w:jc w:val="both"/>
        <w:rPr>
          <w:color w:val="000000" w:themeColor="text1"/>
          <w:sz w:val="24"/>
          <w:szCs w:val="24"/>
        </w:rPr>
      </w:pPr>
    </w:p>
    <w:p w:rsidR="007B4311" w:rsidRPr="00D70593" w:rsidRDefault="007B4311" w:rsidP="007B4311">
      <w:pPr>
        <w:spacing w:before="240" w:after="0" w:line="360" w:lineRule="auto"/>
        <w:ind w:right="-270" w:firstLine="450"/>
        <w:jc w:val="both"/>
        <w:rPr>
          <w:color w:val="000000" w:themeColor="text1"/>
          <w:sz w:val="24"/>
          <w:szCs w:val="24"/>
        </w:rPr>
      </w:pPr>
    </w:p>
    <w:p w:rsidR="007B4311" w:rsidRDefault="007B4311" w:rsidP="007B4311">
      <w:pPr>
        <w:spacing w:line="360" w:lineRule="auto"/>
        <w:ind w:right="-270" w:firstLine="450"/>
        <w:jc w:val="both"/>
        <w:rPr>
          <w:rFonts w:ascii="Times New Roman" w:hAnsi="Times New Roman" w:cs="Times New Roman"/>
          <w:b/>
          <w:sz w:val="24"/>
          <w:szCs w:val="24"/>
        </w:rPr>
      </w:pPr>
    </w:p>
    <w:p w:rsidR="007B4311" w:rsidRPr="00C332D2" w:rsidRDefault="007B4311" w:rsidP="007B431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my project supervisor, Mrs. </w:t>
      </w:r>
      <w:proofErr w:type="spellStart"/>
      <w:r w:rsidRPr="00C332D2">
        <w:rPr>
          <w:rFonts w:ascii="Times New Roman" w:hAnsi="Times New Roman" w:cs="Times New Roman"/>
          <w:sz w:val="24"/>
          <w:szCs w:val="24"/>
        </w:rPr>
        <w:t>Sadiq</w:t>
      </w:r>
      <w:proofErr w:type="spellEnd"/>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Head of Department,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7B4311" w:rsidRPr="00C332D2" w:rsidRDefault="007B4311" w:rsidP="007B4311">
      <w:pPr>
        <w:ind w:right="-270" w:firstLine="450"/>
        <w:jc w:val="both"/>
      </w:pPr>
    </w:p>
    <w:p w:rsidR="007B4311" w:rsidRPr="00C332D2"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Pr="00C332D2" w:rsidRDefault="007B4311" w:rsidP="007B431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7B4311" w:rsidRPr="004D104B"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B4311" w:rsidRPr="00D70593" w:rsidRDefault="007B4311" w:rsidP="007B431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B4311" w:rsidRPr="00130247" w:rsidRDefault="007B4311" w:rsidP="007B4311">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Methodology</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5B263A" w:rsidRDefault="007B4311" w:rsidP="007B431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B4311" w:rsidRPr="00130247" w:rsidRDefault="007B4311" w:rsidP="007B4311">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Summary, Conclusion, and Recommendations</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B4311" w:rsidRPr="0085614C" w:rsidRDefault="007B4311" w:rsidP="007B4311">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B4311" w:rsidRPr="00130247" w:rsidRDefault="007B4311" w:rsidP="007B431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B4311" w:rsidRDefault="007B4311" w:rsidP="007B4311">
      <w:pPr>
        <w:spacing w:line="360" w:lineRule="auto"/>
        <w:ind w:right="-270" w:firstLine="450"/>
        <w:jc w:val="center"/>
        <w:rPr>
          <w:rFonts w:ascii="Times New Roman" w:hAnsi="Times New Roman"/>
          <w:b/>
          <w:sz w:val="24"/>
          <w:szCs w:val="24"/>
        </w:rPr>
      </w:pPr>
    </w:p>
    <w:p w:rsidR="007B4311" w:rsidRDefault="007B4311" w:rsidP="007B4311"/>
    <w:p w:rsidR="00043693" w:rsidRPr="003640CB" w:rsidRDefault="00043693" w:rsidP="00043693">
      <w:pPr>
        <w:pStyle w:val="NormalWeb"/>
        <w:spacing w:line="360" w:lineRule="auto"/>
        <w:ind w:right="-90" w:firstLine="540"/>
        <w:jc w:val="center"/>
        <w:rPr>
          <w:rStyle w:val="Strong"/>
        </w:rPr>
      </w:pPr>
      <w:r w:rsidRPr="003640CB">
        <w:rPr>
          <w:rStyle w:val="Strong"/>
        </w:rPr>
        <w:lastRenderedPageBreak/>
        <w:t>CHAPTER ONE</w:t>
      </w:r>
    </w:p>
    <w:p w:rsidR="00043693" w:rsidRPr="003640CB" w:rsidRDefault="00043693" w:rsidP="00043693">
      <w:pPr>
        <w:pStyle w:val="NormalWeb"/>
        <w:spacing w:line="360" w:lineRule="auto"/>
        <w:ind w:right="-90" w:firstLine="540"/>
        <w:jc w:val="center"/>
        <w:rPr>
          <w:rStyle w:val="Strong"/>
        </w:rPr>
      </w:pPr>
      <w:r w:rsidRPr="003640CB">
        <w:rPr>
          <w:rStyle w:val="Strong"/>
        </w:rPr>
        <w:t>INTRODUCTION</w:t>
      </w:r>
    </w:p>
    <w:p w:rsidR="00043693" w:rsidRPr="003640CB" w:rsidRDefault="00043693" w:rsidP="00043693">
      <w:pPr>
        <w:pStyle w:val="NormalWeb"/>
        <w:spacing w:line="360" w:lineRule="auto"/>
        <w:ind w:right="-90" w:firstLine="540"/>
        <w:jc w:val="both"/>
      </w:pPr>
      <w:r w:rsidRPr="003640CB">
        <w:rPr>
          <w:rStyle w:val="Strong"/>
        </w:rPr>
        <w:t>1.1</w:t>
      </w:r>
      <w:r w:rsidRPr="003640CB">
        <w:rPr>
          <w:rStyle w:val="Strong"/>
        </w:rPr>
        <w:tab/>
        <w:t>Background of the Study</w:t>
      </w:r>
    </w:p>
    <w:p w:rsidR="00043693" w:rsidRPr="003640CB" w:rsidRDefault="00043693" w:rsidP="00043693">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w:t>
      </w:r>
      <w:proofErr w:type="spellStart"/>
      <w:r w:rsidRPr="003640CB">
        <w:t>Ajiboye</w:t>
      </w:r>
      <w:proofErr w:type="spellEnd"/>
      <w:r w:rsidRPr="003640CB">
        <w:t xml:space="preserve">, 2018; </w:t>
      </w:r>
      <w:proofErr w:type="spellStart"/>
      <w:r w:rsidRPr="003640CB">
        <w:t>Okafor</w:t>
      </w:r>
      <w:proofErr w:type="spellEnd"/>
      <w:r w:rsidRPr="003640CB">
        <w:t>, 2020).</w:t>
      </w:r>
    </w:p>
    <w:p w:rsidR="00043693" w:rsidRPr="003640CB" w:rsidRDefault="00043693" w:rsidP="00043693">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w:t>
      </w:r>
      <w:proofErr w:type="spellStart"/>
      <w:r w:rsidRPr="003640CB">
        <w:t>Ogunyemi</w:t>
      </w:r>
      <w:proofErr w:type="spellEnd"/>
      <w:r w:rsidRPr="003640CB">
        <w:t>, 2017). This aligns with a broader push for empowering women to make informed decisions about the nutritional quality of meals they prepare for their families (</w:t>
      </w:r>
      <w:proofErr w:type="spellStart"/>
      <w:r w:rsidRPr="003640CB">
        <w:t>Nwachukwu</w:t>
      </w:r>
      <w:proofErr w:type="spellEnd"/>
      <w:r w:rsidRPr="003640CB">
        <w:t>, 2019).</w:t>
      </w:r>
    </w:p>
    <w:p w:rsidR="00043693" w:rsidRPr="003640CB" w:rsidRDefault="00043693" w:rsidP="00043693">
      <w:pPr>
        <w:pStyle w:val="NormalWeb"/>
        <w:spacing w:line="360" w:lineRule="auto"/>
        <w:ind w:right="-90" w:firstLine="540"/>
        <w:jc w:val="both"/>
      </w:pPr>
      <w:r w:rsidRPr="003640CB">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w:t>
      </w:r>
      <w:r w:rsidRPr="003640CB">
        <w:lastRenderedPageBreak/>
        <w:t xml:space="preserve">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w:t>
      </w:r>
      <w:proofErr w:type="spellStart"/>
      <w:r w:rsidRPr="003640CB">
        <w:t>Akintoye</w:t>
      </w:r>
      <w:proofErr w:type="spellEnd"/>
      <w:r w:rsidRPr="003640CB">
        <w:t>, 2021).</w:t>
      </w:r>
    </w:p>
    <w:p w:rsidR="00043693" w:rsidRPr="003640CB" w:rsidRDefault="00043693" w:rsidP="00043693">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w:t>
      </w:r>
      <w:proofErr w:type="spellStart"/>
      <w:r w:rsidRPr="003640CB">
        <w:t>Bamidele</w:t>
      </w:r>
      <w:proofErr w:type="spellEnd"/>
      <w:r w:rsidRPr="003640CB">
        <w:t xml:space="preserve"> &amp; </w:t>
      </w:r>
      <w:proofErr w:type="spellStart"/>
      <w:r w:rsidRPr="003640CB">
        <w:t>Olaniyi</w:t>
      </w:r>
      <w:proofErr w:type="spellEnd"/>
      <w:r w:rsidRPr="003640CB">
        <w:t>, 2020).</w:t>
      </w:r>
    </w:p>
    <w:p w:rsidR="00043693" w:rsidRPr="003640CB" w:rsidRDefault="00043693" w:rsidP="00043693">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w:t>
      </w:r>
      <w:proofErr w:type="spellStart"/>
      <w:r w:rsidRPr="003640CB">
        <w:t>Chukwu</w:t>
      </w:r>
      <w:proofErr w:type="spellEnd"/>
      <w:r w:rsidRPr="003640CB">
        <w:t>, 2020).</w:t>
      </w:r>
    </w:p>
    <w:p w:rsidR="00043693" w:rsidRPr="003640CB" w:rsidRDefault="00043693" w:rsidP="00043693">
      <w:pPr>
        <w:pStyle w:val="NormalWeb"/>
        <w:spacing w:line="360" w:lineRule="auto"/>
        <w:ind w:right="-90" w:firstLine="540"/>
        <w:jc w:val="both"/>
      </w:pPr>
      <w:r w:rsidRPr="003640CB">
        <w:t>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Family Show offers a unique opportunity to explore how media can contribute to addressing these public health challenges by equipping women with the knowledge and skills they need to make better food choices (Adebayo, 2022).</w:t>
      </w:r>
    </w:p>
    <w:p w:rsidR="00043693" w:rsidRPr="003640CB" w:rsidRDefault="00043693" w:rsidP="00043693">
      <w:pPr>
        <w:pStyle w:val="NormalWeb"/>
        <w:spacing w:line="360" w:lineRule="auto"/>
        <w:ind w:right="-90" w:firstLine="540"/>
        <w:jc w:val="both"/>
      </w:pPr>
      <w:r w:rsidRPr="003640CB">
        <w:lastRenderedPageBreak/>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w:t>
      </w:r>
      <w:proofErr w:type="spellStart"/>
      <w:r w:rsidRPr="003640CB">
        <w:t>Ojo</w:t>
      </w:r>
      <w:proofErr w:type="spellEnd"/>
      <w:r w:rsidRPr="003640CB">
        <w:t xml:space="preserve"> &amp; </w:t>
      </w:r>
      <w:proofErr w:type="spellStart"/>
      <w:r w:rsidRPr="003640CB">
        <w:t>Adebisi</w:t>
      </w:r>
      <w:proofErr w:type="spellEnd"/>
      <w:r w:rsidRPr="003640CB">
        <w:t>, 2019). Understanding how such media content influences women’s food preparation habits can offer insights into designing more effective health campaigns and programs aimed at improving family nutrition in Nigeria (Orji, 2021).</w:t>
      </w:r>
    </w:p>
    <w:p w:rsidR="00043693" w:rsidRPr="003640CB" w:rsidRDefault="00043693" w:rsidP="00043693">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w:t>
      </w:r>
      <w:proofErr w:type="spellStart"/>
      <w:r w:rsidRPr="003640CB">
        <w:t>Ayodele</w:t>
      </w:r>
      <w:proofErr w:type="spellEnd"/>
      <w:r w:rsidRPr="003640CB">
        <w:t xml:space="preserve"> &amp; </w:t>
      </w:r>
      <w:proofErr w:type="spellStart"/>
      <w:r w:rsidRPr="003640CB">
        <w:t>Eze</w:t>
      </w:r>
      <w:proofErr w:type="spellEnd"/>
      <w:r w:rsidRPr="003640CB">
        <w:t>, 2023).</w:t>
      </w:r>
    </w:p>
    <w:p w:rsidR="00043693" w:rsidRPr="003640CB" w:rsidRDefault="00043693" w:rsidP="00043693">
      <w:pPr>
        <w:pStyle w:val="NormalWeb"/>
        <w:spacing w:line="360" w:lineRule="auto"/>
        <w:ind w:right="-90" w:firstLine="540"/>
        <w:jc w:val="both"/>
      </w:pPr>
      <w:r w:rsidRPr="003640CB">
        <w:rPr>
          <w:rStyle w:val="Strong"/>
        </w:rPr>
        <w:t>1.2</w:t>
      </w:r>
      <w:r w:rsidRPr="003640CB">
        <w:rPr>
          <w:rStyle w:val="Strong"/>
        </w:rPr>
        <w:tab/>
        <w:t>Statement of the Problem:</w:t>
      </w:r>
    </w:p>
    <w:p w:rsidR="00043693" w:rsidRPr="003640CB" w:rsidRDefault="00043693" w:rsidP="00043693">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w:t>
      </w:r>
      <w:proofErr w:type="spellStart"/>
      <w:r w:rsidRPr="003640CB">
        <w:t>Adesola</w:t>
      </w:r>
      <w:proofErr w:type="spellEnd"/>
      <w:r w:rsidRPr="003640CB">
        <w:t>,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w:t>
      </w:r>
      <w:proofErr w:type="spellStart"/>
      <w:r w:rsidRPr="003640CB">
        <w:t>Nwosu</w:t>
      </w:r>
      <w:proofErr w:type="spellEnd"/>
      <w:r w:rsidRPr="003640CB">
        <w:t xml:space="preserve"> &amp; </w:t>
      </w:r>
      <w:proofErr w:type="spellStart"/>
      <w:r w:rsidRPr="003640CB">
        <w:t>Udo</w:t>
      </w:r>
      <w:proofErr w:type="spellEnd"/>
      <w:r w:rsidRPr="003640CB">
        <w:t>, 2018).</w:t>
      </w:r>
    </w:p>
    <w:p w:rsidR="00043693" w:rsidRPr="003640CB" w:rsidRDefault="00043693" w:rsidP="00043693">
      <w:pPr>
        <w:pStyle w:val="NormalWeb"/>
        <w:spacing w:line="360" w:lineRule="auto"/>
        <w:ind w:right="-90" w:firstLine="540"/>
        <w:jc w:val="both"/>
      </w:pPr>
      <w:r w:rsidRPr="003640CB">
        <w:t xml:space="preserve">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w:t>
      </w:r>
      <w:r w:rsidRPr="003640CB">
        <w:lastRenderedPageBreak/>
        <w:t>and food-related decision-making. This lack of empirical evidence raises important questions about the effectiveness of such media programs in influencing real-life changes in household food practices (</w:t>
      </w:r>
      <w:proofErr w:type="spellStart"/>
      <w:r w:rsidRPr="003640CB">
        <w:t>Oluwaseun</w:t>
      </w:r>
      <w:proofErr w:type="spellEnd"/>
      <w:r w:rsidRPr="003640CB">
        <w:t>, 2021).</w:t>
      </w:r>
    </w:p>
    <w:p w:rsidR="00043693" w:rsidRPr="003640CB" w:rsidRDefault="00043693" w:rsidP="00043693">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w:t>
      </w:r>
      <w:proofErr w:type="spellStart"/>
      <w:r w:rsidRPr="003640CB">
        <w:t>Sulaimon</w:t>
      </w:r>
      <w:proofErr w:type="spellEnd"/>
      <w:r w:rsidRPr="003640CB">
        <w:t xml:space="preserve"> &amp; </w:t>
      </w:r>
      <w:proofErr w:type="spellStart"/>
      <w:r w:rsidRPr="003640CB">
        <w:t>Oladapo</w:t>
      </w:r>
      <w:proofErr w:type="spellEnd"/>
      <w:r w:rsidRPr="003640CB">
        <w:t>, 2022).</w:t>
      </w:r>
    </w:p>
    <w:p w:rsidR="00043693" w:rsidRPr="003640CB" w:rsidRDefault="00043693" w:rsidP="00043693">
      <w:pPr>
        <w:pStyle w:val="NormalWeb"/>
        <w:spacing w:line="360" w:lineRule="auto"/>
        <w:ind w:right="-90" w:firstLine="540"/>
        <w:jc w:val="both"/>
      </w:pPr>
      <w:r w:rsidRPr="003640CB">
        <w:t xml:space="preserve">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w:t>
      </w:r>
      <w:proofErr w:type="spellStart"/>
      <w:r w:rsidRPr="003640CB">
        <w:t>Ajiboye</w:t>
      </w:r>
      <w:proofErr w:type="spellEnd"/>
      <w:r w:rsidRPr="003640CB">
        <w:t>, 2021).</w:t>
      </w:r>
    </w:p>
    <w:p w:rsidR="00043693" w:rsidRPr="003640CB" w:rsidRDefault="00043693" w:rsidP="00043693">
      <w:pPr>
        <w:pStyle w:val="NormalWeb"/>
        <w:spacing w:line="360" w:lineRule="auto"/>
        <w:ind w:right="-90" w:firstLine="540"/>
        <w:jc w:val="both"/>
      </w:pPr>
      <w:r w:rsidRPr="003640CB">
        <w:t>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the extent to which media can shape the culinary behaviors of Nigerian women (</w:t>
      </w:r>
      <w:proofErr w:type="spellStart"/>
      <w:r w:rsidRPr="003640CB">
        <w:t>Aniekan</w:t>
      </w:r>
      <w:proofErr w:type="spellEnd"/>
      <w:r w:rsidRPr="003640CB">
        <w:t xml:space="preserve"> &amp; Ibrahim, 2020).</w:t>
      </w:r>
    </w:p>
    <w:p w:rsidR="00043693" w:rsidRPr="003640CB" w:rsidRDefault="00043693" w:rsidP="00043693">
      <w:pPr>
        <w:pStyle w:val="NormalWeb"/>
        <w:spacing w:line="360" w:lineRule="auto"/>
        <w:ind w:right="-90" w:firstLine="540"/>
        <w:jc w:val="both"/>
      </w:pPr>
      <w:r w:rsidRPr="003640CB">
        <w:t xml:space="preserve">Furthermore, the role of celebrity chefs and expert guest appearances on the show may contribute to shaping women’s perceptions of food and cooking. While celebrity </w:t>
      </w:r>
      <w:r w:rsidRPr="003640CB">
        <w:lastRenderedPageBreak/>
        <w:t>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w:t>
      </w:r>
      <w:proofErr w:type="spellStart"/>
      <w:r w:rsidRPr="003640CB">
        <w:t>Odugbesan</w:t>
      </w:r>
      <w:proofErr w:type="spellEnd"/>
      <w:r w:rsidRPr="003640CB">
        <w:t xml:space="preserve"> &amp; </w:t>
      </w:r>
      <w:proofErr w:type="spellStart"/>
      <w:r w:rsidRPr="003640CB">
        <w:t>Fola</w:t>
      </w:r>
      <w:proofErr w:type="spellEnd"/>
      <w:r w:rsidRPr="003640CB">
        <w:t>, 2019).</w:t>
      </w:r>
    </w:p>
    <w:p w:rsidR="00043693" w:rsidRPr="003640CB" w:rsidRDefault="00043693" w:rsidP="00043693">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w:t>
      </w:r>
      <w:proofErr w:type="spellStart"/>
      <w:r w:rsidRPr="003640CB">
        <w:t>Gbemisola</w:t>
      </w:r>
      <w:proofErr w:type="spellEnd"/>
      <w:r w:rsidRPr="003640CB">
        <w:t>, 2022).</w:t>
      </w:r>
    </w:p>
    <w:p w:rsidR="00043693" w:rsidRPr="003640CB" w:rsidRDefault="00043693" w:rsidP="00043693">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w:t>
      </w:r>
      <w:proofErr w:type="spellStart"/>
      <w:r w:rsidRPr="003640CB">
        <w:t>Micheal</w:t>
      </w:r>
      <w:proofErr w:type="spellEnd"/>
      <w:r w:rsidRPr="003640CB">
        <w:t>,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043693" w:rsidRPr="003640CB" w:rsidRDefault="00043693" w:rsidP="00043693">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043693" w:rsidRPr="003640CB" w:rsidRDefault="00043693" w:rsidP="00043693">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w:t>
      </w:r>
      <w:r w:rsidRPr="003640CB">
        <w:lastRenderedPageBreak/>
        <w:t>media producers and policymakers aiming to use media as a tool for promoting healthier eating behaviors.</w:t>
      </w:r>
    </w:p>
    <w:p w:rsidR="00043693" w:rsidRPr="003640CB" w:rsidRDefault="00043693" w:rsidP="00043693">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043693" w:rsidRPr="003640CB" w:rsidRDefault="00043693" w:rsidP="00043693">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research will examine the ways in which the show has impacted their knowledge of nutrition, cooking techniques, and the types of meals they prepare. In addition to focusing 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043693" w:rsidRPr="003640CB" w:rsidRDefault="00043693" w:rsidP="00043693">
      <w:pPr>
        <w:pStyle w:val="NormalWeb"/>
        <w:spacing w:before="0" w:beforeAutospacing="0" w:after="0" w:afterAutospacing="0" w:line="360" w:lineRule="auto"/>
        <w:ind w:right="-90" w:firstLine="540"/>
        <w:jc w:val="both"/>
      </w:pPr>
      <w:r w:rsidRPr="003640CB">
        <w:rPr>
          <w:rStyle w:val="Strong"/>
        </w:rPr>
        <w:lastRenderedPageBreak/>
        <w:t>1.7</w:t>
      </w:r>
      <w:r w:rsidRPr="003640CB">
        <w:rPr>
          <w:rStyle w:val="Strong"/>
        </w:rPr>
        <w:tab/>
      </w:r>
      <w:r w:rsidRPr="003640CB">
        <w:rPr>
          <w:rStyle w:val="Strong"/>
        </w:rPr>
        <w:tab/>
        <w:t>Limitations of the Study:</w:t>
      </w:r>
    </w:p>
    <w:p w:rsidR="00043693" w:rsidRPr="003640CB" w:rsidRDefault="00043693" w:rsidP="00043693">
      <w:pPr>
        <w:pStyle w:val="NormalWeb"/>
        <w:spacing w:line="360" w:lineRule="auto"/>
        <w:ind w:right="-90" w:firstLine="540"/>
        <w:jc w:val="both"/>
      </w:pPr>
      <w:r w:rsidRPr="003640CB">
        <w:rPr>
          <w:rStyle w:val="Strong"/>
        </w:rPr>
        <w:t>Geographical Limitation</w:t>
      </w:r>
      <w:r w:rsidRPr="003640CB">
        <w:t xml:space="preserve">: The study focuses solely on women in Ilorin, </w:t>
      </w:r>
      <w:proofErr w:type="spellStart"/>
      <w:r w:rsidRPr="003640CB">
        <w:t>Kwara</w:t>
      </w:r>
      <w:proofErr w:type="spellEnd"/>
      <w:r w:rsidRPr="003640CB">
        <w:t xml:space="preserve">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043693" w:rsidRPr="003640CB" w:rsidRDefault="00043693" w:rsidP="00043693">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043693" w:rsidRPr="003640CB" w:rsidRDefault="00043693" w:rsidP="00043693">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043693" w:rsidRPr="003640CB" w:rsidRDefault="00043693" w:rsidP="00043693">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lastRenderedPageBreak/>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043693" w:rsidRDefault="00FA0E9F" w:rsidP="00FA0E9F">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043693" w:rsidRPr="003640CB">
        <w:rPr>
          <w:rFonts w:ascii="Times New Roman" w:hAnsi="Times New Roman" w:cs="Times New Roman"/>
          <w:b/>
          <w:sz w:val="24"/>
          <w:szCs w:val="24"/>
        </w:rPr>
        <w:t>LITERATURE REVIEW</w:t>
      </w:r>
    </w:p>
    <w:p w:rsidR="00FA0E9F" w:rsidRP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043693" w:rsidRPr="003640CB" w:rsidRDefault="00043693" w:rsidP="00FA0E9F">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 xml:space="preserve">exposure to a wide variety of cuisines, cooking methods, and ingredients, encouraging them to experiment in their kitchens. According to a study by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043693" w:rsidRPr="003640CB" w:rsidRDefault="00043693" w:rsidP="00FA0E9F">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Moreover, the proliferation of food-related content on social media platforms has exponentially increased the reach of food-related media. A study by Booth et al. (2021) found that platforms such as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w:t>
      </w:r>
      <w:proofErr w:type="spellStart"/>
      <w:r w:rsidRPr="003640CB">
        <w:rPr>
          <w:rFonts w:ascii="Times New Roman" w:eastAsia="Times New Roman" w:hAnsi="Times New Roman" w:cs="Times New Roman"/>
          <w:sz w:val="24"/>
          <w:szCs w:val="24"/>
        </w:rPr>
        <w:t>TikTok</w:t>
      </w:r>
      <w:proofErr w:type="spellEnd"/>
      <w:r w:rsidRPr="003640CB">
        <w:rPr>
          <w:rFonts w:ascii="Times New Roman" w:eastAsia="Times New Roman" w:hAnsi="Times New Roman" w:cs="Times New Roman"/>
          <w:sz w:val="24"/>
          <w:szCs w:val="24"/>
        </w:rPr>
        <w:t xml:space="preserve"> have become significant sources of culinary inspiration, with millions of users sharing food photos, recipes, and cooking tips. The “food porn” phenomenon, where aesthetically pleasing food is showcased, has led to increased interest in culinary experimentation (</w:t>
      </w:r>
      <w:proofErr w:type="spellStart"/>
      <w:r w:rsidRPr="003640CB">
        <w:rPr>
          <w:rFonts w:ascii="Times New Roman" w:eastAsia="Times New Roman" w:hAnsi="Times New Roman" w:cs="Times New Roman"/>
          <w:sz w:val="24"/>
          <w:szCs w:val="24"/>
        </w:rPr>
        <w:t>Robalino</w:t>
      </w:r>
      <w:proofErr w:type="spellEnd"/>
      <w:r w:rsidRPr="003640CB">
        <w:rPr>
          <w:rFonts w:ascii="Times New Roman" w:eastAsia="Times New Roman" w:hAnsi="Times New Roman" w:cs="Times New Roman"/>
          <w:sz w:val="24"/>
          <w:szCs w:val="24"/>
        </w:rPr>
        <w:t xml:space="preserve"> et al., 2019).</w:t>
      </w:r>
      <w:r w:rsidR="00FA0E9F">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rise of social media has further augmented the reach of cooking content, allowing Nigerian women to access a variety of recipes and cooking advice from around the world. As noted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social media platforms, particularly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countries such as the United States and the United Kingdom, cooking shows have become a staple of primetime television. These programs not only teach basic cooking skills but also elevate food as a form of entertainment, integrating competitive elements with culinary expertise (</w:t>
      </w:r>
      <w:proofErr w:type="spellStart"/>
      <w:r w:rsidRPr="003640CB">
        <w:rPr>
          <w:rFonts w:ascii="Times New Roman" w:eastAsia="Times New Roman" w:hAnsi="Times New Roman" w:cs="Times New Roman"/>
          <w:sz w:val="24"/>
          <w:szCs w:val="24"/>
        </w:rPr>
        <w:t>Nicolau</w:t>
      </w:r>
      <w:proofErr w:type="spellEnd"/>
      <w:r w:rsidRPr="003640CB">
        <w:rPr>
          <w:rFonts w:ascii="Times New Roman" w:eastAsia="Times New Roman" w:hAnsi="Times New Roman" w:cs="Times New Roman"/>
          <w:sz w:val="24"/>
          <w:szCs w:val="24"/>
        </w:rPr>
        <w:t xml:space="preserve"> &amp; Spence, 2018).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The centrality of women in food preparation can be traced to cultural and religious beliefs that position them as the guardians of family health and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Women’s roles in food preparation extend beyond mere cooking; they are also involved in meal planning, shopping for groceries, and ensuring that meals meet the nutritional needs of their families. According to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xml:space="preserve"> (2018), Nigerian women are not only responsible for preparing traditional meals but are also increasingly incorporating modern cooking techniques and international cuisines into their households, often through exposure to cooking shows and media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w:t>
      </w:r>
      <w:proofErr w:type="spellStart"/>
      <w:r w:rsidRPr="003640CB">
        <w:rPr>
          <w:rFonts w:ascii="Times New Roman" w:eastAsia="Times New Roman" w:hAnsi="Times New Roman" w:cs="Times New Roman"/>
          <w:sz w:val="24"/>
          <w:szCs w:val="24"/>
        </w:rPr>
        <w:t>Okon</w:t>
      </w:r>
      <w:proofErr w:type="spellEnd"/>
      <w:r w:rsidRPr="003640CB">
        <w:rPr>
          <w:rFonts w:ascii="Times New Roman" w:eastAsia="Times New Roman" w:hAnsi="Times New Roman" w:cs="Times New Roman"/>
          <w:sz w:val="24"/>
          <w:szCs w:val="24"/>
        </w:rPr>
        <w:t xml:space="preserve"> &amp; Johnson, 2021). Moreover, while some men are becoming more involved in cooking, the cultural norm of women as primary food preparers remains dominant in many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 xml:space="preserve">2.1. 4 </w:t>
      </w:r>
      <w:proofErr w:type="gramStart"/>
      <w:r w:rsidRPr="003640CB">
        <w:rPr>
          <w:rFonts w:ascii="Times New Roman" w:eastAsia="Times New Roman" w:hAnsi="Times New Roman" w:cs="Times New Roman"/>
          <w:b/>
          <w:bCs/>
          <w:sz w:val="24"/>
          <w:szCs w:val="24"/>
        </w:rPr>
        <w:t>The</w:t>
      </w:r>
      <w:proofErr w:type="gramEnd"/>
      <w:r w:rsidRPr="003640CB">
        <w:rPr>
          <w:rFonts w:ascii="Times New Roman" w:eastAsia="Times New Roman" w:hAnsi="Times New Roman" w:cs="Times New Roman"/>
          <w:b/>
          <w:bCs/>
          <w:sz w:val="24"/>
          <w:szCs w:val="24"/>
        </w:rPr>
        <w:t xml:space="preserve"> Role of Maggi Star Kitchen Family Show in Promoting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It serves as a platform for promoting both local and international cuisines while encouraging the use of wholesome ingredients that contribute to better health outcomes.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 In a country where malnutrition and food insecurity remain prevalent, shows like this offer a vital resource for improving public health outcomes by encouraging nutrient-dense diets.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By showcasing how seasoning can be used effectively in moderation, the show promotes healthier cooking practices and supports the effort to curb health issues like hypertension, which are linked to excessive salt consumption.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w:t>
      </w:r>
      <w:proofErr w:type="gramStart"/>
      <w:r w:rsidRPr="003640CB">
        <w:rPr>
          <w:rFonts w:ascii="Times New Roman" w:eastAsia="Times New Roman" w:hAnsi="Times New Roman" w:cs="Times New Roman"/>
          <w:sz w:val="24"/>
          <w:szCs w:val="24"/>
        </w:rPr>
        <w:t>learning</w:t>
      </w:r>
      <w:proofErr w:type="gramEnd"/>
      <w:r w:rsidRPr="003640CB">
        <w:rPr>
          <w:rFonts w:ascii="Times New Roman" w:eastAsia="Times New Roman" w:hAnsi="Times New Roman" w:cs="Times New Roman"/>
          <w:sz w:val="24"/>
          <w:szCs w:val="24"/>
        </w:rPr>
        <w:t xml:space="preserve"> (Smith et al.,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2018).</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043693" w:rsidRPr="003640CB" w:rsidRDefault="00043693" w:rsidP="00043693">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 Nevertheless, the growing popularity of cooking shows has laid the foundation for further changes in household dynamics, with the hope that future generations will continue to embrace shared domestic responsibilities.</w:t>
      </w:r>
    </w:p>
    <w:p w:rsidR="00043693" w:rsidRPr="003640CB" w:rsidRDefault="00043693" w:rsidP="00043693">
      <w:pPr>
        <w:pStyle w:val="Heading3"/>
        <w:spacing w:line="360" w:lineRule="auto"/>
        <w:ind w:right="-90" w:firstLine="540"/>
        <w:jc w:val="both"/>
      </w:pPr>
      <w:r w:rsidRPr="003640CB">
        <w:rPr>
          <w:rStyle w:val="Strong"/>
          <w:b/>
          <w:bCs/>
        </w:rPr>
        <w:t>2.2.1. Social Learning Theory</w:t>
      </w:r>
    </w:p>
    <w:p w:rsidR="00043693" w:rsidRPr="003640CB" w:rsidRDefault="00043693" w:rsidP="00043693">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w:t>
      </w:r>
      <w:proofErr w:type="spellStart"/>
      <w:r w:rsidRPr="003640CB">
        <w:t>Akintoye</w:t>
      </w:r>
      <w:proofErr w:type="spellEnd"/>
      <w:r w:rsidRPr="003640CB">
        <w:t>, 2021).</w:t>
      </w:r>
    </w:p>
    <w:p w:rsidR="00043693" w:rsidRPr="003640CB" w:rsidRDefault="00043693" w:rsidP="00043693">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w:t>
      </w:r>
      <w:proofErr w:type="spellStart"/>
      <w:r w:rsidRPr="003640CB">
        <w:t>Ezeh</w:t>
      </w:r>
      <w:proofErr w:type="spellEnd"/>
      <w:r w:rsidRPr="003640CB">
        <w:t>, 2018).</w:t>
      </w:r>
    </w:p>
    <w:p w:rsidR="00043693" w:rsidRPr="003640CB" w:rsidRDefault="00043693" w:rsidP="00043693">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w:t>
      </w:r>
      <w:proofErr w:type="spellStart"/>
      <w:r w:rsidRPr="003640CB">
        <w:t>Ogunyemi</w:t>
      </w:r>
      <w:proofErr w:type="spellEnd"/>
      <w:r w:rsidRPr="003640CB">
        <w:t xml:space="preserve"> &amp; Adebayo, 2019).</w:t>
      </w:r>
    </w:p>
    <w:p w:rsidR="00043693" w:rsidRPr="003640CB" w:rsidRDefault="00043693" w:rsidP="00043693">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w:t>
      </w:r>
      <w:proofErr w:type="spellStart"/>
      <w:r w:rsidRPr="003640CB">
        <w:t>Gittelsohn</w:t>
      </w:r>
      <w:proofErr w:type="spellEnd"/>
      <w:r w:rsidRPr="003640CB">
        <w:t xml:space="preserve"> et al., 2015).</w:t>
      </w:r>
    </w:p>
    <w:p w:rsidR="00043693" w:rsidRPr="003640CB" w:rsidRDefault="00043693" w:rsidP="00043693">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w:t>
      </w:r>
      <w:proofErr w:type="spellStart"/>
      <w:r w:rsidRPr="003640CB">
        <w:t>Nwokocha</w:t>
      </w:r>
      <w:proofErr w:type="spellEnd"/>
      <w:r w:rsidRPr="003640CB">
        <w:t>, 2022).</w:t>
      </w:r>
    </w:p>
    <w:p w:rsidR="00043693" w:rsidRPr="003640CB" w:rsidRDefault="00043693" w:rsidP="00043693">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w:t>
      </w:r>
      <w:proofErr w:type="spellStart"/>
      <w:r w:rsidRPr="003640CB">
        <w:t>Bamidele</w:t>
      </w:r>
      <w:proofErr w:type="spellEnd"/>
      <w:r w:rsidRPr="003640CB">
        <w:t xml:space="preserve"> &amp; </w:t>
      </w:r>
      <w:proofErr w:type="spellStart"/>
      <w:r w:rsidRPr="003640CB">
        <w:t>Olajide</w:t>
      </w:r>
      <w:proofErr w:type="spellEnd"/>
      <w:r w:rsidRPr="003640CB">
        <w:t>, 2020).</w:t>
      </w:r>
    </w:p>
    <w:p w:rsidR="00043693" w:rsidRPr="003640CB" w:rsidRDefault="00043693" w:rsidP="00043693">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043693" w:rsidRPr="003640CB" w:rsidRDefault="00043693" w:rsidP="00043693">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043693" w:rsidRPr="003640CB" w:rsidRDefault="00043693" w:rsidP="00043693">
      <w:pPr>
        <w:pStyle w:val="Heading3"/>
        <w:spacing w:line="360" w:lineRule="auto"/>
        <w:ind w:right="-90" w:firstLine="540"/>
        <w:jc w:val="both"/>
      </w:pPr>
      <w:r w:rsidRPr="003640CB">
        <w:rPr>
          <w:rStyle w:val="Strong"/>
          <w:b/>
          <w:bCs/>
        </w:rPr>
        <w:t>2.2.2. Uses and Gratifications Theory</w:t>
      </w:r>
    </w:p>
    <w:p w:rsidR="00043693" w:rsidRPr="003640CB" w:rsidRDefault="00043693" w:rsidP="00043693">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w:t>
      </w:r>
      <w:proofErr w:type="spellStart"/>
      <w:r w:rsidRPr="003640CB">
        <w:t>Blumler</w:t>
      </w:r>
      <w:proofErr w:type="spellEnd"/>
      <w:r w:rsidRPr="003640CB">
        <w:t xml:space="preserve"> &amp; Katz, 1974; Turner &amp; Allen, 2021).</w:t>
      </w:r>
    </w:p>
    <w:p w:rsidR="00043693" w:rsidRPr="003640CB" w:rsidRDefault="00043693" w:rsidP="00043693">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w:t>
      </w:r>
      <w:proofErr w:type="spellStart"/>
      <w:r w:rsidRPr="003640CB">
        <w:t>Akinmoladun</w:t>
      </w:r>
      <w:proofErr w:type="spellEnd"/>
      <w:r w:rsidRPr="003640CB">
        <w:t xml:space="preserve"> et al., 2020).</w:t>
      </w:r>
    </w:p>
    <w:p w:rsidR="00043693" w:rsidRPr="003640CB" w:rsidRDefault="00043693" w:rsidP="00043693">
      <w:pPr>
        <w:pStyle w:val="NormalWeb"/>
        <w:spacing w:line="360" w:lineRule="auto"/>
        <w:ind w:right="-90" w:firstLine="540"/>
        <w:jc w:val="both"/>
      </w:pPr>
      <w:r w:rsidRPr="003640CB">
        <w:lastRenderedPageBreak/>
        <w:t xml:space="preserve">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w:t>
      </w:r>
      <w:proofErr w:type="spellStart"/>
      <w:r w:rsidRPr="003640CB">
        <w:t>Adeniran</w:t>
      </w:r>
      <w:proofErr w:type="spellEnd"/>
      <w:r w:rsidRPr="003640CB">
        <w:t>, 2021).</w:t>
      </w:r>
    </w:p>
    <w:p w:rsidR="00043693" w:rsidRPr="003640CB" w:rsidRDefault="00043693" w:rsidP="00043693">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043693" w:rsidRPr="003640CB" w:rsidRDefault="00043693" w:rsidP="00043693">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w:t>
      </w:r>
      <w:proofErr w:type="spellStart"/>
      <w:r w:rsidRPr="003640CB">
        <w:t>Uduak</w:t>
      </w:r>
      <w:proofErr w:type="spellEnd"/>
      <w:r w:rsidRPr="003640CB">
        <w:t xml:space="preserve"> &amp; </w:t>
      </w:r>
      <w:proofErr w:type="spellStart"/>
      <w:r w:rsidRPr="003640CB">
        <w:t>Ebong</w:t>
      </w:r>
      <w:proofErr w:type="spellEnd"/>
      <w:r w:rsidRPr="003640CB">
        <w:t>, 2021).</w:t>
      </w:r>
    </w:p>
    <w:p w:rsidR="00043693" w:rsidRPr="003640CB" w:rsidRDefault="00043693" w:rsidP="00043693">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w:t>
      </w:r>
      <w:proofErr w:type="spellStart"/>
      <w:r w:rsidRPr="003640CB">
        <w:t>Gittelsohn</w:t>
      </w:r>
      <w:proofErr w:type="spellEnd"/>
      <w:r w:rsidRPr="003640CB">
        <w:t xml:space="preserve"> et al., 2015).</w:t>
      </w:r>
    </w:p>
    <w:p w:rsidR="00043693" w:rsidRPr="003640CB" w:rsidRDefault="00043693" w:rsidP="00043693">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w:t>
      </w:r>
      <w:proofErr w:type="spellStart"/>
      <w:r w:rsidRPr="003640CB">
        <w:t>Bamidele</w:t>
      </w:r>
      <w:proofErr w:type="spellEnd"/>
      <w:r w:rsidRPr="003640CB">
        <w:t xml:space="preserve"> &amp; </w:t>
      </w:r>
      <w:proofErr w:type="spellStart"/>
      <w:r w:rsidRPr="003640CB">
        <w:t>Olajide</w:t>
      </w:r>
      <w:proofErr w:type="spellEnd"/>
      <w:r w:rsidRPr="003640CB">
        <w:t>, 2020).</w:t>
      </w:r>
    </w:p>
    <w:p w:rsidR="00043693" w:rsidRPr="003640CB" w:rsidRDefault="00043693" w:rsidP="00043693">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043693" w:rsidRPr="003640CB" w:rsidRDefault="00043693" w:rsidP="00043693">
      <w:pPr>
        <w:pStyle w:val="Heading3"/>
        <w:spacing w:line="360" w:lineRule="auto"/>
        <w:ind w:right="-90" w:firstLine="540"/>
        <w:jc w:val="both"/>
      </w:pPr>
      <w:r w:rsidRPr="003640CB">
        <w:rPr>
          <w:rStyle w:val="Strong"/>
          <w:b/>
          <w:bCs/>
        </w:rPr>
        <w:t>2.2. 3. Diffusion of Innovations Theory</w:t>
      </w:r>
    </w:p>
    <w:p w:rsidR="00043693" w:rsidRPr="003640CB" w:rsidRDefault="00043693" w:rsidP="00043693">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043693" w:rsidRPr="003640CB" w:rsidRDefault="00043693" w:rsidP="00043693">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w:t>
      </w:r>
      <w:proofErr w:type="spellStart"/>
      <w:r w:rsidRPr="003640CB">
        <w:t>Ezeh</w:t>
      </w:r>
      <w:proofErr w:type="spellEnd"/>
      <w:r w:rsidRPr="003640CB">
        <w:t>, 2018).</w:t>
      </w:r>
    </w:p>
    <w:p w:rsidR="00043693" w:rsidRPr="003640CB" w:rsidRDefault="00043693" w:rsidP="00043693">
      <w:pPr>
        <w:pStyle w:val="NormalWeb"/>
        <w:spacing w:line="360" w:lineRule="auto"/>
        <w:ind w:right="-90" w:firstLine="540"/>
        <w:jc w:val="both"/>
      </w:pPr>
      <w:r w:rsidRPr="003640CB">
        <w:t xml:space="preserve">The theory also identifies factors that influence the rate of adoption, such as relative advantage, compatibility, complexity, </w:t>
      </w:r>
      <w:proofErr w:type="spellStart"/>
      <w:r w:rsidRPr="003640CB">
        <w:t>trialability</w:t>
      </w:r>
      <w:proofErr w:type="spellEnd"/>
      <w:r w:rsidRPr="003640CB">
        <w:t xml:space="preserve">, and </w:t>
      </w:r>
      <w:proofErr w:type="spellStart"/>
      <w:r w:rsidRPr="003640CB">
        <w:t>observability</w:t>
      </w:r>
      <w:proofErr w:type="spellEnd"/>
      <w:r w:rsidRPr="003640CB">
        <w:t xml:space="preserve">.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w:t>
      </w:r>
      <w:proofErr w:type="spellStart"/>
      <w:r w:rsidRPr="003640CB">
        <w:t>Ogunyemi</w:t>
      </w:r>
      <w:proofErr w:type="spellEnd"/>
      <w:r w:rsidRPr="003640CB">
        <w:t xml:space="preserve"> &amp; Adebayo, 2019).</w:t>
      </w:r>
    </w:p>
    <w:p w:rsidR="00043693" w:rsidRPr="003640CB" w:rsidRDefault="00043693" w:rsidP="00043693">
      <w:pPr>
        <w:pStyle w:val="NormalWeb"/>
        <w:spacing w:line="360" w:lineRule="auto"/>
        <w:ind w:right="-90" w:firstLine="540"/>
        <w:jc w:val="both"/>
      </w:pPr>
    </w:p>
    <w:p w:rsidR="00043693" w:rsidRPr="003640CB" w:rsidRDefault="00043693" w:rsidP="00043693">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043693" w:rsidRPr="003640CB" w:rsidRDefault="00043693" w:rsidP="00043693">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043693" w:rsidRPr="003640CB" w:rsidRDefault="00043693" w:rsidP="00043693">
      <w:pPr>
        <w:pStyle w:val="NormalWeb"/>
        <w:spacing w:line="360" w:lineRule="auto"/>
        <w:ind w:right="-90" w:firstLine="540"/>
        <w:jc w:val="both"/>
      </w:pPr>
      <w:r w:rsidRPr="003640CB">
        <w:t xml:space="preserve">A study by </w:t>
      </w:r>
      <w:proofErr w:type="spellStart"/>
      <w:r w:rsidRPr="003640CB">
        <w:t>Akinmoladun</w:t>
      </w:r>
      <w:proofErr w:type="spellEnd"/>
      <w:r w:rsidRPr="003640CB">
        <w:t xml:space="preserve">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043693" w:rsidRPr="003640CB" w:rsidRDefault="00043693" w:rsidP="00043693">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043693" w:rsidRPr="003640CB" w:rsidRDefault="00043693" w:rsidP="00043693">
      <w:pPr>
        <w:pStyle w:val="NormalWeb"/>
        <w:spacing w:line="360" w:lineRule="auto"/>
        <w:ind w:right="-90" w:firstLine="540"/>
        <w:jc w:val="both"/>
      </w:pPr>
      <w:r w:rsidRPr="003640CB">
        <w:t xml:space="preserve">In another study, </w:t>
      </w:r>
      <w:proofErr w:type="spellStart"/>
      <w:r w:rsidRPr="003640CB">
        <w:t>Ogunyemi</w:t>
      </w:r>
      <w:proofErr w:type="spellEnd"/>
      <w:r w:rsidRPr="003640CB">
        <w:t xml:space="preserve">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043693" w:rsidRPr="003640CB" w:rsidRDefault="00043693" w:rsidP="00043693">
      <w:pPr>
        <w:pStyle w:val="NormalWeb"/>
        <w:spacing w:line="360" w:lineRule="auto"/>
        <w:ind w:right="-90" w:firstLine="540"/>
        <w:jc w:val="both"/>
      </w:pPr>
      <w:r w:rsidRPr="003640CB">
        <w:t xml:space="preserve">The link between cooking shows and nutritional education has also been explored in empirical studies. According to </w:t>
      </w:r>
      <w:proofErr w:type="spellStart"/>
      <w:r w:rsidRPr="003640CB">
        <w:t>Gittelsohn</w:t>
      </w:r>
      <w:proofErr w:type="spellEnd"/>
      <w:r w:rsidRPr="003640CB">
        <w:t xml:space="preserve">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043693" w:rsidRPr="003640CB" w:rsidRDefault="00043693" w:rsidP="00043693">
      <w:pPr>
        <w:pStyle w:val="NormalWeb"/>
        <w:spacing w:line="360" w:lineRule="auto"/>
        <w:ind w:right="-90" w:firstLine="540"/>
        <w:jc w:val="both"/>
      </w:pPr>
      <w:r w:rsidRPr="003640CB">
        <w:t xml:space="preserve">However, challenges remain in translating media messages into practice. </w:t>
      </w:r>
      <w:proofErr w:type="spellStart"/>
      <w:r w:rsidRPr="003640CB">
        <w:t>Bamidele</w:t>
      </w:r>
      <w:proofErr w:type="spellEnd"/>
      <w:r w:rsidRPr="003640CB">
        <w:t xml:space="preserve"> and </w:t>
      </w:r>
      <w:proofErr w:type="spellStart"/>
      <w:r w:rsidRPr="003640CB">
        <w:t>Olajide</w:t>
      </w:r>
      <w:proofErr w:type="spellEnd"/>
      <w:r w:rsidRPr="003640CB">
        <w:t xml:space="preserv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043693" w:rsidRPr="003640CB" w:rsidRDefault="00043693" w:rsidP="00043693">
      <w:pPr>
        <w:pStyle w:val="NormalWeb"/>
        <w:spacing w:line="360" w:lineRule="auto"/>
        <w:ind w:right="-90" w:firstLine="540"/>
        <w:jc w:val="both"/>
      </w:pPr>
      <w:r w:rsidRPr="003640CB">
        <w:t xml:space="preserve">Cultural relevance has also been identified as a critical factor in the effectiveness of cooking shows. </w:t>
      </w:r>
      <w:proofErr w:type="spellStart"/>
      <w:r w:rsidRPr="003640CB">
        <w:t>Nwokocha</w:t>
      </w:r>
      <w:proofErr w:type="spellEnd"/>
      <w:r w:rsidRPr="003640CB">
        <w:t xml:space="preserve">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043693" w:rsidRPr="003640CB" w:rsidRDefault="00043693" w:rsidP="00043693">
      <w:pPr>
        <w:pStyle w:val="NormalWeb"/>
        <w:spacing w:line="360" w:lineRule="auto"/>
        <w:ind w:right="-90" w:firstLine="540"/>
        <w:jc w:val="both"/>
      </w:pPr>
      <w:r w:rsidRPr="003640CB">
        <w:t xml:space="preserve">Furthermore, empirical studies have investigated the psychological impact of cooking shows on viewers. Ede and </w:t>
      </w:r>
      <w:proofErr w:type="spellStart"/>
      <w:r w:rsidRPr="003640CB">
        <w:t>Adeniran</w:t>
      </w:r>
      <w:proofErr w:type="spellEnd"/>
      <w:r w:rsidRPr="003640CB">
        <w:t xml:space="preserve">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043693" w:rsidRPr="003640CB" w:rsidRDefault="00043693" w:rsidP="00043693">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w:t>
      </w:r>
      <w:proofErr w:type="spellStart"/>
      <w:r w:rsidRPr="003640CB">
        <w:rPr>
          <w:rFonts w:ascii="Times New Roman" w:hAnsi="Times New Roman" w:cs="Times New Roman"/>
          <w:sz w:val="24"/>
          <w:szCs w:val="24"/>
        </w:rPr>
        <w:t>Kenpro</w:t>
      </w:r>
      <w:proofErr w:type="spellEnd"/>
      <w:r w:rsidRPr="003640CB">
        <w:rPr>
          <w:rFonts w:ascii="Times New Roman" w:hAnsi="Times New Roman" w:cs="Times New Roman"/>
          <w:sz w:val="24"/>
          <w:szCs w:val="24"/>
        </w:rPr>
        <w:t xml:space="preserve"> (2012), research design is the overall strategy used in integrating the different components of the study in a coherent and logical way, so as to ensure the effective addressing of the research problem. Similarly, Malik (2011) cited in Cooper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wrote that research design constitutes the template for collection, measurement and analysis of data. It is also a strategic framework for action that serves as a bridge between research questions and the execution, or implementation of the research strategy (</w:t>
      </w:r>
      <w:proofErr w:type="spellStart"/>
      <w:r w:rsidRPr="003640CB">
        <w:rPr>
          <w:rFonts w:ascii="Times New Roman" w:hAnsi="Times New Roman" w:cs="Times New Roman"/>
          <w:sz w:val="24"/>
          <w:szCs w:val="24"/>
        </w:rPr>
        <w:t>Mafuwane</w:t>
      </w:r>
      <w:proofErr w:type="spellEnd"/>
      <w:r w:rsidRPr="003640CB">
        <w:rPr>
          <w:rFonts w:ascii="Times New Roman" w:hAnsi="Times New Roman" w:cs="Times New Roman"/>
          <w:sz w:val="24"/>
          <w:szCs w:val="24"/>
        </w:rPr>
        <w:t>, 2012).</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study which assessed the contribution of radio to the promotion of environmental sanitation in the Ilorin metropolis adopted a survey research method. </w:t>
      </w:r>
      <w:proofErr w:type="spellStart"/>
      <w:r w:rsidRPr="003640CB">
        <w:rPr>
          <w:rFonts w:ascii="Times New Roman" w:hAnsi="Times New Roman" w:cs="Times New Roman"/>
          <w:sz w:val="24"/>
          <w:szCs w:val="24"/>
        </w:rPr>
        <w:t>Abdulwahab</w:t>
      </w:r>
      <w:proofErr w:type="spellEnd"/>
      <w:r w:rsidRPr="003640CB">
        <w:rPr>
          <w:rFonts w:ascii="Times New Roman" w:hAnsi="Times New Roman" w:cs="Times New Roman"/>
          <w:sz w:val="24"/>
          <w:szCs w:val="24"/>
        </w:rPr>
        <w:t xml:space="preserve"> (2012) writes that survey is a type of research method associated with a research situation where the research subjects run into hundreds or even thousands, spreading across a large area.</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Pritha</w:t>
      </w:r>
      <w:proofErr w:type="spellEnd"/>
      <w:r w:rsidRPr="003640CB">
        <w:rPr>
          <w:rFonts w:ascii="Times New Roman" w:hAnsi="Times New Roman" w:cs="Times New Roman"/>
          <w:sz w:val="24"/>
          <w:szCs w:val="24"/>
        </w:rPr>
        <w:t xml:space="preserve"> (2021) explained that a population is the entire group that you want to draw conclusions about. </w:t>
      </w:r>
      <w:proofErr w:type="spellStart"/>
      <w:r w:rsidRPr="003640CB">
        <w:rPr>
          <w:rFonts w:ascii="Times New Roman" w:hAnsi="Times New Roman" w:cs="Times New Roman"/>
          <w:sz w:val="24"/>
          <w:szCs w:val="24"/>
        </w:rPr>
        <w:t>Showkat</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xml:space="preserve">) describes a population that refers to any collection of </w:t>
      </w:r>
      <w:r w:rsidRPr="003640CB">
        <w:rPr>
          <w:rFonts w:ascii="Times New Roman" w:hAnsi="Times New Roman" w:cs="Times New Roman"/>
          <w:sz w:val="24"/>
          <w:szCs w:val="24"/>
        </w:rPr>
        <w:lastRenderedPageBreak/>
        <w:t xml:space="preserve">specified groups of human beings or of non-human entities such as objects, educational institutions, time units, </w:t>
      </w:r>
      <w:proofErr w:type="gramStart"/>
      <w:r w:rsidRPr="003640CB">
        <w:rPr>
          <w:rFonts w:ascii="Times New Roman" w:hAnsi="Times New Roman" w:cs="Times New Roman"/>
          <w:sz w:val="24"/>
          <w:szCs w:val="24"/>
        </w:rPr>
        <w:t>geographical</w:t>
      </w:r>
      <w:proofErr w:type="gramEnd"/>
      <w:r w:rsidRPr="003640CB">
        <w:rPr>
          <w:rFonts w:ascii="Times New Roman" w:hAnsi="Times New Roman" w:cs="Times New Roman"/>
          <w:sz w:val="24"/>
          <w:szCs w:val="24"/>
        </w:rPr>
        <w:t xml:space="preserve"> areas, prices of wheat or salaries drawn by individuals.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Okoye</w:t>
      </w:r>
      <w:proofErr w:type="spellEnd"/>
      <w:r w:rsidRPr="003640CB">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640CB">
        <w:rPr>
          <w:rFonts w:ascii="Times New Roman" w:hAnsi="Times New Roman" w:cs="Times New Roman"/>
          <w:sz w:val="24"/>
          <w:szCs w:val="24"/>
        </w:rPr>
        <w:t>Macrotrends</w:t>
      </w:r>
      <w:proofErr w:type="spellEnd"/>
      <w:r w:rsidRPr="003640CB">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etc. The population comprises of male and female, adult and young.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is a way to select a part or portion from a sampling frame or population to represent the entire population. </w:t>
      </w:r>
      <w:proofErr w:type="spellStart"/>
      <w:r w:rsidRPr="003640CB">
        <w:rPr>
          <w:rFonts w:ascii="Times New Roman" w:hAnsi="Times New Roman" w:cs="Times New Roman"/>
          <w:sz w:val="24"/>
          <w:szCs w:val="24"/>
        </w:rPr>
        <w:t>Omniconvert</w:t>
      </w:r>
      <w:proofErr w:type="spellEnd"/>
      <w:r w:rsidRPr="003640CB">
        <w:rPr>
          <w:rFonts w:ascii="Times New Roman" w:hAnsi="Times New Roman" w:cs="Times New Roman"/>
          <w:sz w:val="24"/>
          <w:szCs w:val="24"/>
        </w:rPr>
        <w:t xml:space="preserve">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w:t>
      </w:r>
      <w:proofErr w:type="spellStart"/>
      <w:r w:rsidRPr="003640CB">
        <w:rPr>
          <w:rFonts w:ascii="Times New Roman" w:hAnsi="Times New Roman" w:cs="Times New Roman"/>
          <w:sz w:val="24"/>
          <w:szCs w:val="24"/>
        </w:rPr>
        <w:t>Degu</w:t>
      </w:r>
      <w:proofErr w:type="spellEnd"/>
      <w:r w:rsidRPr="003640CB">
        <w:rPr>
          <w:rFonts w:ascii="Times New Roman" w:hAnsi="Times New Roman" w:cs="Times New Roman"/>
          <w:sz w:val="24"/>
          <w:szCs w:val="24"/>
        </w:rPr>
        <w:t xml:space="preserve"> &amp; </w:t>
      </w:r>
      <w:proofErr w:type="spellStart"/>
      <w:r w:rsidRPr="003640CB">
        <w:rPr>
          <w:rFonts w:ascii="Times New Roman" w:hAnsi="Times New Roman" w:cs="Times New Roman"/>
          <w:sz w:val="24"/>
          <w:szCs w:val="24"/>
        </w:rPr>
        <w:t>Yigzaw</w:t>
      </w:r>
      <w:proofErr w:type="spellEnd"/>
      <w:r w:rsidRPr="003640CB">
        <w:rPr>
          <w:rFonts w:ascii="Times New Roman" w:hAnsi="Times New Roman" w:cs="Times New Roman"/>
          <w:sz w:val="24"/>
          <w:szCs w:val="24"/>
        </w:rPr>
        <w:t>, 2006; Kumar, 2011). For the purpose of this study a self-administered questionnaire was used to collect data from the sampled population of this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043693" w:rsidRPr="003640CB" w:rsidRDefault="00043693" w:rsidP="00043693">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data were collected for this study through personal distribution of questionnaires across the Ilorin metropolis particularly in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043693" w:rsidRPr="003640CB" w:rsidRDefault="00043693" w:rsidP="00043693">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Babbie</w:t>
      </w:r>
      <w:proofErr w:type="spellEnd"/>
      <w:r w:rsidRPr="003640CB">
        <w:rPr>
          <w:rFonts w:ascii="Times New Roman" w:hAnsi="Times New Roman" w:cs="Times New Roman"/>
          <w:sz w:val="24"/>
          <w:szCs w:val="24"/>
        </w:rPr>
        <w:t xml:space="preserv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043693" w:rsidRPr="003640CB" w:rsidRDefault="00043693" w:rsidP="00043693">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043693" w:rsidRPr="003640CB" w:rsidRDefault="00043693" w:rsidP="00043693">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626332" w:rsidP="00FA0E9F">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043693"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043693" w:rsidRPr="00C163F7" w:rsidRDefault="00043693" w:rsidP="00043693">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043693"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043693" w:rsidRPr="00C163F7" w:rsidRDefault="00043693" w:rsidP="00043693">
      <w:pPr>
        <w:spacing w:line="360" w:lineRule="auto"/>
        <w:ind w:right="-90" w:firstLine="540"/>
        <w:jc w:val="both"/>
        <w:rPr>
          <w:rFonts w:ascii="Times New Roman" w:hAnsi="Times New Roman" w:cs="Times New Roman"/>
          <w:sz w:val="24"/>
          <w:szCs w:val="24"/>
        </w:rPr>
      </w:pP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043693" w:rsidRPr="003640CB" w:rsidRDefault="00043693" w:rsidP="00043693">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Akinmoladun</w:t>
      </w:r>
      <w:proofErr w:type="spellEnd"/>
      <w:r w:rsidRPr="00C163F7">
        <w:rPr>
          <w:rFonts w:ascii="Times New Roman" w:hAnsi="Times New Roman" w:cs="Times New Roman"/>
          <w:sz w:val="24"/>
          <w:szCs w:val="24"/>
        </w:rPr>
        <w:t xml:space="preserve">,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Bamidele</w:t>
      </w:r>
      <w:proofErr w:type="spellEnd"/>
      <w:r w:rsidRPr="00C163F7">
        <w:rPr>
          <w:rFonts w:ascii="Times New Roman" w:hAnsi="Times New Roman" w:cs="Times New Roman"/>
          <w:sz w:val="24"/>
          <w:szCs w:val="24"/>
        </w:rPr>
        <w:t xml:space="preserve">, K., &amp; </w:t>
      </w:r>
      <w:proofErr w:type="spellStart"/>
      <w:r w:rsidRPr="00C163F7">
        <w:rPr>
          <w:rFonts w:ascii="Times New Roman" w:hAnsi="Times New Roman" w:cs="Times New Roman"/>
          <w:sz w:val="24"/>
          <w:szCs w:val="24"/>
        </w:rPr>
        <w:t>Olaniyi</w:t>
      </w:r>
      <w:proofErr w:type="spellEnd"/>
      <w:r w:rsidRPr="00C163F7">
        <w:rPr>
          <w:rFonts w:ascii="Times New Roman" w:hAnsi="Times New Roman" w:cs="Times New Roman"/>
          <w:sz w:val="24"/>
          <w:szCs w:val="24"/>
        </w:rPr>
        <w:t xml:space="preserve">,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w:t>
      </w:r>
      <w:proofErr w:type="spellStart"/>
      <w:r w:rsidRPr="00C163F7">
        <w:rPr>
          <w:rFonts w:ascii="Times New Roman" w:hAnsi="Times New Roman" w:cs="Times New Roman"/>
          <w:sz w:val="24"/>
          <w:szCs w:val="24"/>
        </w:rPr>
        <w:t>Adeniran</w:t>
      </w:r>
      <w:proofErr w:type="spellEnd"/>
      <w:r w:rsidRPr="00C163F7">
        <w:rPr>
          <w:rFonts w:ascii="Times New Roman" w:hAnsi="Times New Roman" w:cs="Times New Roman"/>
          <w:sz w:val="24"/>
          <w:szCs w:val="24"/>
        </w:rPr>
        <w:t xml:space="preserve">,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Gittelsohn</w:t>
      </w:r>
      <w:proofErr w:type="spellEnd"/>
      <w:r w:rsidRPr="00C163F7">
        <w:rPr>
          <w:rFonts w:ascii="Times New Roman" w:hAnsi="Times New Roman" w:cs="Times New Roman"/>
          <w:sz w:val="24"/>
          <w:szCs w:val="24"/>
        </w:rPr>
        <w:t xml:space="preserve">,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Ogunyemi</w:t>
      </w:r>
      <w:proofErr w:type="spellEnd"/>
      <w:r w:rsidRPr="00C163F7">
        <w:rPr>
          <w:rFonts w:ascii="Times New Roman" w:hAnsi="Times New Roman" w:cs="Times New Roman"/>
          <w:sz w:val="24"/>
          <w:szCs w:val="24"/>
        </w:rPr>
        <w:t xml:space="preserve">,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Okafor</w:t>
      </w:r>
      <w:proofErr w:type="spellEnd"/>
      <w:r w:rsidRPr="00C163F7">
        <w:rPr>
          <w:rFonts w:ascii="Times New Roman" w:hAnsi="Times New Roman" w:cs="Times New Roman"/>
          <w:sz w:val="24"/>
          <w:szCs w:val="24"/>
        </w:rPr>
        <w:t xml:space="preserve">,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sectPr w:rsidR="00043693" w:rsidRPr="003640CB" w:rsidSect="00FA0E9F">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77" w:rsidRDefault="001A1F77" w:rsidP="00C332D2">
      <w:pPr>
        <w:spacing w:after="0" w:line="240" w:lineRule="auto"/>
      </w:pPr>
      <w:r>
        <w:separator/>
      </w:r>
    </w:p>
  </w:endnote>
  <w:endnote w:type="continuationSeparator" w:id="0">
    <w:p w:rsidR="001A1F77" w:rsidRDefault="001A1F77" w:rsidP="00C3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99143"/>
      <w:docPartObj>
        <w:docPartGallery w:val="Page Numbers (Bottom of Page)"/>
        <w:docPartUnique/>
      </w:docPartObj>
    </w:sdtPr>
    <w:sdtEndPr>
      <w:rPr>
        <w:noProof/>
      </w:rPr>
    </w:sdtEndPr>
    <w:sdtContent>
      <w:p w:rsidR="00626332" w:rsidRDefault="00626332">
        <w:pPr>
          <w:pStyle w:val="Footer"/>
          <w:jc w:val="center"/>
        </w:pPr>
        <w:r>
          <w:fldChar w:fldCharType="begin"/>
        </w:r>
        <w:r>
          <w:instrText xml:space="preserve"> PAGE   \* MERGEFORMAT </w:instrText>
        </w:r>
        <w:r>
          <w:fldChar w:fldCharType="separate"/>
        </w:r>
        <w:r w:rsidR="00A01032">
          <w:rPr>
            <w:noProof/>
          </w:rPr>
          <w:t>21</w:t>
        </w:r>
        <w:r>
          <w:rPr>
            <w:noProof/>
          </w:rPr>
          <w:fldChar w:fldCharType="end"/>
        </w:r>
      </w:p>
    </w:sdtContent>
  </w:sdt>
  <w:p w:rsidR="00626332" w:rsidRDefault="0062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77" w:rsidRDefault="001A1F77" w:rsidP="00C332D2">
      <w:pPr>
        <w:spacing w:after="0" w:line="240" w:lineRule="auto"/>
      </w:pPr>
      <w:r>
        <w:separator/>
      </w:r>
    </w:p>
  </w:footnote>
  <w:footnote w:type="continuationSeparator" w:id="0">
    <w:p w:rsidR="001A1F77" w:rsidRDefault="001A1F77" w:rsidP="00C33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2" w:rsidRDefault="00626332">
    <w:pPr>
      <w:pStyle w:val="Header"/>
      <w:jc w:val="center"/>
    </w:pPr>
  </w:p>
  <w:p w:rsidR="00626332" w:rsidRDefault="0062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3"/>
    <w:rsid w:val="00043693"/>
    <w:rsid w:val="00105F88"/>
    <w:rsid w:val="001A1F77"/>
    <w:rsid w:val="002D51B3"/>
    <w:rsid w:val="002E4034"/>
    <w:rsid w:val="00415653"/>
    <w:rsid w:val="005014DB"/>
    <w:rsid w:val="00626332"/>
    <w:rsid w:val="007A077C"/>
    <w:rsid w:val="007B4311"/>
    <w:rsid w:val="00995CFC"/>
    <w:rsid w:val="009B6C0C"/>
    <w:rsid w:val="00A01032"/>
    <w:rsid w:val="00BF2157"/>
    <w:rsid w:val="00C332D2"/>
    <w:rsid w:val="00D8450C"/>
    <w:rsid w:val="00FA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B654E-8130-4E50-96A1-5977EFE4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93"/>
  </w:style>
  <w:style w:type="paragraph" w:styleId="Heading2">
    <w:name w:val="heading 2"/>
    <w:basedOn w:val="Normal"/>
    <w:next w:val="Normal"/>
    <w:link w:val="Heading2Char"/>
    <w:uiPriority w:val="9"/>
    <w:semiHidden/>
    <w:unhideWhenUsed/>
    <w:qFormat/>
    <w:rsid w:val="000436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36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3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4369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43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693"/>
    <w:rPr>
      <w:b/>
      <w:bCs/>
    </w:rPr>
  </w:style>
  <w:style w:type="character" w:styleId="Emphasis">
    <w:name w:val="Emphasis"/>
    <w:basedOn w:val="DefaultParagraphFont"/>
    <w:uiPriority w:val="20"/>
    <w:qFormat/>
    <w:rsid w:val="00043693"/>
    <w:rPr>
      <w:i/>
      <w:iCs/>
    </w:rPr>
  </w:style>
  <w:style w:type="paragraph" w:styleId="BalloonText">
    <w:name w:val="Balloon Text"/>
    <w:basedOn w:val="Normal"/>
    <w:link w:val="BalloonTextChar"/>
    <w:uiPriority w:val="99"/>
    <w:semiHidden/>
    <w:unhideWhenUsed/>
    <w:rsid w:val="0004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93"/>
    <w:rPr>
      <w:rFonts w:ascii="Segoe UI" w:hAnsi="Segoe UI" w:cs="Segoe UI"/>
      <w:sz w:val="18"/>
      <w:szCs w:val="18"/>
    </w:rPr>
  </w:style>
  <w:style w:type="table" w:styleId="TableGrid">
    <w:name w:val="Table Grid"/>
    <w:basedOn w:val="TableNormal"/>
    <w:uiPriority w:val="39"/>
    <w:rsid w:val="0004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93"/>
  </w:style>
  <w:style w:type="paragraph" w:styleId="Footer">
    <w:name w:val="footer"/>
    <w:basedOn w:val="Normal"/>
    <w:link w:val="FooterChar"/>
    <w:uiPriority w:val="99"/>
    <w:unhideWhenUsed/>
    <w:rsid w:val="0004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93"/>
  </w:style>
  <w:style w:type="paragraph" w:styleId="ListParagraph">
    <w:name w:val="List Paragraph"/>
    <w:basedOn w:val="Normal"/>
    <w:uiPriority w:val="34"/>
    <w:qFormat/>
    <w:rsid w:val="0004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29497">
      <w:bodyDiv w:val="1"/>
      <w:marLeft w:val="0"/>
      <w:marRight w:val="0"/>
      <w:marTop w:val="0"/>
      <w:marBottom w:val="0"/>
      <w:divBdr>
        <w:top w:val="none" w:sz="0" w:space="0" w:color="auto"/>
        <w:left w:val="none" w:sz="0" w:space="0" w:color="auto"/>
        <w:bottom w:val="none" w:sz="0" w:space="0" w:color="auto"/>
        <w:right w:val="none" w:sz="0" w:space="0" w:color="auto"/>
      </w:divBdr>
    </w:div>
    <w:div w:id="209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56</Pages>
  <Words>12575</Words>
  <Characters>71679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2025-08-27T09:25:00Z</cp:lastPrinted>
  <dcterms:created xsi:type="dcterms:W3CDTF">2025-07-24T08:09:00Z</dcterms:created>
  <dcterms:modified xsi:type="dcterms:W3CDTF">2025-09-21T19:30:00Z</dcterms:modified>
</cp:coreProperties>
</file>