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4F3" w:rsidRPr="00CF3907" w:rsidRDefault="002944F3" w:rsidP="002944F3">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9264" behindDoc="1" locked="0" layoutInCell="1" allowOverlap="1" wp14:anchorId="3B459D23" wp14:editId="78AA1676">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944F3" w:rsidRPr="00CF3907" w:rsidRDefault="002944F3" w:rsidP="002944F3">
      <w:pPr>
        <w:spacing w:before="240" w:line="480" w:lineRule="auto"/>
        <w:rPr>
          <w:rFonts w:ascii="Times New Roman" w:hAnsi="Times New Roman" w:cs="Times New Roman"/>
          <w:b/>
          <w:color w:val="000000" w:themeColor="text1"/>
        </w:rPr>
      </w:pPr>
    </w:p>
    <w:p w:rsidR="002944F3" w:rsidRPr="00CF3907" w:rsidRDefault="002944F3" w:rsidP="002944F3">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rsidR="002944F3" w:rsidRPr="00CF3907" w:rsidRDefault="002944F3" w:rsidP="002944F3">
      <w:pPr>
        <w:spacing w:before="240" w:after="100" w:afterAutospacing="1" w:line="480" w:lineRule="auto"/>
        <w:rPr>
          <w:rFonts w:ascii="Times New Roman" w:eastAsia="Times New Roman" w:hAnsi="Times New Roman" w:cs="Times New Roman"/>
          <w:b/>
          <w:bCs/>
          <w:color w:val="000000" w:themeColor="text1"/>
          <w:kern w:val="0"/>
        </w:rPr>
      </w:pPr>
    </w:p>
    <w:p w:rsidR="002944F3" w:rsidRPr="00CF3907" w:rsidRDefault="002944F3" w:rsidP="002944F3">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rsidR="002944F3" w:rsidRDefault="002944F3" w:rsidP="002944F3">
      <w:pPr>
        <w:spacing w:before="240" w:after="0" w:line="480" w:lineRule="auto"/>
        <w:jc w:val="center"/>
        <w:rPr>
          <w:rFonts w:ascii="Times New Roman" w:eastAsia="Times New Roman" w:hAnsi="Times New Roman" w:cs="Times New Roman"/>
          <w:b/>
          <w:color w:val="000000" w:themeColor="text1"/>
        </w:rPr>
      </w:pPr>
      <w:r w:rsidRPr="002944F3">
        <w:rPr>
          <w:rFonts w:ascii="Times New Roman" w:eastAsia="Times New Roman" w:hAnsi="Times New Roman" w:cs="Times New Roman"/>
          <w:b/>
          <w:color w:val="000000" w:themeColor="text1"/>
        </w:rPr>
        <w:t>DA</w:t>
      </w:r>
      <w:r w:rsidR="00E86C6C">
        <w:rPr>
          <w:rFonts w:ascii="Times New Roman" w:eastAsia="Times New Roman" w:hAnsi="Times New Roman" w:cs="Times New Roman"/>
          <w:b/>
          <w:color w:val="000000" w:themeColor="text1"/>
        </w:rPr>
        <w:t>U</w:t>
      </w:r>
      <w:r w:rsidRPr="002944F3">
        <w:rPr>
          <w:rFonts w:ascii="Times New Roman" w:eastAsia="Times New Roman" w:hAnsi="Times New Roman" w:cs="Times New Roman"/>
          <w:b/>
          <w:color w:val="000000" w:themeColor="text1"/>
        </w:rPr>
        <w:t>D IDRIS</w:t>
      </w:r>
    </w:p>
    <w:p w:rsidR="002944F3" w:rsidRDefault="002944F3" w:rsidP="002944F3">
      <w:pPr>
        <w:spacing w:before="240" w:after="0" w:line="480" w:lineRule="auto"/>
        <w:jc w:val="center"/>
        <w:rPr>
          <w:rFonts w:ascii="Times New Roman" w:eastAsia="Times New Roman" w:hAnsi="Times New Roman" w:cs="Times New Roman"/>
          <w:b/>
          <w:color w:val="000000" w:themeColor="text1"/>
        </w:rPr>
      </w:pPr>
      <w:r w:rsidRPr="00FB1DA8">
        <w:rPr>
          <w:rFonts w:ascii="Times New Roman" w:eastAsia="Times New Roman" w:hAnsi="Times New Roman" w:cs="Times New Roman"/>
          <w:b/>
          <w:color w:val="000000" w:themeColor="text1"/>
        </w:rPr>
        <w:t>ND/23/SLT/PT/0</w:t>
      </w:r>
      <w:r>
        <w:rPr>
          <w:rFonts w:ascii="Times New Roman" w:eastAsia="Times New Roman" w:hAnsi="Times New Roman" w:cs="Times New Roman"/>
          <w:b/>
          <w:color w:val="000000" w:themeColor="text1"/>
        </w:rPr>
        <w:t>381</w:t>
      </w:r>
    </w:p>
    <w:p w:rsidR="002944F3" w:rsidRPr="00CF3907" w:rsidRDefault="002944F3" w:rsidP="002944F3">
      <w:pPr>
        <w:spacing w:before="240" w:after="0" w:line="480" w:lineRule="auto"/>
        <w:rPr>
          <w:rFonts w:ascii="Times New Roman" w:eastAsia="Times New Roman" w:hAnsi="Times New Roman" w:cs="Times New Roman"/>
          <w:b/>
          <w:bCs/>
          <w:color w:val="000000" w:themeColor="text1"/>
        </w:rPr>
      </w:pPr>
    </w:p>
    <w:p w:rsidR="002944F3" w:rsidRPr="00CF3907" w:rsidRDefault="002944F3" w:rsidP="002944F3">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rsidR="002944F3" w:rsidRPr="00CF3907" w:rsidRDefault="002944F3" w:rsidP="002944F3">
      <w:pPr>
        <w:spacing w:after="16" w:line="360" w:lineRule="auto"/>
        <w:jc w:val="center"/>
        <w:rPr>
          <w:rFonts w:ascii="Times New Roman" w:hAnsi="Times New Roman" w:cs="Times New Roman"/>
          <w:color w:val="000000" w:themeColor="text1"/>
        </w:rPr>
      </w:pPr>
    </w:p>
    <w:p w:rsidR="002944F3" w:rsidRPr="00CF3907" w:rsidRDefault="002944F3" w:rsidP="002944F3">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rsidR="002944F3" w:rsidRPr="00CF3907" w:rsidRDefault="002944F3" w:rsidP="002944F3">
      <w:pPr>
        <w:spacing w:after="20" w:line="259" w:lineRule="auto"/>
        <w:ind w:left="24"/>
        <w:rPr>
          <w:b/>
          <w:color w:val="000000" w:themeColor="text1"/>
        </w:rPr>
      </w:pPr>
    </w:p>
    <w:p w:rsidR="002944F3" w:rsidRPr="00CF3907" w:rsidRDefault="002944F3" w:rsidP="002944F3">
      <w:pPr>
        <w:spacing w:after="20" w:line="259" w:lineRule="auto"/>
        <w:ind w:left="24"/>
        <w:rPr>
          <w:b/>
          <w:color w:val="000000" w:themeColor="text1"/>
        </w:rPr>
      </w:pPr>
    </w:p>
    <w:p w:rsidR="002944F3" w:rsidRPr="00CF3907" w:rsidRDefault="002944F3" w:rsidP="002944F3">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rsidR="002944F3" w:rsidRPr="00CF3907" w:rsidRDefault="002944F3" w:rsidP="002944F3">
      <w:pPr>
        <w:spacing w:before="240" w:line="480" w:lineRule="auto"/>
        <w:jc w:val="right"/>
        <w:rPr>
          <w:rFonts w:ascii="Times New Roman" w:hAnsi="Times New Roman" w:cs="Times New Roman"/>
          <w:b/>
          <w:color w:val="000000" w:themeColor="text1"/>
        </w:rPr>
      </w:pPr>
    </w:p>
    <w:p w:rsidR="002944F3" w:rsidRPr="00CF3907" w:rsidRDefault="002944F3" w:rsidP="002944F3">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rsidR="002944F3" w:rsidRPr="00CF3907" w:rsidRDefault="002944F3" w:rsidP="002944F3">
      <w:pPr>
        <w:spacing w:before="240" w:line="480" w:lineRule="auto"/>
        <w:jc w:val="right"/>
        <w:rPr>
          <w:rFonts w:ascii="Times New Roman" w:hAnsi="Times New Roman" w:cs="Times New Roman"/>
          <w:b/>
          <w:color w:val="000000" w:themeColor="text1"/>
        </w:rPr>
      </w:pPr>
    </w:p>
    <w:p w:rsidR="002944F3" w:rsidRPr="00CF3907" w:rsidRDefault="002944F3" w:rsidP="002944F3">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rsidR="002944F3" w:rsidRPr="00FB1DA8" w:rsidRDefault="002944F3" w:rsidP="002944F3">
      <w:pPr>
        <w:spacing w:before="240" w:after="0" w:line="480" w:lineRule="auto"/>
        <w:rPr>
          <w:rFonts w:ascii="Times New Roman" w:eastAsia="Times New Roman" w:hAnsi="Times New Roman" w:cs="Times New Roman"/>
          <w:b/>
          <w:color w:val="000000" w:themeColor="text1"/>
        </w:rPr>
      </w:pPr>
      <w:r w:rsidRPr="00CF3907">
        <w:rPr>
          <w:rFonts w:ascii="Times New Roman" w:hAnsi="Times New Roman" w:cs="Times New Roman"/>
          <w:color w:val="000000" w:themeColor="text1"/>
          <w:sz w:val="28"/>
          <w:szCs w:val="28"/>
        </w:rPr>
        <w:t xml:space="preserve">I, </w:t>
      </w:r>
      <w:r w:rsidR="004C2D8A" w:rsidRPr="002944F3">
        <w:rPr>
          <w:rFonts w:ascii="Times New Roman" w:eastAsia="Times New Roman" w:hAnsi="Times New Roman" w:cs="Times New Roman"/>
          <w:b/>
          <w:color w:val="000000" w:themeColor="text1"/>
        </w:rPr>
        <w:t>D</w:t>
      </w:r>
      <w:r w:rsidR="00E86C6C">
        <w:rPr>
          <w:rFonts w:ascii="Times New Roman" w:eastAsia="Times New Roman" w:hAnsi="Times New Roman" w:cs="Times New Roman"/>
          <w:b/>
          <w:color w:val="000000" w:themeColor="text1"/>
        </w:rPr>
        <w:t>AU</w:t>
      </w:r>
      <w:r w:rsidR="004C2D8A" w:rsidRPr="002944F3">
        <w:rPr>
          <w:rFonts w:ascii="Times New Roman" w:eastAsia="Times New Roman" w:hAnsi="Times New Roman" w:cs="Times New Roman"/>
          <w:b/>
          <w:color w:val="000000" w:themeColor="text1"/>
        </w:rPr>
        <w:t>D IDRIS</w:t>
      </w:r>
      <w:r w:rsidR="004C2D8A">
        <w:rPr>
          <w:rFonts w:ascii="Times New Roman" w:eastAsia="Times New Roman" w:hAnsi="Times New Roman" w:cs="Times New Roman"/>
          <w:b/>
          <w:color w:val="000000" w:themeColor="text1"/>
        </w:rPr>
        <w:t xml:space="preserve"> </w:t>
      </w:r>
      <w:r w:rsidRPr="00CF3907">
        <w:rPr>
          <w:rFonts w:ascii="Times New Roman" w:hAnsi="Times New Roman" w:cs="Times New Roman"/>
          <w:color w:val="000000" w:themeColor="text1"/>
          <w:sz w:val="28"/>
          <w:szCs w:val="28"/>
        </w:rPr>
        <w:t>hereby declare that this project report was carried out by me under the supervision of Mrs</w:t>
      </w:r>
      <w:r>
        <w:rPr>
          <w:rFonts w:ascii="Times New Roman" w:hAnsi="Times New Roman" w:cs="Times New Roman"/>
          <w:color w:val="000000" w:themeColor="text1"/>
          <w:sz w:val="28"/>
          <w:szCs w:val="28"/>
        </w:rPr>
        <w:t>.</w:t>
      </w:r>
      <w:r w:rsidRPr="00CF3907">
        <w:rPr>
          <w:rFonts w:ascii="Times New Roman" w:hAnsi="Times New Roman" w:cs="Times New Roman"/>
          <w:color w:val="000000" w:themeColor="text1"/>
          <w:sz w:val="28"/>
          <w:szCs w:val="28"/>
        </w:rPr>
        <w:t xml:space="preserve"> Mohammed Hawawu T. All sources of information are specifically acknowledged by means of reference.</w:t>
      </w:r>
    </w:p>
    <w:p w:rsidR="002944F3" w:rsidRPr="00CF3907" w:rsidRDefault="002944F3" w:rsidP="002944F3">
      <w:pPr>
        <w:spacing w:line="480" w:lineRule="auto"/>
        <w:jc w:val="both"/>
        <w:rPr>
          <w:rFonts w:ascii="Times New Roman" w:hAnsi="Times New Roman" w:cs="Times New Roman"/>
          <w:color w:val="000000" w:themeColor="text1"/>
          <w:sz w:val="28"/>
          <w:szCs w:val="28"/>
        </w:rPr>
      </w:pPr>
    </w:p>
    <w:p w:rsidR="002944F3" w:rsidRPr="00CF3907" w:rsidRDefault="002944F3" w:rsidP="002944F3">
      <w:pPr>
        <w:spacing w:line="480" w:lineRule="auto"/>
        <w:jc w:val="both"/>
        <w:rPr>
          <w:rFonts w:ascii="Times New Roman" w:hAnsi="Times New Roman" w:cs="Times New Roman"/>
          <w:color w:val="000000" w:themeColor="text1"/>
          <w:sz w:val="28"/>
          <w:szCs w:val="28"/>
        </w:rPr>
      </w:pPr>
    </w:p>
    <w:p w:rsidR="002944F3" w:rsidRPr="00CF3907" w:rsidRDefault="002944F3" w:rsidP="002944F3">
      <w:pPr>
        <w:spacing w:line="480" w:lineRule="auto"/>
        <w:jc w:val="both"/>
        <w:rPr>
          <w:rFonts w:ascii="Times New Roman" w:hAnsi="Times New Roman" w:cs="Times New Roman"/>
          <w:color w:val="000000" w:themeColor="text1"/>
          <w:sz w:val="28"/>
          <w:szCs w:val="28"/>
        </w:rPr>
      </w:pPr>
    </w:p>
    <w:p w:rsidR="002944F3" w:rsidRPr="00CF3907" w:rsidRDefault="002944F3" w:rsidP="002944F3">
      <w:pPr>
        <w:spacing w:line="480" w:lineRule="auto"/>
        <w:jc w:val="both"/>
        <w:rPr>
          <w:rFonts w:ascii="Times New Roman" w:hAnsi="Times New Roman" w:cs="Times New Roman"/>
          <w:color w:val="000000" w:themeColor="text1"/>
          <w:sz w:val="28"/>
          <w:szCs w:val="28"/>
        </w:rPr>
      </w:pPr>
    </w:p>
    <w:p w:rsidR="002944F3" w:rsidRPr="00CF3907" w:rsidRDefault="002944F3" w:rsidP="002944F3">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rsidR="002944F3" w:rsidRPr="00CF3907" w:rsidRDefault="004C2D8A" w:rsidP="002944F3">
      <w:pPr>
        <w:spacing w:before="240" w:after="0" w:line="480" w:lineRule="auto"/>
        <w:rPr>
          <w:rFonts w:ascii="Times New Roman" w:eastAsia="Times New Roman" w:hAnsi="Times New Roman" w:cs="Times New Roman"/>
          <w:b/>
          <w:color w:val="000000" w:themeColor="text1"/>
        </w:rPr>
      </w:pPr>
      <w:r w:rsidRPr="002944F3">
        <w:rPr>
          <w:rFonts w:ascii="Times New Roman" w:eastAsia="Times New Roman" w:hAnsi="Times New Roman" w:cs="Times New Roman"/>
          <w:b/>
          <w:color w:val="000000" w:themeColor="text1"/>
        </w:rPr>
        <w:t>D</w:t>
      </w:r>
      <w:r w:rsidR="00E86C6C">
        <w:rPr>
          <w:rFonts w:ascii="Times New Roman" w:eastAsia="Times New Roman" w:hAnsi="Times New Roman" w:cs="Times New Roman"/>
          <w:b/>
          <w:color w:val="000000" w:themeColor="text1"/>
        </w:rPr>
        <w:t>AU</w:t>
      </w:r>
      <w:r w:rsidRPr="002944F3">
        <w:rPr>
          <w:rFonts w:ascii="Times New Roman" w:eastAsia="Times New Roman" w:hAnsi="Times New Roman" w:cs="Times New Roman"/>
          <w:b/>
          <w:color w:val="000000" w:themeColor="text1"/>
        </w:rPr>
        <w:t>D IDRIS</w:t>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Pr>
          <w:rFonts w:ascii="Times New Roman" w:eastAsia="Times New Roman" w:hAnsi="Times New Roman" w:cs="Times New Roman"/>
          <w:b/>
          <w:color w:val="000000" w:themeColor="text1"/>
        </w:rPr>
        <w:tab/>
      </w:r>
      <w:r w:rsidR="002944F3" w:rsidRPr="00CF3907">
        <w:rPr>
          <w:rFonts w:ascii="Times New Roman" w:hAnsi="Times New Roman" w:cs="Times New Roman"/>
          <w:b/>
          <w:bCs/>
          <w:color w:val="000000" w:themeColor="text1"/>
          <w:sz w:val="28"/>
          <w:szCs w:val="28"/>
        </w:rPr>
        <w:t>Signature &amp; Date</w:t>
      </w:r>
    </w:p>
    <w:p w:rsidR="002944F3" w:rsidRPr="00CF3907" w:rsidRDefault="002944F3" w:rsidP="002944F3">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ND/23/SLT/</w:t>
      </w:r>
      <w:r>
        <w:rPr>
          <w:rFonts w:ascii="Times New Roman" w:hAnsi="Times New Roman" w:cs="Times New Roman"/>
          <w:b/>
          <w:bCs/>
          <w:color w:val="000000" w:themeColor="text1"/>
          <w:sz w:val="28"/>
          <w:szCs w:val="28"/>
        </w:rPr>
        <w:t>PT/0</w:t>
      </w:r>
      <w:r w:rsidR="004C2D8A">
        <w:rPr>
          <w:rFonts w:ascii="Times New Roman" w:hAnsi="Times New Roman" w:cs="Times New Roman"/>
          <w:b/>
          <w:bCs/>
          <w:color w:val="000000" w:themeColor="text1"/>
          <w:sz w:val="28"/>
          <w:szCs w:val="28"/>
        </w:rPr>
        <w:t>381</w:t>
      </w:r>
    </w:p>
    <w:p w:rsidR="002944F3" w:rsidRPr="00CF3907" w:rsidRDefault="002944F3" w:rsidP="002944F3">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rsidR="002944F3" w:rsidRPr="00CF3907" w:rsidRDefault="002944F3" w:rsidP="002944F3">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rsidR="002944F3" w:rsidRPr="00CF3907" w:rsidRDefault="002944F3" w:rsidP="002944F3">
      <w:pPr>
        <w:rPr>
          <w:color w:val="000000" w:themeColor="text1"/>
          <w:sz w:val="28"/>
          <w:szCs w:val="28"/>
        </w:rPr>
      </w:pPr>
    </w:p>
    <w:p w:rsidR="002944F3" w:rsidRPr="00CF3907" w:rsidRDefault="002944F3" w:rsidP="002944F3">
      <w:pPr>
        <w:rPr>
          <w:color w:val="000000" w:themeColor="text1"/>
          <w:sz w:val="28"/>
          <w:szCs w:val="28"/>
        </w:rPr>
      </w:pPr>
    </w:p>
    <w:p w:rsidR="002944F3" w:rsidRPr="00CF3907" w:rsidRDefault="002944F3" w:rsidP="002944F3">
      <w:pPr>
        <w:spacing w:after="0" w:line="259" w:lineRule="auto"/>
        <w:jc w:val="right"/>
        <w:rPr>
          <w:color w:val="000000" w:themeColor="text1"/>
        </w:rPr>
      </w:pPr>
      <w:r w:rsidRPr="00CF3907">
        <w:rPr>
          <w:b/>
          <w:color w:val="000000" w:themeColor="text1"/>
        </w:rPr>
        <w:t xml:space="preserve"> </w:t>
      </w:r>
    </w:p>
    <w:p w:rsidR="002944F3" w:rsidRPr="00CF3907" w:rsidRDefault="002944F3" w:rsidP="002944F3">
      <w:pPr>
        <w:pStyle w:val="Heading1"/>
        <w:spacing w:after="252"/>
        <w:ind w:right="64"/>
        <w:rPr>
          <w:color w:val="000000" w:themeColor="text1"/>
        </w:rPr>
      </w:pPr>
    </w:p>
    <w:p w:rsidR="002944F3" w:rsidRPr="00CF3907" w:rsidRDefault="002944F3" w:rsidP="002944F3">
      <w:pPr>
        <w:pStyle w:val="BodyTextIndent3"/>
        <w:spacing w:after="0"/>
        <w:ind w:left="0"/>
        <w:contextualSpacing/>
        <w:jc w:val="center"/>
        <w:rPr>
          <w:rFonts w:ascii="Times New Roman" w:hAnsi="Times New Roman"/>
          <w:b/>
          <w:bCs/>
          <w:color w:val="000000" w:themeColor="text1"/>
        </w:rPr>
      </w:pPr>
    </w:p>
    <w:p w:rsidR="002944F3" w:rsidRPr="00CF3907" w:rsidRDefault="002944F3" w:rsidP="002944F3">
      <w:pPr>
        <w:pStyle w:val="BodyTextIndent3"/>
        <w:spacing w:after="0"/>
        <w:ind w:left="0"/>
        <w:contextualSpacing/>
        <w:jc w:val="center"/>
        <w:rPr>
          <w:rFonts w:ascii="Times New Roman" w:hAnsi="Times New Roman"/>
          <w:b/>
          <w:bCs/>
          <w:color w:val="000000" w:themeColor="text1"/>
        </w:rPr>
      </w:pPr>
    </w:p>
    <w:p w:rsidR="002944F3" w:rsidRPr="00CF3907" w:rsidRDefault="002944F3" w:rsidP="002944F3">
      <w:pPr>
        <w:pStyle w:val="BodyTextIndent3"/>
        <w:spacing w:after="0"/>
        <w:ind w:left="0"/>
        <w:contextualSpacing/>
        <w:jc w:val="center"/>
        <w:rPr>
          <w:rFonts w:ascii="Times New Roman" w:hAnsi="Times New Roman"/>
          <w:b/>
          <w:bCs/>
          <w:color w:val="000000" w:themeColor="text1"/>
        </w:rPr>
      </w:pPr>
    </w:p>
    <w:p w:rsidR="002944F3" w:rsidRPr="00CF3907" w:rsidRDefault="002944F3" w:rsidP="002944F3">
      <w:pPr>
        <w:pStyle w:val="BodyTextIndent3"/>
        <w:spacing w:after="0"/>
        <w:ind w:left="0"/>
        <w:contextualSpacing/>
        <w:jc w:val="center"/>
        <w:rPr>
          <w:rFonts w:ascii="Times New Roman" w:hAnsi="Times New Roman"/>
          <w:b/>
          <w:bCs/>
          <w:color w:val="000000" w:themeColor="text1"/>
        </w:rPr>
      </w:pPr>
    </w:p>
    <w:p w:rsidR="002944F3" w:rsidRPr="00CF3907" w:rsidRDefault="002944F3" w:rsidP="002944F3">
      <w:pPr>
        <w:pStyle w:val="BodyTextIndent3"/>
        <w:spacing w:after="0"/>
        <w:ind w:left="0"/>
        <w:contextualSpacing/>
        <w:jc w:val="center"/>
        <w:rPr>
          <w:rFonts w:ascii="Times New Roman" w:hAnsi="Times New Roman"/>
          <w:b/>
          <w:bCs/>
          <w:color w:val="000000" w:themeColor="text1"/>
        </w:rPr>
      </w:pPr>
    </w:p>
    <w:p w:rsidR="002944F3" w:rsidRPr="00CF3907" w:rsidRDefault="002944F3" w:rsidP="002944F3">
      <w:pPr>
        <w:spacing w:before="240" w:line="480" w:lineRule="auto"/>
        <w:rPr>
          <w:rFonts w:ascii="Times New Roman" w:hAnsi="Times New Roman" w:cs="Times New Roman"/>
          <w:b/>
          <w:color w:val="000000" w:themeColor="text1"/>
        </w:rPr>
      </w:pPr>
    </w:p>
    <w:p w:rsidR="002944F3" w:rsidRPr="001542E5" w:rsidRDefault="002944F3" w:rsidP="002944F3">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rsidR="002944F3" w:rsidRPr="00FB1DA8" w:rsidRDefault="002944F3" w:rsidP="004C2D8A">
      <w:pPr>
        <w:spacing w:before="240" w:after="0" w:line="480" w:lineRule="auto"/>
        <w:rPr>
          <w:rFonts w:ascii="Times New Roman" w:eastAsia="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004C2D8A" w:rsidRPr="002944F3">
        <w:rPr>
          <w:rFonts w:ascii="Times New Roman" w:eastAsia="Times New Roman" w:hAnsi="Times New Roman" w:cs="Times New Roman"/>
          <w:b/>
          <w:color w:val="000000" w:themeColor="text1"/>
        </w:rPr>
        <w:t>D</w:t>
      </w:r>
      <w:r w:rsidR="00E86C6C">
        <w:rPr>
          <w:rFonts w:ascii="Times New Roman" w:eastAsia="Times New Roman" w:hAnsi="Times New Roman" w:cs="Times New Roman"/>
          <w:b/>
          <w:color w:val="000000" w:themeColor="text1"/>
        </w:rPr>
        <w:t>AU</w:t>
      </w:r>
      <w:r w:rsidR="004C2D8A" w:rsidRPr="002944F3">
        <w:rPr>
          <w:rFonts w:ascii="Times New Roman" w:eastAsia="Times New Roman" w:hAnsi="Times New Roman" w:cs="Times New Roman"/>
          <w:b/>
          <w:color w:val="000000" w:themeColor="text1"/>
        </w:rPr>
        <w:t>D IDRIS</w:t>
      </w:r>
      <w:r w:rsidR="004C2D8A">
        <w:rPr>
          <w:rFonts w:ascii="Times New Roman" w:eastAsia="Times New Roman" w:hAnsi="Times New Roman" w:cs="Times New Roman"/>
          <w:b/>
          <w:color w:val="000000" w:themeColor="text1"/>
        </w:rPr>
        <w:t xml:space="preserve"> </w:t>
      </w:r>
      <w:r w:rsidRPr="001542E5">
        <w:rPr>
          <w:rFonts w:ascii="Times New Roman" w:hAnsi="Times New Roman" w:cs="Times New Roman"/>
          <w:color w:val="000000" w:themeColor="text1"/>
        </w:rPr>
        <w:t xml:space="preserve">with matriculation number </w:t>
      </w:r>
      <w:r w:rsidRPr="001542E5">
        <w:rPr>
          <w:rFonts w:ascii="Times New Roman" w:hAnsi="Times New Roman" w:cs="Times New Roman"/>
          <w:b/>
          <w:color w:val="000000" w:themeColor="text1"/>
        </w:rPr>
        <w:t>ND</w:t>
      </w:r>
      <w:r>
        <w:rPr>
          <w:rFonts w:ascii="Times New Roman" w:hAnsi="Times New Roman" w:cs="Times New Roman"/>
          <w:b/>
          <w:color w:val="000000" w:themeColor="text1"/>
        </w:rPr>
        <w:t>/</w:t>
      </w:r>
      <w:r w:rsidRPr="001542E5">
        <w:rPr>
          <w:rFonts w:ascii="Times New Roman" w:hAnsi="Times New Roman" w:cs="Times New Roman"/>
          <w:b/>
          <w:color w:val="000000" w:themeColor="text1"/>
        </w:rPr>
        <w:t>23</w:t>
      </w:r>
      <w:r>
        <w:rPr>
          <w:rFonts w:ascii="Times New Roman" w:hAnsi="Times New Roman" w:cs="Times New Roman"/>
          <w:b/>
          <w:color w:val="000000" w:themeColor="text1"/>
        </w:rPr>
        <w:t>/</w:t>
      </w:r>
      <w:r w:rsidRPr="001542E5">
        <w:rPr>
          <w:rFonts w:ascii="Times New Roman" w:hAnsi="Times New Roman" w:cs="Times New Roman"/>
          <w:b/>
          <w:color w:val="000000" w:themeColor="text1"/>
        </w:rPr>
        <w:t>SLT</w:t>
      </w:r>
      <w:r>
        <w:rPr>
          <w:rFonts w:ascii="Times New Roman" w:hAnsi="Times New Roman" w:cs="Times New Roman"/>
          <w:b/>
          <w:color w:val="000000" w:themeColor="text1"/>
        </w:rPr>
        <w:t>/PT/</w:t>
      </w:r>
      <w:r w:rsidRPr="001542E5">
        <w:rPr>
          <w:rFonts w:ascii="Times New Roman" w:hAnsi="Times New Roman" w:cs="Times New Roman"/>
          <w:b/>
          <w:color w:val="000000" w:themeColor="text1"/>
        </w:rPr>
        <w:t>0</w:t>
      </w:r>
      <w:r w:rsidR="004C2D8A">
        <w:rPr>
          <w:rFonts w:ascii="Times New Roman" w:hAnsi="Times New Roman" w:cs="Times New Roman"/>
          <w:b/>
          <w:color w:val="000000" w:themeColor="text1"/>
        </w:rPr>
        <w:t>381</w:t>
      </w:r>
      <w:r w:rsidRPr="001542E5">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rsidR="002944F3" w:rsidRPr="00CF3907" w:rsidRDefault="002944F3" w:rsidP="002944F3">
      <w:pPr>
        <w:spacing w:before="240" w:line="276"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2944F3" w:rsidRPr="00CF3907" w:rsidRDefault="002944F3" w:rsidP="002944F3">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(PROJECT SUPERVISOR)</w:t>
      </w: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2944F3" w:rsidRPr="00CF3907" w:rsidRDefault="002944F3" w:rsidP="002944F3">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2944F3" w:rsidRPr="00CF3907" w:rsidRDefault="002944F3" w:rsidP="002944F3">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(HEAD OF DEPAERTMENT)</w:t>
      </w: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rsidR="002944F3" w:rsidRPr="00CF3907" w:rsidRDefault="002944F3" w:rsidP="002944F3">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Pr="00CF3907">
        <w:rPr>
          <w:rFonts w:ascii="Times New Roman" w:eastAsia="Times New Roman" w:hAnsi="Times New Roman" w:cs="Times New Roman"/>
          <w:b/>
          <w:color w:val="000000" w:themeColor="text1"/>
        </w:rPr>
        <w:tab/>
      </w:r>
      <w:r w:rsidRPr="00CF3907">
        <w:rPr>
          <w:rFonts w:ascii="Times New Roman" w:eastAsia="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rsidR="002944F3" w:rsidRPr="00CF3907" w:rsidRDefault="002944F3" w:rsidP="002944F3">
      <w:pPr>
        <w:spacing w:after="0" w:line="360" w:lineRule="auto"/>
        <w:rPr>
          <w:rFonts w:ascii="Times New Roman" w:hAnsi="Times New Roman" w:cs="Times New Roman"/>
          <w:i/>
          <w:color w:val="000000" w:themeColor="text1"/>
        </w:rPr>
      </w:pPr>
    </w:p>
    <w:p w:rsidR="002944F3" w:rsidRPr="00CF3907" w:rsidRDefault="002944F3" w:rsidP="002944F3">
      <w:pPr>
        <w:spacing w:before="240" w:after="0" w:line="276" w:lineRule="auto"/>
        <w:rPr>
          <w:rFonts w:ascii="Times New Roman" w:hAnsi="Times New Roman" w:cs="Times New Roman"/>
          <w:b/>
          <w:color w:val="000000" w:themeColor="text1"/>
        </w:rPr>
      </w:pPr>
    </w:p>
    <w:p w:rsidR="002944F3" w:rsidRPr="00CF3907" w:rsidRDefault="002944F3" w:rsidP="002944F3">
      <w:pPr>
        <w:spacing w:before="240" w:line="480" w:lineRule="auto"/>
        <w:rPr>
          <w:rFonts w:ascii="Times New Roman" w:hAnsi="Times New Roman" w:cs="Times New Roman"/>
          <w:b/>
          <w:color w:val="000000" w:themeColor="text1"/>
        </w:rPr>
      </w:pPr>
    </w:p>
    <w:p w:rsidR="002944F3" w:rsidRPr="00CF3907" w:rsidRDefault="002944F3" w:rsidP="002944F3">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rsidR="002944F3" w:rsidRPr="00CF3907" w:rsidRDefault="002944F3" w:rsidP="002944F3">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is dedicated foremost to Almighty God for his favor, mercy and grace upon our lives especially during this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xml:space="preserve"> in Kwara State Polytechnic Ilorin. We would also like to dedicate it to my parents </w:t>
      </w:r>
      <w:r w:rsidRPr="00CF3907">
        <w:rPr>
          <w:rFonts w:ascii="Times New Roman" w:eastAsia="Times New Roman" w:hAnsi="Times New Roman" w:cs="Times New Roman"/>
          <w:b/>
          <w:bCs/>
          <w:color w:val="000000" w:themeColor="text1"/>
        </w:rPr>
        <w:t xml:space="preserve">Mr. and Mrs. </w:t>
      </w:r>
      <w:r w:rsidR="004C2D8A">
        <w:rPr>
          <w:rFonts w:ascii="Times New Roman" w:eastAsia="Times New Roman" w:hAnsi="Times New Roman" w:cs="Times New Roman"/>
          <w:b/>
          <w:bCs/>
          <w:color w:val="000000" w:themeColor="text1"/>
        </w:rPr>
        <w:t>D</w:t>
      </w:r>
      <w:r w:rsidR="00E86C6C">
        <w:rPr>
          <w:rFonts w:ascii="Times New Roman" w:eastAsia="Times New Roman" w:hAnsi="Times New Roman" w:cs="Times New Roman"/>
          <w:b/>
          <w:bCs/>
          <w:color w:val="000000" w:themeColor="text1"/>
        </w:rPr>
        <w:t>AU</w:t>
      </w:r>
      <w:r w:rsidR="004C2D8A">
        <w:rPr>
          <w:rFonts w:ascii="Times New Roman" w:eastAsia="Times New Roman" w:hAnsi="Times New Roman" w:cs="Times New Roman"/>
          <w:b/>
          <w:bCs/>
          <w:color w:val="000000" w:themeColor="text1"/>
        </w:rPr>
        <w:t>D</w:t>
      </w:r>
      <w:r w:rsidRPr="00CF3907">
        <w:rPr>
          <w:rFonts w:ascii="Times New Roman" w:eastAsia="Times New Roman" w:hAnsi="Times New Roman" w:cs="Times New Roman"/>
          <w:color w:val="000000" w:themeColor="text1"/>
        </w:rPr>
        <w:t>, for their supports throughout this program.</w:t>
      </w: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line="480" w:lineRule="auto"/>
        <w:jc w:val="center"/>
        <w:rPr>
          <w:rFonts w:ascii="Times New Roman" w:hAnsi="Times New Roman" w:cs="Times New Roman"/>
          <w:b/>
          <w:color w:val="000000" w:themeColor="text1"/>
        </w:rPr>
      </w:pPr>
    </w:p>
    <w:p w:rsidR="002944F3" w:rsidRPr="00CF3907" w:rsidRDefault="002944F3" w:rsidP="002944F3">
      <w:pPr>
        <w:spacing w:before="240" w:after="0" w:line="480" w:lineRule="auto"/>
        <w:rPr>
          <w:rFonts w:ascii="Times New Roman" w:hAnsi="Times New Roman" w:cs="Times New Roman"/>
          <w:b/>
          <w:color w:val="000000" w:themeColor="text1"/>
        </w:rPr>
      </w:pPr>
    </w:p>
    <w:p w:rsidR="002944F3" w:rsidRPr="00CF3907" w:rsidRDefault="002944F3" w:rsidP="002944F3">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rsidR="002944F3" w:rsidRPr="00CF3907" w:rsidRDefault="002944F3" w:rsidP="002944F3">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My gratitude is to God Almighty</w:t>
      </w:r>
      <w:r>
        <w:rPr>
          <w:rFonts w:ascii="Times New Roman" w:eastAsia="Times New Roman" w:hAnsi="Times New Roman" w:cs="Times New Roman"/>
          <w:color w:val="000000" w:themeColor="text1"/>
        </w:rPr>
        <w:t xml:space="preserve"> </w:t>
      </w:r>
      <w:r w:rsidR="004C2D8A">
        <w:rPr>
          <w:rFonts w:ascii="Times New Roman" w:eastAsia="Times New Roman" w:hAnsi="Times New Roman" w:cs="Times New Roman"/>
          <w:color w:val="000000" w:themeColor="text1"/>
        </w:rPr>
        <w:t>Allah</w:t>
      </w:r>
      <w:r w:rsidRPr="00CF3907">
        <w:rPr>
          <w:rFonts w:ascii="Times New Roman" w:eastAsia="Times New Roman" w:hAnsi="Times New Roman" w:cs="Times New Roman"/>
          <w:color w:val="000000" w:themeColor="text1"/>
        </w:rPr>
        <w:t xml:space="preserve"> who has made it possible for making this project a successful one.</w:t>
      </w:r>
    </w:p>
    <w:p w:rsidR="002944F3" w:rsidRPr="00CF3907" w:rsidRDefault="002944F3" w:rsidP="002944F3">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for her patience, guidance and motherly love in making this project research a reality, Thank you ma.</w:t>
      </w:r>
    </w:p>
    <w:p w:rsidR="002944F3" w:rsidRPr="00CF3907" w:rsidRDefault="002944F3" w:rsidP="002944F3">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I also appreciate the Head of Department, the Head of Unit, and all the lecturers and staffs of the Department of Science Laboratory Technology for their supports throughout the National Diploma </w:t>
      </w:r>
      <w:proofErr w:type="spellStart"/>
      <w:r w:rsidRPr="00CF3907">
        <w:rPr>
          <w:rFonts w:ascii="Times New Roman" w:eastAsia="Times New Roman" w:hAnsi="Times New Roman" w:cs="Times New Roman"/>
          <w:color w:val="000000" w:themeColor="text1"/>
        </w:rPr>
        <w:t>programme</w:t>
      </w:r>
      <w:proofErr w:type="spellEnd"/>
      <w:r w:rsidRPr="00CF3907">
        <w:rPr>
          <w:rFonts w:ascii="Times New Roman" w:eastAsia="Times New Roman" w:hAnsi="Times New Roman" w:cs="Times New Roman"/>
          <w:color w:val="000000" w:themeColor="text1"/>
        </w:rPr>
        <w:t>, God bless you all.</w:t>
      </w:r>
    </w:p>
    <w:p w:rsidR="002944F3" w:rsidRPr="00CF3907" w:rsidRDefault="002944F3" w:rsidP="002944F3">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w:t>
      </w:r>
      <w:r w:rsidR="004C2D8A">
        <w:rPr>
          <w:rFonts w:ascii="Times New Roman" w:eastAsia="Times New Roman" w:hAnsi="Times New Roman" w:cs="Times New Roman"/>
          <w:b/>
          <w:bCs/>
          <w:color w:val="000000" w:themeColor="text1"/>
        </w:rPr>
        <w:t>D</w:t>
      </w:r>
      <w:r w:rsidR="00E86C6C">
        <w:rPr>
          <w:rFonts w:ascii="Times New Roman" w:eastAsia="Times New Roman" w:hAnsi="Times New Roman" w:cs="Times New Roman"/>
          <w:b/>
          <w:bCs/>
          <w:color w:val="000000" w:themeColor="text1"/>
        </w:rPr>
        <w:t>AU</w:t>
      </w:r>
      <w:r w:rsidR="004C2D8A">
        <w:rPr>
          <w:rFonts w:ascii="Times New Roman" w:eastAsia="Times New Roman" w:hAnsi="Times New Roman" w:cs="Times New Roman"/>
          <w:b/>
          <w:bCs/>
          <w:color w:val="000000" w:themeColor="text1"/>
        </w:rPr>
        <w:t>D</w:t>
      </w:r>
      <w:r>
        <w:rPr>
          <w:rFonts w:ascii="Times New Roman" w:eastAsia="Times New Roman" w:hAnsi="Times New Roman" w:cs="Times New Roman"/>
          <w:b/>
          <w:bCs/>
          <w:color w:val="000000" w:themeColor="text1"/>
        </w:rPr>
        <w:t>,</w:t>
      </w:r>
      <w:r w:rsidRPr="00CF3907">
        <w:rPr>
          <w:rFonts w:ascii="Times New Roman" w:eastAsia="Times New Roman" w:hAnsi="Times New Roman" w:cs="Times New Roman"/>
          <w:b/>
          <w:bCs/>
          <w:color w:val="000000" w:themeColor="text1"/>
        </w:rPr>
        <w:t xml:space="preserve">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rsidR="002944F3" w:rsidRPr="004C2D8A" w:rsidRDefault="002944F3" w:rsidP="002944F3">
          <w:pPr>
            <w:pStyle w:val="Heading1"/>
            <w:spacing w:after="252"/>
            <w:ind w:left="3037"/>
            <w:rPr>
              <w:rFonts w:ascii="Times New Roman" w:hAnsi="Times New Roman" w:cs="Times New Roman"/>
              <w:b/>
              <w:bCs/>
              <w:color w:val="000000" w:themeColor="text1"/>
              <w:sz w:val="24"/>
              <w:szCs w:val="24"/>
            </w:rPr>
          </w:pPr>
          <w:r w:rsidRPr="004C2D8A">
            <w:rPr>
              <w:rFonts w:ascii="Times New Roman" w:hAnsi="Times New Roman" w:cs="Times New Roman"/>
              <w:b/>
              <w:bCs/>
              <w:color w:val="000000" w:themeColor="text1"/>
              <w:sz w:val="24"/>
              <w:szCs w:val="24"/>
            </w:rPr>
            <w:t xml:space="preserve">TABLE OF CONTENTS </w:t>
          </w:r>
          <w:bookmarkEnd w:id="3"/>
        </w:p>
        <w:p w:rsidR="002944F3" w:rsidRPr="00CF3907" w:rsidRDefault="002944F3" w:rsidP="002944F3">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proofErr w:type="spellStart"/>
          <w:r w:rsidRPr="00CF3907">
            <w:rPr>
              <w:rFonts w:ascii="Times New Roman" w:hAnsi="Times New Roman" w:cs="Times New Roman"/>
              <w:color w:val="000000" w:themeColor="text1"/>
            </w:rPr>
            <w:t>i</w:t>
          </w:r>
          <w:proofErr w:type="spellEnd"/>
          <w:r w:rsidRPr="00CF3907">
            <w:rPr>
              <w:rFonts w:ascii="Times New Roman" w:hAnsi="Times New Roman" w:cs="Times New Roman"/>
              <w:color w:val="000000" w:themeColor="text1"/>
            </w:rPr>
            <w:t xml:space="preserve"> </w:t>
          </w:r>
        </w:p>
        <w:p w:rsidR="002944F3" w:rsidRPr="00CF3907" w:rsidRDefault="002944F3" w:rsidP="002944F3">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rsidR="002944F3" w:rsidRPr="00CF3907" w:rsidRDefault="002944F3" w:rsidP="002944F3">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rsidR="002944F3" w:rsidRPr="00CF3907" w:rsidRDefault="002944F3" w:rsidP="002944F3">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rsidR="002944F3" w:rsidRPr="00CF3907" w:rsidRDefault="002944F3" w:rsidP="002944F3">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rsidR="002944F3" w:rsidRPr="00CF3907" w:rsidRDefault="002944F3" w:rsidP="002944F3">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rsidR="002944F3" w:rsidRPr="00CF3907" w:rsidRDefault="002944F3" w:rsidP="002944F3">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rsidR="002944F3" w:rsidRPr="00CF3907" w:rsidRDefault="002944F3" w:rsidP="002944F3">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rsidR="002944F3" w:rsidRPr="00CF3907" w:rsidRDefault="002944F3" w:rsidP="002944F3">
      <w:pPr>
        <w:spacing w:before="240" w:line="480" w:lineRule="auto"/>
        <w:outlineLvl w:val="0"/>
        <w:rPr>
          <w:rFonts w:ascii="Times New Roman" w:hAnsi="Times New Roman" w:cs="Times New Roman"/>
          <w:b/>
          <w:color w:val="000000" w:themeColor="text1"/>
        </w:rPr>
      </w:pP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21</w:t>
      </w: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rsidR="002944F3" w:rsidRPr="003E127D" w:rsidRDefault="002944F3" w:rsidP="002944F3">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proofErr w:type="gramStart"/>
      <w:r w:rsidRPr="00CF3907">
        <w:rPr>
          <w:rFonts w:ascii="Times New Roman" w:hAnsi="Times New Roman" w:cs="Times New Roman"/>
          <w:bCs/>
          <w:color w:val="000000" w:themeColor="text1"/>
        </w:rPr>
        <w:t>…..</w:t>
      </w:r>
      <w:proofErr w:type="gramEnd"/>
      <w:r w:rsidRPr="003E127D">
        <w:rPr>
          <w:rFonts w:ascii="Times New Roman" w:hAnsi="Times New Roman" w:cs="Times New Roman"/>
          <w:bCs/>
          <w:color w:val="000000" w:themeColor="text1"/>
        </w:rPr>
        <w:t>… 52</w:t>
      </w:r>
    </w:p>
    <w:p w:rsidR="002944F3" w:rsidRPr="00CF3907" w:rsidRDefault="002944F3" w:rsidP="002944F3">
      <w:pPr>
        <w:pStyle w:val="ListParagraph"/>
        <w:spacing w:before="240" w:line="480" w:lineRule="auto"/>
        <w:outlineLvl w:val="0"/>
        <w:rPr>
          <w:rFonts w:ascii="Times New Roman" w:hAnsi="Times New Roman" w:cs="Times New Roman"/>
          <w:b/>
          <w:color w:val="000000" w:themeColor="text1"/>
        </w:rPr>
      </w:pPr>
    </w:p>
    <w:p w:rsidR="002944F3" w:rsidRPr="00CF3907" w:rsidRDefault="002944F3" w:rsidP="002944F3">
      <w:pPr>
        <w:pStyle w:val="ListParagraph"/>
        <w:spacing w:before="240" w:line="480" w:lineRule="auto"/>
        <w:jc w:val="center"/>
        <w:outlineLvl w:val="0"/>
        <w:rPr>
          <w:rFonts w:ascii="Times New Roman" w:hAnsi="Times New Roman" w:cs="Times New Roman"/>
          <w:b/>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CF3907" w:rsidRDefault="002944F3" w:rsidP="002944F3">
      <w:pPr>
        <w:spacing w:before="240" w:after="0" w:line="480" w:lineRule="auto"/>
        <w:jc w:val="both"/>
        <w:rPr>
          <w:rFonts w:ascii="Times New Roman" w:hAnsi="Times New Roman" w:cs="Times New Roman"/>
          <w:color w:val="000000" w:themeColor="text1"/>
        </w:rPr>
      </w:pPr>
    </w:p>
    <w:p w:rsidR="002944F3" w:rsidRPr="003E127D" w:rsidRDefault="002944F3" w:rsidP="002944F3">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rsidR="002944F3" w:rsidRDefault="002944F3" w:rsidP="002944F3">
      <w:pPr>
        <w:pStyle w:val="BodyText"/>
        <w:spacing w:line="360" w:lineRule="auto"/>
        <w:jc w:val="both"/>
        <w:rPr>
          <w:rFonts w:ascii="Times New Roman" w:eastAsiaTheme="majorEastAsia" w:hAnsi="Times New Roman" w:cs="Times New Roman"/>
          <w:i/>
          <w:iCs/>
          <w:color w:val="000000" w:themeColor="text1"/>
        </w:r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w:t>
      </w:r>
      <w:proofErr w:type="spellStart"/>
      <w:r w:rsidRPr="003E127D">
        <w:rPr>
          <w:rFonts w:ascii="Times New Roman" w:eastAsiaTheme="majorEastAsia" w:hAnsi="Times New Roman" w:cs="Times New Roman"/>
          <w:i/>
          <w:iCs/>
          <w:color w:val="000000" w:themeColor="text1"/>
        </w:rPr>
        <w:t>CaCO</w:t>
      </w:r>
      <w:proofErr w:type="spellEnd"/>
      <w:r w:rsidRPr="003E127D">
        <w:rPr>
          <w:rFonts w:ascii="Times New Roman" w:eastAsiaTheme="majorEastAsia" w:hAnsi="Times New Roman" w:cs="Times New Roman"/>
          <w:i/>
          <w:iCs/>
          <w:color w:val="000000" w:themeColor="text1"/>
        </w:rPr>
        <w:t>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r>
        <w:rPr>
          <w:rFonts w:ascii="Times New Roman" w:eastAsiaTheme="majorEastAsia" w:hAnsi="Times New Roman" w:cs="Times New Roman"/>
          <w:i/>
          <w:iCs/>
          <w:color w:val="000000" w:themeColor="text1"/>
        </w:rPr>
        <w:t>s.</w:t>
      </w:r>
    </w:p>
    <w:p w:rsidR="002944F3" w:rsidRPr="00CF3907" w:rsidRDefault="002944F3" w:rsidP="002944F3">
      <w:pPr>
        <w:pStyle w:val="BodyText"/>
        <w:spacing w:line="360" w:lineRule="auto"/>
        <w:jc w:val="both"/>
        <w:rPr>
          <w:rFonts w:ascii="Times New Roman" w:eastAsiaTheme="majorEastAsia" w:hAnsi="Times New Roman" w:cs="Times New Roman"/>
          <w:i/>
          <w:iCs/>
          <w:color w:val="000000" w:themeColor="text1"/>
        </w:rPr>
        <w:sectPr w:rsidR="002944F3" w:rsidRPr="00CF3907" w:rsidSect="002944F3">
          <w:footerReference w:type="default" r:id="rId6"/>
          <w:pgSz w:w="12240" w:h="15840"/>
          <w:pgMar w:top="1440" w:right="1440" w:bottom="1440" w:left="1440" w:header="720" w:footer="720" w:gutter="0"/>
          <w:pgNumType w:fmt="lowerRoman" w:start="1"/>
          <w:cols w:space="720"/>
          <w:docGrid w:linePitch="360"/>
        </w:sectPr>
      </w:pPr>
    </w:p>
    <w:bookmarkEnd w:id="0"/>
    <w:bookmarkEnd w:id="4"/>
    <w:p w:rsidR="002944F3" w:rsidRPr="00CF3907" w:rsidRDefault="002944F3" w:rsidP="002944F3">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rsidR="002944F3" w:rsidRPr="00CF3907" w:rsidRDefault="002944F3" w:rsidP="002944F3">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Limestone, being predominantly calcium carbonate (</w:t>
      </w:r>
      <w:proofErr w:type="spellStart"/>
      <w:r w:rsidRPr="00CF3907">
        <w:rPr>
          <w:rFonts w:ascii="Times New Roman" w:eastAsia="Times New Roman" w:hAnsi="Times New Roman" w:cs="Times New Roman"/>
          <w:bCs/>
          <w:color w:val="000000" w:themeColor="text1"/>
        </w:rPr>
        <w:t>CaCO</w:t>
      </w:r>
      <w:proofErr w:type="spellEnd"/>
      <w:r w:rsidRPr="00CF3907">
        <w:rPr>
          <w:rFonts w:ascii="Times New Roman" w:eastAsia="Times New Roman" w:hAnsi="Times New Roman" w:cs="Times New Roman"/>
          <w:bCs/>
          <w:color w:val="000000" w:themeColor="text1"/>
        </w:rPr>
        <w:t xml:space="preserve">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evaluate the modulatory effect of limestone sample from Ogun State on membrane Ca²⁺-ATPase activity in membrane of male </w:t>
      </w:r>
      <w:proofErr w:type="spellStart"/>
      <w:r w:rsidRPr="00CF3907">
        <w:rPr>
          <w:rFonts w:ascii="Times New Roman" w:eastAsia="Times New Roman" w:hAnsi="Times New Roman" w:cs="Times New Roman"/>
          <w:color w:val="000000" w:themeColor="text1"/>
        </w:rPr>
        <w:t>wistar</w:t>
      </w:r>
      <w:proofErr w:type="spellEnd"/>
      <w:r w:rsidRPr="00CF3907">
        <w:rPr>
          <w:rFonts w:ascii="Times New Roman" w:eastAsia="Times New Roman" w:hAnsi="Times New Roman" w:cs="Times New Roman"/>
          <w:color w:val="000000" w:themeColor="text1"/>
        </w:rPr>
        <w:t xml:space="preserve"> rats.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rsidR="002944F3" w:rsidRPr="00CF3907" w:rsidRDefault="002944F3" w:rsidP="002944F3">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w:t>
      </w:r>
      <w:proofErr w:type="gramStart"/>
      <w:r w:rsidRPr="00CF3907">
        <w:rPr>
          <w:rFonts w:ascii="Times New Roman" w:hAnsi="Times New Roman" w:cs="Times New Roman"/>
          <w:color w:val="000000" w:themeColor="text1"/>
        </w:rPr>
        <w:t>of  samples</w:t>
      </w:r>
      <w:proofErr w:type="gramEnd"/>
      <w:r w:rsidRPr="00CF3907">
        <w:rPr>
          <w:rFonts w:ascii="Times New Roman" w:hAnsi="Times New Roman" w:cs="Times New Roman"/>
          <w:color w:val="000000" w:themeColor="text1"/>
        </w:rPr>
        <w:t xml:space="preserve"> from selected locations in Ogun State;</w:t>
      </w:r>
    </w:p>
    <w:p w:rsidR="002944F3" w:rsidRPr="00CF3907" w:rsidRDefault="002944F3" w:rsidP="002944F3">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rsidR="002944F3" w:rsidRPr="00CF3907" w:rsidRDefault="002944F3" w:rsidP="002944F3">
      <w:pPr>
        <w:pStyle w:val="ListParagraph"/>
        <w:numPr>
          <w:ilvl w:val="0"/>
          <w:numId w:val="3"/>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rsidR="002944F3" w:rsidRPr="00CF3907" w:rsidRDefault="002944F3" w:rsidP="002944F3">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rsidR="002944F3" w:rsidRPr="00CF3907" w:rsidRDefault="002944F3" w:rsidP="002944F3">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2.0 Literature Review</w:t>
      </w:r>
    </w:p>
    <w:p w:rsidR="002944F3" w:rsidRPr="00CF3907" w:rsidRDefault="002944F3" w:rsidP="002944F3">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color w:val="000000" w:themeColor="text1"/>
          <w:sz w:val="24"/>
          <w:szCs w:val="24"/>
        </w:rPr>
        <w:t>2.1 Limestone Composition and Regional Variation</w:t>
      </w:r>
    </w:p>
    <w:p w:rsidR="002944F3" w:rsidRPr="00CF3907" w:rsidRDefault="002944F3" w:rsidP="002944F3">
      <w:pPr>
        <w:pStyle w:val="NormalWeb"/>
        <w:spacing w:line="360" w:lineRule="auto"/>
        <w:jc w:val="both"/>
        <w:rPr>
          <w:color w:val="000000" w:themeColor="text1"/>
        </w:rPr>
      </w:pPr>
      <w:r w:rsidRPr="00CF3907">
        <w:rPr>
          <w:color w:val="000000" w:themeColor="text1"/>
        </w:rPr>
        <w:t>Limestone is a sedimentary rock primarily composed of calcium carbonate (</w:t>
      </w:r>
      <w:proofErr w:type="spellStart"/>
      <w:r w:rsidRPr="00CF3907">
        <w:rPr>
          <w:color w:val="000000" w:themeColor="text1"/>
        </w:rPr>
        <w:t>CaCO</w:t>
      </w:r>
      <w:proofErr w:type="spellEnd"/>
      <w:r w:rsidRPr="00CF3907">
        <w:rPr>
          <w:color w:val="000000" w:themeColor="text1"/>
        </w:rPr>
        <w:t xml:space="preserve">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w:t>
      </w:r>
      <w:proofErr w:type="spellStart"/>
      <w:r w:rsidRPr="00CF3907">
        <w:rPr>
          <w:color w:val="000000" w:themeColor="text1"/>
        </w:rPr>
        <w:t>Ewekoro</w:t>
      </w:r>
      <w:proofErr w:type="spellEnd"/>
      <w:r w:rsidRPr="00CF3907">
        <w:rPr>
          <w:color w:val="000000" w:themeColor="text1"/>
        </w:rPr>
        <w:t xml:space="preserve"> and Shagamu, where limestone is mined extensively for use in cement production and agriculture.</w:t>
      </w:r>
    </w:p>
    <w:p w:rsidR="002944F3" w:rsidRPr="00CF3907" w:rsidRDefault="002944F3" w:rsidP="002944F3">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rsidR="002944F3" w:rsidRPr="00CF3907" w:rsidRDefault="002944F3" w:rsidP="002944F3">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rsidR="002944F3" w:rsidRPr="00CF3907" w:rsidRDefault="002944F3" w:rsidP="002944F3">
      <w:pPr>
        <w:pStyle w:val="Heading3"/>
        <w:spacing w:line="360" w:lineRule="auto"/>
        <w:jc w:val="both"/>
        <w:rPr>
          <w:rStyle w:val="Strong"/>
          <w:b w:val="0"/>
          <w:bCs w:val="0"/>
          <w:color w:val="000000" w:themeColor="text1"/>
          <w:sz w:val="24"/>
          <w:szCs w:val="24"/>
        </w:rPr>
      </w:pPr>
      <w:r w:rsidRPr="00CF3907">
        <w:rPr>
          <w:rStyle w:val="Strong"/>
          <w:color w:val="000000" w:themeColor="text1"/>
          <w:sz w:val="24"/>
          <w:szCs w:val="24"/>
        </w:rPr>
        <w:t>2.2 Membrane Calcium ATPase</w:t>
      </w:r>
    </w:p>
    <w:p w:rsidR="002944F3" w:rsidRPr="00CF3907" w:rsidRDefault="002944F3" w:rsidP="002944F3">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rsidR="002944F3" w:rsidRPr="00CF3907" w:rsidRDefault="002944F3" w:rsidP="002944F3">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rsidR="002944F3" w:rsidRPr="00CF3907" w:rsidRDefault="002944F3" w:rsidP="002944F3">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rsidR="002944F3" w:rsidRPr="00CF3907" w:rsidRDefault="002944F3" w:rsidP="002944F3">
      <w:pPr>
        <w:pStyle w:val="Heading3"/>
        <w:spacing w:line="360" w:lineRule="auto"/>
        <w:jc w:val="both"/>
        <w:rPr>
          <w:color w:val="000000" w:themeColor="text1"/>
          <w:sz w:val="24"/>
          <w:szCs w:val="24"/>
        </w:rPr>
      </w:pPr>
      <w:r w:rsidRPr="00CF3907">
        <w:rPr>
          <w:rStyle w:val="Strong"/>
          <w:color w:val="000000" w:themeColor="text1"/>
          <w:sz w:val="24"/>
          <w:szCs w:val="24"/>
        </w:rPr>
        <w:t>2.3 Calcium ATPase Structure and Mechanism of Action</w:t>
      </w:r>
    </w:p>
    <w:p w:rsidR="002944F3" w:rsidRPr="00CF3907" w:rsidRDefault="002944F3" w:rsidP="002944F3">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rsidR="002944F3" w:rsidRPr="00CF3907" w:rsidRDefault="002944F3" w:rsidP="002944F3">
      <w:pPr>
        <w:pStyle w:val="NormalWeb"/>
        <w:spacing w:line="360" w:lineRule="auto"/>
        <w:jc w:val="both"/>
        <w:rPr>
          <w:color w:val="000000" w:themeColor="text1"/>
        </w:rPr>
      </w:pPr>
      <w:r w:rsidRPr="00CF3907">
        <w:rPr>
          <w:rStyle w:val="Strong"/>
          <w:rFonts w:eastAsiaTheme="majorEastAsia"/>
          <w:color w:val="000000" w:themeColor="text1"/>
        </w:rPr>
        <w:t>Mechanism of Action:</w:t>
      </w:r>
    </w:p>
    <w:p w:rsidR="002944F3" w:rsidRPr="00CF3907" w:rsidRDefault="002944F3" w:rsidP="002944F3">
      <w:pPr>
        <w:pStyle w:val="NormalWeb"/>
        <w:numPr>
          <w:ilvl w:val="0"/>
          <w:numId w:val="1"/>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rsidR="002944F3" w:rsidRPr="00CF3907" w:rsidRDefault="002944F3" w:rsidP="002944F3">
      <w:pPr>
        <w:pStyle w:val="NormalWeb"/>
        <w:numPr>
          <w:ilvl w:val="0"/>
          <w:numId w:val="1"/>
        </w:numPr>
        <w:spacing w:line="360" w:lineRule="auto"/>
        <w:jc w:val="both"/>
        <w:rPr>
          <w:color w:val="000000" w:themeColor="text1"/>
        </w:rPr>
      </w:pPr>
      <w:r w:rsidRPr="00CF3907">
        <w:rPr>
          <w:color w:val="000000" w:themeColor="text1"/>
        </w:rPr>
        <w:t>ATP binds to the N domain and is hydrolyzed, leading to phosphorylation of the P domain.</w:t>
      </w:r>
    </w:p>
    <w:p w:rsidR="002944F3" w:rsidRPr="00CF3907" w:rsidRDefault="002944F3" w:rsidP="002944F3">
      <w:pPr>
        <w:pStyle w:val="NormalWeb"/>
        <w:numPr>
          <w:ilvl w:val="0"/>
          <w:numId w:val="1"/>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rsidR="002944F3" w:rsidRPr="00CF3907" w:rsidRDefault="002944F3" w:rsidP="002944F3">
      <w:pPr>
        <w:pStyle w:val="NormalWeb"/>
        <w:numPr>
          <w:ilvl w:val="0"/>
          <w:numId w:val="1"/>
        </w:numPr>
        <w:spacing w:line="360" w:lineRule="auto"/>
        <w:jc w:val="both"/>
        <w:rPr>
          <w:rStyle w:val="Emphasis"/>
          <w:rFonts w:eastAsiaTheme="majorEastAsia"/>
          <w:i w:val="0"/>
          <w:iCs w:val="0"/>
          <w:color w:val="000000" w:themeColor="text1"/>
        </w:rPr>
      </w:pPr>
      <w:r w:rsidRPr="00CF3907">
        <w:rPr>
          <w:color w:val="000000" w:themeColor="text1"/>
        </w:rPr>
        <w:t xml:space="preserve">Dephosphorylation of the enzyme and return to the E1 conformation resets the </w:t>
      </w:r>
      <w:proofErr w:type="gramStart"/>
      <w:r w:rsidRPr="00CF3907">
        <w:rPr>
          <w:color w:val="000000" w:themeColor="text1"/>
        </w:rPr>
        <w:t>system.</w:t>
      </w:r>
      <w:r w:rsidRPr="00CF3907">
        <w:rPr>
          <w:rStyle w:val="Emphasis"/>
          <w:rFonts w:eastAsiaTheme="majorEastAsia"/>
          <w:color w:val="000000" w:themeColor="text1"/>
        </w:rPr>
        <w:t>.</w:t>
      </w:r>
      <w:proofErr w:type="gramEnd"/>
    </w:p>
    <w:p w:rsidR="002944F3" w:rsidRPr="00CF3907" w:rsidRDefault="002944F3" w:rsidP="002944F3">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302CA966" wp14:editId="3C6B83B3">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rsidR="002944F3" w:rsidRPr="00CF3907" w:rsidRDefault="002944F3" w:rsidP="002944F3">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rsidR="002944F3" w:rsidRPr="00CF3907" w:rsidRDefault="002944F3" w:rsidP="002944F3">
      <w:pPr>
        <w:pStyle w:val="NormalWeb"/>
        <w:spacing w:line="360" w:lineRule="auto"/>
        <w:jc w:val="both"/>
        <w:rPr>
          <w:color w:val="000000" w:themeColor="text1"/>
        </w:rPr>
      </w:pPr>
      <w:r w:rsidRPr="00CF3907">
        <w:rPr>
          <w:color w:val="000000" w:themeColor="text1"/>
        </w:rPr>
        <w:t>Source:</w:t>
      </w:r>
    </w:p>
    <w:p w:rsidR="002944F3" w:rsidRPr="00CF3907" w:rsidRDefault="002944F3" w:rsidP="002944F3">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rsidR="002944F3" w:rsidRPr="00CF3907" w:rsidRDefault="002944F3" w:rsidP="002944F3">
      <w:pPr>
        <w:pStyle w:val="Heading3"/>
        <w:spacing w:line="360" w:lineRule="auto"/>
        <w:jc w:val="both"/>
        <w:rPr>
          <w:color w:val="000000" w:themeColor="text1"/>
          <w:sz w:val="24"/>
          <w:szCs w:val="24"/>
        </w:rPr>
      </w:pPr>
      <w:r w:rsidRPr="00CF3907">
        <w:rPr>
          <w:rStyle w:val="Strong"/>
          <w:color w:val="000000" w:themeColor="text1"/>
          <w:sz w:val="24"/>
          <w:szCs w:val="24"/>
        </w:rPr>
        <w:t>2.4 Biochemical Processes Involving Ca²⁺-ATPase</w:t>
      </w:r>
    </w:p>
    <w:p w:rsidR="002944F3" w:rsidRPr="00CF3907" w:rsidRDefault="002944F3" w:rsidP="002944F3">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rsidR="002944F3" w:rsidRPr="00CF3907" w:rsidRDefault="002944F3" w:rsidP="002944F3">
      <w:pPr>
        <w:pStyle w:val="NormalWeb"/>
        <w:spacing w:line="360" w:lineRule="auto"/>
        <w:jc w:val="both"/>
        <w:rPr>
          <w:color w:val="000000" w:themeColor="text1"/>
        </w:rPr>
      </w:pPr>
      <w:r w:rsidRPr="00CF3907">
        <w:rPr>
          <w:color w:val="000000" w:themeColor="text1"/>
        </w:rPr>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w:t>
      </w:r>
      <w:r w:rsidRPr="00CF3907">
        <w:rPr>
          <w:color w:val="000000" w:themeColor="text1"/>
        </w:rPr>
        <w:lastRenderedPageBreak/>
        <w:t>abnormal calcium handling can lead to mitochondrial dysfunction and activation of cell death pathways.</w:t>
      </w:r>
    </w:p>
    <w:p w:rsidR="002944F3" w:rsidRPr="00CF3907" w:rsidRDefault="002944F3" w:rsidP="002944F3">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rsidR="002944F3" w:rsidRPr="00CF3907" w:rsidRDefault="002944F3" w:rsidP="002944F3">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03A8351C" wp14:editId="670A26CC">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rsidR="002944F3" w:rsidRPr="00CF3907" w:rsidRDefault="002944F3" w:rsidP="002944F3">
      <w:pPr>
        <w:pStyle w:val="NormalWeb"/>
        <w:spacing w:line="360" w:lineRule="auto"/>
        <w:jc w:val="both"/>
        <w:rPr>
          <w:rStyle w:val="Emphasis"/>
          <w:rFonts w:eastAsiaTheme="majorEastAsia"/>
          <w:i w:val="0"/>
          <w:color w:val="000000" w:themeColor="text1"/>
        </w:rPr>
      </w:pPr>
      <w:r w:rsidRPr="00CF3907">
        <w:rPr>
          <w:rStyle w:val="Emphasis"/>
          <w:rFonts w:eastAsiaTheme="majorEastAsia"/>
          <w:color w:val="000000" w:themeColor="text1"/>
        </w:rPr>
        <w:t>Figure.2: Calcium ATPase involvement in cellular pathways muscle contraction, neurotransmission, apoptosis, and secretion.</w:t>
      </w:r>
    </w:p>
    <w:p w:rsidR="002944F3" w:rsidRPr="00CF3907" w:rsidRDefault="002944F3" w:rsidP="002944F3">
      <w:pPr>
        <w:pStyle w:val="NormalWeb"/>
        <w:spacing w:line="360" w:lineRule="auto"/>
        <w:jc w:val="both"/>
        <w:rPr>
          <w:rFonts w:eastAsiaTheme="majorEastAsia"/>
          <w:i/>
          <w:iCs/>
          <w:color w:val="000000" w:themeColor="text1"/>
        </w:rPr>
      </w:pPr>
      <w:r w:rsidRPr="00CF3907">
        <w:rPr>
          <w:rStyle w:val="Emphasis"/>
          <w:rFonts w:eastAsiaTheme="majorEastAsia"/>
          <w:color w:val="000000" w:themeColor="text1"/>
        </w:rPr>
        <w:t>Source:</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rsidR="002944F3" w:rsidRPr="00CF3907" w:rsidRDefault="002944F3" w:rsidP="002944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rsidR="002944F3" w:rsidRPr="00CF3907" w:rsidRDefault="002944F3" w:rsidP="002944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2944F3" w:rsidRPr="00CF3907" w:rsidRDefault="002944F3" w:rsidP="002944F3">
      <w:pPr>
        <w:pStyle w:val="ListParagraph"/>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rsidR="002944F3" w:rsidRPr="00CF3907" w:rsidRDefault="002944F3" w:rsidP="002944F3">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rsidR="002944F3" w:rsidRPr="00CF3907" w:rsidRDefault="002944F3" w:rsidP="002944F3">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rsidR="002944F3" w:rsidRPr="00CF3907" w:rsidRDefault="002944F3" w:rsidP="002944F3">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rsidR="002944F3" w:rsidRPr="00CF3907" w:rsidRDefault="002944F3" w:rsidP="002944F3">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Modulation of enzyme activity is also used therapeutically. For instance, drugs such as </w:t>
      </w:r>
      <w:proofErr w:type="spellStart"/>
      <w:r w:rsidRPr="00CF3907">
        <w:rPr>
          <w:rFonts w:ascii="Times New Roman" w:eastAsia="Times New Roman" w:hAnsi="Times New Roman" w:cs="Times New Roman"/>
          <w:color w:val="000000" w:themeColor="text1"/>
        </w:rPr>
        <w:t>thapsigargin</w:t>
      </w:r>
      <w:proofErr w:type="spellEnd"/>
      <w:r w:rsidRPr="00CF3907">
        <w:rPr>
          <w:rFonts w:ascii="Times New Roman" w:eastAsia="Times New Roman" w:hAnsi="Times New Roman" w:cs="Times New Roman"/>
          <w:color w:val="000000" w:themeColor="text1"/>
        </w:rPr>
        <w:t xml:space="preserve"> inhibit SERCA to induce apoptosis in cancer therapy. On the other hand, compounds that enhance Ca²⁺-ATPase activity are being investigated for use in treating cardiac failure and neurodegenerative disorders.</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rsidR="002944F3" w:rsidRPr="00CF3907" w:rsidRDefault="002944F3" w:rsidP="002944F3">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rsidR="002944F3" w:rsidRPr="00CF3907" w:rsidRDefault="002944F3" w:rsidP="002944F3">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p>
    <w:p w:rsidR="002944F3" w:rsidRPr="00CF3907" w:rsidRDefault="002944F3" w:rsidP="002944F3">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3 </w:t>
      </w:r>
      <w:proofErr w:type="gramStart"/>
      <w:r w:rsidRPr="00CF3907">
        <w:rPr>
          <w:rFonts w:ascii="Times New Roman" w:hAnsi="Times New Roman" w:cs="Times New Roman"/>
          <w:color w:val="000000" w:themeColor="text1"/>
        </w:rPr>
        <w:t>adult</w:t>
      </w:r>
      <w:proofErr w:type="gramEnd"/>
      <w:r w:rsidRPr="00CF3907">
        <w:rPr>
          <w:rFonts w:ascii="Times New Roman" w:hAnsi="Times New Roman" w:cs="Times New Roman"/>
          <w:color w:val="000000" w:themeColor="text1"/>
        </w:rPr>
        <w:t xml:space="preserve"> male Wistar rat was utilized for this study, with an average weight range of 150–200 g. The rat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procured from a certified animal breeding facility, and the brain, liver and muscles of the rats were excised to prevent tissue degradation. The organs were collected into ice-cold 0.25 M sucrose buffer (pH 7.4) to preserve enzymatic activity. </w:t>
      </w:r>
      <w:proofErr w:type="gramStart"/>
      <w:r w:rsidRPr="00CF3907">
        <w:rPr>
          <w:rFonts w:ascii="Times New Roman" w:hAnsi="Times New Roman" w:cs="Times New Roman"/>
          <w:color w:val="000000" w:themeColor="text1"/>
        </w:rPr>
        <w:t>This procedures</w:t>
      </w:r>
      <w:proofErr w:type="gramEnd"/>
      <w:r w:rsidRPr="00CF3907">
        <w:rPr>
          <w:rFonts w:ascii="Times New Roman" w:hAnsi="Times New Roman" w:cs="Times New Roman"/>
          <w:color w:val="000000" w:themeColor="text1"/>
        </w:rPr>
        <w:t xml:space="preserve"> were conducted in strict compliance with ethical guidelines, with approval obtained from the institutional Animal Care and Use Committee (ACUC).</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w:t>
      </w:r>
      <w:proofErr w:type="gramStart"/>
      <w:r w:rsidRPr="00CF3907">
        <w:rPr>
          <w:rFonts w:ascii="Times New Roman" w:hAnsi="Times New Roman" w:cs="Times New Roman"/>
          <w:color w:val="000000" w:themeColor="text1"/>
        </w:rPr>
        <w:t>Tris</w:t>
      </w:r>
      <w:proofErr w:type="gramEnd"/>
      <w:r w:rsidRPr="00CF3907">
        <w:rPr>
          <w:rFonts w:ascii="Times New Roman" w:hAnsi="Times New Roman" w:cs="Times New Roman"/>
          <w:color w:val="000000" w:themeColor="text1"/>
        </w:rPr>
        <w:t xml:space="preserve"> base </w:t>
      </w:r>
      <w:proofErr w:type="gramStart"/>
      <w:r w:rsidRPr="00CF3907">
        <w:rPr>
          <w:rFonts w:ascii="Times New Roman" w:hAnsi="Times New Roman" w:cs="Times New Roman"/>
          <w:color w:val="000000" w:themeColor="text1"/>
        </w:rPr>
        <w:t>were</w:t>
      </w:r>
      <w:proofErr w:type="gramEnd"/>
      <w:r w:rsidRPr="00CF3907">
        <w:rPr>
          <w:rFonts w:ascii="Times New Roman" w:hAnsi="Times New Roman" w:cs="Times New Roman"/>
          <w:color w:val="000000" w:themeColor="text1"/>
        </w:rPr>
        <w:t xml:space="preserve"> used. Enzymatic assays required ATP, sucrose buffer, and vanadate as the standard Ca²⁺ inhibitor. All reagents were of analytical grade, and distilled water </w:t>
      </w:r>
      <w:r w:rsidRPr="00CF3907">
        <w:rPr>
          <w:rFonts w:ascii="Times New Roman" w:hAnsi="Times New Roman" w:cs="Times New Roman"/>
          <w:color w:val="000000" w:themeColor="text1"/>
        </w:rPr>
        <w:lastRenderedPageBreak/>
        <w:t>was used throughout the experiments. Plastic containers and labelled glassware were utilized for reagent storage, ensuring compatibility with the chemicals involved.</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w:t>
      </w:r>
      <w:proofErr w:type="spellStart"/>
      <w:r w:rsidRPr="00CF3907">
        <w:rPr>
          <w:rFonts w:ascii="Times New Roman" w:hAnsi="Times New Roman" w:cs="Times New Roman"/>
          <w:color w:val="000000" w:themeColor="text1"/>
        </w:rPr>
        <w:t>Elvehjem</w:t>
      </w:r>
      <w:proofErr w:type="spellEnd"/>
      <w:r w:rsidRPr="00CF3907">
        <w:rPr>
          <w:rFonts w:ascii="Times New Roman" w:hAnsi="Times New Roman" w:cs="Times New Roman"/>
          <w:color w:val="000000" w:themeColor="text1"/>
        </w:rPr>
        <w:t xml:space="preserve"> homogenizer. The homogenates were centrifuged at 10,000 × g for 15 minutes, and the supernatant served as the enzyme source.</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 xml:space="preserve">Ca²⁺-ATPase activity were assayed in reaction mixtures containing 500 µL of Ca²⁺-ATPase buffer (240 mM </w:t>
      </w:r>
      <w:proofErr w:type="spellStart"/>
      <w:r w:rsidRPr="00CF3907">
        <w:rPr>
          <w:rFonts w:ascii="Times New Roman" w:hAnsi="Times New Roman" w:cs="Times New Roman"/>
          <w:color w:val="000000" w:themeColor="text1"/>
        </w:rPr>
        <w:t>KCl</w:t>
      </w:r>
      <w:proofErr w:type="spellEnd"/>
      <w:r w:rsidRPr="00CF3907">
        <w:rPr>
          <w:rFonts w:ascii="Times New Roman" w:hAnsi="Times New Roman" w:cs="Times New Roman"/>
          <w:color w:val="000000" w:themeColor="text1"/>
        </w:rPr>
        <w:t>,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10 µL 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w:t>
      </w:r>
      <w:proofErr w:type="spellStart"/>
      <w:r w:rsidRPr="00CF3907">
        <w:rPr>
          <w:rFonts w:ascii="Times New Roman" w:hAnsi="Times New Roman" w:cs="Times New Roman"/>
          <w:color w:val="000000" w:themeColor="text1"/>
        </w:rPr>
        <w:t>colorimetrically</w:t>
      </w:r>
      <w:proofErr w:type="spellEnd"/>
      <w:r w:rsidRPr="00CF3907">
        <w:rPr>
          <w:rFonts w:ascii="Times New Roman" w:hAnsi="Times New Roman" w:cs="Times New Roman"/>
          <w:color w:val="000000" w:themeColor="text1"/>
        </w:rPr>
        <w:t xml:space="preserve"> using a molybdate-based assay at 820 nm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in the presence and absence of limestone extracts and standard inhibitors to assess their modulatory effects (</w:t>
      </w:r>
      <w:proofErr w:type="spellStart"/>
      <w:r w:rsidRPr="00CF3907">
        <w:rPr>
          <w:rFonts w:ascii="Times New Roman" w:hAnsi="Times New Roman" w:cs="Times New Roman"/>
          <w:color w:val="000000" w:themeColor="text1"/>
        </w:rPr>
        <w:t>bewaji</w:t>
      </w:r>
      <w:proofErr w:type="spellEnd"/>
      <w:r w:rsidRPr="00CF3907">
        <w:rPr>
          <w:rFonts w:ascii="Times New Roman" w:hAnsi="Times New Roman" w:cs="Times New Roman"/>
          <w:color w:val="000000" w:themeColor="text1"/>
        </w:rPr>
        <w:t xml:space="preserve">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rsidR="002944F3" w:rsidRPr="00CF3907" w:rsidRDefault="002944F3" w:rsidP="002944F3">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rsidR="002944F3" w:rsidRPr="00CF3907" w:rsidRDefault="002944F3" w:rsidP="002944F3">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Comparative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Statistical tests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conducted at a 95% confidence level (p &lt; 0.05) to establish significance. All analyses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performed using GraphPad Prism (version 9.0 or later)</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CHAPTER FOUR</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w:t>
      </w:r>
      <w:proofErr w:type="gramStart"/>
      <w:r w:rsidRPr="00CF3907">
        <w:rPr>
          <w:rFonts w:ascii="Times New Roman" w:eastAsia="Times New Roman" w:hAnsi="Times New Roman" w:cs="Times New Roman"/>
          <w:color w:val="000000" w:themeColor="text1"/>
          <w:lang w:val="en-GB"/>
        </w:rPr>
        <w:t>respectively .</w:t>
      </w:r>
      <w:proofErr w:type="gramEnd"/>
      <w:r w:rsidRPr="00CF3907">
        <w:rPr>
          <w:rFonts w:ascii="Times New Roman" w:eastAsia="Times New Roman" w:hAnsi="Times New Roman" w:cs="Times New Roman"/>
          <w:color w:val="000000" w:themeColor="text1"/>
          <w:lang w:val="en-GB"/>
        </w:rPr>
        <w:t xml:space="preserve"> However, limestone sample has a splitting band at 874.71 cm-1 Moreover, the stretching vibrations of the surface hydroxyl groups (Si-Si-OH or Al-Al-OH) were found at 3,703cm and 3397. </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Cs/>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B7F3FB9" wp14:editId="2BBC46FE">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42565"/>
                    </a:xfrm>
                    <a:prstGeom prst="rect">
                      <a:avLst/>
                    </a:prstGeom>
                  </pic:spPr>
                </pic:pic>
              </a:graphicData>
            </a:graphic>
          </wp:inline>
        </w:drawing>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70FC4D3F" wp14:editId="1A2C54F6">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96210"/>
                    </a:xfrm>
                    <a:prstGeom prst="rect">
                      <a:avLst/>
                    </a:prstGeom>
                  </pic:spPr>
                </pic:pic>
              </a:graphicData>
            </a:graphic>
          </wp:inline>
        </w:drawing>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1C42A93" wp14:editId="4DA20EA3">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30805"/>
                    </a:xfrm>
                    <a:prstGeom prst="rect">
                      <a:avLst/>
                    </a:prstGeom>
                  </pic:spPr>
                </pic:pic>
              </a:graphicData>
            </a:graphic>
          </wp:inline>
        </w:drawing>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w:t>
      </w:r>
      <w:proofErr w:type="gramStart"/>
      <w:r w:rsidRPr="00CF3907">
        <w:rPr>
          <w:rFonts w:ascii="Times New Roman" w:eastAsia="Times New Roman" w:hAnsi="Times New Roman" w:cs="Times New Roman"/>
          <w:color w:val="000000" w:themeColor="text1"/>
          <w:lang w:val="en-GB"/>
        </w:rPr>
        <w:t>The</w:t>
      </w:r>
      <w:proofErr w:type="gramEnd"/>
      <w:r w:rsidRPr="00CF3907">
        <w:rPr>
          <w:rFonts w:ascii="Times New Roman" w:eastAsia="Times New Roman" w:hAnsi="Times New Roman" w:cs="Times New Roman"/>
          <w:color w:val="000000" w:themeColor="text1"/>
          <w:lang w:val="en-GB"/>
        </w:rPr>
        <w:t xml:space="preserv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4.5 shows the Fourier Transform Infrared Spectrum (FTIR) of limestone sample 5, The characteristic IR spectrum of sample 5 revealed most dominant peaks of </w:t>
      </w:r>
      <w:proofErr w:type="gramStart"/>
      <w:r w:rsidRPr="00CF3907">
        <w:rPr>
          <w:rFonts w:ascii="Times New Roman" w:eastAsia="Times New Roman" w:hAnsi="Times New Roman" w:cs="Times New Roman"/>
          <w:color w:val="000000" w:themeColor="text1"/>
          <w:lang w:val="en-GB"/>
        </w:rPr>
        <w:t>calcite  appearing</w:t>
      </w:r>
      <w:proofErr w:type="gramEnd"/>
      <w:r w:rsidRPr="00CF3907">
        <w:rPr>
          <w:rFonts w:ascii="Times New Roman" w:eastAsia="Times New Roman" w:hAnsi="Times New Roman" w:cs="Times New Roman"/>
          <w:color w:val="000000" w:themeColor="text1"/>
          <w:lang w:val="en-GB"/>
        </w:rPr>
        <w:t xml:space="preserve">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5D1856C2" wp14:editId="09C53EA0">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87015"/>
                    </a:xfrm>
                    <a:prstGeom prst="rect">
                      <a:avLst/>
                    </a:prstGeom>
                  </pic:spPr>
                </pic:pic>
              </a:graphicData>
            </a:graphic>
          </wp:inline>
        </w:drawing>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6F00340C" wp14:editId="75D9ABD7">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27325"/>
                    </a:xfrm>
                    <a:prstGeom prst="rect">
                      <a:avLst/>
                    </a:prstGeom>
                  </pic:spPr>
                </pic:pic>
              </a:graphicData>
            </a:graphic>
          </wp:inline>
        </w:drawing>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b/>
          <w:color w:val="000000" w:themeColor="text1"/>
          <w:lang w:val="en-GB"/>
        </w:rPr>
      </w:pPr>
    </w:p>
    <w:p w:rsidR="002944F3" w:rsidRPr="00CF3907" w:rsidRDefault="002944F3" w:rsidP="002944F3">
      <w:pPr>
        <w:spacing w:line="480" w:lineRule="auto"/>
        <w:jc w:val="both"/>
        <w:rPr>
          <w:rFonts w:ascii="Times New Roman" w:eastAsia="Times New Roman" w:hAnsi="Times New Roman" w:cs="Times New Roman"/>
          <w:b/>
          <w:color w:val="000000" w:themeColor="text1"/>
          <w:lang w:eastAsia="en-GB"/>
        </w:rPr>
      </w:pPr>
    </w:p>
    <w:p w:rsidR="002944F3" w:rsidRPr="00CF3907" w:rsidRDefault="002944F3" w:rsidP="002944F3">
      <w:pPr>
        <w:spacing w:line="480" w:lineRule="auto"/>
        <w:jc w:val="both"/>
        <w:rPr>
          <w:rFonts w:ascii="Times New Roman" w:eastAsia="Times New Roman" w:hAnsi="Times New Roman" w:cs="Times New Roman"/>
          <w:b/>
          <w:color w:val="000000" w:themeColor="text1"/>
          <w:lang w:eastAsia="en-GB"/>
        </w:rPr>
      </w:pPr>
    </w:p>
    <w:p w:rsidR="002944F3" w:rsidRPr="00CF3907" w:rsidRDefault="002944F3" w:rsidP="002944F3">
      <w:pPr>
        <w:spacing w:line="480" w:lineRule="auto"/>
        <w:jc w:val="both"/>
        <w:rPr>
          <w:rFonts w:ascii="Times New Roman" w:eastAsia="Times New Roman" w:hAnsi="Times New Roman" w:cs="Times New Roman"/>
          <w:b/>
          <w:color w:val="000000" w:themeColor="text1"/>
          <w:lang w:eastAsia="en-GB"/>
        </w:rPr>
      </w:pP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w:t>
      </w:r>
      <w:proofErr w:type="spellStart"/>
      <w:r w:rsidRPr="00CF3907">
        <w:rPr>
          <w:rFonts w:ascii="Times New Roman" w:eastAsia="Times New Roman" w:hAnsi="Times New Roman" w:cs="Times New Roman"/>
          <w:color w:val="000000" w:themeColor="text1"/>
          <w:lang w:eastAsia="en-GB"/>
        </w:rPr>
        <w:t>easured</w:t>
      </w:r>
      <w:proofErr w:type="spellEnd"/>
      <w:r w:rsidRPr="00CF3907">
        <w:rPr>
          <w:rFonts w:ascii="Times New Roman" w:eastAsia="Times New Roman" w:hAnsi="Times New Roman" w:cs="Times New Roman"/>
          <w:color w:val="000000" w:themeColor="text1"/>
          <w:lang w:eastAsia="en-GB"/>
        </w:rPr>
        <w:t xml:space="preserve">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bCs/>
          <w:color w:val="000000" w:themeColor="text1"/>
          <w:bdr w:val="none" w:sz="0" w:space="0" w:color="auto" w:frame="1"/>
        </w:rPr>
      </w:pP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3AA23E22" wp14:editId="7D366EE5">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b/>
          <w:bCs/>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rsidR="002944F3" w:rsidRPr="00CF3907" w:rsidRDefault="002944F3" w:rsidP="002944F3">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2C495183" wp14:editId="13C8CE0F">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44F3" w:rsidRPr="00CF3907" w:rsidRDefault="002944F3" w:rsidP="002944F3">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b/>
          <w:bCs/>
          <w:color w:val="000000" w:themeColor="text1"/>
        </w:rPr>
      </w:pPr>
    </w:p>
    <w:p w:rsidR="002944F3" w:rsidRPr="00CF3907" w:rsidRDefault="002944F3" w:rsidP="002944F3">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rsidR="002944F3" w:rsidRPr="00CF3907" w:rsidRDefault="002944F3" w:rsidP="002944F3">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rsidR="002944F3" w:rsidRPr="00CF3907" w:rsidRDefault="002944F3" w:rsidP="002944F3">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rsidR="002944F3" w:rsidRPr="00CF3907" w:rsidRDefault="002944F3" w:rsidP="002944F3">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1995C328" wp14:editId="216CA7BB">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p>
    <w:p w:rsidR="002944F3" w:rsidRPr="00CF3907" w:rsidRDefault="002944F3" w:rsidP="002944F3">
      <w:pPr>
        <w:spacing w:line="480" w:lineRule="auto"/>
        <w:jc w:val="both"/>
        <w:rPr>
          <w:rFonts w:ascii="Times New Roman" w:eastAsia="Times New Roman" w:hAnsi="Times New Roman" w:cs="Times New Roman"/>
          <w:b/>
          <w:bCs/>
          <w:color w:val="000000" w:themeColor="text1"/>
          <w:lang w:eastAsia="en-GB"/>
        </w:rPr>
      </w:pPr>
    </w:p>
    <w:p w:rsidR="002944F3" w:rsidRPr="00CF3907" w:rsidRDefault="002944F3" w:rsidP="002944F3">
      <w:pPr>
        <w:spacing w:line="480" w:lineRule="auto"/>
        <w:jc w:val="both"/>
        <w:rPr>
          <w:rFonts w:ascii="Times New Roman" w:hAnsi="Times New Roman" w:cs="Times New Roman"/>
          <w:b/>
          <w:bCs/>
          <w:color w:val="000000" w:themeColor="text1"/>
        </w:rPr>
      </w:pPr>
    </w:p>
    <w:p w:rsidR="002944F3" w:rsidRPr="00CF3907" w:rsidRDefault="002944F3" w:rsidP="002944F3">
      <w:pPr>
        <w:spacing w:line="480" w:lineRule="auto"/>
        <w:jc w:val="both"/>
        <w:rPr>
          <w:rFonts w:ascii="Times New Roman" w:hAnsi="Times New Roman" w:cs="Times New Roman"/>
          <w:b/>
          <w:bCs/>
          <w:color w:val="000000" w:themeColor="text1"/>
        </w:rPr>
      </w:pPr>
    </w:p>
    <w:p w:rsidR="002944F3" w:rsidRPr="00CF3907" w:rsidRDefault="002944F3" w:rsidP="002944F3">
      <w:pPr>
        <w:spacing w:line="480" w:lineRule="auto"/>
        <w:jc w:val="both"/>
        <w:rPr>
          <w:rFonts w:ascii="Times New Roman" w:hAnsi="Times New Roman" w:cs="Times New Roman"/>
          <w:b/>
          <w:bCs/>
          <w:color w:val="000000" w:themeColor="text1"/>
        </w:rPr>
      </w:pPr>
    </w:p>
    <w:p w:rsidR="002944F3" w:rsidRPr="00CF3907" w:rsidRDefault="002944F3" w:rsidP="002944F3">
      <w:pPr>
        <w:spacing w:line="480" w:lineRule="auto"/>
        <w:jc w:val="both"/>
        <w:rPr>
          <w:rFonts w:ascii="Times New Roman" w:hAnsi="Times New Roman" w:cs="Times New Roman"/>
          <w:b/>
          <w:bCs/>
          <w:color w:val="000000" w:themeColor="text1"/>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606B6E60" wp14:editId="1476309E">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44F3" w:rsidRPr="00CF3907" w:rsidRDefault="002944F3" w:rsidP="002944F3">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rsidR="002944F3" w:rsidRPr="00CF3907" w:rsidRDefault="002944F3" w:rsidP="002944F3">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1533EBC7" wp14:editId="03E8E49F">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rsidR="002944F3" w:rsidRPr="00CF3907" w:rsidRDefault="002944F3" w:rsidP="002944F3">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18976B80" wp14:editId="0403C8C6">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944F3" w:rsidRPr="00CF3907" w:rsidRDefault="002944F3" w:rsidP="002944F3">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line="480" w:lineRule="auto"/>
        <w:jc w:val="both"/>
        <w:rPr>
          <w:rFonts w:ascii="Times New Roman" w:hAnsi="Times New Roman" w:cs="Times New Roman"/>
          <w:b/>
          <w:color w:val="000000" w:themeColor="text1"/>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Cs/>
          <w:color w:val="000000" w:themeColor="text1"/>
          <w:lang w:val="en-GB"/>
        </w:rPr>
      </w:pPr>
    </w:p>
    <w:p w:rsidR="002944F3" w:rsidRPr="00CF3907" w:rsidRDefault="002944F3" w:rsidP="002944F3">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rsidR="002944F3" w:rsidRPr="00CF3907" w:rsidRDefault="002944F3" w:rsidP="002944F3">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rsidR="002944F3" w:rsidRPr="00CF3907" w:rsidRDefault="002944F3" w:rsidP="002944F3">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rsidR="002944F3" w:rsidRPr="00CF3907" w:rsidRDefault="002944F3" w:rsidP="002944F3">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w:t>
      </w:r>
      <w:proofErr w:type="spellStart"/>
      <w:r w:rsidRPr="00CF3907">
        <w:rPr>
          <w:rFonts w:ascii="Times New Roman" w:hAnsi="Times New Roman" w:cs="Times New Roman"/>
          <w:color w:val="000000" w:themeColor="text1"/>
          <w:lang w:val="en-GB"/>
        </w:rPr>
        <w:t>CaCO</w:t>
      </w:r>
      <w:proofErr w:type="spellEnd"/>
      <w:r w:rsidRPr="00CF3907">
        <w:rPr>
          <w:rFonts w:ascii="Times New Roman" w:hAnsi="Times New Roman" w:cs="Times New Roman"/>
          <w:color w:val="000000" w:themeColor="text1"/>
          <w:lang w:val="en-GB"/>
        </w:rPr>
        <w:t>₃) as the primary mineral phase across all samples, with site-dependent variations in silicate and organic content. These compositional differences are likely central to the differential effects on Ca²⁺-ATPase activity observed in this study.</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w:t>
      </w:r>
      <w:proofErr w:type="spellStart"/>
      <w:r w:rsidRPr="00CF3907">
        <w:rPr>
          <w:rFonts w:ascii="Times New Roman" w:hAnsi="Times New Roman" w:cs="Times New Roman"/>
          <w:color w:val="000000" w:themeColor="text1"/>
          <w:lang w:val="en-GB"/>
        </w:rPr>
        <w:t>sarco</w:t>
      </w:r>
      <w:proofErr w:type="spellEnd"/>
      <w:r w:rsidRPr="00CF3907">
        <w:rPr>
          <w:rFonts w:ascii="Times New Roman" w:hAnsi="Times New Roman" w:cs="Times New Roman"/>
          <w:color w:val="000000" w:themeColor="text1"/>
          <w:lang w:val="en-GB"/>
        </w:rPr>
        <w:t xml:space="preserve">/endoplasmic reticulum Ca²⁺-ATPases (SERCA), are P-type ATPases responsible for maintaining intracellular Ca²⁺ homeostasis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w:t>
      </w:r>
      <w:proofErr w:type="spellStart"/>
      <w:r w:rsidRPr="00CF3907">
        <w:rPr>
          <w:rFonts w:ascii="Times New Roman" w:hAnsi="Times New Roman" w:cs="Times New Roman"/>
          <w:color w:val="000000" w:themeColor="text1"/>
          <w:lang w:val="en-GB"/>
        </w:rPr>
        <w:t>Feschenko</w:t>
      </w:r>
      <w:proofErr w:type="spellEnd"/>
      <w:r w:rsidRPr="00CF3907">
        <w:rPr>
          <w:rFonts w:ascii="Times New Roman" w:hAnsi="Times New Roman" w:cs="Times New Roman"/>
          <w:color w:val="000000" w:themeColor="text1"/>
          <w:lang w:val="en-GB"/>
        </w:rPr>
        <w:t xml:space="preserve">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 xml:space="preserve">membrane proteins and, in certain contexts, enhance Ca²⁺-ATPase activity (MacLennan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w:t>
      </w:r>
      <w:proofErr w:type="spellStart"/>
      <w:r w:rsidRPr="00CF3907">
        <w:rPr>
          <w:rFonts w:ascii="Times New Roman" w:hAnsi="Times New Roman" w:cs="Times New Roman"/>
          <w:color w:val="000000" w:themeColor="text1"/>
          <w:lang w:val="en-GB"/>
        </w:rPr>
        <w:t>catalyze</w:t>
      </w:r>
      <w:proofErr w:type="spellEnd"/>
      <w:r w:rsidRPr="00CF3907">
        <w:rPr>
          <w:rFonts w:ascii="Times New Roman" w:hAnsi="Times New Roman" w:cs="Times New Roman"/>
          <w:color w:val="000000" w:themeColor="text1"/>
          <w:lang w:val="en-GB"/>
        </w:rPr>
        <w:t xml:space="preserve"> the generation of reactive oxygen species (ROS) via Fenton chemistry. Oxidative modification of thiol or tyrosine residues in ATPase proteins could reduce catalytic turnover, a mechanism consistent with the diminished activity observed in some assays (Bers, 2002).</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w:t>
      </w:r>
      <w:proofErr w:type="spellStart"/>
      <w:r w:rsidRPr="00CF3907">
        <w:rPr>
          <w:rFonts w:ascii="Times New Roman" w:hAnsi="Times New Roman" w:cs="Times New Roman"/>
          <w:color w:val="000000" w:themeColor="text1"/>
          <w:lang w:val="en-GB"/>
        </w:rPr>
        <w:t>signaling</w:t>
      </w:r>
      <w:proofErr w:type="spellEnd"/>
      <w:r w:rsidRPr="00CF3907">
        <w:rPr>
          <w:rFonts w:ascii="Times New Roman" w:hAnsi="Times New Roman" w:cs="Times New Roman"/>
          <w:color w:val="000000" w:themeColor="text1"/>
          <w:lang w:val="en-GB"/>
        </w:rPr>
        <w:t xml:space="preserve">, whereas muscle tissue predominantly relies on SERCA for rapid contraction-relaxation cycles (Toyoshima and </w:t>
      </w:r>
      <w:proofErr w:type="spellStart"/>
      <w:r w:rsidRPr="00CF3907">
        <w:rPr>
          <w:rFonts w:ascii="Times New Roman" w:hAnsi="Times New Roman" w:cs="Times New Roman"/>
          <w:color w:val="000000" w:themeColor="text1"/>
          <w:lang w:val="en-GB"/>
        </w:rPr>
        <w:t>Inesi</w:t>
      </w:r>
      <w:proofErr w:type="spellEnd"/>
      <w:r w:rsidRPr="00CF3907">
        <w:rPr>
          <w:rFonts w:ascii="Times New Roman" w:hAnsi="Times New Roman" w:cs="Times New Roman"/>
          <w:color w:val="000000" w:themeColor="text1"/>
          <w:lang w:val="en-GB"/>
        </w:rPr>
        <w:t xml:space="preserve">, 2004). The differential modulation of Vmax and Km values observed in this study may therefore reflect </w:t>
      </w:r>
      <w:r w:rsidRPr="00CF3907">
        <w:rPr>
          <w:rFonts w:ascii="Times New Roman" w:hAnsi="Times New Roman" w:cs="Times New Roman"/>
          <w:color w:val="000000" w:themeColor="text1"/>
          <w:lang w:val="en-GB"/>
        </w:rPr>
        <w:lastRenderedPageBreak/>
        <w:t>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w:t>
      </w:r>
      <w:proofErr w:type="gramStart"/>
      <w:r w:rsidRPr="00CF3907">
        <w:rPr>
          <w:rFonts w:ascii="Times New Roman" w:hAnsi="Times New Roman" w:cs="Times New Roman"/>
          <w:color w:val="000000" w:themeColor="text1"/>
          <w:lang w:val="en-GB"/>
        </w:rPr>
        <w:t>⁺:Ca</w:t>
      </w:r>
      <w:proofErr w:type="gramEnd"/>
      <w:r w:rsidRPr="00CF3907">
        <w:rPr>
          <w:rFonts w:ascii="Times New Roman" w:hAnsi="Times New Roman" w:cs="Times New Roman"/>
          <w:color w:val="000000" w:themeColor="text1"/>
          <w:lang w:val="en-GB"/>
        </w:rPr>
        <w:t>²⁺ ratios.</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Future studies should aim to confirm these mechanisms through elemental analysis (e.g., ICP-MS or AAS) to quantify trace metal content, use of selective inhibitors such as vanadate (general P-type ATPase inhibitor) and </w:t>
      </w:r>
      <w:proofErr w:type="spellStart"/>
      <w:r w:rsidRPr="00CF3907">
        <w:rPr>
          <w:rFonts w:ascii="Times New Roman" w:hAnsi="Times New Roman" w:cs="Times New Roman"/>
          <w:color w:val="000000" w:themeColor="text1"/>
          <w:lang w:val="en-GB"/>
        </w:rPr>
        <w:t>thapsigargin</w:t>
      </w:r>
      <w:proofErr w:type="spellEnd"/>
      <w:r w:rsidRPr="00CF3907">
        <w:rPr>
          <w:rFonts w:ascii="Times New Roman" w:hAnsi="Times New Roman" w:cs="Times New Roman"/>
          <w:color w:val="000000" w:themeColor="text1"/>
          <w:lang w:val="en-GB"/>
        </w:rPr>
        <w:t xml:space="preserve">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rsidR="002944F3" w:rsidRDefault="002944F3" w:rsidP="002944F3">
      <w:pPr>
        <w:spacing w:line="480" w:lineRule="auto"/>
        <w:jc w:val="both"/>
        <w:rPr>
          <w:rFonts w:ascii="Times New Roman" w:hAnsi="Times New Roman" w:cs="Times New Roman"/>
          <w:color w:val="000000" w:themeColor="text1"/>
          <w:lang w:val="en-GB"/>
        </w:rPr>
      </w:pPr>
    </w:p>
    <w:p w:rsidR="002944F3" w:rsidRDefault="002944F3" w:rsidP="002944F3">
      <w:pPr>
        <w:spacing w:line="480" w:lineRule="auto"/>
        <w:jc w:val="both"/>
        <w:rPr>
          <w:rFonts w:ascii="Times New Roman" w:hAnsi="Times New Roman" w:cs="Times New Roman"/>
          <w:color w:val="000000" w:themeColor="text1"/>
          <w:lang w:val="en-GB"/>
        </w:rPr>
      </w:pPr>
    </w:p>
    <w:p w:rsidR="002944F3" w:rsidRPr="00CF3907" w:rsidRDefault="002944F3" w:rsidP="002944F3">
      <w:pPr>
        <w:spacing w:line="480" w:lineRule="auto"/>
        <w:jc w:val="both"/>
        <w:rPr>
          <w:rFonts w:ascii="Times New Roman" w:hAnsi="Times New Roman" w:cs="Times New Roman"/>
          <w:color w:val="000000" w:themeColor="text1"/>
          <w:lang w:val="en-GB"/>
        </w:rPr>
      </w:pP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lastRenderedPageBreak/>
        <w:t>5.2 CONCLUISON</w:t>
      </w:r>
      <w:r w:rsidRPr="00CF3907">
        <w:rPr>
          <w:rFonts w:ascii="Times New Roman" w:hAnsi="Times New Roman" w:cs="Times New Roman"/>
          <w:color w:val="000000" w:themeColor="text1"/>
        </w:rPr>
        <w:t xml:space="preserve"> </w:t>
      </w:r>
    </w:p>
    <w:p w:rsidR="002944F3" w:rsidRPr="00CF3907" w:rsidRDefault="002944F3" w:rsidP="002944F3">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Our findings demonstrate that there </w:t>
      </w:r>
      <w:proofErr w:type="gramStart"/>
      <w:r w:rsidRPr="00CF3907">
        <w:rPr>
          <w:rFonts w:ascii="Times New Roman" w:hAnsi="Times New Roman" w:cs="Times New Roman"/>
          <w:color w:val="000000" w:themeColor="text1"/>
        </w:rPr>
        <w:t>was</w:t>
      </w:r>
      <w:proofErr w:type="gramEnd"/>
      <w:r w:rsidRPr="00CF3907">
        <w:rPr>
          <w:rFonts w:ascii="Times New Roman" w:hAnsi="Times New Roman" w:cs="Times New Roman"/>
          <w:color w:val="000000" w:themeColor="text1"/>
        </w:rPr>
        <w:t xml:space="preserve">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lang w:val="en-GB"/>
        </w:rPr>
      </w:pPr>
    </w:p>
    <w:p w:rsidR="002944F3" w:rsidRPr="00CF3907" w:rsidRDefault="002944F3" w:rsidP="002944F3">
      <w:pPr>
        <w:spacing w:after="0" w:line="360" w:lineRule="auto"/>
        <w:jc w:val="both"/>
        <w:rPr>
          <w:rFonts w:ascii="Times New Roman" w:eastAsia="Times New Roman" w:hAnsi="Times New Roman" w:cs="Times New Roman"/>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p>
    <w:p w:rsidR="002944F3" w:rsidRPr="00CF3907" w:rsidRDefault="002944F3" w:rsidP="002944F3">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lastRenderedPageBreak/>
        <w:t xml:space="preserve">                                                               REFERENCES</w:t>
      </w:r>
      <w:r w:rsidRPr="00CF3907">
        <w:rPr>
          <w:rFonts w:ascii="Times New Roman" w:eastAsia="Times New Roman" w:hAnsi="Times New Roman" w:cs="Times New Roman"/>
          <w:color w:val="000000" w:themeColor="text1"/>
        </w:rPr>
        <w:tab/>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w:t>
      </w:r>
      <w:proofErr w:type="spellStart"/>
      <w:r w:rsidRPr="00CF3907">
        <w:rPr>
          <w:rFonts w:ascii="Times New Roman" w:hAnsi="Times New Roman" w:cs="Times New Roman"/>
          <w:color w:val="000000" w:themeColor="text1"/>
          <w:lang w:val="en-GB"/>
        </w:rPr>
        <w:t>Kranias</w:t>
      </w:r>
      <w:proofErr w:type="spellEnd"/>
      <w:r w:rsidRPr="00CF3907">
        <w:rPr>
          <w:rFonts w:ascii="Times New Roman" w:hAnsi="Times New Roman" w:cs="Times New Roman"/>
          <w:color w:val="000000" w:themeColor="text1"/>
          <w:lang w:val="en-GB"/>
        </w:rPr>
        <w:t xml:space="preserve">, E. G. (2003). </w:t>
      </w:r>
      <w:proofErr w:type="spellStart"/>
      <w:r w:rsidRPr="00CF3907">
        <w:rPr>
          <w:rFonts w:ascii="Times New Roman" w:hAnsi="Times New Roman" w:cs="Times New Roman"/>
          <w:color w:val="000000" w:themeColor="text1"/>
          <w:lang w:val="en-GB"/>
        </w:rPr>
        <w:t>Phospholamban</w:t>
      </w:r>
      <w:proofErr w:type="spellEnd"/>
      <w:r w:rsidRPr="00CF3907">
        <w:rPr>
          <w:rFonts w:ascii="Times New Roman" w:hAnsi="Times New Roman" w:cs="Times New Roman"/>
          <w:color w:val="000000" w:themeColor="text1"/>
          <w:lang w:val="en-GB"/>
        </w:rPr>
        <w:t xml:space="preserve">: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w:t>
      </w:r>
      <w:proofErr w:type="spellStart"/>
      <w:r w:rsidRPr="00CF3907">
        <w:rPr>
          <w:rFonts w:ascii="Times New Roman" w:eastAsia="Times New Roman" w:hAnsi="Times New Roman" w:cs="Times New Roman"/>
          <w:color w:val="000000" w:themeColor="text1"/>
          <w:lang w:val="en-GB"/>
        </w:rPr>
        <w:t>iontransport</w:t>
      </w:r>
      <w:proofErr w:type="spellEnd"/>
      <w:r w:rsidRPr="00CF3907">
        <w:rPr>
          <w:rFonts w:ascii="Times New Roman" w:eastAsia="Times New Roman" w:hAnsi="Times New Roman" w:cs="Times New Roman"/>
          <w:color w:val="000000" w:themeColor="text1"/>
          <w:lang w:val="en-GB"/>
        </w:rPr>
        <w:t xml:space="preserve"> enzymes: A biochemical perspective. </w:t>
      </w:r>
      <w:r w:rsidRPr="00CF3907">
        <w:rPr>
          <w:rFonts w:ascii="Times New Roman" w:eastAsia="Times New Roman" w:hAnsi="Times New Roman" w:cs="Times New Roman"/>
          <w:i/>
          <w:iCs/>
          <w:color w:val="000000" w:themeColor="text1"/>
          <w:lang w:val="en-GB"/>
        </w:rPr>
        <w:t xml:space="preserve">Environmental Toxicology </w:t>
      </w:r>
      <w:proofErr w:type="spellStart"/>
      <w:r w:rsidRPr="00CF3907">
        <w:rPr>
          <w:rFonts w:ascii="Times New Roman" w:eastAsia="Times New Roman" w:hAnsi="Times New Roman" w:cs="Times New Roman"/>
          <w:i/>
          <w:iCs/>
          <w:color w:val="000000" w:themeColor="text1"/>
          <w:lang w:val="en-GB"/>
        </w:rPr>
        <w:t>andPharmacology</w:t>
      </w:r>
      <w:proofErr w:type="spellEnd"/>
      <w:r w:rsidRPr="00CF3907">
        <w:rPr>
          <w:rFonts w:ascii="Times New Roman" w:eastAsia="Times New Roman" w:hAnsi="Times New Roman" w:cs="Times New Roman"/>
          <w:i/>
          <w:iCs/>
          <w:color w:val="000000" w:themeColor="text1"/>
          <w:lang w:val="en-GB"/>
        </w:rPr>
        <w:t>, 84,</w:t>
      </w:r>
      <w:r w:rsidRPr="00CF3907">
        <w:rPr>
          <w:rFonts w:ascii="Times New Roman" w:eastAsia="Times New Roman" w:hAnsi="Times New Roman" w:cs="Times New Roman"/>
          <w:color w:val="000000" w:themeColor="text1"/>
          <w:lang w:val="en-GB"/>
        </w:rPr>
        <w:t xml:space="preserve"> 103592.</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proofErr w:type="spellStart"/>
      <w:r w:rsidRPr="00CF3907">
        <w:rPr>
          <w:rFonts w:ascii="Times New Roman" w:hAnsi="Times New Roman" w:cs="Times New Roman"/>
          <w:i/>
          <w:iCs/>
          <w:color w:val="000000" w:themeColor="text1"/>
          <w:lang w:val="en-GB"/>
        </w:rPr>
        <w:t>NeuroToxicology</w:t>
      </w:r>
      <w:proofErr w:type="spellEnd"/>
      <w:r w:rsidRPr="00CF3907">
        <w:rPr>
          <w:rFonts w:ascii="Times New Roman" w:hAnsi="Times New Roman" w:cs="Times New Roman"/>
          <w:i/>
          <w:iCs/>
          <w:color w:val="000000" w:themeColor="text1"/>
          <w:lang w:val="en-GB"/>
        </w:rPr>
        <w:t>, 36,</w:t>
      </w:r>
      <w:r w:rsidRPr="00CF3907">
        <w:rPr>
          <w:rFonts w:ascii="Times New Roman" w:hAnsi="Times New Roman" w:cs="Times New Roman"/>
          <w:color w:val="000000" w:themeColor="text1"/>
          <w:lang w:val="en-GB"/>
        </w:rPr>
        <w:t xml:space="preserve"> 1–12.</w:t>
      </w:r>
    </w:p>
    <w:p w:rsidR="002944F3" w:rsidRPr="00CF3907" w:rsidRDefault="002944F3" w:rsidP="002944F3">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rsidR="002944F3" w:rsidRPr="00CF3907" w:rsidRDefault="002944F3" w:rsidP="002944F3">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rsidR="002944F3" w:rsidRPr="00CF3907" w:rsidRDefault="002944F3" w:rsidP="002944F3">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rsidR="002944F3" w:rsidRPr="00CF3907" w:rsidRDefault="002944F3" w:rsidP="002944F3">
      <w:pPr>
        <w:spacing w:line="480" w:lineRule="auto"/>
        <w:jc w:val="both"/>
        <w:rPr>
          <w:rFonts w:ascii="Times New Roman" w:hAnsi="Times New Roman" w:cs="Times New Roman"/>
          <w:color w:val="000000" w:themeColor="text1"/>
        </w:rPr>
      </w:pPr>
    </w:p>
    <w:p w:rsidR="002944F3" w:rsidRPr="00CF3907" w:rsidRDefault="002944F3" w:rsidP="002944F3">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2944F3" w:rsidRPr="00CF3907" w:rsidRDefault="002944F3" w:rsidP="002944F3">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rsidR="002944F3" w:rsidRPr="00CF3907" w:rsidRDefault="002944F3" w:rsidP="002944F3">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rsidR="002944F3" w:rsidRPr="00CF3907" w:rsidRDefault="002944F3" w:rsidP="002944F3">
      <w:pPr>
        <w:spacing w:line="360" w:lineRule="auto"/>
        <w:ind w:left="720" w:hanging="720"/>
        <w:jc w:val="both"/>
        <w:rPr>
          <w:rFonts w:ascii="Times New Roman" w:hAnsi="Times New Roman" w:cs="Times New Roman"/>
          <w:color w:val="000000" w:themeColor="text1"/>
        </w:rPr>
      </w:pPr>
    </w:p>
    <w:p w:rsidR="002944F3" w:rsidRPr="00CF3907" w:rsidRDefault="002944F3" w:rsidP="002944F3">
      <w:pPr>
        <w:spacing w:before="240" w:after="0" w:line="480" w:lineRule="auto"/>
        <w:rPr>
          <w:rFonts w:ascii="Times New Roman" w:hAnsi="Times New Roman" w:cs="Times New Roman"/>
          <w:color w:val="000000" w:themeColor="text1"/>
        </w:rPr>
      </w:pPr>
    </w:p>
    <w:p w:rsidR="002944F3" w:rsidRDefault="002944F3" w:rsidP="002944F3"/>
    <w:p w:rsidR="002944F3" w:rsidRDefault="002944F3" w:rsidP="002944F3"/>
    <w:p w:rsidR="00A631FB" w:rsidRDefault="00A631FB"/>
    <w:sectPr w:rsidR="00A631FB" w:rsidSect="002944F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rsidR="002944F3" w:rsidRDefault="002944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4F3" w:rsidRDefault="002944F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305665">
    <w:abstractNumId w:val="2"/>
  </w:num>
  <w:num w:numId="2" w16cid:durableId="1574854587">
    <w:abstractNumId w:val="4"/>
  </w:num>
  <w:num w:numId="3" w16cid:durableId="1644194945">
    <w:abstractNumId w:val="1"/>
  </w:num>
  <w:num w:numId="4" w16cid:durableId="1604386896">
    <w:abstractNumId w:val="3"/>
  </w:num>
  <w:num w:numId="5" w16cid:durableId="213309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944F3"/>
    <w:rsid w:val="000C6B02"/>
    <w:rsid w:val="002944F3"/>
    <w:rsid w:val="00474723"/>
    <w:rsid w:val="004C2D8A"/>
    <w:rsid w:val="009647AD"/>
    <w:rsid w:val="009D485D"/>
    <w:rsid w:val="00A631FB"/>
    <w:rsid w:val="00B34AB0"/>
    <w:rsid w:val="00E1084E"/>
    <w:rsid w:val="00E86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DF72"/>
  <w15:chartTrackingRefBased/>
  <w15:docId w15:val="{62D24D44-7F3E-4D7B-8D76-EE5912C9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F3"/>
  </w:style>
  <w:style w:type="paragraph" w:styleId="Heading1">
    <w:name w:val="heading 1"/>
    <w:basedOn w:val="Normal"/>
    <w:next w:val="Normal"/>
    <w:link w:val="Heading1Char"/>
    <w:uiPriority w:val="9"/>
    <w:qFormat/>
    <w:rsid w:val="00294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4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F3"/>
    <w:rPr>
      <w:rFonts w:eastAsiaTheme="majorEastAsia" w:cstheme="majorBidi"/>
      <w:color w:val="272727" w:themeColor="text1" w:themeTint="D8"/>
    </w:rPr>
  </w:style>
  <w:style w:type="paragraph" w:styleId="Title">
    <w:name w:val="Title"/>
    <w:basedOn w:val="Normal"/>
    <w:next w:val="Normal"/>
    <w:link w:val="TitleChar"/>
    <w:uiPriority w:val="10"/>
    <w:qFormat/>
    <w:rsid w:val="00294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F3"/>
    <w:pPr>
      <w:spacing w:before="160"/>
      <w:jc w:val="center"/>
    </w:pPr>
    <w:rPr>
      <w:i/>
      <w:iCs/>
      <w:color w:val="404040" w:themeColor="text1" w:themeTint="BF"/>
    </w:rPr>
  </w:style>
  <w:style w:type="character" w:customStyle="1" w:styleId="QuoteChar">
    <w:name w:val="Quote Char"/>
    <w:basedOn w:val="DefaultParagraphFont"/>
    <w:link w:val="Quote"/>
    <w:uiPriority w:val="29"/>
    <w:rsid w:val="002944F3"/>
    <w:rPr>
      <w:i/>
      <w:iCs/>
      <w:color w:val="404040" w:themeColor="text1" w:themeTint="BF"/>
    </w:rPr>
  </w:style>
  <w:style w:type="paragraph" w:styleId="ListParagraph">
    <w:name w:val="List Paragraph"/>
    <w:basedOn w:val="Normal"/>
    <w:uiPriority w:val="34"/>
    <w:qFormat/>
    <w:rsid w:val="002944F3"/>
    <w:pPr>
      <w:ind w:left="720"/>
      <w:contextualSpacing/>
    </w:pPr>
  </w:style>
  <w:style w:type="character" w:styleId="IntenseEmphasis">
    <w:name w:val="Intense Emphasis"/>
    <w:basedOn w:val="DefaultParagraphFont"/>
    <w:uiPriority w:val="21"/>
    <w:qFormat/>
    <w:rsid w:val="002944F3"/>
    <w:rPr>
      <w:i/>
      <w:iCs/>
      <w:color w:val="2F5496" w:themeColor="accent1" w:themeShade="BF"/>
    </w:rPr>
  </w:style>
  <w:style w:type="paragraph" w:styleId="IntenseQuote">
    <w:name w:val="Intense Quote"/>
    <w:basedOn w:val="Normal"/>
    <w:next w:val="Normal"/>
    <w:link w:val="IntenseQuoteChar"/>
    <w:uiPriority w:val="30"/>
    <w:qFormat/>
    <w:rsid w:val="00294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4F3"/>
    <w:rPr>
      <w:i/>
      <w:iCs/>
      <w:color w:val="2F5496" w:themeColor="accent1" w:themeShade="BF"/>
    </w:rPr>
  </w:style>
  <w:style w:type="character" w:styleId="IntenseReference">
    <w:name w:val="Intense Reference"/>
    <w:basedOn w:val="DefaultParagraphFont"/>
    <w:uiPriority w:val="32"/>
    <w:qFormat/>
    <w:rsid w:val="002944F3"/>
    <w:rPr>
      <w:b/>
      <w:bCs/>
      <w:smallCaps/>
      <w:color w:val="2F5496" w:themeColor="accent1" w:themeShade="BF"/>
      <w:spacing w:val="5"/>
    </w:rPr>
  </w:style>
  <w:style w:type="paragraph" w:styleId="BodyText">
    <w:name w:val="Body Text"/>
    <w:basedOn w:val="Normal"/>
    <w:link w:val="BodyTextChar"/>
    <w:uiPriority w:val="99"/>
    <w:semiHidden/>
    <w:unhideWhenUsed/>
    <w:rsid w:val="002944F3"/>
    <w:pPr>
      <w:spacing w:after="120"/>
    </w:pPr>
  </w:style>
  <w:style w:type="character" w:customStyle="1" w:styleId="BodyTextChar">
    <w:name w:val="Body Text Char"/>
    <w:basedOn w:val="DefaultParagraphFont"/>
    <w:link w:val="BodyText"/>
    <w:uiPriority w:val="99"/>
    <w:semiHidden/>
    <w:rsid w:val="002944F3"/>
  </w:style>
  <w:style w:type="character" w:styleId="Emphasis">
    <w:name w:val="Emphasis"/>
    <w:basedOn w:val="DefaultParagraphFont"/>
    <w:uiPriority w:val="20"/>
    <w:qFormat/>
    <w:rsid w:val="002944F3"/>
    <w:rPr>
      <w:i/>
      <w:iCs/>
    </w:rPr>
  </w:style>
  <w:style w:type="paragraph" w:styleId="TOC1">
    <w:name w:val="toc 1"/>
    <w:basedOn w:val="Normal"/>
    <w:next w:val="Normal"/>
    <w:autoRedefine/>
    <w:uiPriority w:val="39"/>
    <w:unhideWhenUsed/>
    <w:rsid w:val="002944F3"/>
    <w:pPr>
      <w:tabs>
        <w:tab w:val="right" w:leader="dot" w:pos="9350"/>
      </w:tabs>
      <w:spacing w:after="100"/>
    </w:pPr>
    <w:rPr>
      <w:rFonts w:ascii="Times New Roman" w:hAnsi="Times New Roman" w:cs="Times New Roman"/>
      <w:b/>
      <w:bCs/>
    </w:rPr>
  </w:style>
  <w:style w:type="paragraph" w:styleId="Footer">
    <w:name w:val="footer"/>
    <w:basedOn w:val="Normal"/>
    <w:link w:val="FooterChar"/>
    <w:uiPriority w:val="99"/>
    <w:unhideWhenUsed/>
    <w:rsid w:val="0029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4F3"/>
  </w:style>
  <w:style w:type="paragraph" w:styleId="BodyTextIndent3">
    <w:name w:val="Body Text Indent 3"/>
    <w:basedOn w:val="Normal"/>
    <w:link w:val="BodyTextIndent3Char"/>
    <w:uiPriority w:val="99"/>
    <w:semiHidden/>
    <w:unhideWhenUsed/>
    <w:rsid w:val="002944F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944F3"/>
    <w:rPr>
      <w:sz w:val="16"/>
      <w:szCs w:val="16"/>
    </w:rPr>
  </w:style>
  <w:style w:type="character" w:styleId="Strong">
    <w:name w:val="Strong"/>
    <w:basedOn w:val="DefaultParagraphFont"/>
    <w:uiPriority w:val="22"/>
    <w:qFormat/>
    <w:rsid w:val="002944F3"/>
    <w:rPr>
      <w:b/>
      <w:bCs/>
    </w:rPr>
  </w:style>
  <w:style w:type="paragraph" w:styleId="NormalWeb">
    <w:name w:val="Normal (Web)"/>
    <w:basedOn w:val="Normal"/>
    <w:uiPriority w:val="99"/>
    <w:unhideWhenUsed/>
    <w:rsid w:val="002944F3"/>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chart" Target="charts/chart2.xml"/><Relationship Id="rId10" Type="http://schemas.openxmlformats.org/officeDocument/2006/relationships/image" Target="media/image5.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2069-4D4A-A89E-E8F0C1A0CBD6}"/>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2069-4D4A-A89E-E8F0C1A0CBD6}"/>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2069-4D4A-A89E-E8F0C1A0CBD6}"/>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2069-4D4A-A89E-E8F0C1A0CBD6}"/>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2069-4D4A-A89E-E8F0C1A0CBD6}"/>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2069-4D4A-A89E-E8F0C1A0CBD6}"/>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AB27-4C2E-BDBE-6BBB35570818}"/>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AB27-4C2E-BDBE-6BBB35570818}"/>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AB27-4C2E-BDBE-6BBB35570818}"/>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AB27-4C2E-BDBE-6BBB35570818}"/>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AB27-4C2E-BDBE-6BBB35570818}"/>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AB27-4C2E-BDBE-6BBB35570818}"/>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BFD5-416C-B36F-9812076974FB}"/>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BFD5-416C-B36F-9812076974FB}"/>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BFD5-416C-B36F-9812076974FB}"/>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BFD5-416C-B36F-9812076974FB}"/>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BFD5-416C-B36F-9812076974FB}"/>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BFD5-416C-B36F-9812076974FB}"/>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9D9F-455B-A146-9158B1C0DCE2}"/>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9D9F-455B-A146-9158B1C0DCE2}"/>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9D9F-455B-A146-9158B1C0DCE2}"/>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9D9F-455B-A146-9158B1C0DCE2}"/>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9D9F-455B-A146-9158B1C0DCE2}"/>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F920-4F3D-A7A1-87C53AA98CAC}"/>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F920-4F3D-A7A1-87C53AA98CAC}"/>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F920-4F3D-A7A1-87C53AA98CAC}"/>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F920-4F3D-A7A1-87C53AA98CAC}"/>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F920-4F3D-A7A1-87C53AA98CAC}"/>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544B-4444-A047-4C6F74093D58}"/>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544B-4444-A047-4C6F74093D58}"/>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544B-4444-A047-4C6F74093D58}"/>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544B-4444-A047-4C6F74093D58}"/>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544B-4444-A047-4C6F74093D58}"/>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45</Pages>
  <Words>6537</Words>
  <Characters>37267</Characters>
  <Application>Microsoft Office Word</Application>
  <DocSecurity>0</DocSecurity>
  <Lines>310</Lines>
  <Paragraphs>87</Paragraphs>
  <ScaleCrop>false</ScaleCrop>
  <Company/>
  <LinksUpToDate>false</LinksUpToDate>
  <CharactersWithSpaces>43717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3</cp:revision>
  <dcterms:created xsi:type="dcterms:W3CDTF">2025-09-19T20:34:00Z</dcterms:created>
  <dcterms:modified xsi:type="dcterms:W3CDTF">2025-09-20T06:06:00Z</dcterms:modified>
</cp:coreProperties>
</file>