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3E57C7">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ELUOMUNO ONYEBUCHI ISAAC</w:t>
      </w: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ND/23/ABE/FT/00</w:t>
      </w:r>
      <w:r w:rsidR="003E57C7">
        <w:rPr>
          <w:rFonts w:ascii="Times New Roman" w:eastAsia="Times New Roman" w:hAnsi="Times New Roman" w:cs="Times New Roman"/>
          <w:b/>
          <w:bCs/>
          <w:sz w:val="24"/>
          <w:szCs w:val="24"/>
        </w:rPr>
        <w:t>19</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 PARTIAL FULFILLMENT OF THE REQUIREMENTS FOR THE AWARD OF </w:t>
      </w:r>
      <w:r w:rsidR="003E57C7">
        <w:rPr>
          <w:rFonts w:ascii="Times New Roman" w:eastAsia="Times New Roman" w:hAnsi="Times New Roman" w:cs="Times New Roman"/>
          <w:b/>
          <w:bCs/>
          <w:sz w:val="24"/>
          <w:szCs w:val="24"/>
        </w:rPr>
        <w:t>NATIONAL DIPLOMA (</w:t>
      </w:r>
      <w:r>
        <w:rPr>
          <w:rFonts w:ascii="Times New Roman" w:eastAsia="Times New Roman" w:hAnsi="Times New Roman" w:cs="Times New Roman"/>
          <w:b/>
          <w:bCs/>
          <w:sz w:val="24"/>
          <w:szCs w:val="24"/>
        </w:rPr>
        <w:t>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3E57C7" w:rsidRDefault="003E57C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2648607</wp:posOffset>
                </wp:positionH>
                <wp:positionV relativeFrom="paragraph">
                  <wp:posOffset>8875986</wp:posOffset>
                </wp:positionV>
                <wp:extent cx="520262" cy="315311"/>
                <wp:effectExtent l="0" t="0" r="0" b="8890"/>
                <wp:wrapNone/>
                <wp:docPr id="3" name="Rectangle 3"/>
                <wp:cNvGraphicFramePr/>
                <a:graphic xmlns:a="http://schemas.openxmlformats.org/drawingml/2006/main">
                  <a:graphicData uri="http://schemas.microsoft.com/office/word/2010/wordprocessingShape">
                    <wps:wsp>
                      <wps:cNvSpPr/>
                      <wps:spPr>
                        <a:xfrm>
                          <a:off x="0" y="0"/>
                          <a:ext cx="520262" cy="3153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91B15" id="Rectangle 3" o:spid="_x0000_s1026" style="position:absolute;margin-left:208.55pt;margin-top:698.9pt;width:40.95pt;height:24.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" fillcolor="white [3212]" stroked="f" strokeweight="2pt"/>
            </w:pict>
          </mc:Fallback>
        </mc:AlternateContent>
      </w:r>
      <w:r w:rsidRPr="003E57C7">
        <w:rPr>
          <w:rFonts w:ascii="Times New Roman" w:hAnsi="Times New Roman" w:cs="Times New Roman"/>
          <w:b/>
          <w:noProof/>
          <w:sz w:val="24"/>
          <w:szCs w:val="24"/>
        </w:rPr>
        <w:drawing>
          <wp:inline distT="0" distB="0" distL="0" distR="0">
            <wp:extent cx="6179820" cy="8686800"/>
            <wp:effectExtent l="0" t="0" r="0" b="0"/>
            <wp:docPr id="2" name="Picture 2" descr="C:\Users\USER\Desktop\KOO\WORK\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OO\WORK\SMA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9820" cy="8686800"/>
                    </a:xfrm>
                    <a:prstGeom prst="rect">
                      <a:avLst/>
                    </a:prstGeom>
                    <a:noFill/>
                    <a:ln>
                      <a:noFill/>
                    </a:ln>
                  </pic:spPr>
                </pic:pic>
              </a:graphicData>
            </a:graphic>
          </wp:inline>
        </w:drawing>
      </w:r>
      <w:r w:rsidRPr="003E57C7">
        <w:rPr>
          <w:rFonts w:ascii="Times New Roman" w:hAnsi="Times New Roman" w:cs="Times New Roman"/>
          <w:b/>
          <w:sz w:val="24"/>
          <w:szCs w:val="24"/>
        </w:rPr>
        <w:t xml:space="preserve"> </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project to Allah, the Most Gracious, the Most Merciful, for granting me strength, resilience, and divine support throughout this journey.</w:t>
      </w:r>
      <w:bookmarkStart w:id="0" w:name="_GoBack"/>
      <w:bookmarkEnd w:id="0"/>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All praises and thanks are due to Almighty Allah, the Lord of the worlds, for seeing me through this academic journey and for granting me the strength to complete this project. I sincerely appreciate my dedicated supervisor, Engr. (Mrs.) Fawziyyah Uthman, for her patience, guidance, corrections, and unwavering support throughout this research work. My profound gratitude also goes to all my lecturers in the Department of Agricultural and Bio-Environmental Engineering, Kwara State Polytechnic, for their impact on my academic journey to my friends, colleagues, and well-wishers who supported me in one way or the other — thank you for your encouragement.</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quantities of shelled, unshelled, partially shelled, and broken seeds </w:t>
      </w:r>
      <w:r w:rsidR="00F0488D">
        <w:rPr>
          <w:rFonts w:ascii="Times New Roman" w:hAnsi="Times New Roman" w:cs="Times New Roman"/>
          <w:i/>
          <w:sz w:val="24"/>
          <w:szCs w:val="24"/>
        </w:rPr>
        <w:t>was</w:t>
      </w:r>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1"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r>
        <w:rPr>
          <w:rFonts w:ascii="Times New Roman" w:hAnsi="Times New Roman" w:cs="Times New Roman"/>
          <w:bCs/>
          <w:sz w:val="24"/>
          <w:szCs w:val="24"/>
        </w:rPr>
        <w:t>serewe</w:t>
      </w:r>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2D37C6">
        <w:rPr>
          <w:rFonts w:ascii="Times New Roman" w:hAnsi="Times New Roman" w:cs="Times New Roman"/>
          <w:sz w:val="24"/>
          <w:szCs w:val="24"/>
        </w:rPr>
        <w:t xml:space="preserve">output parameters of </w:t>
      </w:r>
      <w:r>
        <w:rPr>
          <w:rFonts w:ascii="Times New Roman" w:hAnsi="Times New Roman" w:cs="Times New Roman"/>
          <w:sz w:val="24"/>
          <w:szCs w:val="24"/>
        </w:rPr>
        <w:t>Serewe</w:t>
      </w:r>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1"/>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9"/>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bookmarkStart w:id="2" w:name="_Hlk208399456"/>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40515E" w:rsidRDefault="0040515E">
                      <w:pPr>
                        <w:jc w:val="center"/>
                        <w:rPr>
                          <w:b/>
                          <w:i/>
                          <w:sz w:val="24"/>
                        </w:rPr>
                      </w:pPr>
                      <w:r>
                        <w:rPr>
                          <w:b/>
                          <w:i/>
                          <w:sz w:val="24"/>
                        </w:rPr>
                        <w:t>Figure 2.1</w:t>
                      </w:r>
                      <w:r>
                        <w:rPr>
                          <w:b/>
                          <w:i/>
                          <w:sz w:val="24"/>
                        </w:rPr>
                        <w:tab/>
                        <w:t>Manual/Traditional shelling Method</w:t>
                      </w:r>
                    </w:p>
                  </w:txbxContent>
                </v:textbox>
              </v:rect>
            </w:pict>
          </mc:Fallback>
        </mc:AlternateContent>
      </w:r>
    </w:p>
    <w:bookmarkEnd w:id="2"/>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w:t>
      </w:r>
      <w:r>
        <w:rPr>
          <w:bCs/>
        </w:rPr>
        <w:lastRenderedPageBreak/>
        <w:t xml:space="preserve">Bara variety demands more aggressive shelling action. Improper calibration can result in broken kernels 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rPr>
                                <w:b/>
                                <w:i/>
                                <w:sz w:val="24"/>
                              </w:rPr>
                            </w:pPr>
                            <w:bookmarkStart w:id="3" w:name="_Hlk208399510"/>
                            <w:bookmarkStart w:id="4" w:name="_Hlk208399511"/>
                            <w:r>
                              <w:rPr>
                                <w:b/>
                                <w:i/>
                                <w:sz w:val="24"/>
                              </w:rPr>
                              <w:t>Figure 2.2 The Melon Shelling Machine</w:t>
                            </w:r>
                            <w:bookmarkEnd w:id="3"/>
                            <w:bookmarkEnd w:id="4"/>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40515E" w:rsidRDefault="0040515E">
                      <w:pPr>
                        <w:rPr>
                          <w:b/>
                          <w:i/>
                          <w:sz w:val="24"/>
                        </w:rPr>
                      </w:pPr>
                      <w:bookmarkStart w:id="5" w:name="_Hlk208399510"/>
                      <w:bookmarkStart w:id="6" w:name="_Hlk208399511"/>
                      <w:r>
                        <w:rPr>
                          <w:b/>
                          <w:i/>
                          <w:sz w:val="24"/>
                        </w:rPr>
                        <w:t>Figure 2.2 The Melon Shelling Machine</w:t>
                      </w:r>
                      <w:bookmarkEnd w:id="5"/>
                      <w:bookmarkEnd w:id="6"/>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w:t>
      </w:r>
      <w:r>
        <w:lastRenderedPageBreak/>
        <w:t>and 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 xml:space="preserve">2002) studied the dehulling characteristics of melon seeds under different feed rates. They observed that moderate feed rates resulted in higher kernel recovery with minimal breakage, while excessive feed rates caused seed crowding, poor shelling </w:t>
      </w:r>
      <w:r>
        <w:rPr>
          <w:bCs/>
        </w:rPr>
        <w:lastRenderedPageBreak/>
        <w:t>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lastRenderedPageBreak/>
        <w:t xml:space="preserve">(Ndi-Garba </w:t>
      </w:r>
      <w:r>
        <w:rPr>
          <w:bCs/>
          <w:i/>
          <w:iCs/>
        </w:rPr>
        <w:t>et al</w:t>
      </w:r>
      <w:r>
        <w:rPr>
          <w:bCs/>
        </w:rPr>
        <w:t>.,2020) evaluated a modified shelling machine and reported that feed rate was the dominant factor affecting throughput and kernel quality, while drum speed had a secondary effect. They observed that interaction effects between feed rate and speed could 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40515E" w:rsidRDefault="0040515E">
                            <w:pPr>
                              <w:jc w:val="center"/>
                              <w:rPr>
                                <w:b/>
                                <w:i/>
                                <w:sz w:val="24"/>
                              </w:rPr>
                            </w:pPr>
                            <w:bookmarkStart w:id="7" w:name="_Hlk208400512"/>
                            <w:bookmarkStart w:id="8" w:name="_Hlk208400513"/>
                            <w:r>
                              <w:rPr>
                                <w:b/>
                                <w:i/>
                                <w:sz w:val="24"/>
                              </w:rPr>
                              <w:t>Plate 3.1: The Melon Shelling Machine</w:t>
                            </w:r>
                            <w:bookmarkEnd w:id="7"/>
                            <w:bookmarkEnd w:id="8"/>
                          </w:p>
                        </w:txbxContent>
                      </wps:txbx>
                      <wps:bodyPr vert="horz" wrap="square" lIns="91440" tIns="45720" rIns="91440" bIns="45720" anchor="t">
                        <a:prstTxWarp prst="textNoShape">
                          <a:avLst/>
                        </a:prstTxWarp>
                        <a:noAutofit/>
                      </wps:bodyPr>
                    </wps:wsp>
                  </a:graphicData>
                </a:graphic>
              </wp:anchor>
            </w:drawing>
          </mc:Choice>
          <mc:Fallback>
            <w:pict>
              <v:rect w14:anchorId="30FDBC51"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40515E" w:rsidRDefault="0040515E">
                      <w:pPr>
                        <w:jc w:val="center"/>
                        <w:rPr>
                          <w:b/>
                          <w:i/>
                          <w:sz w:val="24"/>
                        </w:rPr>
                      </w:pPr>
                      <w:bookmarkStart w:id="9" w:name="_Hlk208400512"/>
                      <w:bookmarkStart w:id="10" w:name="_Hlk208400513"/>
                      <w:r>
                        <w:rPr>
                          <w:b/>
                          <w:i/>
                          <w:sz w:val="24"/>
                        </w:rPr>
                        <w:t>Plate 3.1: The Melon Shelling Machine</w:t>
                      </w:r>
                      <w:bookmarkEnd w:id="9"/>
                      <w:bookmarkEnd w:id="10"/>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Plate 3.2: Serewe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3.3: Bara Varie</w:t>
      </w:r>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5"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6"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40515E" w:rsidRDefault="0040515E">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bookmarkStart w:id="11" w:name="_Hlk208401331"/>
                            <w:bookmarkStart w:id="12" w:name="_Hlk208401332"/>
                            <w:r>
                              <w:rPr>
                                <w:b/>
                                <w:i/>
                                <w:sz w:val="24"/>
                              </w:rPr>
                              <w:t>Plate 3.5</w:t>
                            </w:r>
                            <w:r>
                              <w:rPr>
                                <w:b/>
                                <w:i/>
                                <w:sz w:val="24"/>
                              </w:rPr>
                              <w:tab/>
                              <w:t>Stop Watch</w:t>
                            </w:r>
                            <w:bookmarkEnd w:id="11"/>
                            <w:bookmarkEnd w:id="12"/>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40515E" w:rsidRDefault="0040515E">
                      <w:pPr>
                        <w:jc w:val="center"/>
                        <w:rPr>
                          <w:b/>
                          <w:i/>
                          <w:sz w:val="24"/>
                        </w:rPr>
                      </w:pPr>
                      <w:bookmarkStart w:id="13" w:name="_Hlk208401331"/>
                      <w:bookmarkStart w:id="14" w:name="_Hlk208401332"/>
                      <w:r>
                        <w:rPr>
                          <w:b/>
                          <w:i/>
                          <w:sz w:val="24"/>
                        </w:rPr>
                        <w:t>Plate 3.5</w:t>
                      </w:r>
                      <w:r>
                        <w:rPr>
                          <w:b/>
                          <w:i/>
                          <w:sz w:val="24"/>
                        </w:rPr>
                        <w:tab/>
                        <w:t>Stop Watch</w:t>
                      </w:r>
                      <w:bookmarkEnd w:id="13"/>
                      <w:bookmarkEnd w:id="14"/>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Sample A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w14:anchorId="7FDAF696"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wps:txbx>
                      <wps:bodyPr vert="horz" wrap="square" lIns="91440" tIns="45720" rIns="91440" bIns="45720" anchor="t">
                        <a:prstTxWarp prst="textNoShape">
                          <a:avLst/>
                        </a:prstTxWarp>
                        <a:noAutofit/>
                      </wps:bodyPr>
                    </wps:wsp>
                  </a:graphicData>
                </a:graphic>
              </wp:anchor>
            </w:drawing>
          </mc:Choice>
          <mc:Fallback>
            <w:pict>
              <v:rect w14:anchorId="683A230A"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61"/>
        <w:gridCol w:w="1206"/>
        <w:gridCol w:w="1313"/>
        <w:gridCol w:w="1294"/>
        <w:gridCol w:w="1256"/>
        <w:gridCol w:w="1544"/>
        <w:gridCol w:w="170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melon variety was tested in three different quantities: 500g, 1000g, and 1500g. Corresponding water quantities and shelling times were carefully controlled during each trial. </w:t>
      </w:r>
      <w:r>
        <w:rPr>
          <w:rFonts w:ascii="Times New Roman" w:hAnsi="Times New Roman" w:cs="Times New Roman"/>
          <w:sz w:val="24"/>
          <w:szCs w:val="24"/>
        </w:rPr>
        <w:lastRenderedPageBreak/>
        <w:t>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3.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7"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40515E" w:rsidRDefault="0040515E">
                            <w:pPr>
                              <w:rPr>
                                <w:rFonts w:ascii="Times New Roman" w:hAnsi="Times New Roman" w:cs="Times New Roman"/>
                                <w:b/>
                                <w:i/>
                                <w:sz w:val="24"/>
                              </w:rPr>
                            </w:pPr>
                            <w:bookmarkStart w:id="15" w:name="_Hlk208401755"/>
                            <w:bookmarkStart w:id="16" w:name="_Hlk208401756"/>
                            <w:bookmarkStart w:id="17" w:name="_Hlk208401761"/>
                            <w:bookmarkStart w:id="18" w:name="_Hlk208401762"/>
                            <w:bookmarkStart w:id="19" w:name="_Hlk208401763"/>
                            <w:bookmarkStart w:id="20" w:name="_Hlk208401764"/>
                            <w:bookmarkStart w:id="21" w:name="_Hlk208401765"/>
                            <w:bookmarkStart w:id="22" w:name="_Hlk208401766"/>
                            <w:bookmarkStart w:id="23" w:name="_Hlk208401767"/>
                            <w:bookmarkStart w:id="24" w:name="_Hlk208401768"/>
                            <w:bookmarkStart w:id="25" w:name="_Hlk208401771"/>
                            <w:bookmarkStart w:id="26" w:name="_Hlk208401772"/>
                            <w:bookmarkStart w:id="27" w:name="_Hlk208401776"/>
                            <w:bookmarkStart w:id="28"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15"/>
                            <w:bookmarkEnd w:id="16"/>
                            <w:bookmarkEnd w:id="17"/>
                            <w:bookmarkEnd w:id="18"/>
                            <w:bookmarkEnd w:id="19"/>
                            <w:bookmarkEnd w:id="20"/>
                            <w:bookmarkEnd w:id="21"/>
                            <w:bookmarkEnd w:id="22"/>
                            <w:bookmarkEnd w:id="23"/>
                            <w:bookmarkEnd w:id="24"/>
                            <w:bookmarkEnd w:id="25"/>
                            <w:bookmarkEnd w:id="26"/>
                            <w:bookmarkEnd w:id="27"/>
                            <w:bookmarkEnd w:id="28"/>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2042"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40515E" w:rsidRDefault="0040515E">
                      <w:pPr>
                        <w:rPr>
                          <w:rFonts w:ascii="Times New Roman" w:hAnsi="Times New Roman" w:cs="Times New Roman"/>
                          <w:b/>
                          <w:i/>
                          <w:sz w:val="24"/>
                        </w:rPr>
                      </w:pPr>
                      <w:bookmarkStart w:id="29" w:name="_Hlk208401755"/>
                      <w:bookmarkStart w:id="30" w:name="_Hlk208401756"/>
                      <w:bookmarkStart w:id="31" w:name="_Hlk208401761"/>
                      <w:bookmarkStart w:id="32" w:name="_Hlk208401762"/>
                      <w:bookmarkStart w:id="33" w:name="_Hlk208401763"/>
                      <w:bookmarkStart w:id="34" w:name="_Hlk208401764"/>
                      <w:bookmarkStart w:id="35" w:name="_Hlk208401765"/>
                      <w:bookmarkStart w:id="36" w:name="_Hlk208401766"/>
                      <w:bookmarkStart w:id="37" w:name="_Hlk208401767"/>
                      <w:bookmarkStart w:id="38" w:name="_Hlk208401768"/>
                      <w:bookmarkStart w:id="39" w:name="_Hlk208401771"/>
                      <w:bookmarkStart w:id="40" w:name="_Hlk208401772"/>
                      <w:bookmarkStart w:id="41" w:name="_Hlk208401776"/>
                      <w:bookmarkStart w:id="4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9"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15C555CF"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0"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946B8D">
      <w:pPr>
        <w:pStyle w:val="NormalWeb"/>
        <w:tabs>
          <w:tab w:val="left" w:pos="7223"/>
        </w:tabs>
        <w:spacing w:line="480" w:lineRule="auto"/>
        <w:jc w:val="both"/>
        <w:rPr>
          <w:b/>
          <w:bCs/>
        </w:rPr>
      </w:pPr>
      <w:bookmarkStart w:id="43" w:name="_Hlk208401699"/>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43"/>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311.6pt;height:31.05pt;visibility:visible;mso-wrap-distance-left:0;mso-wrap-distance-right:0" o:ole="">
            <v:imagedata r:id="rId21" o:title="" embosscolor="white"/>
          </v:shape>
          <o:OLEObject Type="Embed" ProgID="Equation.3" ShapeID="1047" DrawAspect="Content" ObjectID="_1819710765" r:id="rId22"/>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1.1pt;height:31.05pt;visibility:visible;mso-wrap-distance-left:0;mso-wrap-distance-right:0" o:ole="">
            <v:imagedata r:id="rId23" o:title="" embosscolor="white"/>
          </v:shape>
          <o:OLEObject Type="Embed" ProgID="Equation.3" ShapeID="1049" DrawAspect="Content" ObjectID="_1819710766" r:id="rId24"/>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39.6pt;height:34.75pt;visibility:visible;mso-wrap-distance-left:0;mso-wrap-distance-right:0" o:ole="">
            <v:imagedata r:id="rId25" o:title="" embosscolor="white"/>
          </v:shape>
          <o:OLEObject Type="Embed" ProgID="Equation.3" ShapeID="1051" DrawAspect="Content" ObjectID="_1819710767" r:id="rId26"/>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r w:rsidR="008869BD" w:rsidRPr="008B00EB">
        <w:t>x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3.5 Output Parameters of Serewe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7"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w:t>
      </w:r>
      <w:r>
        <w:lastRenderedPageBreak/>
        <w:t>own test, I 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8"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r w:rsidR="00C46AAC" w:rsidRPr="00C46AAC">
        <w:t xml:space="preserve">Olajide </w:t>
      </w:r>
      <w:r w:rsidR="008D135B" w:rsidRPr="00C46AAC">
        <w:t xml:space="preserve">and </w:t>
      </w:r>
      <w:r w:rsidR="00C46AAC" w:rsidRPr="00C46AAC">
        <w:t xml:space="preserve">Igbeka </w:t>
      </w:r>
      <w:r w:rsidR="008D135B" w:rsidRPr="00C46AAC">
        <w:t xml:space="preserve">(2003) and Aviara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w:t>
      </w:r>
      <w:r w:rsidR="00C46AAC" w:rsidRPr="00C46AAC">
        <w:lastRenderedPageBreak/>
        <w:t>can focus on adjusting feedrate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w:t>
      </w:r>
      <w:r>
        <w:rPr>
          <w:rFonts w:ascii="Times New Roman" w:eastAsia="Times New Roman" w:hAnsi="Times New Roman" w:cs="Times New Roman"/>
          <w:sz w:val="24"/>
          <w:szCs w:val="24"/>
        </w:rPr>
        <w:lastRenderedPageBreak/>
        <w:t>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careful optimization of feed rate and 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9"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Unlike the previous response surface, this one is notably curved and saddle-</w:t>
      </w:r>
      <w:r>
        <w:lastRenderedPageBreak/>
        <w:t xml:space="preserv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moderate 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 xml:space="preserve">Adekoya </w:t>
      </w:r>
      <w:r>
        <w:rPr>
          <w:rStyle w:val="Strong"/>
        </w:rPr>
        <w:lastRenderedPageBreak/>
        <w:t>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0"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w:t>
      </w:r>
      <w:r>
        <w:rPr>
          <w:rFonts w:ascii="Times New Roman" w:eastAsia="Times New Roman" w:hAnsi="Times New Roman" w:cs="Times New Roman"/>
          <w:sz w:val="24"/>
          <w:szCs w:val="24"/>
        </w:rPr>
        <w:lastRenderedPageBreak/>
        <w:t>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1"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w:t>
      </w:r>
      <w:r>
        <w:rPr>
          <w:rFonts w:ascii="Times New Roman" w:eastAsia="Times New Roman" w:hAnsi="Times New Roman" w:cs="Times New Roman"/>
          <w:sz w:val="24"/>
          <w:szCs w:val="24"/>
        </w:rPr>
        <w:lastRenderedPageBreak/>
        <w:t xml:space="preserve">is 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w:t>
      </w:r>
      <w:r>
        <w:rPr>
          <w:rFonts w:ascii="Times New Roman" w:eastAsia="Times New Roman" w:hAnsi="Times New Roman" w:cs="Times New Roman"/>
          <w:sz w:val="24"/>
          <w:szCs w:val="24"/>
        </w:rPr>
        <w:lastRenderedPageBreak/>
        <w:t xml:space="preserve">suggest that 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and </w:t>
      </w:r>
      <w:r>
        <w:rPr>
          <w:rFonts w:ascii="Times New Roman" w:hAnsi="Times New Roman" w:cs="Times New Roman"/>
          <w:color w:val="EE0000"/>
          <w:sz w:val="24"/>
          <w:szCs w:val="24"/>
        </w:rPr>
        <w:t xml:space="preserve"> </w:t>
      </w:r>
      <w:r>
        <w:rPr>
          <w:rFonts w:ascii="Times New Roman" w:hAnsi="Times New Roman" w:cs="Times New Roman"/>
          <w:sz w:val="24"/>
          <w:szCs w:val="24"/>
        </w:rPr>
        <w:t>Idowu,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and Adedeji, F. F. (2002).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Aviara, N. A., Lawal, A. A., and  Haque,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Ndi-Garba, H., Abdullahi, A. M., and Yusuf, Y. (2020).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Oladeji, J. T., and Akinola, A. O. (2020).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Olajide, J. O., and Ade-Omowaye, B. I. O. (2005).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lastRenderedPageBreak/>
        <w:t>Olayanju, T. M. A., Ajisegiri, E. S. A., and Olaoye, J. O. (2006).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r>
        <w:t xml:space="preserve">Adebowale, A. A., Jimoh, M. O., and Adisa, A. A. (2023).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r>
        <w:rPr>
          <w:rStyle w:val="Strong"/>
          <w:b w:val="0"/>
        </w:rPr>
        <w:t>Adekoya, L. O., and Oladeji, J. T.</w:t>
      </w:r>
      <w:r>
        <w:t xml:space="preserve"> (2009). Performance evaluation of a melon shelling machine. </w:t>
      </w:r>
      <w:r>
        <w:rPr>
          <w:rStyle w:val="Emphasis"/>
          <w:rFonts w:eastAsia="Calibri"/>
        </w:rPr>
        <w:t>Agricultural Engineering International: CIGR Journal, 11</w:t>
      </w:r>
      <w:r>
        <w:t>, 1–8.</w:t>
      </w:r>
      <w:r>
        <w:br/>
      </w:r>
      <w:hyperlink r:id="rId32"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r>
        <w:rPr>
          <w:rStyle w:val="Strong"/>
          <w:b w:val="0"/>
        </w:rPr>
        <w:t>Adetunji, M. O., Aremu, A. K., and Adebayo, S. E.</w:t>
      </w:r>
      <w:r>
        <w:t xml:space="preserve"> (2013). Development and performance evaluation of a melon seed shelling machine. </w:t>
      </w:r>
      <w:r>
        <w:rPr>
          <w:rStyle w:val="Emphasis"/>
          <w:rFonts w:eastAsia="Calibri"/>
        </w:rPr>
        <w:t>Agricultural Engineering International: CIGR Journal, 15</w:t>
      </w:r>
      <w:r>
        <w:t>(3), 123–130.</w:t>
      </w:r>
      <w:r>
        <w:br/>
      </w:r>
      <w:hyperlink r:id="rId33"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Adewumi, M. O., and Omotesho, O. A. (2002).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r>
        <w:rPr>
          <w:rStyle w:val="Strong"/>
          <w:b w:val="0"/>
        </w:rPr>
        <w:t>Ajav, E. A., and Olaleye, S. O.</w:t>
      </w:r>
      <w:r>
        <w:t xml:space="preserve"> (2004).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Ajibola, O. O., Eniyimo, T. S., Fasina, O. O., and Adeeko, K. A. (2003).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r>
        <w:rPr>
          <w:rStyle w:val="Strong"/>
          <w:b w:val="0"/>
        </w:rPr>
        <w:t>Ajibola, O. O., Olayanju, T. M. A., and Fasina, O. O.</w:t>
      </w:r>
      <w:r>
        <w:t xml:space="preserve"> (2002). Energy requirements of dehulling melon seeds. </w:t>
      </w:r>
      <w:r>
        <w:rPr>
          <w:rStyle w:val="Emphasis"/>
          <w:rFonts w:eastAsia="Calibri"/>
        </w:rPr>
        <w:t>Journal of Food Process Engineering, 25</w:t>
      </w:r>
      <w:r>
        <w:t>(6), 471–482.</w:t>
      </w:r>
      <w:r>
        <w:br/>
      </w:r>
      <w:hyperlink r:id="rId34"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r>
        <w:rPr>
          <w:rStyle w:val="Strong"/>
          <w:b w:val="0"/>
        </w:rPr>
        <w:t>Aviara, N. A., Lawal, A. A., and Atiku, A. A.</w:t>
      </w:r>
      <w:r>
        <w:t xml:space="preserve"> (2012). Performance evaluation of a melon seed shelling machine. </w:t>
      </w:r>
      <w:r>
        <w:rPr>
          <w:rStyle w:val="Emphasis"/>
          <w:rFonts w:eastAsia="Calibri"/>
        </w:rPr>
        <w:t>International Journal of Food Engineering, 8</w:t>
      </w:r>
      <w:r>
        <w:t>(4), 1–12.</w:t>
      </w:r>
      <w:r>
        <w:br/>
      </w:r>
      <w:hyperlink r:id="rId35"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r>
        <w:t xml:space="preserve">Igbeka, J. C. (2008). </w:t>
      </w:r>
      <w:r>
        <w:rPr>
          <w:rStyle w:val="Emphasis"/>
        </w:rPr>
        <w:t>Farm mechanization and processing equipment: Principles and practices</w:t>
      </w:r>
      <w:r>
        <w:t>. Ibadan: University Press.</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r>
        <w:rPr>
          <w:rStyle w:val="Strong"/>
          <w:b w:val="0"/>
        </w:rPr>
        <w:t>Ndi-Garba, B., Igbeka, J. C., and Oni, K. C.</w:t>
      </w:r>
      <w:r>
        <w:t xml:space="preserve"> (2020). Performance evaluation of a groundnut shelling machine. </w:t>
      </w:r>
      <w:r>
        <w:rPr>
          <w:rStyle w:val="Emphasis"/>
          <w:rFonts w:eastAsia="Calibri"/>
        </w:rPr>
        <w:t>Nigerian Journal of Technological Development, 17</w:t>
      </w:r>
      <w:r>
        <w:t>(2), 97–101.</w:t>
      </w:r>
      <w:r>
        <w:br/>
      </w:r>
      <w:hyperlink r:id="rId36"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r>
        <w:rPr>
          <w:rStyle w:val="Strong"/>
          <w:b w:val="0"/>
        </w:rPr>
        <w:t>Olajide, J. O., and Ade-Omowaye, B. I. O.</w:t>
      </w:r>
      <w:r>
        <w:t xml:space="preserve"> (2005). Some physical properties of melon seeds. </w:t>
      </w:r>
      <w:r>
        <w:rPr>
          <w:rStyle w:val="Emphasis"/>
          <w:rFonts w:eastAsia="Calibri"/>
        </w:rPr>
        <w:t>Journal of Food Engineering, 68</w:t>
      </w:r>
      <w:r>
        <w:t>(4), 437–440.</w:t>
      </w:r>
      <w:r>
        <w:br/>
      </w:r>
      <w:hyperlink r:id="rId37"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Olajide, J. O., and  Igbeka,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r>
        <w:rPr>
          <w:rStyle w:val="Strong"/>
          <w:b w:val="0"/>
        </w:rPr>
        <w:t>Olayanju, T. M. A., Akinoso, R., and Adedeji, O. A.</w:t>
      </w:r>
      <w:r>
        <w:t xml:space="preserve"> (2006). Design and testing of an impact-type groundnut shelling machine. </w:t>
      </w:r>
      <w:r>
        <w:rPr>
          <w:rStyle w:val="Emphasis"/>
          <w:rFonts w:eastAsia="Calibri"/>
        </w:rPr>
        <w:t>Agricultural Engineering International: CIGR Journal, Manuscript PM 06 016</w:t>
      </w:r>
      <w:r>
        <w:t>.</w:t>
      </w:r>
      <w:r>
        <w:br/>
      </w:r>
      <w:hyperlink r:id="rId38"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CBE" w:rsidRDefault="00A67CBE">
      <w:pPr>
        <w:spacing w:after="0" w:line="240" w:lineRule="auto"/>
      </w:pPr>
      <w:r>
        <w:separator/>
      </w:r>
    </w:p>
  </w:endnote>
  <w:endnote w:type="continuationSeparator" w:id="0">
    <w:p w:rsidR="00A67CBE" w:rsidRDefault="00A67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5E" w:rsidRDefault="0040515E">
    <w:pPr>
      <w:pStyle w:val="Footer"/>
      <w:jc w:val="center"/>
    </w:pPr>
    <w:r>
      <w:fldChar w:fldCharType="begin"/>
    </w:r>
    <w:r>
      <w:instrText xml:space="preserve"> PAGE   \* MERGEFORMAT </w:instrText>
    </w:r>
    <w:r>
      <w:fldChar w:fldCharType="separate"/>
    </w:r>
    <w:r w:rsidR="003E57C7">
      <w:rPr>
        <w:noProof/>
      </w:rPr>
      <w:t>ii</w:t>
    </w:r>
    <w:r>
      <w:rPr>
        <w:noProof/>
      </w:rPr>
      <w:fldChar w:fldCharType="end"/>
    </w:r>
  </w:p>
  <w:p w:rsidR="0040515E" w:rsidRDefault="0040515E">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CBE" w:rsidRDefault="00A67CBE">
      <w:pPr>
        <w:spacing w:after="0" w:line="240" w:lineRule="auto"/>
      </w:pPr>
      <w:r>
        <w:separator/>
      </w:r>
    </w:p>
  </w:footnote>
  <w:footnote w:type="continuationSeparator" w:id="0">
    <w:p w:rsidR="00A67CBE" w:rsidRDefault="00A67C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4">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069C3CDC"/>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1"/>
  </w:num>
  <w:num w:numId="2">
    <w:abstractNumId w:val="18"/>
  </w:num>
  <w:num w:numId="3">
    <w:abstractNumId w:val="10"/>
  </w:num>
  <w:num w:numId="4">
    <w:abstractNumId w:val="15"/>
  </w:num>
  <w:num w:numId="5">
    <w:abstractNumId w:val="7"/>
  </w:num>
  <w:num w:numId="6">
    <w:abstractNumId w:val="20"/>
  </w:num>
  <w:num w:numId="7">
    <w:abstractNumId w:val="1"/>
  </w:num>
  <w:num w:numId="8">
    <w:abstractNumId w:val="26"/>
  </w:num>
  <w:num w:numId="9">
    <w:abstractNumId w:val="14"/>
  </w:num>
  <w:num w:numId="10">
    <w:abstractNumId w:val="2"/>
  </w:num>
  <w:num w:numId="11">
    <w:abstractNumId w:val="24"/>
  </w:num>
  <w:num w:numId="12">
    <w:abstractNumId w:val="11"/>
  </w:num>
  <w:num w:numId="13">
    <w:abstractNumId w:val="0"/>
  </w:num>
  <w:num w:numId="14">
    <w:abstractNumId w:val="9"/>
  </w:num>
  <w:num w:numId="15">
    <w:abstractNumId w:val="16"/>
  </w:num>
  <w:num w:numId="16">
    <w:abstractNumId w:val="5"/>
  </w:num>
  <w:num w:numId="17">
    <w:abstractNumId w:val="25"/>
  </w:num>
  <w:num w:numId="18">
    <w:abstractNumId w:val="4"/>
  </w:num>
  <w:num w:numId="19">
    <w:abstractNumId w:val="3"/>
  </w:num>
  <w:num w:numId="20">
    <w:abstractNumId w:val="19"/>
  </w:num>
  <w:num w:numId="21">
    <w:abstractNumId w:val="6"/>
  </w:num>
  <w:num w:numId="22">
    <w:abstractNumId w:val="8"/>
  </w:num>
  <w:num w:numId="23">
    <w:abstractNumId w:val="13"/>
  </w:num>
  <w:num w:numId="24">
    <w:abstractNumId w:val="12"/>
  </w:num>
  <w:num w:numId="25">
    <w:abstractNumId w:val="17"/>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EC"/>
    <w:rsid w:val="000A32A6"/>
    <w:rsid w:val="002D37C6"/>
    <w:rsid w:val="003E57C7"/>
    <w:rsid w:val="0040515E"/>
    <w:rsid w:val="00760AA0"/>
    <w:rsid w:val="008869BD"/>
    <w:rsid w:val="008B00EB"/>
    <w:rsid w:val="008B5F8F"/>
    <w:rsid w:val="008D135B"/>
    <w:rsid w:val="00946B8D"/>
    <w:rsid w:val="00A67CBE"/>
    <w:rsid w:val="00A708EC"/>
    <w:rsid w:val="00C46AAC"/>
    <w:rsid w:val="00E41393"/>
    <w:rsid w:val="00F04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10621-832F-4309-AF97-EDE807DB2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s://doi.org/10.1111/j.1745-4530.2002.tb00698.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hyperlink" Target="https://cigrjournal.org/" TargetMode="External"/><Relationship Id="rId38" Type="http://schemas.openxmlformats.org/officeDocument/2006/relationships/hyperlink" Target="https://cigrjournal.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s://cigrjournal.org/" TargetMode="External"/><Relationship Id="rId37" Type="http://schemas.openxmlformats.org/officeDocument/2006/relationships/hyperlink" Target="https://doi.org/10.1016/j.jfoodeng.2004.06.01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hyperlink" Target="https://doi.org/10.4314/njtd.v17i2.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515/1556-3758.2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6388D-414A-40A7-8C7F-958848F5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73</Pages>
  <Words>11612</Words>
  <Characters>66191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16</cp:revision>
  <dcterms:created xsi:type="dcterms:W3CDTF">2025-09-08T18:03:00Z</dcterms:created>
  <dcterms:modified xsi:type="dcterms:W3CDTF">2025-09-18T13:26:00Z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