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1BE" w:rsidRDefault="003E2C3A">
      <w:pPr>
        <w:spacing w:before="240" w:line="480" w:lineRule="auto"/>
        <w:jc w:val="center"/>
        <w:rPr>
          <w:rFonts w:ascii="Tahoma" w:hAnsi="Tahoma" w:cs="Tahoma"/>
          <w:b/>
          <w:sz w:val="32"/>
          <w:szCs w:val="26"/>
        </w:rPr>
      </w:pPr>
      <w:r>
        <w:rPr>
          <w:noProof/>
        </w:rPr>
        <w:drawing>
          <wp:anchor distT="0" distB="0" distL="0" distR="0" simplePos="0" relativeHeight="2" behindDoc="0" locked="0" layoutInCell="1" allowOverlap="1">
            <wp:simplePos x="0" y="0"/>
            <wp:positionH relativeFrom="column">
              <wp:posOffset>2438400</wp:posOffset>
            </wp:positionH>
            <wp:positionV relativeFrom="paragraph">
              <wp:posOffset>-123825</wp:posOffset>
            </wp:positionV>
            <wp:extent cx="876300" cy="638175"/>
            <wp:effectExtent l="0" t="0" r="0" b="9525"/>
            <wp:wrapNone/>
            <wp:docPr id="1026" name="Picture 26" descr="Description: Description: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8" cstate="print"/>
                    <a:srcRect/>
                    <a:stretch/>
                  </pic:blipFill>
                  <pic:spPr>
                    <a:xfrm>
                      <a:off x="0" y="0"/>
                      <a:ext cx="876300" cy="638175"/>
                    </a:xfrm>
                    <a:prstGeom prst="rect">
                      <a:avLst/>
                    </a:prstGeom>
                  </pic:spPr>
                </pic:pic>
              </a:graphicData>
            </a:graphic>
            <wp14:sizeRelH relativeFrom="margin">
              <wp14:pctWidth>0</wp14:pctWidth>
            </wp14:sizeRelH>
            <wp14:sizeRelV relativeFrom="margin">
              <wp14:pctHeight>0</wp14:pctHeight>
            </wp14:sizeRelV>
          </wp:anchor>
        </w:drawing>
      </w:r>
    </w:p>
    <w:p w:rsidR="005F01BE" w:rsidRDefault="003E2C3A">
      <w:pPr>
        <w:spacing w:before="240" w:line="480" w:lineRule="auto"/>
        <w:jc w:val="center"/>
        <w:rPr>
          <w:rFonts w:ascii="Tahoma" w:hAnsi="Tahoma" w:cs="Tahoma"/>
          <w:b/>
          <w:sz w:val="32"/>
          <w:szCs w:val="26"/>
        </w:rPr>
      </w:pPr>
      <w:r>
        <w:rPr>
          <w:rFonts w:ascii="Tahoma" w:hAnsi="Tahoma" w:cs="Tahoma"/>
          <w:b/>
          <w:sz w:val="32"/>
          <w:szCs w:val="26"/>
        </w:rPr>
        <w:t xml:space="preserve">AMELIORATIVE EFFECTS OF </w:t>
      </w:r>
      <w:r>
        <w:rPr>
          <w:rFonts w:ascii="Tahoma" w:hAnsi="Tahoma" w:cs="Tahoma"/>
          <w:b/>
          <w:i/>
          <w:sz w:val="32"/>
          <w:szCs w:val="26"/>
        </w:rPr>
        <w:t>Sida acuta</w:t>
      </w:r>
      <w:r>
        <w:rPr>
          <w:rFonts w:ascii="Tahoma" w:hAnsi="Tahoma" w:cs="Tahoma"/>
          <w:b/>
          <w:sz w:val="32"/>
          <w:szCs w:val="26"/>
        </w:rPr>
        <w:t xml:space="preserve"> ON INDOMETHACIN-INDUCED ULCEROGENIC RATS</w:t>
      </w:r>
    </w:p>
    <w:p w:rsidR="005F01BE" w:rsidRDefault="003E2C3A">
      <w:pPr>
        <w:spacing w:line="480" w:lineRule="auto"/>
        <w:jc w:val="center"/>
        <w:rPr>
          <w:rFonts w:ascii="Tahoma" w:hAnsi="Tahoma" w:cs="Tahoma"/>
          <w:b/>
          <w:bCs/>
          <w:sz w:val="38"/>
          <w:szCs w:val="26"/>
        </w:rPr>
      </w:pPr>
      <w:r>
        <w:rPr>
          <w:rFonts w:ascii="Tahoma" w:hAnsi="Tahoma" w:cs="Tahoma"/>
          <w:b/>
          <w:bCs/>
          <w:sz w:val="38"/>
          <w:szCs w:val="26"/>
        </w:rPr>
        <w:t>Presented By:</w:t>
      </w:r>
    </w:p>
    <w:p w:rsidR="005F01BE" w:rsidRDefault="003E2C3A">
      <w:pPr>
        <w:jc w:val="center"/>
        <w:rPr>
          <w:rFonts w:ascii="Tahoma" w:hAnsi="Tahoma" w:cs="Tahoma"/>
          <w:b/>
          <w:bCs/>
          <w:sz w:val="42"/>
          <w:szCs w:val="26"/>
        </w:rPr>
      </w:pPr>
      <w:r>
        <w:rPr>
          <w:rFonts w:hAnsi="Tahoma" w:cs="Tahoma"/>
          <w:b/>
          <w:bCs/>
          <w:sz w:val="42"/>
          <w:szCs w:val="26"/>
        </w:rPr>
        <w:t>AKANDE TAIWO OLUWAFERANMI</w:t>
      </w:r>
    </w:p>
    <w:p w:rsidR="005F01BE" w:rsidRDefault="003E2C3A">
      <w:pPr>
        <w:jc w:val="center"/>
        <w:rPr>
          <w:rFonts w:ascii="Tahoma" w:hAnsi="Tahoma" w:cs="Tahoma"/>
          <w:b/>
          <w:bCs/>
          <w:sz w:val="36"/>
          <w:szCs w:val="26"/>
        </w:rPr>
      </w:pPr>
      <w:r>
        <w:rPr>
          <w:rFonts w:ascii="Tahoma" w:hAnsi="Tahoma" w:cs="Tahoma"/>
          <w:b/>
          <w:bCs/>
          <w:sz w:val="36"/>
          <w:szCs w:val="26"/>
        </w:rPr>
        <w:t>HND/23/SLT/FT/</w:t>
      </w:r>
      <w:r>
        <w:rPr>
          <w:rFonts w:hAnsi="Tahoma" w:cs="Tahoma"/>
          <w:b/>
          <w:bCs/>
          <w:sz w:val="36"/>
          <w:szCs w:val="26"/>
        </w:rPr>
        <w:t>0715</w:t>
      </w:r>
    </w:p>
    <w:p w:rsidR="005F01BE" w:rsidRDefault="005F01BE">
      <w:pPr>
        <w:spacing w:line="480" w:lineRule="auto"/>
        <w:jc w:val="center"/>
        <w:rPr>
          <w:rFonts w:ascii="Tahoma" w:hAnsi="Tahoma" w:cs="Tahoma"/>
          <w:b/>
          <w:bCs/>
          <w:sz w:val="26"/>
          <w:szCs w:val="26"/>
        </w:rPr>
      </w:pPr>
    </w:p>
    <w:p w:rsidR="005F01BE" w:rsidRDefault="003E2C3A">
      <w:pPr>
        <w:spacing w:line="480" w:lineRule="auto"/>
        <w:jc w:val="center"/>
        <w:rPr>
          <w:rFonts w:ascii="Tahoma" w:hAnsi="Tahoma" w:cs="Tahoma"/>
          <w:b/>
          <w:bCs/>
          <w:sz w:val="16"/>
          <w:szCs w:val="26"/>
        </w:rPr>
      </w:pPr>
      <w:r>
        <w:rPr>
          <w:rFonts w:ascii="Tahoma" w:hAnsi="Tahoma" w:cs="Tahoma"/>
          <w:b/>
          <w:bCs/>
          <w:sz w:val="22"/>
          <w:szCs w:val="26"/>
        </w:rPr>
        <w:t>A RESEARCH PROJECT SUBMITTED TO THE DEPARTMENT OF SCIENCE LABORATORY TECHNOLOGY (BIOCHEMISTRY UNIT), INSTITUTE OF APPLIED SCIENCES, (IAS) KWARA STATE POLYTECHNIC, ILORIN.</w:t>
      </w:r>
    </w:p>
    <w:p w:rsidR="005F01BE" w:rsidRDefault="003E2C3A">
      <w:pPr>
        <w:spacing w:line="480" w:lineRule="auto"/>
        <w:jc w:val="center"/>
        <w:rPr>
          <w:rFonts w:ascii="Tahoma" w:hAnsi="Tahoma" w:cs="Tahoma"/>
          <w:b/>
          <w:bCs/>
          <w:sz w:val="22"/>
          <w:szCs w:val="26"/>
        </w:rPr>
      </w:pPr>
      <w:r>
        <w:rPr>
          <w:rFonts w:ascii="Tahoma" w:hAnsi="Tahoma" w:cs="Tahoma"/>
          <w:b/>
          <w:bCs/>
          <w:sz w:val="22"/>
          <w:szCs w:val="26"/>
        </w:rPr>
        <w:t xml:space="preserve">IN PARTIAL FULFUILMENT OF THE REQUIREMENTS FOR THE AWARD OF HIGHER NATIONAL DIPLOMA </w:t>
      </w:r>
      <w:r>
        <w:rPr>
          <w:rFonts w:ascii="Tahoma" w:hAnsi="Tahoma" w:cs="Tahoma"/>
          <w:b/>
          <w:bCs/>
          <w:sz w:val="22"/>
          <w:szCs w:val="26"/>
        </w:rPr>
        <w:t>(HND) IN SCIENCE LABORATORY TECHNOLOGY.</w:t>
      </w:r>
    </w:p>
    <w:p w:rsidR="005F01BE" w:rsidRDefault="003E2C3A">
      <w:pPr>
        <w:jc w:val="center"/>
        <w:rPr>
          <w:rFonts w:ascii="Tahoma" w:hAnsi="Tahoma" w:cs="Tahoma"/>
          <w:b/>
          <w:bCs/>
          <w:sz w:val="24"/>
          <w:szCs w:val="26"/>
        </w:rPr>
      </w:pPr>
      <w:r>
        <w:rPr>
          <w:rFonts w:ascii="Tahoma" w:hAnsi="Tahoma" w:cs="Tahoma"/>
          <w:b/>
          <w:bCs/>
          <w:sz w:val="24"/>
          <w:szCs w:val="26"/>
        </w:rPr>
        <w:t>SUPERVISED BY</w:t>
      </w:r>
    </w:p>
    <w:p w:rsidR="005F01BE" w:rsidRDefault="003E2C3A">
      <w:pPr>
        <w:jc w:val="center"/>
        <w:rPr>
          <w:b/>
          <w:color w:val="000000"/>
          <w:sz w:val="26"/>
        </w:rPr>
      </w:pPr>
      <w:r>
        <w:rPr>
          <w:b/>
          <w:color w:val="000000"/>
          <w:sz w:val="26"/>
        </w:rPr>
        <w:t xml:space="preserve">DR. (MRS.) HASSAN, I.R. </w:t>
      </w:r>
    </w:p>
    <w:p w:rsidR="00061985" w:rsidRPr="00061985" w:rsidRDefault="00061985" w:rsidP="00061985">
      <w:pPr>
        <w:ind w:left="5760" w:firstLine="720"/>
        <w:jc w:val="center"/>
        <w:rPr>
          <w:rFonts w:ascii="Calibri" w:hAnsi="Calibri" w:cs="SimSun"/>
          <w:b/>
          <w:color w:val="000000"/>
          <w:sz w:val="26"/>
          <w:szCs w:val="22"/>
        </w:rPr>
      </w:pPr>
      <w:r>
        <w:rPr>
          <w:rFonts w:ascii="Tahoma" w:hAnsi="Tahoma" w:cs="Tahoma"/>
          <w:b/>
          <w:color w:val="000000"/>
          <w:szCs w:val="38"/>
        </w:rPr>
        <w:t xml:space="preserve">    JULY, 2025</w:t>
      </w:r>
    </w:p>
    <w:p w:rsidR="005F01BE" w:rsidRPr="00061985" w:rsidRDefault="00061985" w:rsidP="00061985">
      <w:pPr>
        <w:spacing w:line="360" w:lineRule="auto"/>
        <w:jc w:val="center"/>
        <w:rPr>
          <w:b/>
          <w:color w:val="000000"/>
          <w:sz w:val="24"/>
          <w:szCs w:val="24"/>
        </w:rPr>
      </w:pPr>
      <w:r>
        <w:rPr>
          <w:b/>
          <w:noProof/>
          <w:color w:val="000000"/>
          <w:sz w:val="24"/>
          <w:szCs w:val="24"/>
        </w:rPr>
        <w:lastRenderedPageBreak/>
        <w:drawing>
          <wp:inline distT="0" distB="0" distL="0" distR="0">
            <wp:extent cx="5686425" cy="7200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5-09-16 at 15.21.00_9e5e1ad5.jpg"/>
                    <pic:cNvPicPr/>
                  </pic:nvPicPr>
                  <pic:blipFill>
                    <a:blip r:embed="rId9">
                      <a:extLst>
                        <a:ext uri="{28A0092B-C50C-407E-A947-70E740481C1C}">
                          <a14:useLocalDpi xmlns:a14="http://schemas.microsoft.com/office/drawing/2010/main" val="0"/>
                        </a:ext>
                      </a:extLst>
                    </a:blip>
                    <a:stretch>
                      <a:fillRect/>
                    </a:stretch>
                  </pic:blipFill>
                  <pic:spPr>
                    <a:xfrm>
                      <a:off x="0" y="0"/>
                      <a:ext cx="5686425" cy="7200900"/>
                    </a:xfrm>
                    <a:prstGeom prst="rect">
                      <a:avLst/>
                    </a:prstGeom>
                  </pic:spPr>
                </pic:pic>
              </a:graphicData>
            </a:graphic>
          </wp:inline>
        </w:drawing>
      </w:r>
    </w:p>
    <w:p w:rsidR="005F01BE" w:rsidRDefault="003E2C3A">
      <w:pPr>
        <w:spacing w:line="480" w:lineRule="auto"/>
        <w:jc w:val="center"/>
        <w:rPr>
          <w:sz w:val="24"/>
          <w:szCs w:val="24"/>
        </w:rPr>
      </w:pPr>
      <w:r>
        <w:rPr>
          <w:b/>
          <w:sz w:val="24"/>
          <w:szCs w:val="24"/>
        </w:rPr>
        <w:lastRenderedPageBreak/>
        <w:t>DEDICATION</w:t>
      </w:r>
    </w:p>
    <w:p w:rsidR="005F01BE" w:rsidRDefault="003E2C3A">
      <w:pPr>
        <w:spacing w:before="240" w:line="480" w:lineRule="auto"/>
        <w:jc w:val="both"/>
        <w:rPr>
          <w:sz w:val="26"/>
          <w:szCs w:val="24"/>
        </w:rPr>
      </w:pPr>
      <w:r>
        <w:rPr>
          <w:sz w:val="24"/>
          <w:szCs w:val="24"/>
        </w:rPr>
        <w:tab/>
      </w:r>
      <w:r>
        <w:rPr>
          <w:sz w:val="26"/>
          <w:szCs w:val="24"/>
        </w:rPr>
        <w:t xml:space="preserve">This project is dedicated to Almighty God, the beneficent, the most merciful who has been supplying me with abundance wisdom, knowledge, </w:t>
      </w:r>
      <w:proofErr w:type="gramStart"/>
      <w:r>
        <w:rPr>
          <w:sz w:val="26"/>
          <w:szCs w:val="24"/>
        </w:rPr>
        <w:t>understanding</w:t>
      </w:r>
      <w:proofErr w:type="gramEnd"/>
      <w:r>
        <w:rPr>
          <w:sz w:val="26"/>
          <w:szCs w:val="24"/>
        </w:rPr>
        <w:t xml:space="preserve"> and for his love, kindness, favor, grace and mercy over me throughout this course of </w:t>
      </w:r>
      <w:r>
        <w:rPr>
          <w:sz w:val="26"/>
          <w:szCs w:val="24"/>
        </w:rPr>
        <w:t>study and for giving me the privilege and strength to successfully complete this course.</w:t>
      </w:r>
    </w:p>
    <w:p w:rsidR="005F01BE" w:rsidRDefault="005F01BE">
      <w:pPr>
        <w:spacing w:line="360" w:lineRule="auto"/>
        <w:jc w:val="center"/>
        <w:rPr>
          <w:b/>
          <w:sz w:val="24"/>
          <w:szCs w:val="24"/>
        </w:rPr>
      </w:pPr>
    </w:p>
    <w:p w:rsidR="005F01BE" w:rsidRDefault="005F01BE">
      <w:pPr>
        <w:spacing w:line="480" w:lineRule="auto"/>
        <w:jc w:val="center"/>
        <w:rPr>
          <w:b/>
          <w:sz w:val="24"/>
          <w:szCs w:val="24"/>
        </w:rPr>
      </w:pPr>
    </w:p>
    <w:p w:rsidR="005F01BE" w:rsidRDefault="003E2C3A">
      <w:pPr>
        <w:spacing w:line="480" w:lineRule="auto"/>
        <w:jc w:val="both"/>
        <w:rPr>
          <w:b/>
          <w:sz w:val="24"/>
          <w:szCs w:val="24"/>
        </w:rPr>
      </w:pPr>
      <w:r>
        <w:rPr>
          <w:b/>
          <w:sz w:val="24"/>
          <w:szCs w:val="24"/>
        </w:rPr>
        <w:tab/>
      </w:r>
      <w:r>
        <w:rPr>
          <w:b/>
          <w:sz w:val="24"/>
          <w:szCs w:val="24"/>
        </w:rPr>
        <w:tab/>
      </w:r>
      <w:r>
        <w:rPr>
          <w:b/>
          <w:sz w:val="24"/>
          <w:szCs w:val="24"/>
        </w:rPr>
        <w:tab/>
      </w:r>
      <w:r>
        <w:rPr>
          <w:b/>
          <w:sz w:val="24"/>
          <w:szCs w:val="24"/>
        </w:rPr>
        <w:tab/>
      </w: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5F01BE">
      <w:pPr>
        <w:spacing w:line="480" w:lineRule="auto"/>
        <w:jc w:val="both"/>
        <w:rPr>
          <w:b/>
          <w:sz w:val="24"/>
          <w:szCs w:val="24"/>
        </w:rPr>
      </w:pPr>
    </w:p>
    <w:p w:rsidR="005F01BE" w:rsidRDefault="003E2C3A">
      <w:pPr>
        <w:jc w:val="center"/>
        <w:rPr>
          <w:b/>
          <w:sz w:val="24"/>
          <w:szCs w:val="24"/>
        </w:rPr>
      </w:pPr>
      <w:r>
        <w:rPr>
          <w:b/>
          <w:sz w:val="24"/>
          <w:szCs w:val="24"/>
        </w:rPr>
        <w:lastRenderedPageBreak/>
        <w:t>ACKNOWLEDGEMENT</w:t>
      </w:r>
    </w:p>
    <w:p w:rsidR="005F01BE" w:rsidRDefault="003E2C3A">
      <w:pPr>
        <w:spacing w:line="480" w:lineRule="auto"/>
        <w:jc w:val="both"/>
        <w:rPr>
          <w:b/>
          <w:sz w:val="26"/>
          <w:szCs w:val="26"/>
        </w:rPr>
      </w:pPr>
      <w:r>
        <w:rPr>
          <w:sz w:val="26"/>
          <w:szCs w:val="24"/>
        </w:rPr>
        <w:t xml:space="preserve">First and foremost, I am deeply grateful to Almighty God for granting me the strength, wisdom, and perseverance to complete this project </w:t>
      </w:r>
      <w:r>
        <w:rPr>
          <w:sz w:val="26"/>
          <w:szCs w:val="24"/>
        </w:rPr>
        <w:t>successfully.</w:t>
      </w:r>
    </w:p>
    <w:p w:rsidR="005F01BE" w:rsidRDefault="003E2C3A">
      <w:pPr>
        <w:spacing w:line="480" w:lineRule="auto"/>
        <w:jc w:val="both"/>
        <w:rPr>
          <w:b/>
          <w:sz w:val="26"/>
          <w:szCs w:val="26"/>
        </w:rPr>
      </w:pPr>
      <w:r>
        <w:rPr>
          <w:b/>
          <w:sz w:val="26"/>
          <w:szCs w:val="24"/>
        </w:rPr>
        <w:t>I wish to express my sincere appreciation to my supervisor, Dr mrs Hassan for her invaluable guidance, constructive feedback, and unwavering support throughout the course of this work.her expertise and encouragement played a vital role in sha</w:t>
      </w:r>
      <w:r>
        <w:rPr>
          <w:b/>
          <w:sz w:val="26"/>
          <w:szCs w:val="24"/>
        </w:rPr>
        <w:t>ping the outcome of this project.</w:t>
      </w:r>
    </w:p>
    <w:p w:rsidR="005F01BE" w:rsidRDefault="003E2C3A">
      <w:pPr>
        <w:spacing w:line="480" w:lineRule="auto"/>
        <w:jc w:val="both"/>
        <w:rPr>
          <w:b/>
          <w:sz w:val="26"/>
          <w:szCs w:val="26"/>
        </w:rPr>
      </w:pPr>
      <w:r>
        <w:rPr>
          <w:b/>
          <w:sz w:val="26"/>
          <w:szCs w:val="24"/>
        </w:rPr>
        <w:t>I am also profoundly thankful to my family for their unconditional love, patience, and motivation. Their belief in me has been a constant source of strength.</w:t>
      </w:r>
    </w:p>
    <w:p w:rsidR="005F01BE" w:rsidRDefault="003E2C3A">
      <w:pPr>
        <w:spacing w:line="480" w:lineRule="auto"/>
        <w:jc w:val="both"/>
        <w:rPr>
          <w:b/>
          <w:sz w:val="26"/>
          <w:szCs w:val="26"/>
        </w:rPr>
      </w:pPr>
      <w:r>
        <w:rPr>
          <w:b/>
          <w:sz w:val="26"/>
          <w:szCs w:val="24"/>
        </w:rPr>
        <w:t>Finally, I extend my heartfelt thanks to my friends and colleagu</w:t>
      </w:r>
      <w:r>
        <w:rPr>
          <w:b/>
          <w:sz w:val="26"/>
          <w:szCs w:val="24"/>
        </w:rPr>
        <w:t>es who offered helpful insights, moral support, and encouragement along the way.</w:t>
      </w:r>
    </w:p>
    <w:p w:rsidR="005F01BE" w:rsidRDefault="003E2C3A">
      <w:pPr>
        <w:spacing w:line="480" w:lineRule="auto"/>
        <w:jc w:val="both"/>
        <w:rPr>
          <w:b/>
          <w:sz w:val="26"/>
          <w:szCs w:val="26"/>
        </w:rPr>
      </w:pPr>
      <w:r>
        <w:rPr>
          <w:b/>
          <w:sz w:val="26"/>
          <w:szCs w:val="26"/>
        </w:rPr>
        <w:t>This project would not have been possible without the support of all these amazing individuals.</w:t>
      </w:r>
    </w:p>
    <w:p w:rsidR="005F01BE" w:rsidRDefault="005F01BE">
      <w:pPr>
        <w:spacing w:line="480" w:lineRule="auto"/>
        <w:jc w:val="both"/>
        <w:rPr>
          <w:b/>
          <w:sz w:val="26"/>
          <w:szCs w:val="26"/>
        </w:rPr>
      </w:pPr>
    </w:p>
    <w:p w:rsidR="00061985" w:rsidRDefault="00061985">
      <w:pPr>
        <w:spacing w:line="480" w:lineRule="auto"/>
        <w:jc w:val="both"/>
        <w:rPr>
          <w:b/>
          <w:sz w:val="26"/>
          <w:szCs w:val="26"/>
        </w:rPr>
      </w:pPr>
    </w:p>
    <w:p w:rsidR="005F01BE" w:rsidRDefault="005F01BE">
      <w:pPr>
        <w:rPr>
          <w:b/>
          <w:sz w:val="26"/>
          <w:szCs w:val="26"/>
        </w:rPr>
      </w:pPr>
    </w:p>
    <w:p w:rsidR="005F01BE" w:rsidRDefault="003E2C3A">
      <w:pPr>
        <w:jc w:val="center"/>
        <w:rPr>
          <w:b/>
          <w:sz w:val="24"/>
          <w:szCs w:val="26"/>
        </w:rPr>
      </w:pPr>
      <w:r>
        <w:rPr>
          <w:b/>
          <w:sz w:val="24"/>
          <w:szCs w:val="26"/>
        </w:rPr>
        <w:lastRenderedPageBreak/>
        <w:t>TABLE OF CONTENTS</w:t>
      </w:r>
    </w:p>
    <w:p w:rsidR="005F01BE" w:rsidRDefault="003E2C3A">
      <w:pPr>
        <w:spacing w:line="480" w:lineRule="auto"/>
        <w:rPr>
          <w:b/>
          <w:sz w:val="24"/>
          <w:szCs w:val="26"/>
        </w:rPr>
      </w:pPr>
      <w:r>
        <w:rPr>
          <w:b/>
          <w:sz w:val="24"/>
          <w:szCs w:val="26"/>
        </w:rPr>
        <w:t>TITLE PAGE</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w:t>
      </w:r>
    </w:p>
    <w:p w:rsidR="005F01BE" w:rsidRDefault="003E2C3A">
      <w:pPr>
        <w:spacing w:line="480" w:lineRule="auto"/>
        <w:rPr>
          <w:b/>
          <w:sz w:val="24"/>
          <w:szCs w:val="26"/>
        </w:rPr>
      </w:pPr>
      <w:r>
        <w:rPr>
          <w:b/>
          <w:sz w:val="24"/>
          <w:szCs w:val="26"/>
        </w:rPr>
        <w:t>CERTIFICATION</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w:t>
      </w:r>
    </w:p>
    <w:p w:rsidR="005F01BE" w:rsidRDefault="003E2C3A">
      <w:pPr>
        <w:spacing w:line="480" w:lineRule="auto"/>
        <w:rPr>
          <w:b/>
          <w:sz w:val="24"/>
          <w:szCs w:val="26"/>
        </w:rPr>
      </w:pPr>
      <w:r>
        <w:rPr>
          <w:b/>
          <w:sz w:val="24"/>
          <w:szCs w:val="26"/>
        </w:rPr>
        <w:t xml:space="preserve">DEDICATION </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iii</w:t>
      </w:r>
    </w:p>
    <w:p w:rsidR="005F01BE" w:rsidRDefault="003E2C3A">
      <w:pPr>
        <w:spacing w:line="480" w:lineRule="auto"/>
        <w:rPr>
          <w:b/>
          <w:sz w:val="24"/>
          <w:szCs w:val="26"/>
        </w:rPr>
      </w:pPr>
      <w:r>
        <w:rPr>
          <w:b/>
          <w:sz w:val="24"/>
          <w:szCs w:val="26"/>
        </w:rPr>
        <w:t>ACKNOWLEDGEMENTS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iv</w:t>
      </w:r>
    </w:p>
    <w:p w:rsidR="005F01BE" w:rsidRDefault="003E2C3A">
      <w:pPr>
        <w:spacing w:line="480" w:lineRule="auto"/>
        <w:rPr>
          <w:b/>
          <w:sz w:val="24"/>
          <w:szCs w:val="26"/>
        </w:rPr>
      </w:pPr>
      <w:r>
        <w:rPr>
          <w:b/>
          <w:sz w:val="24"/>
          <w:szCs w:val="26"/>
        </w:rPr>
        <w:t>TABLE OF CONTENTS</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w:t>
      </w:r>
    </w:p>
    <w:p w:rsidR="005F01BE" w:rsidRDefault="003E2C3A">
      <w:pPr>
        <w:spacing w:line="480" w:lineRule="auto"/>
        <w:rPr>
          <w:b/>
          <w:sz w:val="24"/>
          <w:szCs w:val="26"/>
        </w:rPr>
      </w:pPr>
      <w:r>
        <w:rPr>
          <w:b/>
          <w:sz w:val="24"/>
          <w:szCs w:val="26"/>
        </w:rPr>
        <w:t>ABSTRACT</w:t>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r>
      <w:r>
        <w:rPr>
          <w:b/>
          <w:sz w:val="24"/>
          <w:szCs w:val="26"/>
        </w:rPr>
        <w:tab/>
        <w:t>viii</w:t>
      </w:r>
    </w:p>
    <w:p w:rsidR="005F01BE" w:rsidRDefault="003E2C3A">
      <w:pPr>
        <w:spacing w:line="360" w:lineRule="auto"/>
        <w:rPr>
          <w:b/>
          <w:sz w:val="24"/>
          <w:szCs w:val="26"/>
        </w:rPr>
      </w:pPr>
      <w:r>
        <w:rPr>
          <w:b/>
          <w:sz w:val="24"/>
          <w:szCs w:val="26"/>
        </w:rPr>
        <w:t>CHAPTER ONE</w:t>
      </w:r>
    </w:p>
    <w:p w:rsidR="005F01BE" w:rsidRDefault="003E2C3A">
      <w:pPr>
        <w:pStyle w:val="ListParagraph"/>
        <w:numPr>
          <w:ilvl w:val="0"/>
          <w:numId w:val="1"/>
        </w:numPr>
        <w:spacing w:after="0" w:line="360" w:lineRule="auto"/>
        <w:jc w:val="both"/>
        <w:rPr>
          <w:bCs/>
          <w:color w:val="000000"/>
          <w:sz w:val="24"/>
          <w:szCs w:val="26"/>
        </w:rPr>
      </w:pPr>
      <w:r>
        <w:rPr>
          <w:b/>
          <w:bCs/>
          <w:color w:val="000000"/>
          <w:sz w:val="24"/>
          <w:szCs w:val="26"/>
        </w:rPr>
        <w:t xml:space="preserve">   INTRODUCTION</w:t>
      </w:r>
      <w:r>
        <w:rPr>
          <w:b/>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w:t>
      </w:r>
    </w:p>
    <w:p w:rsidR="005F01BE" w:rsidRDefault="003E2C3A">
      <w:pPr>
        <w:spacing w:after="0" w:line="480" w:lineRule="auto"/>
        <w:jc w:val="both"/>
        <w:rPr>
          <w:bCs/>
          <w:color w:val="000000"/>
          <w:sz w:val="24"/>
          <w:szCs w:val="26"/>
        </w:rPr>
      </w:pPr>
      <w:r>
        <w:rPr>
          <w:bCs/>
          <w:color w:val="000000"/>
          <w:sz w:val="24"/>
          <w:szCs w:val="26"/>
        </w:rPr>
        <w:t>1.1    Background of the Study</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1-6</w:t>
      </w:r>
    </w:p>
    <w:p w:rsidR="005F01BE" w:rsidRDefault="003E2C3A">
      <w:pPr>
        <w:spacing w:after="0" w:line="480" w:lineRule="auto"/>
        <w:jc w:val="both"/>
        <w:rPr>
          <w:bCs/>
          <w:color w:val="000000"/>
          <w:sz w:val="24"/>
          <w:szCs w:val="26"/>
        </w:rPr>
      </w:pPr>
      <w:r>
        <w:rPr>
          <w:bCs/>
          <w:color w:val="000000"/>
          <w:sz w:val="24"/>
          <w:szCs w:val="26"/>
        </w:rPr>
        <w:t>1.2    Statement of the research problem</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6-7</w:t>
      </w:r>
    </w:p>
    <w:p w:rsidR="005F01BE" w:rsidRDefault="003E2C3A">
      <w:pPr>
        <w:pStyle w:val="NormalWeb"/>
        <w:spacing w:after="0" w:afterAutospacing="0" w:line="480" w:lineRule="auto"/>
        <w:jc w:val="both"/>
        <w:rPr>
          <w:color w:val="000000"/>
          <w:szCs w:val="26"/>
        </w:rPr>
      </w:pPr>
      <w:r>
        <w:rPr>
          <w:color w:val="000000"/>
          <w:szCs w:val="26"/>
        </w:rPr>
        <w:t>1.2    Justification for the Study</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7-8</w:t>
      </w:r>
    </w:p>
    <w:p w:rsidR="005F01BE" w:rsidRDefault="003E2C3A">
      <w:pPr>
        <w:spacing w:after="0" w:line="480" w:lineRule="auto"/>
        <w:jc w:val="both"/>
        <w:rPr>
          <w:color w:val="000000"/>
          <w:sz w:val="24"/>
          <w:szCs w:val="26"/>
        </w:rPr>
      </w:pPr>
      <w:r>
        <w:rPr>
          <w:color w:val="000000"/>
          <w:sz w:val="24"/>
          <w:szCs w:val="26"/>
        </w:rPr>
        <w:t>1.3    Aim and objectives of the study</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8-9</w:t>
      </w:r>
    </w:p>
    <w:p w:rsidR="005F01BE" w:rsidRDefault="003E2C3A">
      <w:pPr>
        <w:spacing w:line="480" w:lineRule="auto"/>
        <w:rPr>
          <w:b/>
          <w:sz w:val="24"/>
          <w:szCs w:val="26"/>
        </w:rPr>
      </w:pPr>
      <w:r>
        <w:rPr>
          <w:b/>
          <w:sz w:val="24"/>
          <w:szCs w:val="26"/>
        </w:rPr>
        <w:t>CHAPTER TWO</w:t>
      </w:r>
    </w:p>
    <w:p w:rsidR="005F01BE" w:rsidRDefault="003E2C3A">
      <w:pPr>
        <w:pStyle w:val="ListParagraph"/>
        <w:numPr>
          <w:ilvl w:val="0"/>
          <w:numId w:val="1"/>
        </w:numPr>
        <w:spacing w:after="0" w:line="480" w:lineRule="auto"/>
        <w:jc w:val="both"/>
        <w:rPr>
          <w:color w:val="000000"/>
          <w:sz w:val="24"/>
          <w:szCs w:val="26"/>
        </w:rPr>
      </w:pPr>
      <w:r>
        <w:rPr>
          <w:b/>
          <w:color w:val="000000"/>
          <w:sz w:val="24"/>
          <w:szCs w:val="26"/>
        </w:rPr>
        <w:t xml:space="preserve">   LITERATURE REVIEW</w:t>
      </w:r>
      <w:r>
        <w:rPr>
          <w:color w:val="000000"/>
          <w:sz w:val="24"/>
          <w:szCs w:val="26"/>
        </w:rPr>
        <w:t xml:space="preserve"> </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10-11</w:t>
      </w:r>
    </w:p>
    <w:p w:rsidR="005F01BE" w:rsidRDefault="003E2C3A">
      <w:pPr>
        <w:spacing w:after="0" w:line="480" w:lineRule="auto"/>
        <w:jc w:val="both"/>
        <w:rPr>
          <w:color w:val="000000"/>
          <w:sz w:val="24"/>
          <w:szCs w:val="26"/>
        </w:rPr>
      </w:pPr>
      <w:r>
        <w:rPr>
          <w:color w:val="000000"/>
          <w:sz w:val="24"/>
          <w:szCs w:val="26"/>
        </w:rPr>
        <w:t>2.1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10-12</w:t>
      </w:r>
    </w:p>
    <w:p w:rsidR="005F01BE" w:rsidRDefault="003E2C3A">
      <w:pPr>
        <w:spacing w:after="0" w:line="480" w:lineRule="auto"/>
        <w:jc w:val="both"/>
        <w:rPr>
          <w:color w:val="000000"/>
          <w:sz w:val="24"/>
          <w:szCs w:val="26"/>
        </w:rPr>
      </w:pPr>
      <w:r>
        <w:rPr>
          <w:color w:val="000000"/>
          <w:sz w:val="24"/>
          <w:szCs w:val="26"/>
        </w:rPr>
        <w:t>2.2    Types of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w:t>
      </w:r>
    </w:p>
    <w:p w:rsidR="005F01BE" w:rsidRDefault="003E2C3A">
      <w:pPr>
        <w:spacing w:after="0" w:line="480" w:lineRule="auto"/>
        <w:jc w:val="both"/>
        <w:rPr>
          <w:color w:val="000000"/>
          <w:sz w:val="24"/>
          <w:szCs w:val="26"/>
        </w:rPr>
      </w:pPr>
      <w:r>
        <w:rPr>
          <w:color w:val="000000"/>
          <w:sz w:val="24"/>
          <w:szCs w:val="26"/>
        </w:rPr>
        <w:t>2.2.1   Peptic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12-14</w:t>
      </w:r>
    </w:p>
    <w:p w:rsidR="005F01BE" w:rsidRDefault="005F01BE">
      <w:pPr>
        <w:spacing w:after="0" w:line="480" w:lineRule="auto"/>
        <w:jc w:val="both"/>
        <w:rPr>
          <w:color w:val="000000"/>
          <w:sz w:val="24"/>
          <w:szCs w:val="26"/>
        </w:rPr>
      </w:pPr>
    </w:p>
    <w:p w:rsidR="005F01BE" w:rsidRDefault="003E2C3A">
      <w:pPr>
        <w:spacing w:after="0" w:line="480" w:lineRule="auto"/>
        <w:jc w:val="both"/>
        <w:rPr>
          <w:color w:val="000000"/>
          <w:sz w:val="24"/>
          <w:szCs w:val="26"/>
        </w:rPr>
      </w:pPr>
      <w:r>
        <w:rPr>
          <w:color w:val="000000"/>
          <w:sz w:val="24"/>
          <w:szCs w:val="26"/>
        </w:rPr>
        <w:t>2.2.2   Skin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14-19</w:t>
      </w:r>
    </w:p>
    <w:p w:rsidR="005F01BE" w:rsidRDefault="003E2C3A">
      <w:pPr>
        <w:spacing w:after="0" w:line="480" w:lineRule="auto"/>
        <w:jc w:val="both"/>
        <w:rPr>
          <w:color w:val="000000"/>
          <w:sz w:val="24"/>
          <w:szCs w:val="26"/>
        </w:rPr>
      </w:pPr>
      <w:r>
        <w:rPr>
          <w:color w:val="000000"/>
          <w:sz w:val="24"/>
          <w:szCs w:val="26"/>
        </w:rPr>
        <w:t>2.2.3   Mouth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19-21</w:t>
      </w:r>
    </w:p>
    <w:p w:rsidR="005F01BE" w:rsidRDefault="003E2C3A">
      <w:pPr>
        <w:spacing w:after="0" w:line="480" w:lineRule="auto"/>
        <w:jc w:val="both"/>
        <w:rPr>
          <w:color w:val="000000"/>
          <w:sz w:val="24"/>
          <w:szCs w:val="26"/>
        </w:rPr>
      </w:pPr>
      <w:r>
        <w:rPr>
          <w:color w:val="000000"/>
          <w:sz w:val="24"/>
          <w:szCs w:val="26"/>
        </w:rPr>
        <w:t>2.2.4   Corneal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21-22</w:t>
      </w:r>
    </w:p>
    <w:p w:rsidR="005F01BE" w:rsidRDefault="003E2C3A">
      <w:pPr>
        <w:spacing w:after="0" w:line="480" w:lineRule="auto"/>
        <w:jc w:val="both"/>
        <w:rPr>
          <w:color w:val="000000"/>
          <w:sz w:val="24"/>
          <w:szCs w:val="26"/>
        </w:rPr>
      </w:pPr>
      <w:r>
        <w:rPr>
          <w:color w:val="000000"/>
          <w:sz w:val="24"/>
          <w:szCs w:val="26"/>
        </w:rPr>
        <w:t>2.2.5   Diabetic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23-24</w:t>
      </w:r>
    </w:p>
    <w:p w:rsidR="005F01BE" w:rsidRDefault="003E2C3A">
      <w:pPr>
        <w:spacing w:after="0" w:line="480" w:lineRule="auto"/>
        <w:jc w:val="both"/>
        <w:rPr>
          <w:color w:val="000000"/>
          <w:sz w:val="24"/>
          <w:szCs w:val="26"/>
        </w:rPr>
      </w:pPr>
      <w:r>
        <w:rPr>
          <w:color w:val="000000"/>
          <w:sz w:val="24"/>
          <w:szCs w:val="26"/>
        </w:rPr>
        <w:t>2.2.6   Stomach Ulcer</w:t>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r>
      <w:r>
        <w:rPr>
          <w:color w:val="000000"/>
          <w:sz w:val="24"/>
          <w:szCs w:val="26"/>
        </w:rPr>
        <w:tab/>
        <w:t>24-26</w:t>
      </w:r>
    </w:p>
    <w:p w:rsidR="005F01BE" w:rsidRDefault="003E2C3A">
      <w:pPr>
        <w:spacing w:after="0" w:line="480" w:lineRule="auto"/>
        <w:jc w:val="both"/>
        <w:rPr>
          <w:bCs/>
          <w:color w:val="000000"/>
          <w:sz w:val="24"/>
          <w:szCs w:val="26"/>
        </w:rPr>
      </w:pPr>
      <w:r>
        <w:rPr>
          <w:bCs/>
          <w:color w:val="000000"/>
          <w:sz w:val="24"/>
          <w:szCs w:val="26"/>
        </w:rPr>
        <w:t>2.3    Causes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w:t>
      </w:r>
    </w:p>
    <w:p w:rsidR="005F01BE" w:rsidRDefault="003E2C3A">
      <w:pPr>
        <w:spacing w:after="0" w:line="480" w:lineRule="auto"/>
        <w:jc w:val="both"/>
        <w:rPr>
          <w:bCs/>
          <w:color w:val="000000"/>
          <w:sz w:val="24"/>
          <w:szCs w:val="26"/>
        </w:rPr>
      </w:pPr>
      <w:r>
        <w:rPr>
          <w:bCs/>
          <w:color w:val="000000"/>
          <w:sz w:val="24"/>
          <w:szCs w:val="26"/>
        </w:rPr>
        <w:t>2.3.1   Psychological Causes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27-28</w:t>
      </w:r>
    </w:p>
    <w:p w:rsidR="005F01BE" w:rsidRDefault="003E2C3A">
      <w:pPr>
        <w:spacing w:after="0" w:line="480" w:lineRule="auto"/>
        <w:jc w:val="both"/>
        <w:rPr>
          <w:bCs/>
          <w:color w:val="000000"/>
          <w:sz w:val="24"/>
          <w:szCs w:val="26"/>
        </w:rPr>
      </w:pPr>
      <w:r>
        <w:rPr>
          <w:bCs/>
          <w:color w:val="000000"/>
          <w:sz w:val="24"/>
          <w:szCs w:val="26"/>
        </w:rPr>
        <w:t>2.3.2   Medication</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28-32</w:t>
      </w:r>
    </w:p>
    <w:p w:rsidR="005F01BE" w:rsidRDefault="003E2C3A">
      <w:pPr>
        <w:spacing w:after="0" w:line="480" w:lineRule="auto"/>
        <w:jc w:val="both"/>
        <w:rPr>
          <w:bCs/>
          <w:color w:val="000000"/>
          <w:sz w:val="24"/>
          <w:szCs w:val="26"/>
        </w:rPr>
      </w:pPr>
      <w:r>
        <w:rPr>
          <w:bCs/>
          <w:color w:val="000000"/>
          <w:sz w:val="24"/>
          <w:szCs w:val="26"/>
        </w:rPr>
        <w:t>2.3.3   Dietary Factors</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32-34</w:t>
      </w:r>
    </w:p>
    <w:p w:rsidR="005F01BE" w:rsidRDefault="003E2C3A">
      <w:pPr>
        <w:spacing w:after="0" w:line="480" w:lineRule="auto"/>
        <w:jc w:val="both"/>
        <w:rPr>
          <w:bCs/>
          <w:color w:val="000000"/>
          <w:sz w:val="24"/>
          <w:szCs w:val="26"/>
        </w:rPr>
      </w:pPr>
      <w:r>
        <w:rPr>
          <w:bCs/>
          <w:color w:val="000000"/>
          <w:sz w:val="24"/>
          <w:szCs w:val="26"/>
        </w:rPr>
        <w:t>2.4      Pathophysiology of Ulcer</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34-36</w:t>
      </w:r>
    </w:p>
    <w:p w:rsidR="005F01BE" w:rsidRDefault="003E2C3A">
      <w:pPr>
        <w:spacing w:after="0" w:line="480" w:lineRule="auto"/>
        <w:jc w:val="both"/>
        <w:rPr>
          <w:sz w:val="24"/>
          <w:szCs w:val="26"/>
        </w:rPr>
      </w:pPr>
      <w:r>
        <w:rPr>
          <w:sz w:val="24"/>
          <w:szCs w:val="26"/>
        </w:rPr>
        <w:t xml:space="preserve">2.5     </w:t>
      </w:r>
      <w:r>
        <w:rPr>
          <w:i/>
          <w:sz w:val="24"/>
          <w:szCs w:val="26"/>
        </w:rPr>
        <w:t>Sida acuta</w:t>
      </w:r>
      <w:r>
        <w:rPr>
          <w:sz w:val="24"/>
          <w:szCs w:val="26"/>
        </w:rPr>
        <w:t xml:space="preserve"> </w:t>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r>
      <w:r>
        <w:rPr>
          <w:sz w:val="24"/>
          <w:szCs w:val="26"/>
        </w:rPr>
        <w:tab/>
        <w:t>36-39</w:t>
      </w:r>
    </w:p>
    <w:p w:rsidR="005F01BE" w:rsidRDefault="003E2C3A">
      <w:pPr>
        <w:pStyle w:val="NormalWeb"/>
        <w:spacing w:before="0" w:beforeAutospacing="0" w:after="0" w:afterAutospacing="0" w:line="480" w:lineRule="auto"/>
        <w:jc w:val="both"/>
        <w:rPr>
          <w:szCs w:val="26"/>
        </w:rPr>
      </w:pPr>
      <w:r>
        <w:rPr>
          <w:szCs w:val="26"/>
        </w:rPr>
        <w:t>2.5.1   Saponin</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39-40</w:t>
      </w:r>
    </w:p>
    <w:p w:rsidR="005F01BE" w:rsidRDefault="003E2C3A">
      <w:pPr>
        <w:pStyle w:val="NormalWeb"/>
        <w:spacing w:before="0" w:beforeAutospacing="0" w:after="0" w:afterAutospacing="0" w:line="480" w:lineRule="auto"/>
        <w:jc w:val="both"/>
        <w:rPr>
          <w:szCs w:val="26"/>
        </w:rPr>
      </w:pPr>
      <w:r>
        <w:rPr>
          <w:szCs w:val="26"/>
        </w:rPr>
        <w:t>2.5.2   Tannins</w:t>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r>
      <w:r>
        <w:rPr>
          <w:szCs w:val="26"/>
        </w:rPr>
        <w:tab/>
        <w:t>40</w:t>
      </w:r>
    </w:p>
    <w:p w:rsidR="005F01BE" w:rsidRDefault="003E2C3A">
      <w:pPr>
        <w:spacing w:after="0" w:line="480" w:lineRule="auto"/>
        <w:jc w:val="both"/>
        <w:rPr>
          <w:rFonts w:eastAsia="Times New Roman"/>
          <w:bCs/>
          <w:sz w:val="24"/>
          <w:szCs w:val="26"/>
        </w:rPr>
      </w:pPr>
      <w:r>
        <w:rPr>
          <w:rFonts w:eastAsia="Times New Roman"/>
          <w:bCs/>
          <w:sz w:val="24"/>
          <w:szCs w:val="26"/>
        </w:rPr>
        <w:t>2.5.3   Flavonoids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41-42</w:t>
      </w:r>
    </w:p>
    <w:p w:rsidR="005F01BE" w:rsidRDefault="003E2C3A">
      <w:pPr>
        <w:spacing w:line="480" w:lineRule="auto"/>
        <w:rPr>
          <w:rFonts w:eastAsia="Times New Roman"/>
          <w:bCs/>
          <w:sz w:val="24"/>
          <w:szCs w:val="26"/>
        </w:rPr>
      </w:pPr>
      <w:r>
        <w:rPr>
          <w:rFonts w:eastAsia="Times New Roman"/>
          <w:bCs/>
          <w:sz w:val="24"/>
          <w:szCs w:val="26"/>
        </w:rPr>
        <w:t>2.5.4   Phenols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42-43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2.6     Mineral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2.6.1 </w:t>
      </w:r>
      <w:r>
        <w:rPr>
          <w:bCs/>
          <w:color w:val="000000"/>
          <w:szCs w:val="26"/>
        </w:rPr>
        <w:t xml:space="preserve">  Calcium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2.6.2    Potassium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44</w:t>
      </w:r>
    </w:p>
    <w:p w:rsidR="005F01BE" w:rsidRDefault="003E2C3A">
      <w:pPr>
        <w:spacing w:line="480" w:lineRule="auto"/>
        <w:rPr>
          <w:bCs/>
          <w:color w:val="000000"/>
          <w:sz w:val="24"/>
          <w:szCs w:val="26"/>
        </w:rPr>
      </w:pPr>
      <w:r>
        <w:rPr>
          <w:bCs/>
          <w:color w:val="000000"/>
          <w:sz w:val="24"/>
          <w:szCs w:val="26"/>
        </w:rPr>
        <w:t xml:space="preserve">2.6.3   Sodium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44-45</w:t>
      </w:r>
    </w:p>
    <w:p w:rsidR="005F01BE" w:rsidRDefault="003E2C3A">
      <w:pPr>
        <w:spacing w:after="0" w:line="480" w:lineRule="auto"/>
        <w:jc w:val="both"/>
        <w:rPr>
          <w:bCs/>
          <w:color w:val="000000"/>
          <w:sz w:val="24"/>
          <w:szCs w:val="26"/>
        </w:rPr>
      </w:pPr>
      <w:r>
        <w:rPr>
          <w:bCs/>
          <w:color w:val="000000"/>
          <w:sz w:val="24"/>
          <w:szCs w:val="26"/>
        </w:rPr>
        <w:lastRenderedPageBreak/>
        <w:t xml:space="preserve">2.6.4   Phosphorus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45-46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2.6.5   Iron and copper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2.6.6   Aluminum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2.7     Proximate composition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47</w:t>
      </w:r>
    </w:p>
    <w:p w:rsidR="005F01BE" w:rsidRDefault="003E2C3A">
      <w:pPr>
        <w:pStyle w:val="NormalWeb"/>
        <w:spacing w:before="0" w:beforeAutospacing="0" w:after="0" w:afterAutospacing="0" w:line="480" w:lineRule="auto"/>
        <w:jc w:val="both"/>
        <w:rPr>
          <w:bCs/>
          <w:color w:val="000000"/>
          <w:szCs w:val="26"/>
          <w:lang w:val="fr-FR"/>
        </w:rPr>
      </w:pPr>
      <w:r>
        <w:rPr>
          <w:color w:val="000000"/>
          <w:szCs w:val="26"/>
          <w:lang w:val="fr-FR"/>
        </w:rPr>
        <w:t>2</w:t>
      </w:r>
      <w:r>
        <w:rPr>
          <w:bCs/>
          <w:color w:val="000000"/>
          <w:szCs w:val="26"/>
          <w:lang w:val="fr-FR"/>
        </w:rPr>
        <w:t xml:space="preserve">.7.1   Moisture content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47</w:t>
      </w:r>
      <w:r>
        <w:rPr>
          <w:bCs/>
          <w:color w:val="000000"/>
          <w:szCs w:val="26"/>
          <w:lang w:val="fr-FR"/>
        </w:rPr>
        <w:t>-48</w:t>
      </w:r>
    </w:p>
    <w:p w:rsidR="005F01BE" w:rsidRDefault="003E2C3A">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2.7.2   Crude protein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48-49</w:t>
      </w:r>
    </w:p>
    <w:p w:rsidR="005F01BE" w:rsidRDefault="003E2C3A">
      <w:pPr>
        <w:pStyle w:val="NormalWeb"/>
        <w:spacing w:before="0" w:beforeAutospacing="0" w:after="0" w:afterAutospacing="0" w:line="480" w:lineRule="auto"/>
        <w:jc w:val="both"/>
        <w:rPr>
          <w:bCs/>
          <w:color w:val="000000"/>
          <w:szCs w:val="26"/>
          <w:lang w:val="fr-FR"/>
        </w:rPr>
      </w:pPr>
      <w:r>
        <w:rPr>
          <w:bCs/>
          <w:color w:val="000000"/>
          <w:szCs w:val="26"/>
          <w:lang w:val="fr-FR"/>
        </w:rPr>
        <w:t xml:space="preserve">2.7.3   Crude ash </w:t>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r>
      <w:r>
        <w:rPr>
          <w:bCs/>
          <w:color w:val="000000"/>
          <w:szCs w:val="26"/>
          <w:lang w:val="fr-FR"/>
        </w:rPr>
        <w:tab/>
        <w:t>49</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2.7.4   Lipid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50</w:t>
      </w:r>
    </w:p>
    <w:p w:rsidR="005F01BE" w:rsidRDefault="003E2C3A">
      <w:pPr>
        <w:spacing w:after="0" w:line="480" w:lineRule="auto"/>
        <w:jc w:val="both"/>
        <w:rPr>
          <w:bCs/>
          <w:color w:val="000000"/>
          <w:sz w:val="24"/>
          <w:szCs w:val="26"/>
        </w:rPr>
      </w:pPr>
      <w:r>
        <w:rPr>
          <w:bCs/>
          <w:color w:val="000000"/>
          <w:sz w:val="24"/>
          <w:szCs w:val="26"/>
        </w:rPr>
        <w:t xml:space="preserve">2.7.5   Crude fibre </w:t>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r>
      <w:r>
        <w:rPr>
          <w:bCs/>
          <w:color w:val="000000"/>
          <w:sz w:val="24"/>
          <w:szCs w:val="26"/>
        </w:rPr>
        <w:tab/>
        <w:t>51</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2.8     Non enzymatic antioxidant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2.8.1   Total phenolic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2.8.2   Total flavonoid content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w:t>
      </w:r>
      <w:r>
        <w:rPr>
          <w:bCs/>
          <w:color w:val="000000"/>
          <w:szCs w:val="26"/>
        </w:rPr>
        <w:t>2-53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2.8.3   Ferric reducing antioxidant power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54-55</w:t>
      </w:r>
    </w:p>
    <w:p w:rsidR="005F01BE" w:rsidRDefault="003E2C3A">
      <w:pPr>
        <w:pStyle w:val="NormalWeb"/>
        <w:spacing w:before="0" w:beforeAutospacing="0" w:after="0" w:afterAutospacing="0" w:line="480" w:lineRule="auto"/>
        <w:jc w:val="both"/>
        <w:rPr>
          <w:bCs/>
          <w:color w:val="000000"/>
          <w:szCs w:val="26"/>
        </w:rPr>
      </w:pPr>
      <w:r>
        <w:rPr>
          <w:bCs/>
          <w:color w:val="000000"/>
          <w:szCs w:val="26"/>
        </w:rPr>
        <w:t>2.8.4   2,2-azino-bis C3 ethylbenzothiazoline-b-sulphonic acid (ABTS)</w:t>
      </w:r>
      <w:r>
        <w:rPr>
          <w:bCs/>
          <w:color w:val="000000"/>
          <w:szCs w:val="26"/>
        </w:rPr>
        <w:tab/>
      </w:r>
      <w:r>
        <w:rPr>
          <w:bCs/>
          <w:color w:val="000000"/>
          <w:szCs w:val="26"/>
        </w:rPr>
        <w:tab/>
        <w:t>55-56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2.8.5   2,2-diphenyl-1-pycrylhydraxyl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2.9    Organ studied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2.9.1   Stomach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w:t>
      </w:r>
    </w:p>
    <w:p w:rsidR="005F01BE" w:rsidRDefault="003E2C3A">
      <w:pPr>
        <w:pStyle w:val="NormalWeb"/>
        <w:spacing w:before="0" w:beforeAutospacing="0" w:after="0" w:afterAutospacing="0" w:line="480" w:lineRule="auto"/>
        <w:jc w:val="both"/>
        <w:rPr>
          <w:bCs/>
          <w:color w:val="000000"/>
          <w:szCs w:val="26"/>
        </w:rPr>
      </w:pPr>
      <w:r>
        <w:rPr>
          <w:bCs/>
          <w:color w:val="000000"/>
          <w:szCs w:val="26"/>
        </w:rPr>
        <w:t>2.</w:t>
      </w:r>
      <w:r>
        <w:rPr>
          <w:bCs/>
          <w:color w:val="000000"/>
          <w:szCs w:val="26"/>
        </w:rPr>
        <w:t xml:space="preserve">9.2   Liver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57-58</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2.9.3   Duodenum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2.10   Hematological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58-59</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2.10.1   Red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59-60</w:t>
      </w:r>
    </w:p>
    <w:p w:rsidR="005F01BE" w:rsidRDefault="003E2C3A">
      <w:pPr>
        <w:pStyle w:val="NormalWeb"/>
        <w:spacing w:before="0" w:beforeAutospacing="0" w:after="0" w:afterAutospacing="0" w:line="480" w:lineRule="auto"/>
        <w:jc w:val="both"/>
        <w:rPr>
          <w:bCs/>
          <w:color w:val="000000"/>
          <w:szCs w:val="26"/>
        </w:rPr>
      </w:pPr>
      <w:r>
        <w:rPr>
          <w:bCs/>
          <w:color w:val="000000"/>
          <w:szCs w:val="26"/>
        </w:rPr>
        <w:lastRenderedPageBreak/>
        <w:t xml:space="preserve">2.10.2   Hemoglobin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60-61</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2.10.3   Hematocrit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61-62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2.10.4   White blood cell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62-63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2.10.5    Platelet count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     Total protein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63-64</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2.11.1   Liver function indices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64-65</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2.11.2   Alanine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65</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2.11.3    Aspartate amino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65-66</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2.11.4    Alkaline phosphatase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66-67</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2.11.5    Albumin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67</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2.11.6   Bilirubin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68</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    Antioxidant and lipid peroxidation parameters </w:t>
      </w:r>
      <w:r>
        <w:rPr>
          <w:bCs/>
          <w:color w:val="000000"/>
          <w:szCs w:val="26"/>
        </w:rPr>
        <w:tab/>
      </w:r>
      <w:r>
        <w:rPr>
          <w:bCs/>
          <w:color w:val="000000"/>
          <w:szCs w:val="26"/>
        </w:rPr>
        <w:tab/>
      </w:r>
      <w:r>
        <w:rPr>
          <w:bCs/>
          <w:color w:val="000000"/>
          <w:szCs w:val="26"/>
        </w:rPr>
        <w:tab/>
      </w:r>
      <w:r>
        <w:rPr>
          <w:bCs/>
          <w:color w:val="000000"/>
          <w:szCs w:val="26"/>
        </w:rPr>
        <w:tab/>
        <w:t>68-69</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2.12.1   Superoxide dismutase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69</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2.12.2   Catalase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2.12.3   Glutathione transferase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70</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2.12.4   </w:t>
      </w:r>
      <w:r>
        <w:rPr>
          <w:bCs/>
          <w:color w:val="000000"/>
          <w:szCs w:val="26"/>
        </w:rPr>
        <w:t>Glutathione peroxidase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71-72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2.12.5   Glutathione reductase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2.12.7   Malondialdehyde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72</w:t>
      </w:r>
    </w:p>
    <w:p w:rsidR="005F01BE" w:rsidRDefault="003E2C3A">
      <w:pPr>
        <w:pStyle w:val="NormalWeb"/>
        <w:spacing w:before="0" w:beforeAutospacing="0" w:after="0" w:afterAutospacing="0" w:line="480" w:lineRule="auto"/>
        <w:jc w:val="both"/>
        <w:rPr>
          <w:bCs/>
          <w:color w:val="000000"/>
          <w:szCs w:val="26"/>
        </w:rPr>
      </w:pPr>
      <w:r>
        <w:rPr>
          <w:bCs/>
          <w:color w:val="000000"/>
          <w:szCs w:val="26"/>
        </w:rPr>
        <w:t xml:space="preserve">2.12.8   Mycloperoxidase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73</w:t>
      </w:r>
    </w:p>
    <w:p w:rsidR="005F01BE" w:rsidRDefault="003E2C3A">
      <w:pPr>
        <w:pStyle w:val="NormalWeb"/>
        <w:spacing w:before="0" w:beforeAutospacing="0" w:after="0" w:afterAutospacing="0" w:line="360" w:lineRule="auto"/>
        <w:jc w:val="both"/>
        <w:rPr>
          <w:b/>
          <w:bCs/>
          <w:color w:val="000000"/>
          <w:szCs w:val="26"/>
        </w:rPr>
      </w:pPr>
      <w:r>
        <w:rPr>
          <w:b/>
          <w:bCs/>
          <w:color w:val="000000"/>
          <w:szCs w:val="26"/>
        </w:rPr>
        <w:t>CHAPTER THREE</w:t>
      </w:r>
    </w:p>
    <w:p w:rsidR="005F01BE" w:rsidRDefault="003E2C3A">
      <w:pPr>
        <w:pStyle w:val="NormalWeb"/>
        <w:spacing w:after="0" w:line="360" w:lineRule="auto"/>
        <w:jc w:val="both"/>
        <w:rPr>
          <w:b/>
          <w:bCs/>
          <w:color w:val="000000"/>
          <w:szCs w:val="26"/>
        </w:rPr>
      </w:pPr>
      <w:r>
        <w:rPr>
          <w:b/>
          <w:bCs/>
          <w:color w:val="000000"/>
          <w:szCs w:val="26"/>
        </w:rPr>
        <w:t>3.0   MATERIALS AND METHODS</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75</w:t>
      </w:r>
    </w:p>
    <w:p w:rsidR="005F01BE" w:rsidRDefault="003E2C3A">
      <w:pPr>
        <w:pStyle w:val="NormalWeb"/>
        <w:spacing w:after="0" w:line="360" w:lineRule="auto"/>
        <w:jc w:val="both"/>
        <w:rPr>
          <w:bCs/>
          <w:color w:val="000000"/>
          <w:szCs w:val="26"/>
        </w:rPr>
      </w:pPr>
      <w:r>
        <w:rPr>
          <w:bCs/>
          <w:color w:val="000000"/>
          <w:szCs w:val="26"/>
        </w:rPr>
        <w:lastRenderedPageBreak/>
        <w:t>3.1   Materials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5F01BE" w:rsidRDefault="003E2C3A">
      <w:pPr>
        <w:pStyle w:val="NormalWeb"/>
        <w:spacing w:after="0" w:line="360" w:lineRule="auto"/>
        <w:jc w:val="both"/>
        <w:rPr>
          <w:bCs/>
          <w:color w:val="000000"/>
          <w:szCs w:val="26"/>
        </w:rPr>
      </w:pPr>
      <w:r>
        <w:rPr>
          <w:bCs/>
          <w:color w:val="000000"/>
          <w:szCs w:val="26"/>
        </w:rPr>
        <w:t>3.1.1   Plant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5F01BE" w:rsidRDefault="003E2C3A">
      <w:pPr>
        <w:pStyle w:val="NormalWeb"/>
        <w:spacing w:after="0" w:line="360" w:lineRule="auto"/>
        <w:jc w:val="both"/>
        <w:rPr>
          <w:bCs/>
          <w:color w:val="000000"/>
          <w:szCs w:val="26"/>
        </w:rPr>
      </w:pPr>
      <w:r>
        <w:rPr>
          <w:bCs/>
          <w:color w:val="000000"/>
          <w:szCs w:val="26"/>
        </w:rPr>
        <w:t>3.1.2   Animal Material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w:t>
      </w:r>
    </w:p>
    <w:p w:rsidR="005F01BE" w:rsidRDefault="003E2C3A">
      <w:pPr>
        <w:pStyle w:val="NormalWeb"/>
        <w:spacing w:after="0" w:line="360" w:lineRule="auto"/>
        <w:jc w:val="both"/>
        <w:rPr>
          <w:bCs/>
          <w:color w:val="000000"/>
          <w:szCs w:val="26"/>
        </w:rPr>
      </w:pPr>
      <w:r>
        <w:rPr>
          <w:bCs/>
          <w:color w:val="000000"/>
          <w:szCs w:val="26"/>
        </w:rPr>
        <w:t xml:space="preserve">3.1.3   Chemicals and Reagents </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75-76</w:t>
      </w:r>
    </w:p>
    <w:p w:rsidR="005F01BE" w:rsidRDefault="003E2C3A">
      <w:pPr>
        <w:pStyle w:val="NormalWeb"/>
        <w:spacing w:after="0" w:line="360" w:lineRule="auto"/>
        <w:jc w:val="both"/>
        <w:rPr>
          <w:bCs/>
          <w:color w:val="000000"/>
          <w:szCs w:val="26"/>
        </w:rPr>
      </w:pPr>
      <w:r>
        <w:rPr>
          <w:bCs/>
          <w:color w:val="000000"/>
          <w:szCs w:val="26"/>
        </w:rPr>
        <w:t>3.2   Methods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5F01BE" w:rsidRDefault="003E2C3A">
      <w:pPr>
        <w:pStyle w:val="NormalWeb"/>
        <w:spacing w:after="0" w:line="360" w:lineRule="auto"/>
        <w:jc w:val="both"/>
        <w:rPr>
          <w:bCs/>
          <w:color w:val="000000"/>
          <w:szCs w:val="26"/>
        </w:rPr>
      </w:pPr>
      <w:r>
        <w:rPr>
          <w:bCs/>
          <w:color w:val="000000"/>
          <w:szCs w:val="26"/>
        </w:rPr>
        <w:t>3.2.1   Preparation of the Plant Extract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76</w:t>
      </w:r>
    </w:p>
    <w:p w:rsidR="005F01BE" w:rsidRDefault="003E2C3A">
      <w:pPr>
        <w:pStyle w:val="NormalWeb"/>
        <w:spacing w:after="0" w:line="360" w:lineRule="auto"/>
        <w:jc w:val="both"/>
        <w:rPr>
          <w:bCs/>
          <w:color w:val="000000"/>
          <w:szCs w:val="26"/>
        </w:rPr>
      </w:pPr>
      <w:r>
        <w:rPr>
          <w:bCs/>
          <w:color w:val="000000"/>
          <w:szCs w:val="26"/>
        </w:rPr>
        <w:t>3.2.2   Determination of the weight of the Albino Rats</w:t>
      </w:r>
      <w:r>
        <w:rPr>
          <w:bCs/>
          <w:color w:val="000000"/>
          <w:szCs w:val="26"/>
        </w:rPr>
        <w:tab/>
      </w:r>
      <w:r>
        <w:rPr>
          <w:bCs/>
          <w:color w:val="000000"/>
          <w:szCs w:val="26"/>
        </w:rPr>
        <w:tab/>
      </w:r>
      <w:r>
        <w:rPr>
          <w:bCs/>
          <w:color w:val="000000"/>
          <w:szCs w:val="26"/>
        </w:rPr>
        <w:tab/>
      </w:r>
      <w:r>
        <w:rPr>
          <w:bCs/>
          <w:color w:val="000000"/>
          <w:szCs w:val="26"/>
        </w:rPr>
        <w:tab/>
        <w:t>76-77</w:t>
      </w:r>
    </w:p>
    <w:p w:rsidR="005F01BE" w:rsidRDefault="003E2C3A">
      <w:pPr>
        <w:pStyle w:val="NormalWeb"/>
        <w:spacing w:after="0" w:line="360" w:lineRule="auto"/>
        <w:jc w:val="both"/>
        <w:rPr>
          <w:bCs/>
          <w:color w:val="000000"/>
          <w:szCs w:val="26"/>
        </w:rPr>
      </w:pPr>
      <w:r>
        <w:rPr>
          <w:bCs/>
          <w:color w:val="000000"/>
          <w:szCs w:val="26"/>
        </w:rPr>
        <w:t xml:space="preserve">3.2.3   Qualitative and </w:t>
      </w:r>
      <w:r>
        <w:rPr>
          <w:bCs/>
          <w:color w:val="000000"/>
          <w:szCs w:val="26"/>
        </w:rPr>
        <w:t>Quantitative Phytochemical</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5F01BE" w:rsidRDefault="003E2C3A">
      <w:pPr>
        <w:pStyle w:val="NormalWeb"/>
        <w:spacing w:after="0" w:line="360" w:lineRule="auto"/>
        <w:jc w:val="both"/>
        <w:rPr>
          <w:bCs/>
          <w:color w:val="000000"/>
          <w:szCs w:val="26"/>
        </w:rPr>
      </w:pPr>
      <w:r>
        <w:rPr>
          <w:bCs/>
          <w:color w:val="000000"/>
          <w:szCs w:val="26"/>
        </w:rPr>
        <w:t>3.2.3.1   Determination of Saponin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5F01BE" w:rsidRDefault="003E2C3A">
      <w:pPr>
        <w:pStyle w:val="NormalWeb"/>
        <w:spacing w:after="0" w:line="360" w:lineRule="auto"/>
        <w:jc w:val="both"/>
        <w:rPr>
          <w:bCs/>
          <w:color w:val="000000"/>
          <w:szCs w:val="26"/>
        </w:rPr>
      </w:pPr>
      <w:r>
        <w:rPr>
          <w:bCs/>
          <w:color w:val="000000"/>
          <w:szCs w:val="26"/>
        </w:rPr>
        <w:t>13.2.3.2   Determination of Tannins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77</w:t>
      </w:r>
    </w:p>
    <w:p w:rsidR="005F01BE" w:rsidRDefault="003E2C3A">
      <w:pPr>
        <w:pStyle w:val="NormalWeb"/>
        <w:spacing w:after="0" w:line="360" w:lineRule="auto"/>
        <w:jc w:val="both"/>
        <w:rPr>
          <w:bCs/>
          <w:color w:val="000000"/>
          <w:szCs w:val="26"/>
        </w:rPr>
      </w:pPr>
      <w:r>
        <w:rPr>
          <w:bCs/>
          <w:color w:val="000000"/>
          <w:szCs w:val="26"/>
        </w:rPr>
        <w:t>3.2.3.3   Determination of Flavonoids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5F01BE" w:rsidRDefault="003E2C3A">
      <w:pPr>
        <w:pStyle w:val="NormalWeb"/>
        <w:spacing w:after="0" w:line="360" w:lineRule="auto"/>
        <w:jc w:val="both"/>
        <w:rPr>
          <w:bCs/>
          <w:color w:val="000000"/>
          <w:szCs w:val="26"/>
        </w:rPr>
      </w:pPr>
      <w:r>
        <w:rPr>
          <w:bCs/>
          <w:color w:val="000000"/>
          <w:szCs w:val="26"/>
        </w:rPr>
        <w:t>3.2.3.4   Determination of Phenols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5F01BE" w:rsidRDefault="003E2C3A">
      <w:pPr>
        <w:pStyle w:val="NormalWeb"/>
        <w:spacing w:after="0" w:line="360" w:lineRule="auto"/>
        <w:jc w:val="both"/>
        <w:rPr>
          <w:bCs/>
          <w:color w:val="000000"/>
          <w:szCs w:val="26"/>
        </w:rPr>
      </w:pPr>
      <w:r>
        <w:rPr>
          <w:bCs/>
          <w:color w:val="000000"/>
          <w:szCs w:val="26"/>
        </w:rPr>
        <w:t>3.2.3.5   Determination of Glycosides.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5F01BE" w:rsidRDefault="003E2C3A">
      <w:pPr>
        <w:pStyle w:val="NormalWeb"/>
        <w:spacing w:after="0" w:line="360" w:lineRule="auto"/>
        <w:jc w:val="both"/>
        <w:rPr>
          <w:bCs/>
          <w:color w:val="000000"/>
          <w:szCs w:val="26"/>
        </w:rPr>
      </w:pPr>
      <w:r>
        <w:rPr>
          <w:bCs/>
          <w:color w:val="000000"/>
          <w:szCs w:val="26"/>
        </w:rPr>
        <w:t>3.2.4     Proximate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w:t>
      </w:r>
    </w:p>
    <w:p w:rsidR="005F01BE" w:rsidRDefault="003E2C3A">
      <w:pPr>
        <w:pStyle w:val="NormalWeb"/>
        <w:spacing w:after="0" w:line="360" w:lineRule="auto"/>
        <w:jc w:val="both"/>
        <w:rPr>
          <w:bCs/>
          <w:color w:val="000000"/>
          <w:szCs w:val="26"/>
        </w:rPr>
      </w:pPr>
      <w:r>
        <w:rPr>
          <w:bCs/>
          <w:color w:val="000000"/>
          <w:szCs w:val="26"/>
        </w:rPr>
        <w:t>3.2.4.1   Determination of moisture Content</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78-79</w:t>
      </w:r>
    </w:p>
    <w:p w:rsidR="005F01BE" w:rsidRDefault="003E2C3A">
      <w:pPr>
        <w:pStyle w:val="NormalWeb"/>
        <w:spacing w:after="0" w:line="360" w:lineRule="auto"/>
        <w:jc w:val="both"/>
        <w:rPr>
          <w:bCs/>
          <w:color w:val="000000"/>
          <w:szCs w:val="26"/>
        </w:rPr>
      </w:pPr>
      <w:r>
        <w:rPr>
          <w:bCs/>
          <w:color w:val="000000"/>
          <w:szCs w:val="26"/>
        </w:rPr>
        <w:t>3.2.4.2   Determination of Crude Protein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79</w:t>
      </w:r>
    </w:p>
    <w:p w:rsidR="005F01BE" w:rsidRDefault="003E2C3A">
      <w:pPr>
        <w:pStyle w:val="NormalWeb"/>
        <w:spacing w:after="0" w:line="360" w:lineRule="auto"/>
        <w:jc w:val="both"/>
        <w:rPr>
          <w:bCs/>
          <w:color w:val="000000"/>
          <w:szCs w:val="26"/>
        </w:rPr>
      </w:pPr>
      <w:r>
        <w:rPr>
          <w:bCs/>
          <w:color w:val="000000"/>
          <w:szCs w:val="26"/>
        </w:rPr>
        <w:t>3.2.4.3   Determination of Crude Ash.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80</w:t>
      </w:r>
    </w:p>
    <w:p w:rsidR="005F01BE" w:rsidRDefault="003E2C3A">
      <w:pPr>
        <w:pStyle w:val="NormalWeb"/>
        <w:spacing w:after="0" w:line="360" w:lineRule="auto"/>
        <w:jc w:val="both"/>
        <w:rPr>
          <w:bCs/>
          <w:color w:val="000000"/>
          <w:szCs w:val="26"/>
        </w:rPr>
      </w:pPr>
      <w:r>
        <w:rPr>
          <w:bCs/>
          <w:color w:val="000000"/>
          <w:szCs w:val="26"/>
        </w:rPr>
        <w:lastRenderedPageBreak/>
        <w:t>3.2.4.4   Determination of Lipid</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w:t>
      </w:r>
    </w:p>
    <w:p w:rsidR="005F01BE" w:rsidRDefault="003E2C3A">
      <w:pPr>
        <w:pStyle w:val="NormalWeb"/>
        <w:spacing w:after="0" w:line="360" w:lineRule="auto"/>
        <w:jc w:val="both"/>
        <w:rPr>
          <w:bCs/>
          <w:color w:val="000000"/>
          <w:szCs w:val="26"/>
        </w:rPr>
      </w:pPr>
      <w:r>
        <w:rPr>
          <w:bCs/>
          <w:color w:val="000000"/>
          <w:szCs w:val="26"/>
        </w:rPr>
        <w:t>3.2.4.5   Determinati</w:t>
      </w:r>
      <w:r>
        <w:rPr>
          <w:bCs/>
          <w:color w:val="000000"/>
          <w:szCs w:val="26"/>
        </w:rPr>
        <w:t>on of Fibre</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81-82</w:t>
      </w:r>
    </w:p>
    <w:p w:rsidR="005F01BE" w:rsidRDefault="003E2C3A">
      <w:pPr>
        <w:pStyle w:val="NormalWeb"/>
        <w:spacing w:after="0" w:line="360" w:lineRule="auto"/>
        <w:jc w:val="both"/>
        <w:rPr>
          <w:bCs/>
          <w:color w:val="000000"/>
          <w:szCs w:val="26"/>
        </w:rPr>
      </w:pPr>
      <w:r>
        <w:rPr>
          <w:bCs/>
          <w:color w:val="000000"/>
          <w:szCs w:val="26"/>
        </w:rPr>
        <w:t>3.2.5    Mineral Analysis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5F01BE" w:rsidRDefault="003E2C3A">
      <w:pPr>
        <w:pStyle w:val="NormalWeb"/>
        <w:spacing w:after="0" w:line="360" w:lineRule="auto"/>
        <w:jc w:val="both"/>
        <w:rPr>
          <w:bCs/>
          <w:color w:val="000000"/>
          <w:szCs w:val="26"/>
        </w:rPr>
      </w:pPr>
      <w:r>
        <w:rPr>
          <w:bCs/>
          <w:color w:val="000000"/>
          <w:szCs w:val="26"/>
        </w:rPr>
        <w:t>3.2.5.1   Calcuim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5F01BE" w:rsidRDefault="003E2C3A">
      <w:pPr>
        <w:pStyle w:val="NormalWeb"/>
        <w:spacing w:after="0" w:line="360" w:lineRule="auto"/>
        <w:jc w:val="both"/>
        <w:rPr>
          <w:bCs/>
          <w:color w:val="000000"/>
          <w:szCs w:val="26"/>
        </w:rPr>
      </w:pPr>
      <w:r>
        <w:rPr>
          <w:bCs/>
          <w:color w:val="000000"/>
          <w:szCs w:val="26"/>
        </w:rPr>
        <w:t>3.2.5.2   Sodium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5F01BE" w:rsidRDefault="003E2C3A">
      <w:pPr>
        <w:pStyle w:val="NormalWeb"/>
        <w:spacing w:after="0" w:line="360" w:lineRule="auto"/>
        <w:jc w:val="both"/>
        <w:rPr>
          <w:bCs/>
          <w:color w:val="000000"/>
          <w:szCs w:val="26"/>
        </w:rPr>
      </w:pPr>
      <w:r>
        <w:rPr>
          <w:bCs/>
          <w:color w:val="000000"/>
          <w:szCs w:val="26"/>
        </w:rPr>
        <w:t>3.2.5.3   Potassium</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83</w:t>
      </w:r>
    </w:p>
    <w:p w:rsidR="005F01BE" w:rsidRDefault="003E2C3A">
      <w:pPr>
        <w:pStyle w:val="NormalWeb"/>
        <w:spacing w:after="0" w:line="360" w:lineRule="auto"/>
        <w:jc w:val="both"/>
        <w:rPr>
          <w:bCs/>
          <w:color w:val="000000"/>
          <w:szCs w:val="26"/>
        </w:rPr>
      </w:pPr>
      <w:r>
        <w:rPr>
          <w:bCs/>
          <w:color w:val="000000"/>
          <w:szCs w:val="26"/>
        </w:rPr>
        <w:t>3.2.5.4   Phosphorus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5F01BE" w:rsidRDefault="003E2C3A">
      <w:pPr>
        <w:pStyle w:val="NormalWeb"/>
        <w:spacing w:after="0" w:line="360" w:lineRule="auto"/>
        <w:jc w:val="both"/>
        <w:rPr>
          <w:bCs/>
          <w:color w:val="000000"/>
          <w:szCs w:val="26"/>
        </w:rPr>
      </w:pPr>
      <w:r>
        <w:rPr>
          <w:bCs/>
          <w:color w:val="000000"/>
          <w:szCs w:val="26"/>
        </w:rPr>
        <w:t>3.2.5.5   Iron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84</w:t>
      </w:r>
    </w:p>
    <w:p w:rsidR="005F01BE" w:rsidRDefault="003E2C3A">
      <w:pPr>
        <w:pStyle w:val="NormalWeb"/>
        <w:spacing w:after="0" w:line="360" w:lineRule="auto"/>
        <w:jc w:val="both"/>
        <w:rPr>
          <w:bCs/>
          <w:color w:val="000000"/>
          <w:szCs w:val="26"/>
        </w:rPr>
      </w:pPr>
      <w:r>
        <w:rPr>
          <w:bCs/>
          <w:color w:val="000000"/>
          <w:szCs w:val="26"/>
        </w:rPr>
        <w:t>3.2.5.6   Copper</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85</w:t>
      </w:r>
    </w:p>
    <w:p w:rsidR="005F01BE" w:rsidRDefault="003E2C3A">
      <w:pPr>
        <w:pStyle w:val="NormalWeb"/>
        <w:spacing w:after="0" w:line="360" w:lineRule="auto"/>
        <w:jc w:val="both"/>
        <w:rPr>
          <w:bCs/>
          <w:color w:val="000000"/>
          <w:szCs w:val="26"/>
        </w:rPr>
      </w:pPr>
      <w:r>
        <w:rPr>
          <w:bCs/>
          <w:color w:val="000000"/>
          <w:szCs w:val="26"/>
        </w:rPr>
        <w:t xml:space="preserve">3.2.6    </w:t>
      </w:r>
      <w:r>
        <w:rPr>
          <w:bCs/>
          <w:color w:val="000000"/>
          <w:szCs w:val="26"/>
        </w:rPr>
        <w:t>Determination of Antioxidant Properties.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5F01BE" w:rsidRDefault="003E2C3A">
      <w:pPr>
        <w:pStyle w:val="NormalWeb"/>
        <w:spacing w:after="0" w:line="360" w:lineRule="auto"/>
        <w:jc w:val="both"/>
        <w:rPr>
          <w:bCs/>
          <w:color w:val="000000"/>
          <w:szCs w:val="26"/>
        </w:rPr>
      </w:pPr>
      <w:r>
        <w:rPr>
          <w:bCs/>
          <w:color w:val="000000"/>
          <w:szCs w:val="26"/>
        </w:rPr>
        <w:t>3.2.6.1   Determination of FRAP</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5F01BE" w:rsidRDefault="003E2C3A">
      <w:pPr>
        <w:pStyle w:val="NormalWeb"/>
        <w:spacing w:after="0" w:line="360" w:lineRule="auto"/>
        <w:jc w:val="both"/>
        <w:rPr>
          <w:bCs/>
          <w:color w:val="000000"/>
          <w:szCs w:val="26"/>
        </w:rPr>
      </w:pPr>
      <w:r>
        <w:rPr>
          <w:bCs/>
          <w:color w:val="000000"/>
          <w:szCs w:val="26"/>
        </w:rPr>
        <w:t>3.2.6.2   Determination of ABTS</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86</w:t>
      </w:r>
    </w:p>
    <w:p w:rsidR="005F01BE" w:rsidRDefault="003E2C3A">
      <w:pPr>
        <w:pStyle w:val="NormalWeb"/>
        <w:spacing w:after="0" w:line="360" w:lineRule="auto"/>
        <w:jc w:val="both"/>
        <w:rPr>
          <w:bCs/>
          <w:color w:val="000000"/>
          <w:szCs w:val="26"/>
        </w:rPr>
      </w:pPr>
      <w:r>
        <w:rPr>
          <w:bCs/>
          <w:color w:val="000000"/>
          <w:szCs w:val="26"/>
        </w:rPr>
        <w:t>3.2.6.3   Determination of TPC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87</w:t>
      </w:r>
    </w:p>
    <w:p w:rsidR="005F01BE" w:rsidRDefault="003E2C3A">
      <w:pPr>
        <w:pStyle w:val="NormalWeb"/>
        <w:spacing w:after="0" w:line="360" w:lineRule="auto"/>
        <w:jc w:val="both"/>
        <w:rPr>
          <w:bCs/>
          <w:color w:val="000000"/>
          <w:szCs w:val="26"/>
        </w:rPr>
      </w:pPr>
      <w:r>
        <w:rPr>
          <w:bCs/>
          <w:color w:val="000000"/>
          <w:szCs w:val="26"/>
        </w:rPr>
        <w:t>3.2.6.4   Determination of TEC</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w:t>
      </w:r>
    </w:p>
    <w:p w:rsidR="005F01BE" w:rsidRDefault="003E2C3A">
      <w:pPr>
        <w:pStyle w:val="NormalWeb"/>
        <w:spacing w:after="0" w:line="360" w:lineRule="auto"/>
        <w:jc w:val="both"/>
        <w:rPr>
          <w:bCs/>
          <w:color w:val="000000"/>
          <w:szCs w:val="26"/>
        </w:rPr>
      </w:pPr>
      <w:r>
        <w:rPr>
          <w:bCs/>
          <w:color w:val="000000"/>
          <w:szCs w:val="26"/>
        </w:rPr>
        <w:t>3.2.6.5   Determination of DPPH</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88-89</w:t>
      </w:r>
    </w:p>
    <w:p w:rsidR="005F01BE" w:rsidRDefault="003E2C3A">
      <w:pPr>
        <w:pStyle w:val="NormalWeb"/>
        <w:spacing w:after="0" w:line="360" w:lineRule="auto"/>
        <w:jc w:val="both"/>
        <w:rPr>
          <w:bCs/>
          <w:color w:val="000000"/>
          <w:szCs w:val="26"/>
        </w:rPr>
      </w:pPr>
      <w:r>
        <w:rPr>
          <w:bCs/>
          <w:color w:val="000000"/>
          <w:szCs w:val="26"/>
        </w:rPr>
        <w:t>3.</w:t>
      </w:r>
      <w:r>
        <w:rPr>
          <w:bCs/>
          <w:color w:val="000000"/>
          <w:szCs w:val="26"/>
        </w:rPr>
        <w:t>3       Experiment Design</w:t>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r>
      <w:r>
        <w:rPr>
          <w:bCs/>
          <w:color w:val="000000"/>
          <w:szCs w:val="26"/>
        </w:rPr>
        <w:tab/>
        <w:t>89</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3.4       Determination of Ulcerated Albino Rats</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t>90-91</w:t>
      </w:r>
    </w:p>
    <w:p w:rsidR="005F01BE" w:rsidRDefault="003E2C3A">
      <w:pPr>
        <w:spacing w:line="480" w:lineRule="auto"/>
        <w:jc w:val="both"/>
        <w:rPr>
          <w:sz w:val="24"/>
          <w:szCs w:val="26"/>
        </w:rPr>
      </w:pPr>
      <w:r>
        <w:rPr>
          <w:sz w:val="24"/>
          <w:szCs w:val="26"/>
        </w:rPr>
        <w:lastRenderedPageBreak/>
        <w:t xml:space="preserve">3.5       Hematological of Albino Rats </w:t>
      </w:r>
      <w:r>
        <w:rPr>
          <w:sz w:val="24"/>
          <w:szCs w:val="26"/>
        </w:rPr>
        <w:tab/>
      </w:r>
      <w:r>
        <w:rPr>
          <w:sz w:val="24"/>
          <w:szCs w:val="26"/>
        </w:rPr>
        <w:tab/>
      </w:r>
      <w:r>
        <w:rPr>
          <w:sz w:val="24"/>
          <w:szCs w:val="26"/>
        </w:rPr>
        <w:tab/>
      </w:r>
      <w:r>
        <w:rPr>
          <w:sz w:val="24"/>
          <w:szCs w:val="26"/>
        </w:rPr>
        <w:tab/>
      </w:r>
      <w:r>
        <w:rPr>
          <w:sz w:val="24"/>
          <w:szCs w:val="26"/>
        </w:rPr>
        <w:tab/>
      </w:r>
      <w:r>
        <w:rPr>
          <w:sz w:val="24"/>
          <w:szCs w:val="26"/>
        </w:rPr>
        <w:tab/>
        <w:t>91</w:t>
      </w:r>
    </w:p>
    <w:p w:rsidR="005F01BE" w:rsidRDefault="003E2C3A">
      <w:pPr>
        <w:pStyle w:val="NormalWeb"/>
        <w:spacing w:after="0" w:line="360" w:lineRule="auto"/>
        <w:jc w:val="both"/>
        <w:rPr>
          <w:b/>
          <w:bCs/>
          <w:color w:val="000000"/>
          <w:szCs w:val="26"/>
        </w:rPr>
      </w:pPr>
      <w:r>
        <w:rPr>
          <w:b/>
          <w:bCs/>
          <w:color w:val="000000"/>
          <w:szCs w:val="26"/>
        </w:rPr>
        <w:t>CHAPTER FOUR</w:t>
      </w:r>
    </w:p>
    <w:p w:rsidR="005F01BE" w:rsidRDefault="003E2C3A">
      <w:pPr>
        <w:pStyle w:val="NormalWeb"/>
        <w:spacing w:after="0" w:line="360" w:lineRule="auto"/>
        <w:jc w:val="both"/>
        <w:rPr>
          <w:b/>
          <w:bCs/>
          <w:color w:val="000000"/>
          <w:szCs w:val="26"/>
        </w:rPr>
      </w:pPr>
      <w:r>
        <w:rPr>
          <w:b/>
          <w:bCs/>
          <w:color w:val="000000"/>
          <w:szCs w:val="26"/>
        </w:rPr>
        <w:t>4.0 RESULT</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Cs/>
          <w:color w:val="000000"/>
          <w:szCs w:val="26"/>
        </w:rPr>
        <w:t>92</w:t>
      </w:r>
    </w:p>
    <w:p w:rsidR="005F01BE" w:rsidRDefault="003E2C3A">
      <w:pPr>
        <w:pStyle w:val="NormalWeb"/>
        <w:spacing w:after="0" w:line="360" w:lineRule="auto"/>
        <w:jc w:val="both"/>
        <w:rPr>
          <w:bCs/>
          <w:szCs w:val="26"/>
        </w:rPr>
      </w:pPr>
      <w:r>
        <w:rPr>
          <w:bCs/>
          <w:color w:val="000000"/>
          <w:szCs w:val="26"/>
        </w:rPr>
        <w:t xml:space="preserve">4.1   </w:t>
      </w:r>
      <w:r>
        <w:rPr>
          <w:bCs/>
          <w:szCs w:val="26"/>
        </w:rPr>
        <w:t>Body Weight Gain in Experimental Animals</w:t>
      </w:r>
      <w:r>
        <w:rPr>
          <w:bCs/>
          <w:szCs w:val="26"/>
        </w:rPr>
        <w:tab/>
      </w:r>
      <w:r>
        <w:rPr>
          <w:bCs/>
          <w:szCs w:val="26"/>
        </w:rPr>
        <w:tab/>
      </w:r>
      <w:r>
        <w:rPr>
          <w:bCs/>
          <w:szCs w:val="26"/>
        </w:rPr>
        <w:tab/>
      </w:r>
      <w:r>
        <w:rPr>
          <w:bCs/>
          <w:szCs w:val="26"/>
        </w:rPr>
        <w:tab/>
      </w:r>
      <w:r>
        <w:rPr>
          <w:bCs/>
          <w:szCs w:val="26"/>
        </w:rPr>
        <w:tab/>
        <w:t>92</w:t>
      </w:r>
    </w:p>
    <w:p w:rsidR="005F01BE" w:rsidRDefault="003E2C3A">
      <w:pPr>
        <w:pStyle w:val="NormalWeb"/>
        <w:spacing w:after="0" w:line="360" w:lineRule="auto"/>
        <w:jc w:val="both"/>
        <w:rPr>
          <w:bCs/>
          <w:color w:val="000000"/>
          <w:sz w:val="22"/>
        </w:rPr>
      </w:pPr>
      <w:r>
        <w:rPr>
          <w:bCs/>
          <w:szCs w:val="26"/>
        </w:rPr>
        <w:t xml:space="preserve">4.2    </w:t>
      </w:r>
      <w:r>
        <w:rPr>
          <w:bCs/>
          <w:szCs w:val="26"/>
        </w:rPr>
        <w:t xml:space="preserve">Phytochemical Present in the Sample </w:t>
      </w:r>
      <w:r>
        <w:rPr>
          <w:bCs/>
          <w:szCs w:val="26"/>
        </w:rPr>
        <w:tab/>
      </w:r>
      <w:r>
        <w:rPr>
          <w:bCs/>
          <w:szCs w:val="26"/>
        </w:rPr>
        <w:tab/>
      </w:r>
      <w:r>
        <w:rPr>
          <w:bCs/>
          <w:szCs w:val="26"/>
        </w:rPr>
        <w:tab/>
      </w:r>
      <w:r>
        <w:rPr>
          <w:bCs/>
          <w:szCs w:val="26"/>
        </w:rPr>
        <w:tab/>
      </w:r>
      <w:r>
        <w:rPr>
          <w:bCs/>
          <w:szCs w:val="26"/>
        </w:rPr>
        <w:tab/>
      </w:r>
      <w:r>
        <w:rPr>
          <w:bCs/>
          <w:szCs w:val="26"/>
        </w:rPr>
        <w:tab/>
        <w:t>93-94</w:t>
      </w:r>
    </w:p>
    <w:p w:rsidR="005F01BE" w:rsidRDefault="003E2C3A">
      <w:pPr>
        <w:spacing w:before="100" w:beforeAutospacing="1" w:after="0" w:line="360" w:lineRule="auto"/>
        <w:jc w:val="both"/>
        <w:rPr>
          <w:rFonts w:eastAsia="Times New Roman"/>
          <w:bCs/>
          <w:sz w:val="24"/>
          <w:szCs w:val="26"/>
        </w:rPr>
      </w:pPr>
      <w:r>
        <w:rPr>
          <w:rFonts w:eastAsia="Times New Roman"/>
          <w:bCs/>
          <w:sz w:val="24"/>
          <w:szCs w:val="26"/>
        </w:rPr>
        <w:t xml:space="preserve">4.3    Proximate Analysis of </w:t>
      </w:r>
      <w:r>
        <w:rPr>
          <w:rFonts w:eastAsia="Times New Roman"/>
          <w:bCs/>
          <w:i/>
          <w:sz w:val="24"/>
          <w:szCs w:val="26"/>
        </w:rPr>
        <w:t>Sida Acuta</w:t>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i/>
          <w:sz w:val="24"/>
          <w:szCs w:val="26"/>
        </w:rPr>
        <w:tab/>
      </w:r>
      <w:r>
        <w:rPr>
          <w:rFonts w:eastAsia="Times New Roman"/>
          <w:bCs/>
          <w:sz w:val="24"/>
          <w:szCs w:val="26"/>
        </w:rPr>
        <w:t>95-97</w:t>
      </w:r>
    </w:p>
    <w:p w:rsidR="005F01BE" w:rsidRDefault="003E2C3A">
      <w:pPr>
        <w:spacing w:line="360" w:lineRule="auto"/>
        <w:rPr>
          <w:rFonts w:eastAsia="Times New Roman"/>
          <w:bCs/>
          <w:iCs/>
          <w:sz w:val="24"/>
          <w:szCs w:val="26"/>
        </w:rPr>
      </w:pPr>
      <w:r>
        <w:rPr>
          <w:rFonts w:eastAsia="Times New Roman"/>
          <w:bCs/>
          <w:sz w:val="24"/>
          <w:szCs w:val="26"/>
        </w:rPr>
        <w:t xml:space="preserve">4.5.   Determination of Mineral contents of </w:t>
      </w:r>
      <w:r>
        <w:rPr>
          <w:rFonts w:eastAsia="Times New Roman"/>
          <w:bCs/>
          <w:i/>
          <w:iCs/>
          <w:sz w:val="24"/>
          <w:szCs w:val="26"/>
        </w:rPr>
        <w:t>Sida acuta</w:t>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
          <w:iCs/>
          <w:sz w:val="24"/>
          <w:szCs w:val="26"/>
        </w:rPr>
        <w:tab/>
      </w:r>
      <w:r>
        <w:rPr>
          <w:rFonts w:eastAsia="Times New Roman"/>
          <w:bCs/>
          <w:iCs/>
          <w:sz w:val="24"/>
          <w:szCs w:val="26"/>
        </w:rPr>
        <w:t>97-98</w:t>
      </w:r>
    </w:p>
    <w:p w:rsidR="005F01BE" w:rsidRDefault="003E2C3A">
      <w:pPr>
        <w:spacing w:after="0" w:line="360" w:lineRule="auto"/>
        <w:jc w:val="both"/>
        <w:rPr>
          <w:rFonts w:eastAsia="Times New Roman"/>
          <w:bCs/>
          <w:color w:val="000000"/>
          <w:sz w:val="24"/>
          <w:szCs w:val="26"/>
        </w:rPr>
      </w:pPr>
      <w:r>
        <w:rPr>
          <w:rFonts w:eastAsia="Times New Roman"/>
          <w:bCs/>
          <w:color w:val="000000"/>
          <w:sz w:val="24"/>
          <w:szCs w:val="26"/>
        </w:rPr>
        <w:t xml:space="preserve">4.6    </w:t>
      </w:r>
      <w:r>
        <w:rPr>
          <w:sz w:val="22"/>
          <w:szCs w:val="24"/>
        </w:rPr>
        <w:t>Antioxidants and Liver Function Index</w:t>
      </w:r>
      <w:r>
        <w:rPr>
          <w:sz w:val="22"/>
          <w:szCs w:val="24"/>
        </w:rPr>
        <w:tab/>
      </w:r>
      <w:r>
        <w:rPr>
          <w:sz w:val="22"/>
          <w:szCs w:val="24"/>
        </w:rPr>
        <w:tab/>
      </w:r>
      <w:r>
        <w:rPr>
          <w:sz w:val="22"/>
          <w:szCs w:val="24"/>
        </w:rPr>
        <w:tab/>
      </w:r>
      <w:r>
        <w:rPr>
          <w:sz w:val="22"/>
          <w:szCs w:val="24"/>
        </w:rPr>
        <w:tab/>
      </w:r>
      <w:r>
        <w:rPr>
          <w:sz w:val="22"/>
          <w:szCs w:val="24"/>
        </w:rPr>
        <w:tab/>
      </w:r>
      <w:r>
        <w:rPr>
          <w:sz w:val="22"/>
          <w:szCs w:val="24"/>
        </w:rPr>
        <w:tab/>
        <w:t>99-115</w:t>
      </w:r>
    </w:p>
    <w:p w:rsidR="005F01BE" w:rsidRDefault="003E2C3A">
      <w:pPr>
        <w:spacing w:before="100" w:beforeAutospacing="1" w:after="0" w:line="360" w:lineRule="auto"/>
        <w:jc w:val="both"/>
        <w:rPr>
          <w:rFonts w:eastAsia="Times New Roman"/>
          <w:bCs/>
          <w:sz w:val="24"/>
          <w:szCs w:val="26"/>
        </w:rPr>
      </w:pPr>
      <w:r>
        <w:rPr>
          <w:bCs/>
          <w:sz w:val="24"/>
          <w:szCs w:val="26"/>
        </w:rPr>
        <w:t>4.7   Ulcerated Area Measurement</w:t>
      </w:r>
      <w:r>
        <w:rPr>
          <w:bCs/>
          <w:sz w:val="24"/>
          <w:szCs w:val="26"/>
        </w:rPr>
        <w:tab/>
      </w:r>
      <w:r>
        <w:rPr>
          <w:bCs/>
          <w:sz w:val="24"/>
          <w:szCs w:val="26"/>
        </w:rPr>
        <w:tab/>
      </w:r>
      <w:r>
        <w:rPr>
          <w:bCs/>
          <w:sz w:val="24"/>
          <w:szCs w:val="26"/>
        </w:rPr>
        <w:tab/>
      </w:r>
      <w:r>
        <w:rPr>
          <w:bCs/>
          <w:sz w:val="24"/>
          <w:szCs w:val="26"/>
        </w:rPr>
        <w:tab/>
      </w:r>
      <w:r>
        <w:rPr>
          <w:bCs/>
          <w:sz w:val="24"/>
          <w:szCs w:val="26"/>
        </w:rPr>
        <w:tab/>
      </w:r>
      <w:r>
        <w:rPr>
          <w:bCs/>
          <w:sz w:val="24"/>
          <w:szCs w:val="26"/>
        </w:rPr>
        <w:tab/>
        <w:t xml:space="preserve">        115-117</w:t>
      </w:r>
    </w:p>
    <w:p w:rsidR="005F01BE" w:rsidRDefault="003E2C3A">
      <w:pPr>
        <w:spacing w:before="100" w:beforeAutospacing="1" w:after="0" w:line="360" w:lineRule="auto"/>
        <w:jc w:val="both"/>
        <w:rPr>
          <w:rFonts w:eastAsia="Times New Roman"/>
          <w:bCs/>
          <w:sz w:val="24"/>
          <w:szCs w:val="26"/>
        </w:rPr>
      </w:pPr>
      <w:r>
        <w:rPr>
          <w:rFonts w:eastAsia="Times New Roman"/>
          <w:bCs/>
          <w:sz w:val="24"/>
          <w:szCs w:val="26"/>
        </w:rPr>
        <w:t>4.8   Hematological Analysis of Rats blood samples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117-119</w:t>
      </w:r>
      <w:r>
        <w:rPr>
          <w:rFonts w:eastAsia="Times New Roman"/>
          <w:bCs/>
          <w:sz w:val="24"/>
          <w:szCs w:val="26"/>
        </w:rPr>
        <w:tab/>
      </w:r>
    </w:p>
    <w:p w:rsidR="005F01BE" w:rsidRDefault="003E2C3A">
      <w:pPr>
        <w:pStyle w:val="NormalWeb"/>
        <w:spacing w:line="360" w:lineRule="auto"/>
        <w:rPr>
          <w:b/>
          <w:szCs w:val="26"/>
        </w:rPr>
      </w:pPr>
      <w:r>
        <w:rPr>
          <w:b/>
          <w:szCs w:val="26"/>
        </w:rPr>
        <w:t>CHAPTER FIVE</w:t>
      </w:r>
    </w:p>
    <w:p w:rsidR="005F01BE" w:rsidRDefault="003E2C3A">
      <w:pPr>
        <w:pStyle w:val="NormalWeb"/>
        <w:spacing w:line="360" w:lineRule="auto"/>
        <w:rPr>
          <w:b/>
          <w:szCs w:val="26"/>
        </w:rPr>
      </w:pPr>
      <w:r>
        <w:rPr>
          <w:b/>
          <w:szCs w:val="26"/>
        </w:rPr>
        <w:t>5.0 DISCUSSION</w:t>
      </w:r>
      <w:r>
        <w:rPr>
          <w:b/>
          <w:szCs w:val="26"/>
        </w:rPr>
        <w:tab/>
      </w:r>
      <w:r>
        <w:rPr>
          <w:b/>
          <w:szCs w:val="26"/>
        </w:rPr>
        <w:tab/>
      </w:r>
      <w:r>
        <w:rPr>
          <w:b/>
          <w:szCs w:val="26"/>
        </w:rPr>
        <w:tab/>
      </w:r>
      <w:r>
        <w:rPr>
          <w:b/>
          <w:szCs w:val="26"/>
        </w:rPr>
        <w:tab/>
      </w:r>
      <w:r>
        <w:rPr>
          <w:b/>
          <w:szCs w:val="26"/>
        </w:rPr>
        <w:tab/>
      </w:r>
      <w:r>
        <w:rPr>
          <w:b/>
          <w:szCs w:val="26"/>
        </w:rPr>
        <w:tab/>
      </w:r>
      <w:r>
        <w:rPr>
          <w:b/>
          <w:szCs w:val="26"/>
        </w:rPr>
        <w:tab/>
      </w:r>
      <w:r>
        <w:rPr>
          <w:b/>
          <w:szCs w:val="26"/>
        </w:rPr>
        <w:tab/>
        <w:t xml:space="preserve">       </w:t>
      </w:r>
      <w:r>
        <w:rPr>
          <w:szCs w:val="26"/>
        </w:rPr>
        <w:t>120</w:t>
      </w:r>
    </w:p>
    <w:p w:rsidR="005F01BE" w:rsidRDefault="003E2C3A">
      <w:pPr>
        <w:pStyle w:val="NormalWeb"/>
        <w:rPr>
          <w:szCs w:val="26"/>
        </w:rPr>
      </w:pPr>
      <w:r>
        <w:rPr>
          <w:szCs w:val="26"/>
        </w:rPr>
        <w:t>5.1   Body Weight Gain in Experimental Animals</w:t>
      </w:r>
      <w:r>
        <w:rPr>
          <w:szCs w:val="26"/>
        </w:rPr>
        <w:tab/>
      </w:r>
      <w:r>
        <w:rPr>
          <w:szCs w:val="26"/>
        </w:rPr>
        <w:tab/>
      </w:r>
      <w:r>
        <w:rPr>
          <w:szCs w:val="26"/>
        </w:rPr>
        <w:tab/>
      </w:r>
      <w:r>
        <w:rPr>
          <w:szCs w:val="26"/>
        </w:rPr>
        <w:tab/>
        <w:t xml:space="preserve">       120-121</w:t>
      </w:r>
    </w:p>
    <w:p w:rsidR="005F01BE" w:rsidRDefault="003E2C3A">
      <w:pPr>
        <w:spacing w:before="100" w:beforeAutospacing="1" w:after="100" w:afterAutospacing="1" w:line="240" w:lineRule="auto"/>
        <w:outlineLvl w:val="3"/>
        <w:rPr>
          <w:rFonts w:eastAsia="Times New Roman"/>
          <w:bCs/>
          <w:sz w:val="24"/>
          <w:szCs w:val="26"/>
        </w:rPr>
      </w:pPr>
      <w:r>
        <w:rPr>
          <w:rFonts w:eastAsia="Times New Roman"/>
          <w:bCs/>
          <w:sz w:val="24"/>
          <w:szCs w:val="26"/>
        </w:rPr>
        <w:t xml:space="preserve">5.2   Phytochemical </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121-122</w:t>
      </w:r>
    </w:p>
    <w:p w:rsidR="005F01BE" w:rsidRDefault="003E2C3A">
      <w:pPr>
        <w:spacing w:before="100" w:beforeAutospacing="1" w:after="100" w:afterAutospacing="1" w:line="240" w:lineRule="auto"/>
        <w:rPr>
          <w:rFonts w:eastAsia="Times New Roman"/>
          <w:sz w:val="24"/>
          <w:szCs w:val="26"/>
        </w:rPr>
      </w:pPr>
      <w:r>
        <w:rPr>
          <w:rFonts w:eastAsia="Times New Roman"/>
          <w:sz w:val="24"/>
          <w:szCs w:val="26"/>
        </w:rPr>
        <w:t>5.3   Proxima</w:t>
      </w:r>
      <w:r>
        <w:rPr>
          <w:rFonts w:eastAsia="Times New Roman"/>
          <w:sz w:val="24"/>
          <w:szCs w:val="26"/>
        </w:rPr>
        <w:t>te Analysis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123-124</w:t>
      </w:r>
    </w:p>
    <w:p w:rsidR="005F01BE" w:rsidRDefault="003E2C3A">
      <w:pPr>
        <w:spacing w:before="100" w:beforeAutospacing="1" w:after="100" w:afterAutospacing="1" w:line="240" w:lineRule="auto"/>
        <w:outlineLvl w:val="3"/>
        <w:rPr>
          <w:rFonts w:eastAsia="Times New Roman"/>
          <w:bCs/>
          <w:sz w:val="24"/>
          <w:szCs w:val="26"/>
        </w:rPr>
      </w:pPr>
      <w:r>
        <w:rPr>
          <w:rFonts w:eastAsia="Times New Roman"/>
          <w:bCs/>
          <w:sz w:val="24"/>
          <w:szCs w:val="26"/>
        </w:rPr>
        <w:t>5.4   Hematological Findings</w:t>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r>
      <w:r>
        <w:rPr>
          <w:rFonts w:eastAsia="Times New Roman"/>
          <w:bCs/>
          <w:sz w:val="24"/>
          <w:szCs w:val="26"/>
        </w:rPr>
        <w:tab/>
        <w:t xml:space="preserve">         125-126</w:t>
      </w:r>
    </w:p>
    <w:p w:rsidR="005F01BE" w:rsidRDefault="003E2C3A">
      <w:pPr>
        <w:spacing w:before="100" w:beforeAutospacing="1" w:after="100" w:afterAutospacing="1" w:line="240" w:lineRule="auto"/>
        <w:rPr>
          <w:rFonts w:eastAsia="Times New Roman"/>
          <w:sz w:val="24"/>
          <w:szCs w:val="26"/>
        </w:rPr>
      </w:pPr>
      <w:r>
        <w:rPr>
          <w:rFonts w:eastAsia="Times New Roman"/>
          <w:sz w:val="24"/>
          <w:szCs w:val="26"/>
        </w:rPr>
        <w:t>5.5   Mineral Contents</w:t>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r>
      <w:r>
        <w:rPr>
          <w:rFonts w:eastAsia="Times New Roman"/>
          <w:sz w:val="24"/>
          <w:szCs w:val="26"/>
        </w:rPr>
        <w:tab/>
        <w:t xml:space="preserve">         126</w:t>
      </w:r>
    </w:p>
    <w:p w:rsidR="005F01BE" w:rsidRDefault="003E2C3A">
      <w:pPr>
        <w:pStyle w:val="NormalWeb"/>
        <w:rPr>
          <w:rStyle w:val="Strong"/>
          <w:b w:val="0"/>
          <w:szCs w:val="26"/>
        </w:rPr>
      </w:pPr>
      <w:r>
        <w:rPr>
          <w:szCs w:val="26"/>
        </w:rPr>
        <w:t>5.6</w:t>
      </w:r>
      <w:r>
        <w:rPr>
          <w:b/>
          <w:szCs w:val="26"/>
        </w:rPr>
        <w:t xml:space="preserve">   </w:t>
      </w:r>
      <w:r>
        <w:rPr>
          <w:rStyle w:val="Strong"/>
          <w:b w:val="0"/>
          <w:szCs w:val="26"/>
        </w:rPr>
        <w:t>Ulcerated 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 xml:space="preserve">          126-127</w:t>
      </w:r>
    </w:p>
    <w:p w:rsidR="005F01BE" w:rsidRDefault="003E2C3A">
      <w:pPr>
        <w:pStyle w:val="NormalWeb"/>
        <w:rPr>
          <w:rStyle w:val="Strong"/>
          <w:b w:val="0"/>
          <w:szCs w:val="26"/>
        </w:rPr>
      </w:pPr>
      <w:r>
        <w:rPr>
          <w:rStyle w:val="Strong"/>
          <w:b w:val="0"/>
          <w:szCs w:val="26"/>
        </w:rPr>
        <w:lastRenderedPageBreak/>
        <w:t>5.7   Stomach Area</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127</w:t>
      </w:r>
    </w:p>
    <w:p w:rsidR="005F01BE" w:rsidRDefault="003E2C3A">
      <w:pPr>
        <w:pStyle w:val="NormalWeb"/>
        <w:rPr>
          <w:rStyle w:val="Strong"/>
          <w:b w:val="0"/>
          <w:szCs w:val="26"/>
        </w:rPr>
      </w:pPr>
      <w:r>
        <w:rPr>
          <w:rStyle w:val="Strong"/>
          <w:b w:val="0"/>
          <w:szCs w:val="26"/>
        </w:rPr>
        <w:t>5.8   Total Tannin Content</w:t>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r>
      <w:r>
        <w:rPr>
          <w:rStyle w:val="Strong"/>
          <w:b w:val="0"/>
          <w:szCs w:val="26"/>
        </w:rPr>
        <w:tab/>
        <w:t>128</w:t>
      </w:r>
    </w:p>
    <w:p w:rsidR="005F01BE" w:rsidRDefault="003E2C3A">
      <w:pPr>
        <w:pStyle w:val="NormalWeb"/>
        <w:rPr>
          <w:sz w:val="22"/>
        </w:rPr>
      </w:pPr>
      <w:r>
        <w:rPr>
          <w:sz w:val="22"/>
        </w:rPr>
        <w:t>CONCLUSION</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129</w:t>
      </w:r>
    </w:p>
    <w:p w:rsidR="005F01BE" w:rsidRDefault="003E2C3A">
      <w:pPr>
        <w:pStyle w:val="NormalWeb"/>
        <w:jc w:val="both"/>
        <w:rPr>
          <w:szCs w:val="26"/>
        </w:rPr>
      </w:pPr>
      <w:r>
        <w:rPr>
          <w:szCs w:val="26"/>
        </w:rPr>
        <w:t xml:space="preserve">RECOMMENDATION </w:t>
      </w:r>
      <w:r>
        <w:rPr>
          <w:rStyle w:val="Strong"/>
          <w:b w:val="0"/>
          <w:bCs w:val="0"/>
          <w:sz w:val="22"/>
        </w:rPr>
        <w:t>FUTURE RESEARCHERS</w:t>
      </w:r>
      <w:r>
        <w:rPr>
          <w:rStyle w:val="Strong"/>
          <w:b w:val="0"/>
          <w:bCs w:val="0"/>
          <w:sz w:val="22"/>
        </w:rPr>
        <w:tab/>
      </w:r>
      <w:r>
        <w:rPr>
          <w:rStyle w:val="Strong"/>
          <w:b w:val="0"/>
          <w:bCs w:val="0"/>
          <w:sz w:val="22"/>
        </w:rPr>
        <w:tab/>
      </w:r>
      <w:r>
        <w:rPr>
          <w:rStyle w:val="Strong"/>
          <w:b w:val="0"/>
          <w:bCs w:val="0"/>
          <w:sz w:val="22"/>
        </w:rPr>
        <w:tab/>
      </w:r>
      <w:r>
        <w:rPr>
          <w:rStyle w:val="Strong"/>
          <w:b w:val="0"/>
          <w:bCs w:val="0"/>
          <w:sz w:val="22"/>
        </w:rPr>
        <w:tab/>
        <w:t xml:space="preserve">          130-131</w:t>
      </w:r>
    </w:p>
    <w:p w:rsidR="005F01BE" w:rsidRDefault="003E2C3A">
      <w:pPr>
        <w:pStyle w:val="NormalWeb"/>
        <w:jc w:val="both"/>
        <w:rPr>
          <w:szCs w:val="26"/>
        </w:rPr>
      </w:pPr>
      <w:r>
        <w:rPr>
          <w:color w:val="000000"/>
          <w:szCs w:val="26"/>
        </w:rPr>
        <w:t>REFERENCE</w:t>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r>
      <w:r>
        <w:rPr>
          <w:color w:val="000000"/>
          <w:szCs w:val="26"/>
        </w:rPr>
        <w:tab/>
        <w:t xml:space="preserve">          132-149</w:t>
      </w:r>
    </w:p>
    <w:p w:rsidR="005F01BE" w:rsidRDefault="003E2C3A">
      <w:pPr>
        <w:pStyle w:val="NormalWeb"/>
        <w:rPr>
          <w:b/>
          <w:sz w:val="22"/>
        </w:rPr>
      </w:pPr>
      <w:r>
        <w:rPr>
          <w:sz w:val="22"/>
        </w:rPr>
        <w:t>APPENDIX</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 xml:space="preserve">            150-153</w:t>
      </w:r>
    </w:p>
    <w:p w:rsidR="005F01BE" w:rsidRDefault="003E2C3A">
      <w:pPr>
        <w:spacing w:after="0" w:line="480" w:lineRule="auto"/>
        <w:rPr>
          <w:bCs/>
          <w:color w:val="000000"/>
          <w:sz w:val="24"/>
          <w:szCs w:val="26"/>
        </w:rPr>
      </w:pPr>
      <w:r>
        <w:rPr>
          <w:bCs/>
          <w:color w:val="000000"/>
          <w:sz w:val="24"/>
          <w:szCs w:val="26"/>
        </w:rPr>
        <w:t>MATERIAL USED</w:t>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r>
      <w:r>
        <w:rPr>
          <w:b/>
          <w:bCs/>
          <w:color w:val="000000"/>
          <w:sz w:val="24"/>
          <w:szCs w:val="26"/>
        </w:rPr>
        <w:tab/>
        <w:t xml:space="preserve">          </w:t>
      </w:r>
      <w:r>
        <w:rPr>
          <w:bCs/>
          <w:color w:val="000000"/>
          <w:sz w:val="24"/>
          <w:szCs w:val="26"/>
        </w:rPr>
        <w:t>154-161</w:t>
      </w: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5F01BE" w:rsidRDefault="005F01BE">
      <w:pPr>
        <w:spacing w:after="0" w:line="480" w:lineRule="auto"/>
        <w:jc w:val="center"/>
        <w:rPr>
          <w:b/>
          <w:bCs/>
          <w:color w:val="000000"/>
          <w:sz w:val="24"/>
          <w:szCs w:val="26"/>
        </w:rPr>
      </w:pPr>
    </w:p>
    <w:p w:rsidR="00061985" w:rsidRDefault="00061985">
      <w:pPr>
        <w:spacing w:after="0" w:line="480" w:lineRule="auto"/>
        <w:jc w:val="center"/>
        <w:rPr>
          <w:b/>
          <w:bCs/>
          <w:color w:val="000000"/>
          <w:sz w:val="24"/>
          <w:szCs w:val="26"/>
        </w:rPr>
      </w:pPr>
    </w:p>
    <w:p w:rsidR="005F01BE" w:rsidRDefault="003E2C3A">
      <w:pPr>
        <w:spacing w:after="0" w:line="480" w:lineRule="auto"/>
        <w:jc w:val="center"/>
        <w:rPr>
          <w:b/>
          <w:bCs/>
          <w:color w:val="000000"/>
          <w:sz w:val="24"/>
          <w:szCs w:val="26"/>
        </w:rPr>
      </w:pPr>
      <w:r>
        <w:rPr>
          <w:b/>
          <w:bCs/>
          <w:color w:val="000000"/>
          <w:sz w:val="24"/>
          <w:szCs w:val="26"/>
        </w:rPr>
        <w:lastRenderedPageBreak/>
        <w:t>ABSTRACT</w:t>
      </w:r>
    </w:p>
    <w:p w:rsidR="005F01BE" w:rsidRDefault="003E2C3A">
      <w:pPr>
        <w:spacing w:before="100" w:beforeAutospacing="1" w:after="100" w:afterAutospacing="1" w:line="360" w:lineRule="auto"/>
        <w:jc w:val="both"/>
        <w:rPr>
          <w:rFonts w:eastAsia="Times New Roman"/>
          <w:i/>
          <w:sz w:val="24"/>
          <w:szCs w:val="24"/>
        </w:rPr>
      </w:pPr>
      <w:r>
        <w:rPr>
          <w:rFonts w:eastAsia="Times New Roman"/>
          <w:i/>
          <w:sz w:val="24"/>
          <w:szCs w:val="24"/>
        </w:rPr>
        <w:t xml:space="preserve">This study investigates the ameliorative effects of </w:t>
      </w:r>
      <w:r>
        <w:rPr>
          <w:rFonts w:eastAsia="Times New Roman"/>
          <w:i/>
          <w:iCs/>
          <w:sz w:val="24"/>
          <w:szCs w:val="24"/>
        </w:rPr>
        <w:t>Sida acuta</w:t>
      </w:r>
      <w:r>
        <w:rPr>
          <w:rFonts w:eastAsia="Times New Roman"/>
          <w:i/>
          <w:sz w:val="24"/>
          <w:szCs w:val="24"/>
        </w:rPr>
        <w:t xml:space="preserve"> on indomethacin-induced ulcerogenic rats, focusing on its antiulcerogenic potential and underlying mechanisms. Ethanol extracts of </w:t>
      </w:r>
      <w:r>
        <w:rPr>
          <w:rFonts w:eastAsia="Times New Roman"/>
          <w:i/>
          <w:iCs/>
          <w:sz w:val="24"/>
          <w:szCs w:val="24"/>
        </w:rPr>
        <w:t>Sida acuta</w:t>
      </w:r>
      <w:r>
        <w:rPr>
          <w:rFonts w:eastAsia="Times New Roman"/>
          <w:i/>
          <w:sz w:val="24"/>
          <w:szCs w:val="24"/>
        </w:rPr>
        <w:t xml:space="preserve"> were evaluated for their phytochemical composition, proximate and mineral contents, antioxidant propert</w:t>
      </w:r>
      <w:r>
        <w:rPr>
          <w:rFonts w:eastAsia="Times New Roman"/>
          <w:i/>
          <w:sz w:val="24"/>
          <w:szCs w:val="24"/>
        </w:rPr>
        <w:t>ies, and effects on hematological and liver function indices in Wistar rats. Phytochemical analysis revealed the presence of bioactive compounds, including saponins, tannins, flavonoids, phenols, and glycosides, which contribute to its therapeutic properti</w:t>
      </w:r>
      <w:r>
        <w:rPr>
          <w:rFonts w:eastAsia="Times New Roman"/>
          <w:i/>
          <w:sz w:val="24"/>
          <w:szCs w:val="24"/>
        </w:rPr>
        <w:t xml:space="preserve">es. Proximate analysis indicated high crude protein (13.56–13.78%) and fiber (27.52–29.22%) contents, with moderate carbohydrates and low lipids, highlighting its nutritional value. Mineral analysis confirmed significant levels of iron, copper, potassium, </w:t>
      </w:r>
      <w:r>
        <w:rPr>
          <w:rFonts w:eastAsia="Times New Roman"/>
          <w:i/>
          <w:sz w:val="24"/>
          <w:szCs w:val="24"/>
        </w:rPr>
        <w:t xml:space="preserve">magnesium, and calcium, supporting metabolic and cardiovascular health. In vivo experiments demonstrated that </w:t>
      </w:r>
      <w:r>
        <w:rPr>
          <w:rFonts w:eastAsia="Times New Roman"/>
          <w:i/>
          <w:iCs/>
          <w:sz w:val="24"/>
          <w:szCs w:val="24"/>
        </w:rPr>
        <w:t>Sida acuta</w:t>
      </w:r>
      <w:r>
        <w:rPr>
          <w:rFonts w:eastAsia="Times New Roman"/>
          <w:i/>
          <w:sz w:val="24"/>
          <w:szCs w:val="24"/>
        </w:rPr>
        <w:t xml:space="preserve"> extract, particularly at moderate doses (100–400 mg/kg), reduced ulcerated areas, enhanced gastric mucosal healing, and improved hemato</w:t>
      </w:r>
      <w:r>
        <w:rPr>
          <w:rFonts w:eastAsia="Times New Roman"/>
          <w:i/>
          <w:sz w:val="24"/>
          <w:szCs w:val="24"/>
        </w:rPr>
        <w:t>logical parameters such as red blood cell count and hemoglobin levels. Antioxidant assays (FRAP, ABTS, DPPH) confirmed the plant’s ability to mitigate oxidative stress, while liver function indices suggested hepatoprotective effects. Compared to standard a</w:t>
      </w:r>
      <w:r>
        <w:rPr>
          <w:rFonts w:eastAsia="Times New Roman"/>
          <w:i/>
          <w:sz w:val="24"/>
          <w:szCs w:val="24"/>
        </w:rPr>
        <w:t xml:space="preserve">ntiulcer drugs, </w:t>
      </w:r>
      <w:r>
        <w:rPr>
          <w:rFonts w:eastAsia="Times New Roman"/>
          <w:i/>
          <w:iCs/>
          <w:sz w:val="24"/>
          <w:szCs w:val="24"/>
        </w:rPr>
        <w:t>Sida acuta</w:t>
      </w:r>
      <w:r>
        <w:rPr>
          <w:rFonts w:eastAsia="Times New Roman"/>
          <w:i/>
          <w:sz w:val="24"/>
          <w:szCs w:val="24"/>
        </w:rPr>
        <w:t xml:space="preserve"> showed promising efficacy with fewer side effects, supporting its potential as an alternative or adjunct therapy for peptic ulcer management. These findings validate the ethnomedicinal use of </w:t>
      </w:r>
      <w:r>
        <w:rPr>
          <w:rFonts w:eastAsia="Times New Roman"/>
          <w:i/>
          <w:iCs/>
          <w:sz w:val="24"/>
          <w:szCs w:val="24"/>
        </w:rPr>
        <w:t>Sida acuta</w:t>
      </w:r>
      <w:r>
        <w:rPr>
          <w:rFonts w:eastAsia="Times New Roman"/>
          <w:i/>
          <w:sz w:val="24"/>
          <w:szCs w:val="24"/>
        </w:rPr>
        <w:t xml:space="preserve"> and underscore its nutriti</w:t>
      </w:r>
      <w:r>
        <w:rPr>
          <w:rFonts w:eastAsia="Times New Roman"/>
          <w:i/>
          <w:sz w:val="24"/>
          <w:szCs w:val="24"/>
        </w:rPr>
        <w:t>onal and pharmacological significance in treating gastrointestinal disorders.</w:t>
      </w:r>
    </w:p>
    <w:p w:rsidR="005F01BE" w:rsidRDefault="005F01BE">
      <w:pPr>
        <w:spacing w:after="0" w:line="480" w:lineRule="auto"/>
        <w:rPr>
          <w:b/>
          <w:bCs/>
          <w:color w:val="000000"/>
          <w:sz w:val="26"/>
          <w:szCs w:val="26"/>
        </w:rPr>
      </w:pPr>
    </w:p>
    <w:p w:rsidR="005F01BE" w:rsidRDefault="005F01BE">
      <w:pPr>
        <w:spacing w:after="0" w:line="480" w:lineRule="auto"/>
        <w:jc w:val="center"/>
        <w:rPr>
          <w:b/>
          <w:bCs/>
          <w:color w:val="000000"/>
          <w:sz w:val="26"/>
          <w:szCs w:val="26"/>
        </w:rPr>
        <w:sectPr w:rsidR="005F01BE">
          <w:footerReference w:type="default" r:id="rId10"/>
          <w:pgSz w:w="11520" w:h="14400"/>
          <w:pgMar w:top="1440" w:right="1440" w:bottom="1440" w:left="1440" w:header="720" w:footer="720" w:gutter="0"/>
          <w:pgNumType w:fmt="lowerRoman"/>
          <w:cols w:space="720"/>
          <w:titlePg/>
          <w:docGrid w:linePitch="381"/>
        </w:sectPr>
      </w:pPr>
    </w:p>
    <w:p w:rsidR="005F01BE" w:rsidRDefault="003E2C3A">
      <w:pPr>
        <w:spacing w:after="0" w:line="480" w:lineRule="auto"/>
        <w:jc w:val="center"/>
        <w:rPr>
          <w:b/>
          <w:bCs/>
          <w:color w:val="000000"/>
          <w:sz w:val="24"/>
          <w:szCs w:val="26"/>
        </w:rPr>
      </w:pPr>
      <w:r>
        <w:rPr>
          <w:b/>
          <w:bCs/>
          <w:color w:val="000000"/>
          <w:sz w:val="24"/>
          <w:szCs w:val="26"/>
        </w:rPr>
        <w:lastRenderedPageBreak/>
        <w:t>CHAPTER ONE</w:t>
      </w:r>
    </w:p>
    <w:p w:rsidR="005F01BE" w:rsidRDefault="003E2C3A">
      <w:pPr>
        <w:spacing w:after="0" w:line="480" w:lineRule="auto"/>
        <w:rPr>
          <w:b/>
          <w:bCs/>
          <w:color w:val="000000"/>
          <w:sz w:val="24"/>
          <w:szCs w:val="26"/>
        </w:rPr>
      </w:pPr>
      <w:r>
        <w:rPr>
          <w:b/>
          <w:bCs/>
          <w:color w:val="000000"/>
          <w:sz w:val="24"/>
          <w:szCs w:val="26"/>
        </w:rPr>
        <w:t xml:space="preserve">1.0 INTRODUCTION </w:t>
      </w:r>
    </w:p>
    <w:p w:rsidR="005F01BE" w:rsidRDefault="003E2C3A">
      <w:pPr>
        <w:spacing w:after="0" w:line="480" w:lineRule="auto"/>
        <w:jc w:val="both"/>
        <w:rPr>
          <w:b/>
          <w:bCs/>
          <w:color w:val="000000"/>
          <w:sz w:val="24"/>
          <w:szCs w:val="26"/>
        </w:rPr>
      </w:pPr>
      <w:r>
        <w:rPr>
          <w:b/>
          <w:bCs/>
          <w:color w:val="000000"/>
          <w:sz w:val="24"/>
          <w:szCs w:val="26"/>
        </w:rPr>
        <w:t>1.1   Background of the Study</w:t>
      </w:r>
    </w:p>
    <w:p w:rsidR="005F01BE" w:rsidRDefault="003E2C3A">
      <w:pPr>
        <w:spacing w:after="0" w:line="480" w:lineRule="auto"/>
        <w:ind w:firstLine="720"/>
        <w:jc w:val="both"/>
        <w:rPr>
          <w:color w:val="000000"/>
          <w:sz w:val="24"/>
          <w:szCs w:val="26"/>
        </w:rPr>
      </w:pPr>
      <w:r>
        <w:rPr>
          <w:color w:val="000000"/>
          <w:sz w:val="24"/>
          <w:szCs w:val="26"/>
        </w:rPr>
        <w:t>The pharmacological properties of plants have been recognized for a long time. Herbal remedies have been used for centuries by indigenous cultures around the world to treat a variety of ailments. The pharmaceutical industry has grown significantly over the</w:t>
      </w:r>
      <w:r>
        <w:rPr>
          <w:color w:val="000000"/>
          <w:sz w:val="24"/>
          <w:szCs w:val="26"/>
        </w:rPr>
        <w:t xml:space="preserve"> last century as a result of the identification and exploitation of chemicals with defined mechanisms of action (Zeouk and Bekhti, 2020). Plant-based products and their analogues are now widely used in clinical application due to the development of extreme</w:t>
      </w:r>
      <w:r>
        <w:rPr>
          <w:color w:val="000000"/>
          <w:sz w:val="24"/>
          <w:szCs w:val="26"/>
        </w:rPr>
        <w:t xml:space="preserve">ly effective medications (Máthé and Khan, 2022). Since the beginning of human civilization, medicinal plants have been used by mankind for their nutritional and therapeutic values. Nature has been a source of medicinal agents for thousands of years and an </w:t>
      </w:r>
      <w:r>
        <w:rPr>
          <w:color w:val="000000"/>
          <w:sz w:val="24"/>
          <w:szCs w:val="26"/>
        </w:rPr>
        <w:t xml:space="preserve">impressive number of modern drugs have been isolated from natural sources. Many of these isolations were based on the uses of these agents in traditional medicine. </w:t>
      </w:r>
    </w:p>
    <w:p w:rsidR="005F01BE" w:rsidRDefault="003E2C3A">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(Malvaceae) is one of those plants currently used by indigenous people for the m</w:t>
      </w:r>
      <w:r>
        <w:rPr>
          <w:color w:val="000000"/>
          <w:sz w:val="24"/>
          <w:szCs w:val="26"/>
        </w:rPr>
        <w:t>anagement of some health problems. This plant is an erect, branched small perennial herb or small shrub of about 1.5m height as shown in figure 1 (</w:t>
      </w:r>
      <w:r>
        <w:rPr>
          <w:color w:val="000000"/>
          <w:sz w:val="24"/>
          <w:szCs w:val="26"/>
          <w:shd w:val="clear" w:color="auto" w:fill="FFFFFF"/>
        </w:rPr>
        <w:t xml:space="preserve">Mohideen </w:t>
      </w:r>
      <w:r>
        <w:rPr>
          <w:i/>
          <w:iCs/>
          <w:color w:val="000000"/>
          <w:sz w:val="24"/>
          <w:szCs w:val="26"/>
          <w:shd w:val="clear" w:color="auto" w:fill="FFFFFF"/>
        </w:rPr>
        <w:t>et al</w:t>
      </w:r>
      <w:r>
        <w:rPr>
          <w:color w:val="000000"/>
          <w:sz w:val="24"/>
          <w:szCs w:val="26"/>
          <w:shd w:val="clear" w:color="auto" w:fill="FFFFFF"/>
        </w:rPr>
        <w:t>., 2002)</w:t>
      </w:r>
      <w:r>
        <w:rPr>
          <w:color w:val="000000"/>
          <w:sz w:val="24"/>
          <w:szCs w:val="26"/>
        </w:rPr>
        <w:t>. For thousands of years, plants and herbs have been a tremendous source of food and me</w:t>
      </w:r>
      <w:r>
        <w:rPr>
          <w:color w:val="000000"/>
          <w:sz w:val="24"/>
          <w:szCs w:val="26"/>
        </w:rPr>
        <w:t xml:space="preserve">dicine. Various parts of </w:t>
      </w:r>
      <w:r>
        <w:rPr>
          <w:i/>
          <w:color w:val="000000"/>
          <w:sz w:val="24"/>
          <w:szCs w:val="26"/>
        </w:rPr>
        <w:t>Sida acuta</w:t>
      </w:r>
      <w:r>
        <w:rPr>
          <w:color w:val="000000"/>
          <w:sz w:val="24"/>
          <w:szCs w:val="26"/>
        </w:rPr>
        <w:t xml:space="preserve"> have been reported in many studies to be used by indigenous people from tropical countries to manage some health problems: rheumatic affections, azoospermia, oligospermia and spermatorrhea, leucorrhoea, wounds, sciatica,</w:t>
      </w:r>
      <w:r>
        <w:rPr>
          <w:color w:val="000000"/>
          <w:sz w:val="24"/>
          <w:szCs w:val="26"/>
        </w:rPr>
        <w:t xml:space="preserve"> </w:t>
      </w:r>
      <w:r>
        <w:rPr>
          <w:color w:val="000000"/>
          <w:sz w:val="24"/>
          <w:szCs w:val="26"/>
        </w:rPr>
        <w:lastRenderedPageBreak/>
        <w:t>nervous and heart diseases, cold, cough, asthma, tuberculosis and respiratory diseases, disorders of the blood, bile and liver, elephantiasis, hemorrhoids, ulcers, gastric disorders and abdominal pain, headache, fever and malaria, skin diseases, worms, di</w:t>
      </w:r>
      <w:r>
        <w:rPr>
          <w:color w:val="000000"/>
          <w:sz w:val="24"/>
          <w:szCs w:val="26"/>
        </w:rPr>
        <w:t>arrhea and dysentery, venereal diseases, renal inflammation, toothache and snake bites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 xml:space="preserve">). </w:t>
      </w:r>
      <w:r>
        <w:rPr>
          <w:i/>
          <w:color w:val="000000"/>
          <w:sz w:val="24"/>
          <w:szCs w:val="26"/>
        </w:rPr>
        <w:t>Sida acuta</w:t>
      </w:r>
      <w:r>
        <w:rPr>
          <w:color w:val="000000"/>
          <w:sz w:val="24"/>
          <w:szCs w:val="26"/>
        </w:rPr>
        <w:t xml:space="preserve"> has been scientifically studied for its numerous pharmacological profiles such as: antioxidant, antimicrobial and antibacterial, ant</w:t>
      </w:r>
      <w:r>
        <w:rPr>
          <w:color w:val="000000"/>
          <w:sz w:val="24"/>
          <w:szCs w:val="26"/>
        </w:rPr>
        <w:t>imalarial, cardiovascular, antiulcer, analgesic and anti-inflammatory, antipyretic, hepatoprotective, hypoglycemic, insecticidal and anticancer. Moreover, it has been proved that there was no mortality in rats administered with this plant extract up to a d</w:t>
      </w:r>
      <w:r>
        <w:rPr>
          <w:color w:val="000000"/>
          <w:sz w:val="24"/>
          <w:szCs w:val="26"/>
        </w:rPr>
        <w:t>ose level of 2000 mg/Kg body weight. Bioactive constituents such as alkaloids, saponins, coumarins, steroids, tannins, phenolic compounds, cardiac glycosides, sesquiterpene and flavonoids, significantly present in the plant extract, account for its multipl</w:t>
      </w:r>
      <w:r>
        <w:rPr>
          <w:color w:val="000000"/>
          <w:sz w:val="24"/>
          <w:szCs w:val="26"/>
        </w:rPr>
        <w:t>e properties and uses in traditional medicine (</w:t>
      </w:r>
      <w:r>
        <w:rPr>
          <w:color w:val="000000"/>
          <w:sz w:val="24"/>
          <w:szCs w:val="26"/>
          <w:shd w:val="clear" w:color="auto" w:fill="FFFFFF"/>
        </w:rPr>
        <w:t xml:space="preserve">Tcheghebe </w:t>
      </w:r>
      <w:r>
        <w:rPr>
          <w:i/>
          <w:iCs/>
          <w:color w:val="000000"/>
          <w:sz w:val="24"/>
          <w:szCs w:val="26"/>
          <w:shd w:val="clear" w:color="auto" w:fill="FFFFFF"/>
        </w:rPr>
        <w:t>et al</w:t>
      </w:r>
      <w:r>
        <w:rPr>
          <w:color w:val="000000"/>
          <w:sz w:val="24"/>
          <w:szCs w:val="26"/>
          <w:shd w:val="clear" w:color="auto" w:fill="FFFFFF"/>
        </w:rPr>
        <w:t>., 2017</w:t>
      </w:r>
      <w:r>
        <w:rPr>
          <w:color w:val="000000"/>
          <w:sz w:val="24"/>
          <w:szCs w:val="26"/>
        </w:rPr>
        <w:t>).</w:t>
      </w:r>
    </w:p>
    <w:p w:rsidR="005F01BE" w:rsidRDefault="003E2C3A">
      <w:pPr>
        <w:spacing w:after="0" w:line="480" w:lineRule="auto"/>
        <w:ind w:firstLine="720"/>
        <w:jc w:val="both"/>
        <w:rPr>
          <w:color w:val="000000"/>
          <w:sz w:val="24"/>
          <w:szCs w:val="26"/>
          <w:shd w:val="clear" w:color="auto" w:fill="FFFFFF"/>
        </w:rPr>
      </w:pPr>
      <w:r>
        <w:rPr>
          <w:i/>
          <w:color w:val="000000"/>
          <w:sz w:val="24"/>
          <w:szCs w:val="26"/>
        </w:rPr>
        <w:t>Sida acuta</w:t>
      </w:r>
      <w:r>
        <w:rPr>
          <w:color w:val="000000"/>
          <w:sz w:val="24"/>
          <w:szCs w:val="26"/>
        </w:rPr>
        <w:t xml:space="preserve"> otherwise known as broom weed is a shrub belonging to Malvaceae family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The plant is widely distributed in the subtropical regions and has many tradi</w:t>
      </w:r>
      <w:r>
        <w:rPr>
          <w:color w:val="000000"/>
          <w:sz w:val="24"/>
          <w:szCs w:val="26"/>
        </w:rPr>
        <w:t>tional usages that varied from one region to another (</w:t>
      </w:r>
      <w:r>
        <w:rPr>
          <w:color w:val="000000"/>
          <w:sz w:val="24"/>
          <w:szCs w:val="26"/>
          <w:shd w:val="clear" w:color="auto" w:fill="FFFFFF"/>
        </w:rPr>
        <w:t xml:space="preserve">Karou </w:t>
      </w:r>
      <w:r>
        <w:rPr>
          <w:i/>
          <w:iCs/>
          <w:color w:val="000000"/>
          <w:sz w:val="24"/>
          <w:szCs w:val="26"/>
          <w:shd w:val="clear" w:color="auto" w:fill="FFFFFF"/>
        </w:rPr>
        <w:t>et al</w:t>
      </w:r>
      <w:r>
        <w:rPr>
          <w:color w:val="000000"/>
          <w:sz w:val="24"/>
          <w:szCs w:val="26"/>
          <w:shd w:val="clear" w:color="auto" w:fill="FFFFFF"/>
        </w:rPr>
        <w:t>., 2007</w:t>
      </w:r>
      <w:r>
        <w:rPr>
          <w:color w:val="000000"/>
          <w:sz w:val="24"/>
          <w:szCs w:val="26"/>
        </w:rPr>
        <w:t>). All the plant parts exert various pharmacological properties which include antiplasmodial, antimicrobial, antioxidant and cytotoxic activities (</w:t>
      </w:r>
      <w:r>
        <w:rPr>
          <w:color w:val="000000"/>
          <w:sz w:val="24"/>
          <w:szCs w:val="26"/>
          <w:shd w:val="clear" w:color="auto" w:fill="FFFFFF"/>
        </w:rPr>
        <w:t xml:space="preserve">Ekwealor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 In Nigeria, </w:t>
      </w:r>
      <w:r>
        <w:rPr>
          <w:i/>
          <w:color w:val="000000"/>
          <w:sz w:val="24"/>
          <w:szCs w:val="26"/>
        </w:rPr>
        <w:t>S</w:t>
      </w:r>
      <w:r>
        <w:rPr>
          <w:i/>
          <w:color w:val="000000"/>
          <w:sz w:val="24"/>
          <w:szCs w:val="26"/>
        </w:rPr>
        <w:t>ida acuta</w:t>
      </w:r>
      <w:r>
        <w:rPr>
          <w:color w:val="000000"/>
          <w:sz w:val="24"/>
          <w:szCs w:val="26"/>
        </w:rPr>
        <w:t xml:space="preserve"> known as Udo by the Igbos and Kayan Kuka in Hausa (Akaneme, 2008) and Iseketu by the Yorubas has been reported to be used in the treatment of malaria, ulcer, fever, gonorrhea, abortion, breast cancer, poisoning, inflammation, and </w:t>
      </w:r>
      <w:r>
        <w:rPr>
          <w:color w:val="000000"/>
          <w:sz w:val="24"/>
          <w:szCs w:val="26"/>
        </w:rPr>
        <w:lastRenderedPageBreak/>
        <w:t>haemorrhage (</w:t>
      </w:r>
      <w:r>
        <w:rPr>
          <w:color w:val="000000"/>
          <w:sz w:val="24"/>
          <w:szCs w:val="26"/>
          <w:shd w:val="clear" w:color="auto" w:fill="FFFFFF"/>
        </w:rPr>
        <w:t>Kay</w:t>
      </w:r>
      <w:r>
        <w:rPr>
          <w:color w:val="000000"/>
          <w:sz w:val="24"/>
          <w:szCs w:val="26"/>
          <w:shd w:val="clear" w:color="auto" w:fill="FFFFFF"/>
        </w:rPr>
        <w:t xml:space="preserve">ode, 2006). </w:t>
      </w:r>
      <w:r>
        <w:rPr>
          <w:color w:val="000000"/>
          <w:sz w:val="24"/>
          <w:szCs w:val="26"/>
        </w:rPr>
        <w:t xml:space="preserve">Different plant part of </w:t>
      </w:r>
      <w:r>
        <w:rPr>
          <w:i/>
          <w:color w:val="000000"/>
          <w:sz w:val="24"/>
          <w:szCs w:val="26"/>
        </w:rPr>
        <w:t>Sida acuta</w:t>
      </w:r>
      <w:r>
        <w:rPr>
          <w:color w:val="000000"/>
          <w:sz w:val="24"/>
          <w:szCs w:val="26"/>
        </w:rPr>
        <w:t xml:space="preserve"> consists of complex phytochemicals, which are responsible for biological activity. The roots and seeds of this plant revealed the presence of pharmacologically active alkaloids, with a concentration of 0.066% </w:t>
      </w:r>
      <w:r>
        <w:rPr>
          <w:color w:val="000000"/>
          <w:sz w:val="24"/>
          <w:szCs w:val="26"/>
        </w:rPr>
        <w:t xml:space="preserve">and 0.26%, respectively (Khare, 2008). In this study, we provide an in-depth critical overview of </w:t>
      </w:r>
      <w:r>
        <w:rPr>
          <w:i/>
          <w:color w:val="000000"/>
          <w:sz w:val="24"/>
          <w:szCs w:val="26"/>
        </w:rPr>
        <w:t>Sida acuta</w:t>
      </w:r>
      <w:r>
        <w:rPr>
          <w:color w:val="000000"/>
          <w:sz w:val="24"/>
          <w:szCs w:val="26"/>
        </w:rPr>
        <w:t>’s traditional importance, pharmacological properties, and chemical constituents.</w:t>
      </w: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4648200" cy="3343275"/>
            <wp:effectExtent l="0" t="0" r="0" b="9525"/>
            <wp:docPr id="1027" name="Picture 2" descr="IMG-20250614-WA00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1" cstate="print"/>
                    <a:srcRect/>
                    <a:stretch/>
                  </pic:blipFill>
                  <pic:spPr>
                    <a:xfrm>
                      <a:off x="0" y="0"/>
                      <a:ext cx="4648200" cy="3343275"/>
                    </a:xfrm>
                    <a:prstGeom prst="rect">
                      <a:avLst/>
                    </a:prstGeom>
                    <a:ln>
                      <a:noFill/>
                    </a:ln>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 xml:space="preserve">Figure 1: </w:t>
      </w:r>
      <w:r>
        <w:rPr>
          <w:b/>
          <w:i/>
          <w:color w:val="000000"/>
          <w:sz w:val="24"/>
          <w:szCs w:val="26"/>
        </w:rPr>
        <w:t>Sida acuta</w:t>
      </w:r>
      <w:r>
        <w:rPr>
          <w:b/>
          <w:color w:val="000000"/>
          <w:sz w:val="24"/>
          <w:szCs w:val="26"/>
        </w:rPr>
        <w:t xml:space="preserve"> plant  </w:t>
      </w:r>
    </w:p>
    <w:p w:rsidR="005F01BE" w:rsidRDefault="003E2C3A">
      <w:pPr>
        <w:spacing w:after="0" w:line="480" w:lineRule="auto"/>
        <w:jc w:val="both"/>
        <w:rPr>
          <w:b/>
          <w:color w:val="000000"/>
          <w:sz w:val="24"/>
          <w:szCs w:val="26"/>
        </w:rPr>
      </w:pPr>
      <w:r>
        <w:rPr>
          <w:b/>
          <w:color w:val="000000"/>
          <w:sz w:val="24"/>
          <w:szCs w:val="26"/>
        </w:rPr>
        <w:t xml:space="preserve">Source: </w:t>
      </w:r>
      <w:r>
        <w:rPr>
          <w:color w:val="000000"/>
          <w:sz w:val="24"/>
          <w:szCs w:val="26"/>
          <w:shd w:val="clear" w:color="auto" w:fill="FFFFFF"/>
        </w:rPr>
        <w:t xml:space="preserve">Srinivasan and Murali, </w:t>
      </w:r>
      <w:r>
        <w:rPr>
          <w:color w:val="000000"/>
          <w:sz w:val="24"/>
          <w:szCs w:val="26"/>
          <w:shd w:val="clear" w:color="auto" w:fill="FFFFFF"/>
        </w:rPr>
        <w:t>(2022).</w:t>
      </w:r>
    </w:p>
    <w:p w:rsidR="005F01BE" w:rsidRDefault="003E2C3A">
      <w:pPr>
        <w:spacing w:after="0" w:line="480" w:lineRule="auto"/>
        <w:ind w:firstLine="720"/>
        <w:jc w:val="both"/>
        <w:rPr>
          <w:color w:val="000000"/>
          <w:sz w:val="24"/>
          <w:szCs w:val="26"/>
        </w:rPr>
      </w:pPr>
      <w:r>
        <w:rPr>
          <w:color w:val="000000"/>
          <w:sz w:val="24"/>
          <w:szCs w:val="26"/>
        </w:rPr>
        <w:t>Phytochemicals are naturally occurring compounds found in plants with a variety of functions, including providing defences against diseases and environmental stressors. Some phytochemicals can also promote human health, and they are being studied f</w:t>
      </w:r>
      <w:r>
        <w:rPr>
          <w:color w:val="000000"/>
          <w:sz w:val="24"/>
          <w:szCs w:val="26"/>
        </w:rPr>
        <w:t xml:space="preserve">or </w:t>
      </w:r>
      <w:r>
        <w:rPr>
          <w:color w:val="000000"/>
          <w:sz w:val="24"/>
          <w:szCs w:val="26"/>
        </w:rPr>
        <w:lastRenderedPageBreak/>
        <w:t xml:space="preserve">their potential to prevent or treat various diseases. The medicinal plant </w:t>
      </w:r>
      <w:r>
        <w:rPr>
          <w:i/>
          <w:color w:val="000000"/>
          <w:sz w:val="24"/>
          <w:szCs w:val="26"/>
        </w:rPr>
        <w:t>Sida acuta</w:t>
      </w:r>
      <w:r>
        <w:rPr>
          <w:color w:val="000000"/>
          <w:sz w:val="24"/>
          <w:szCs w:val="26"/>
        </w:rPr>
        <w:t xml:space="preserve"> consists of a variety of phytocompounds and the chemical structures are shown in Figure 2. An analysis of ethanol extracts from </w:t>
      </w:r>
      <w:r>
        <w:rPr>
          <w:i/>
          <w:color w:val="000000"/>
          <w:sz w:val="24"/>
          <w:szCs w:val="26"/>
        </w:rPr>
        <w:t>Sida acuta</w:t>
      </w:r>
      <w:r>
        <w:rPr>
          <w:color w:val="000000"/>
          <w:sz w:val="24"/>
          <w:szCs w:val="26"/>
        </w:rPr>
        <w:t xml:space="preserve"> leaves revealed the presence </w:t>
      </w:r>
      <w:r>
        <w:rPr>
          <w:color w:val="000000"/>
          <w:sz w:val="24"/>
          <w:szCs w:val="26"/>
        </w:rPr>
        <w:t xml:space="preserve">of alkaloids, flavonoids, steroids, tannins, terpenoids, and cardiac glycosides (Adeniyi </w:t>
      </w:r>
      <w:r>
        <w:rPr>
          <w:i/>
          <w:iCs/>
          <w:color w:val="000000"/>
          <w:sz w:val="24"/>
          <w:szCs w:val="26"/>
        </w:rPr>
        <w:t>et al</w:t>
      </w:r>
      <w:r>
        <w:rPr>
          <w:color w:val="000000"/>
          <w:sz w:val="24"/>
          <w:szCs w:val="26"/>
        </w:rPr>
        <w:t xml:space="preserve">., 2010). Vitamins and minerals present in </w:t>
      </w:r>
      <w:r>
        <w:rPr>
          <w:i/>
          <w:color w:val="000000"/>
          <w:sz w:val="24"/>
          <w:szCs w:val="26"/>
        </w:rPr>
        <w:t>Sida acuta</w:t>
      </w:r>
      <w:r>
        <w:rPr>
          <w:color w:val="000000"/>
          <w:sz w:val="24"/>
          <w:szCs w:val="26"/>
        </w:rPr>
        <w:t xml:space="preserve"> leaves include ascorbic acid, niacin, thiamine, riboflavin, and β-carotene, as well as calcium, iron, phosph</w:t>
      </w:r>
      <w:r>
        <w:rPr>
          <w:color w:val="000000"/>
          <w:sz w:val="24"/>
          <w:szCs w:val="26"/>
        </w:rPr>
        <w:t xml:space="preserve">orus, sodium, and magnesium (Raimi </w:t>
      </w:r>
      <w:r>
        <w:rPr>
          <w:i/>
          <w:iCs/>
          <w:color w:val="000000"/>
          <w:sz w:val="24"/>
          <w:szCs w:val="26"/>
        </w:rPr>
        <w:t>et al</w:t>
      </w:r>
      <w:r>
        <w:rPr>
          <w:color w:val="000000"/>
          <w:sz w:val="24"/>
          <w:szCs w:val="26"/>
        </w:rPr>
        <w:t xml:space="preserve">., 2014). </w:t>
      </w:r>
    </w:p>
    <w:p w:rsidR="005F01BE" w:rsidRDefault="003E2C3A">
      <w:pPr>
        <w:pStyle w:val="NormalWeb"/>
        <w:spacing w:after="0" w:afterAutospacing="0" w:line="480" w:lineRule="auto"/>
        <w:ind w:firstLine="420"/>
        <w:jc w:val="both"/>
        <w:rPr>
          <w:color w:val="000000"/>
          <w:szCs w:val="26"/>
        </w:rPr>
      </w:pPr>
      <w:r>
        <w:rPr>
          <w:color w:val="000000"/>
          <w:szCs w:val="26"/>
        </w:rPr>
        <w:t>Gastric ulcers, commonly known as peptic ulcers, are lesions in the stomach lining or the upper part of the small intestine that occur due to excessive gastric acid secretion and an imbalance between aggre</w:t>
      </w:r>
      <w:r>
        <w:rPr>
          <w:color w:val="000000"/>
          <w:szCs w:val="26"/>
        </w:rPr>
        <w:t xml:space="preserve">ssive and defensive factors in the gastrointestinal tract (Li </w:t>
      </w:r>
      <w:r>
        <w:rPr>
          <w:i/>
          <w:iCs/>
          <w:color w:val="000000"/>
          <w:szCs w:val="26"/>
        </w:rPr>
        <w:t>et al</w:t>
      </w:r>
      <w:r>
        <w:rPr>
          <w:color w:val="000000"/>
          <w:szCs w:val="26"/>
        </w:rPr>
        <w:t xml:space="preserve">., 2020). The condition affects millions worldwide, leading to significant morbidity and economic burdens. Common causes of gastric ulcers include </w:t>
      </w:r>
      <w:r>
        <w:rPr>
          <w:i/>
          <w:color w:val="000000"/>
          <w:szCs w:val="26"/>
        </w:rPr>
        <w:t xml:space="preserve">Helicobacter pylori </w:t>
      </w:r>
      <w:r>
        <w:rPr>
          <w:color w:val="000000"/>
          <w:szCs w:val="26"/>
        </w:rPr>
        <w:t>infection, excessive u</w:t>
      </w:r>
      <w:r>
        <w:rPr>
          <w:color w:val="000000"/>
          <w:szCs w:val="26"/>
        </w:rPr>
        <w:t>se of nonsteroidal anti-inflammatory drugs (NSAIDs), alcohol consumption, and stress (Suerbaum and Michetti, 2002). Conventional antiulcer medications such as proton pump inhibitors (PPIs), H2-receptor antagonists, and antacids are commonly used for managi</w:t>
      </w:r>
      <w:r>
        <w:rPr>
          <w:color w:val="000000"/>
          <w:szCs w:val="26"/>
        </w:rPr>
        <w:t xml:space="preserve">ng ulcers (Brunton </w:t>
      </w:r>
      <w:r>
        <w:rPr>
          <w:i/>
          <w:iCs/>
          <w:color w:val="000000"/>
          <w:szCs w:val="26"/>
        </w:rPr>
        <w:t>et al</w:t>
      </w:r>
      <w:r>
        <w:rPr>
          <w:color w:val="000000"/>
          <w:szCs w:val="26"/>
        </w:rPr>
        <w:t xml:space="preserve">., 2017). However, their long-term use is associated with several side effects, including increased risk of fractures, kidney disease, and microbial imbalances (Moayyedi </w:t>
      </w:r>
      <w:r>
        <w:rPr>
          <w:i/>
          <w:iCs/>
          <w:color w:val="000000"/>
          <w:szCs w:val="26"/>
        </w:rPr>
        <w:t>et al</w:t>
      </w:r>
      <w:r>
        <w:rPr>
          <w:color w:val="000000"/>
          <w:szCs w:val="26"/>
        </w:rPr>
        <w:t xml:space="preserve">., 2019). </w:t>
      </w:r>
    </w:p>
    <w:p w:rsidR="005F01BE" w:rsidRDefault="003E2C3A">
      <w:pPr>
        <w:pStyle w:val="NormalWeb"/>
        <w:spacing w:after="0" w:afterAutospacing="0" w:line="480" w:lineRule="auto"/>
        <w:ind w:firstLine="420"/>
        <w:jc w:val="both"/>
        <w:rPr>
          <w:color w:val="000000"/>
          <w:szCs w:val="26"/>
        </w:rPr>
      </w:pPr>
      <w:r>
        <w:rPr>
          <w:color w:val="000000"/>
          <w:szCs w:val="26"/>
        </w:rPr>
        <w:t xml:space="preserve">As a result, there is growing interest in exploring alternative and complementary medicines, particularly plant-based remedies, which have been traditionally used for ulcer </w:t>
      </w:r>
      <w:r>
        <w:rPr>
          <w:color w:val="000000"/>
          <w:szCs w:val="26"/>
        </w:rPr>
        <w:lastRenderedPageBreak/>
        <w:t xml:space="preserve">treatment with minimal side effects. </w:t>
      </w:r>
      <w:r>
        <w:rPr>
          <w:i/>
          <w:color w:val="000000"/>
          <w:szCs w:val="26"/>
        </w:rPr>
        <w:t>Sida acuta</w:t>
      </w:r>
      <w:r>
        <w:rPr>
          <w:color w:val="000000"/>
          <w:szCs w:val="26"/>
        </w:rPr>
        <w:t xml:space="preserve"> (Malvaceae) is a widely distributed</w:t>
      </w:r>
      <w:r>
        <w:rPr>
          <w:color w:val="000000"/>
          <w:szCs w:val="26"/>
        </w:rPr>
        <w:t xml:space="preserve"> medicinal plant recognized for its pharmacological properties, including antimicrobial, antioxidant, anti-inflammatory, and antiulcer activities (Ekwealor </w:t>
      </w:r>
      <w:r>
        <w:rPr>
          <w:i/>
          <w:iCs/>
          <w:color w:val="000000"/>
          <w:szCs w:val="26"/>
        </w:rPr>
        <w:t>et al</w:t>
      </w:r>
      <w:r>
        <w:rPr>
          <w:color w:val="000000"/>
          <w:szCs w:val="26"/>
        </w:rPr>
        <w:t xml:space="preserve">., 2020). Indigenous communities in tropical regions have used </w:t>
      </w:r>
      <w:r>
        <w:rPr>
          <w:rStyle w:val="Emphasis"/>
          <w:color w:val="000000"/>
          <w:szCs w:val="26"/>
        </w:rPr>
        <w:t>Sida acuta</w:t>
      </w:r>
      <w:r>
        <w:rPr>
          <w:color w:val="000000"/>
          <w:szCs w:val="26"/>
        </w:rPr>
        <w:t xml:space="preserve"> for treating various </w:t>
      </w:r>
      <w:r>
        <w:rPr>
          <w:color w:val="000000"/>
          <w:szCs w:val="26"/>
        </w:rPr>
        <w:t xml:space="preserve">ailments, including ulcers, fever, malaria, wounds, and gastrointestinal disorders (Tcheghebe </w:t>
      </w:r>
      <w:r>
        <w:rPr>
          <w:i/>
          <w:iCs/>
          <w:color w:val="000000"/>
          <w:szCs w:val="26"/>
        </w:rPr>
        <w:t>et al</w:t>
      </w:r>
      <w:r>
        <w:rPr>
          <w:color w:val="000000"/>
          <w:szCs w:val="26"/>
        </w:rPr>
        <w:t xml:space="preserve">., 2017). Given its rich phytochemical composition, including alkaloids, flavonoids, tannins, and phenolic compounds, </w:t>
      </w:r>
      <w:r>
        <w:rPr>
          <w:rStyle w:val="Emphasis"/>
          <w:color w:val="000000"/>
          <w:szCs w:val="26"/>
        </w:rPr>
        <w:t>Sida acuta</w:t>
      </w:r>
      <w:r>
        <w:rPr>
          <w:color w:val="000000"/>
          <w:szCs w:val="26"/>
        </w:rPr>
        <w:t xml:space="preserve"> exhibits promising bioactivi</w:t>
      </w:r>
      <w:r>
        <w:rPr>
          <w:color w:val="000000"/>
          <w:szCs w:val="26"/>
        </w:rPr>
        <w:t xml:space="preserve">ties that could be beneficial in ulcer treatment (Adeniyi </w:t>
      </w:r>
      <w:r>
        <w:rPr>
          <w:i/>
          <w:iCs/>
          <w:color w:val="000000"/>
          <w:szCs w:val="26"/>
        </w:rPr>
        <w:t>et al</w:t>
      </w:r>
      <w:r>
        <w:rPr>
          <w:color w:val="000000"/>
          <w:szCs w:val="26"/>
        </w:rPr>
        <w:t xml:space="preserve">., 2010). </w:t>
      </w:r>
    </w:p>
    <w:p w:rsidR="005F01BE" w:rsidRDefault="003E2C3A">
      <w:pPr>
        <w:pStyle w:val="NormalWeb"/>
        <w:spacing w:after="0" w:afterAutospacing="0" w:line="480" w:lineRule="auto"/>
        <w:ind w:firstLine="720"/>
        <w:jc w:val="both"/>
        <w:rPr>
          <w:color w:val="000000"/>
          <w:szCs w:val="26"/>
        </w:rPr>
      </w:pPr>
      <w:r>
        <w:rPr>
          <w:color w:val="000000"/>
          <w:szCs w:val="26"/>
        </w:rPr>
        <w:t>Gastric ulcer development is influenced by an imbalance between protective and aggressive factors in the gastrointestinal tract. Protective factors include mucus secretion, bicarbona</w:t>
      </w:r>
      <w:r>
        <w:rPr>
          <w:color w:val="000000"/>
          <w:szCs w:val="26"/>
        </w:rPr>
        <w:t>te production, and adequate blood flow to the gastric mucosa, while aggressive factors include gastric acid, pepsin, and reactive oxygen species (Wallace, 2008). Ulcer formation typically occurs when the mucosal defenses are weakened or overwhelmed by aggr</w:t>
      </w:r>
      <w:r>
        <w:rPr>
          <w:color w:val="000000"/>
          <w:szCs w:val="26"/>
        </w:rPr>
        <w:t xml:space="preserve">essive factors, leading to tissue damage and inflammation (Malfertheiner </w:t>
      </w:r>
      <w:r>
        <w:rPr>
          <w:i/>
          <w:iCs/>
          <w:color w:val="000000"/>
          <w:szCs w:val="26"/>
        </w:rPr>
        <w:t>et al</w:t>
      </w:r>
      <w:r>
        <w:rPr>
          <w:color w:val="000000"/>
          <w:szCs w:val="26"/>
        </w:rPr>
        <w:t xml:space="preserve">., 2017). </w:t>
      </w:r>
    </w:p>
    <w:p w:rsidR="005F01BE" w:rsidRDefault="003E2C3A">
      <w:pPr>
        <w:pStyle w:val="NormalWeb"/>
        <w:spacing w:after="0" w:afterAutospacing="0" w:line="480" w:lineRule="auto"/>
        <w:ind w:firstLine="720"/>
        <w:jc w:val="both"/>
        <w:rPr>
          <w:color w:val="000000"/>
          <w:szCs w:val="26"/>
        </w:rPr>
      </w:pPr>
      <w:r>
        <w:rPr>
          <w:color w:val="000000"/>
          <w:szCs w:val="26"/>
        </w:rPr>
        <w:t xml:space="preserve">Medicinal plants have been widely explored as potential antiulcer agents due to their natural bioactive compounds that offer gastroprotective effects (Balogun </w:t>
      </w:r>
      <w:r>
        <w:rPr>
          <w:i/>
          <w:iCs/>
          <w:color w:val="000000"/>
          <w:szCs w:val="26"/>
        </w:rPr>
        <w:t>et al</w:t>
      </w:r>
      <w:r>
        <w:rPr>
          <w:color w:val="000000"/>
          <w:szCs w:val="26"/>
        </w:rPr>
        <w:t xml:space="preserve">., 2019). Many plant extracts contain flavonoids, tannins, alkaloids, and terpenoids, which exhibit antioxidant, anti-inflammatory, and cytoprotective properties that enhance gastric mucosal defenses (Borrelli and Izzo, 2000). These natural compounds help </w:t>
      </w:r>
      <w:r>
        <w:rPr>
          <w:color w:val="000000"/>
          <w:szCs w:val="26"/>
        </w:rPr>
        <w:t xml:space="preserve">in reducing </w:t>
      </w:r>
      <w:r>
        <w:rPr>
          <w:color w:val="000000"/>
          <w:szCs w:val="26"/>
        </w:rPr>
        <w:lastRenderedPageBreak/>
        <w:t xml:space="preserve">acid secretion, promoting mucus production, and improving gastric tissue repair (Jaiswal </w:t>
      </w:r>
      <w:r>
        <w:rPr>
          <w:i/>
          <w:iCs/>
          <w:color w:val="000000"/>
          <w:szCs w:val="26"/>
        </w:rPr>
        <w:t>et al</w:t>
      </w:r>
      <w:r>
        <w:rPr>
          <w:color w:val="000000"/>
          <w:szCs w:val="26"/>
        </w:rPr>
        <w:t xml:space="preserve">., 2016). </w:t>
      </w:r>
    </w:p>
    <w:p w:rsidR="005F01BE" w:rsidRDefault="003E2C3A">
      <w:pPr>
        <w:pStyle w:val="NormalWeb"/>
        <w:spacing w:after="0" w:afterAutospacing="0" w:line="480" w:lineRule="auto"/>
        <w:ind w:firstLine="720"/>
        <w:jc w:val="both"/>
        <w:rPr>
          <w:color w:val="000000"/>
          <w:szCs w:val="26"/>
        </w:rPr>
      </w:pPr>
      <w:r>
        <w:rPr>
          <w:rStyle w:val="Emphasis"/>
          <w:color w:val="000000"/>
          <w:szCs w:val="26"/>
        </w:rPr>
        <w:t>Sida acuta</w:t>
      </w:r>
      <w:r>
        <w:rPr>
          <w:color w:val="000000"/>
          <w:szCs w:val="26"/>
        </w:rPr>
        <w:t xml:space="preserve"> has been reported to possess multiple pharmacological activities, including antimicrobial, anti-inflammatory, hepatoprotective, </w:t>
      </w:r>
      <w:r>
        <w:rPr>
          <w:color w:val="000000"/>
          <w:szCs w:val="26"/>
        </w:rPr>
        <w:t xml:space="preserve">hypoglycemic, and antioxidant effects (Karou </w:t>
      </w:r>
      <w:r>
        <w:rPr>
          <w:i/>
          <w:iCs/>
          <w:color w:val="000000"/>
          <w:szCs w:val="26"/>
        </w:rPr>
        <w:t>et al</w:t>
      </w:r>
      <w:r>
        <w:rPr>
          <w:color w:val="000000"/>
          <w:szCs w:val="26"/>
        </w:rPr>
        <w:t xml:space="preserve">., 2007). The plant’s traditional use in treating ulcers is supported by scientific evidence demonstrating its gastroprotective and healing potential (Ekwealor </w:t>
      </w:r>
      <w:r>
        <w:rPr>
          <w:i/>
          <w:iCs/>
          <w:color w:val="000000"/>
          <w:szCs w:val="26"/>
        </w:rPr>
        <w:t>et al</w:t>
      </w:r>
      <w:r>
        <w:rPr>
          <w:color w:val="000000"/>
          <w:szCs w:val="26"/>
        </w:rPr>
        <w:t xml:space="preserve">., 2020). Studies indicate that </w:t>
      </w:r>
      <w:r>
        <w:rPr>
          <w:rStyle w:val="Emphasis"/>
          <w:color w:val="000000"/>
          <w:szCs w:val="26"/>
        </w:rPr>
        <w:t>Sida acut</w:t>
      </w:r>
      <w:r>
        <w:rPr>
          <w:rStyle w:val="Emphasis"/>
          <w:color w:val="000000"/>
          <w:szCs w:val="26"/>
        </w:rPr>
        <w:t>a</w:t>
      </w:r>
      <w:r>
        <w:rPr>
          <w:color w:val="000000"/>
          <w:szCs w:val="26"/>
        </w:rPr>
        <w:t xml:space="preserve"> contains significant levels of flavonoids, tannins, saponins, and other phytochemicals known for their antiulcer activity (Tcheghebe </w:t>
      </w:r>
      <w:r>
        <w:rPr>
          <w:i/>
          <w:iCs/>
          <w:color w:val="000000"/>
          <w:szCs w:val="26"/>
        </w:rPr>
        <w:t>et al</w:t>
      </w:r>
      <w:r>
        <w:rPr>
          <w:color w:val="000000"/>
          <w:szCs w:val="26"/>
        </w:rPr>
        <w:t xml:space="preserve">., 2017). Phytochemical analysis of </w:t>
      </w:r>
      <w:r>
        <w:rPr>
          <w:rStyle w:val="Emphasis"/>
          <w:color w:val="000000"/>
          <w:szCs w:val="26"/>
        </w:rPr>
        <w:t>Sida acuta</w:t>
      </w:r>
      <w:r>
        <w:rPr>
          <w:color w:val="000000"/>
          <w:szCs w:val="26"/>
        </w:rPr>
        <w:t xml:space="preserve"> reveals the presence of alkaloids, flavonoids, steroids, tannins, ter</w:t>
      </w:r>
      <w:r>
        <w:rPr>
          <w:color w:val="000000"/>
          <w:szCs w:val="26"/>
        </w:rPr>
        <w:t xml:space="preserve">penoids, and cardiac glycosides, which contribute to its therapeutic properties (Adeniyi </w:t>
      </w:r>
      <w:r>
        <w:rPr>
          <w:i/>
          <w:iCs/>
          <w:color w:val="000000"/>
          <w:szCs w:val="26"/>
        </w:rPr>
        <w:t>et al</w:t>
      </w:r>
      <w:r>
        <w:rPr>
          <w:color w:val="000000"/>
          <w:szCs w:val="26"/>
        </w:rPr>
        <w:t xml:space="preserve">., 2010). These compounds are known to enhance mucosal protection, reduce inflammation, and scavenge free radicals that contribute to ulcer pathogenesis (Raimi </w:t>
      </w:r>
      <w:r>
        <w:rPr>
          <w:i/>
          <w:iCs/>
          <w:color w:val="000000"/>
          <w:szCs w:val="26"/>
        </w:rPr>
        <w:t>et</w:t>
      </w:r>
      <w:r>
        <w:rPr>
          <w:i/>
          <w:iCs/>
          <w:color w:val="000000"/>
          <w:szCs w:val="26"/>
        </w:rPr>
        <w:t xml:space="preserve"> al</w:t>
      </w:r>
      <w:r>
        <w:rPr>
          <w:color w:val="000000"/>
          <w:szCs w:val="26"/>
        </w:rPr>
        <w:t xml:space="preserve">., 2014). Moreover, </w:t>
      </w:r>
      <w:r>
        <w:rPr>
          <w:rStyle w:val="Emphasis"/>
          <w:color w:val="000000"/>
          <w:szCs w:val="26"/>
        </w:rPr>
        <w:t>Sida acuta</w:t>
      </w:r>
      <w:r>
        <w:rPr>
          <w:color w:val="000000"/>
          <w:szCs w:val="26"/>
        </w:rPr>
        <w:t xml:space="preserve"> has demonstrated significant antioxidant activity, which may help in alleviating oxidative stress-induced gastric mucosal damage (Mohideen </w:t>
      </w:r>
      <w:r>
        <w:rPr>
          <w:i/>
          <w:iCs/>
          <w:color w:val="000000"/>
          <w:szCs w:val="26"/>
        </w:rPr>
        <w:t>et al</w:t>
      </w:r>
      <w:r>
        <w:rPr>
          <w:color w:val="000000"/>
          <w:szCs w:val="26"/>
        </w:rPr>
        <w:t>., 2002).</w:t>
      </w:r>
    </w:p>
    <w:p w:rsidR="005F01BE" w:rsidRDefault="003E2C3A">
      <w:pPr>
        <w:spacing w:after="0" w:line="240" w:lineRule="auto"/>
        <w:jc w:val="both"/>
        <w:rPr>
          <w:b/>
          <w:bCs/>
          <w:color w:val="000000"/>
          <w:sz w:val="24"/>
          <w:szCs w:val="26"/>
        </w:rPr>
      </w:pPr>
      <w:r>
        <w:rPr>
          <w:b/>
          <w:bCs/>
          <w:color w:val="000000"/>
          <w:sz w:val="24"/>
          <w:szCs w:val="26"/>
        </w:rPr>
        <w:t>1.2 Statement of the research problem</w:t>
      </w:r>
    </w:p>
    <w:p w:rsidR="005F01BE" w:rsidRDefault="003E2C3A">
      <w:pPr>
        <w:pStyle w:val="NormalWeb"/>
        <w:spacing w:after="0" w:afterAutospacing="0" w:line="480" w:lineRule="auto"/>
        <w:ind w:firstLine="720"/>
        <w:jc w:val="both"/>
        <w:rPr>
          <w:color w:val="000000"/>
          <w:szCs w:val="26"/>
        </w:rPr>
      </w:pPr>
      <w:r>
        <w:rPr>
          <w:color w:val="000000"/>
          <w:szCs w:val="26"/>
        </w:rPr>
        <w:t xml:space="preserve">Peptic ulcers are a prevalent </w:t>
      </w:r>
      <w:r>
        <w:rPr>
          <w:color w:val="000000"/>
          <w:szCs w:val="26"/>
        </w:rPr>
        <w:t>gastrointestinal disorder that significantly impacts human health, causing symptoms such as pain, indigestion, and discomfort. The pathogenesis of peptic ulcers is often linked to factors such as the imbalance between aggressive and defensive factors in th</w:t>
      </w:r>
      <w:r>
        <w:rPr>
          <w:color w:val="000000"/>
          <w:szCs w:val="26"/>
        </w:rPr>
        <w:t xml:space="preserve">e gastrointestinal tract, including excessive gastric </w:t>
      </w:r>
      <w:r>
        <w:rPr>
          <w:color w:val="000000"/>
          <w:szCs w:val="26"/>
        </w:rPr>
        <w:lastRenderedPageBreak/>
        <w:t xml:space="preserve">acid secretion, impaired mucosal defense mechanisms, and </w:t>
      </w:r>
      <w:r>
        <w:rPr>
          <w:i/>
          <w:color w:val="000000"/>
          <w:szCs w:val="26"/>
        </w:rPr>
        <w:t xml:space="preserve">Helicobacter pylori </w:t>
      </w:r>
      <w:r>
        <w:rPr>
          <w:color w:val="000000"/>
          <w:szCs w:val="26"/>
        </w:rPr>
        <w:t xml:space="preserve">infection. While various pharmacological agents are available for ulcer management, their side effects and the potential for </w:t>
      </w:r>
      <w:r>
        <w:rPr>
          <w:color w:val="000000"/>
          <w:szCs w:val="26"/>
        </w:rPr>
        <w:t xml:space="preserve">drug resistance remain a concern. </w:t>
      </w:r>
      <w:r>
        <w:rPr>
          <w:i/>
          <w:color w:val="000000"/>
          <w:szCs w:val="26"/>
        </w:rPr>
        <w:t>Sida acuta</w:t>
      </w:r>
      <w:r>
        <w:rPr>
          <w:color w:val="000000"/>
          <w:szCs w:val="26"/>
        </w:rPr>
        <w:t xml:space="preserve">, a medicinal plant traditionally used in folk medicine for its purported therapeutic properties, has been suggested to possess anti-inflammatory, analgesic, and antioxidant effects. </w:t>
      </w:r>
    </w:p>
    <w:p w:rsidR="005F01BE" w:rsidRDefault="003E2C3A">
      <w:pPr>
        <w:pStyle w:val="NormalWeb"/>
        <w:spacing w:after="0" w:afterAutospacing="0" w:line="480" w:lineRule="auto"/>
        <w:ind w:firstLine="720"/>
        <w:jc w:val="both"/>
        <w:rPr>
          <w:color w:val="000000"/>
          <w:szCs w:val="26"/>
        </w:rPr>
      </w:pPr>
      <w:r>
        <w:rPr>
          <w:color w:val="000000"/>
          <w:szCs w:val="26"/>
        </w:rPr>
        <w:t xml:space="preserve">However, its potential role </w:t>
      </w:r>
      <w:r>
        <w:rPr>
          <w:color w:val="000000"/>
          <w:szCs w:val="26"/>
        </w:rPr>
        <w:t xml:space="preserve">in treating peptic ulcers, particularly through in vivo models, remains underexplored. This study aims to investigate the in vivo antiulcer activity of </w:t>
      </w:r>
      <w:r>
        <w:rPr>
          <w:i/>
          <w:color w:val="000000"/>
          <w:szCs w:val="26"/>
        </w:rPr>
        <w:t>Sida acuta</w:t>
      </w:r>
      <w:r>
        <w:rPr>
          <w:color w:val="000000"/>
          <w:szCs w:val="26"/>
        </w:rPr>
        <w:t xml:space="preserve"> in a rat model induced with peptic ulcers, assessing its effectiveness in reducing ulceration</w:t>
      </w:r>
      <w:r>
        <w:rPr>
          <w:color w:val="000000"/>
          <w:szCs w:val="26"/>
        </w:rPr>
        <w:t xml:space="preserve">, healing gastric mucosal damage, and its possible mechanisms of action. Understanding the pharmacological potential of </w:t>
      </w:r>
      <w:r>
        <w:rPr>
          <w:i/>
          <w:color w:val="000000"/>
          <w:szCs w:val="26"/>
        </w:rPr>
        <w:t>Sida acuta</w:t>
      </w:r>
      <w:r>
        <w:rPr>
          <w:color w:val="000000"/>
          <w:szCs w:val="26"/>
        </w:rPr>
        <w:t xml:space="preserve"> may provide valuable insights into its use as an alternative or adjunct therapy in the management of peptic ulcers. By conduc</w:t>
      </w:r>
      <w:r>
        <w:rPr>
          <w:color w:val="000000"/>
          <w:szCs w:val="26"/>
        </w:rPr>
        <w:t>ting this study, we hope to contribute to the growing body of knowledge on natural therapeutic agents and their efficacy in treating gastrointestinal disorders, potentially offering a safer and more accessible option for ulcer management</w:t>
      </w:r>
    </w:p>
    <w:p w:rsidR="005F01BE" w:rsidRDefault="003E2C3A">
      <w:pPr>
        <w:pStyle w:val="NormalWeb"/>
        <w:spacing w:after="0" w:afterAutospacing="0"/>
        <w:jc w:val="both"/>
        <w:rPr>
          <w:b/>
          <w:color w:val="000000"/>
          <w:szCs w:val="26"/>
        </w:rPr>
      </w:pPr>
      <w:r>
        <w:rPr>
          <w:b/>
          <w:color w:val="000000"/>
          <w:szCs w:val="26"/>
        </w:rPr>
        <w:t xml:space="preserve">1.2 Justification </w:t>
      </w:r>
      <w:r>
        <w:rPr>
          <w:b/>
          <w:color w:val="000000"/>
          <w:szCs w:val="26"/>
        </w:rPr>
        <w:t>for the Study</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Peptic ulcers are a common gastrointestinal disorder that continues to affect a large population worldwide, leading to significant morbidity and healthcare costs (Sung et al., 2009). Despite the availability of several pharmaceutical treatmen</w:t>
      </w:r>
      <w:r>
        <w:rPr>
          <w:rFonts w:eastAsia="Times New Roman"/>
          <w:color w:val="000000"/>
          <w:sz w:val="24"/>
          <w:szCs w:val="26"/>
        </w:rPr>
        <w:t xml:space="preserve">ts, many of these drugs are associated with undesirable side effects such as gastrointestinal irritation, renal </w:t>
      </w:r>
      <w:r>
        <w:rPr>
          <w:rFonts w:eastAsia="Times New Roman"/>
          <w:color w:val="000000"/>
          <w:sz w:val="24"/>
          <w:szCs w:val="26"/>
        </w:rPr>
        <w:lastRenderedPageBreak/>
        <w:t>toxicity, and drug resistance (Lanas and Chan, 2017). Moreover, the over-reliance on synthetic drugs has raised concerns about their long-term e</w:t>
      </w:r>
      <w:r>
        <w:rPr>
          <w:rFonts w:eastAsia="Times New Roman"/>
          <w:color w:val="000000"/>
          <w:sz w:val="24"/>
          <w:szCs w:val="26"/>
        </w:rPr>
        <w:t xml:space="preserve">ffectiveness and safety, emphasizing the need for alternative, natural, and safer therapeutic options (Kambe </w:t>
      </w:r>
      <w:r>
        <w:rPr>
          <w:rFonts w:eastAsia="Times New Roman"/>
          <w:i/>
          <w:color w:val="000000"/>
          <w:sz w:val="24"/>
          <w:szCs w:val="26"/>
        </w:rPr>
        <w:t>et al</w:t>
      </w:r>
      <w:r>
        <w:rPr>
          <w:rFonts w:eastAsia="Times New Roman"/>
          <w:color w:val="000000"/>
          <w:sz w:val="24"/>
          <w:szCs w:val="26"/>
        </w:rPr>
        <w:t>., 2019).</w:t>
      </w:r>
    </w:p>
    <w:p w:rsidR="005F01BE" w:rsidRDefault="003E2C3A">
      <w:pPr>
        <w:spacing w:before="100" w:beforeAutospacing="1" w:after="100" w:afterAutospacing="1" w:line="480" w:lineRule="auto"/>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a plant known for its traditional medicinal uses, has shown potential as an effective therapeutic agent in managing various ailments (Akinmoladun </w:t>
      </w:r>
      <w:r>
        <w:rPr>
          <w:rFonts w:eastAsia="Times New Roman"/>
          <w:i/>
          <w:color w:val="000000"/>
          <w:sz w:val="24"/>
          <w:szCs w:val="26"/>
        </w:rPr>
        <w:t>et al</w:t>
      </w:r>
      <w:r>
        <w:rPr>
          <w:rFonts w:eastAsia="Times New Roman"/>
          <w:color w:val="000000"/>
          <w:sz w:val="24"/>
          <w:szCs w:val="26"/>
        </w:rPr>
        <w:t xml:space="preserve">., 2020). Preliminary studies indicate that </w:t>
      </w:r>
      <w:r>
        <w:rPr>
          <w:rFonts w:eastAsia="Times New Roman"/>
          <w:i/>
          <w:iCs/>
          <w:color w:val="000000"/>
          <w:sz w:val="24"/>
          <w:szCs w:val="26"/>
        </w:rPr>
        <w:t>Sida acuta</w:t>
      </w:r>
      <w:r>
        <w:rPr>
          <w:rFonts w:eastAsia="Times New Roman"/>
          <w:color w:val="000000"/>
          <w:sz w:val="24"/>
          <w:szCs w:val="26"/>
        </w:rPr>
        <w:t xml:space="preserve"> possesses bioactive compounds with anti-inflamma</w:t>
      </w:r>
      <w:r>
        <w:rPr>
          <w:rFonts w:eastAsia="Times New Roman"/>
          <w:color w:val="000000"/>
          <w:sz w:val="24"/>
          <w:szCs w:val="26"/>
        </w:rPr>
        <w:t xml:space="preserve">tory, antioxidant, and antimicrobial properties, which could play a significant role in managing peptic ulcers (Ugwu </w:t>
      </w:r>
      <w:r>
        <w:rPr>
          <w:rFonts w:eastAsia="Times New Roman"/>
          <w:i/>
          <w:color w:val="000000"/>
          <w:sz w:val="24"/>
          <w:szCs w:val="26"/>
        </w:rPr>
        <w:t>et al</w:t>
      </w:r>
      <w:r>
        <w:rPr>
          <w:rFonts w:eastAsia="Times New Roman"/>
          <w:color w:val="000000"/>
          <w:sz w:val="24"/>
          <w:szCs w:val="26"/>
        </w:rPr>
        <w:t xml:space="preserve">., 2020; Oyedemi </w:t>
      </w:r>
      <w:r>
        <w:rPr>
          <w:rFonts w:eastAsia="Times New Roman"/>
          <w:i/>
          <w:color w:val="000000"/>
          <w:sz w:val="24"/>
          <w:szCs w:val="26"/>
        </w:rPr>
        <w:t>et al.</w:t>
      </w:r>
      <w:r>
        <w:rPr>
          <w:rFonts w:eastAsia="Times New Roman"/>
          <w:color w:val="000000"/>
          <w:sz w:val="24"/>
          <w:szCs w:val="26"/>
        </w:rPr>
        <w:t>, 2015). However, there is a lack of extensive scientific evidence and detailed studies evaluating its effectiv</w:t>
      </w:r>
      <w:r>
        <w:rPr>
          <w:rFonts w:eastAsia="Times New Roman"/>
          <w:color w:val="000000"/>
          <w:sz w:val="24"/>
          <w:szCs w:val="26"/>
        </w:rPr>
        <w:t xml:space="preserve">eness specifically in ulcer healing and its underlying mechanisms. Given the increasing interest in phytotherapeutic approaches to gastrointestinal disorders, it is essential to validate the medicinal properties of </w:t>
      </w:r>
      <w:r>
        <w:rPr>
          <w:rFonts w:eastAsia="Times New Roman"/>
          <w:i/>
          <w:iCs/>
          <w:color w:val="000000"/>
          <w:sz w:val="24"/>
          <w:szCs w:val="26"/>
        </w:rPr>
        <w:t>Sida acuta</w:t>
      </w:r>
      <w:r>
        <w:rPr>
          <w:rFonts w:eastAsia="Times New Roman"/>
          <w:color w:val="000000"/>
          <w:sz w:val="24"/>
          <w:szCs w:val="26"/>
        </w:rPr>
        <w:t xml:space="preserve"> through rigorous scientific in</w:t>
      </w:r>
      <w:r>
        <w:rPr>
          <w:rFonts w:eastAsia="Times New Roman"/>
          <w:color w:val="000000"/>
          <w:sz w:val="24"/>
          <w:szCs w:val="26"/>
        </w:rPr>
        <w:t xml:space="preserve">vestigation. This study, focusing on the in vivo antiulcer activity of </w:t>
      </w:r>
      <w:r>
        <w:rPr>
          <w:rFonts w:eastAsia="Times New Roman"/>
          <w:i/>
          <w:iCs/>
          <w:color w:val="000000"/>
          <w:sz w:val="24"/>
          <w:szCs w:val="26"/>
        </w:rPr>
        <w:t>Sida acuta</w:t>
      </w:r>
      <w:r>
        <w:rPr>
          <w:rFonts w:eastAsia="Times New Roman"/>
          <w:color w:val="000000"/>
          <w:sz w:val="24"/>
          <w:szCs w:val="26"/>
        </w:rPr>
        <w:t xml:space="preserve"> in an induced rat model (Oyedemi </w:t>
      </w:r>
      <w:r>
        <w:rPr>
          <w:rFonts w:eastAsia="Times New Roman"/>
          <w:i/>
          <w:color w:val="000000"/>
          <w:sz w:val="24"/>
          <w:szCs w:val="26"/>
        </w:rPr>
        <w:t>et al.</w:t>
      </w:r>
      <w:r>
        <w:rPr>
          <w:rFonts w:eastAsia="Times New Roman"/>
          <w:color w:val="000000"/>
          <w:sz w:val="24"/>
          <w:szCs w:val="26"/>
        </w:rPr>
        <w:t xml:space="preserve">, 2015), will contribute to the understanding of its pharmacological potential and support the exploration of plant-based alternatives </w:t>
      </w:r>
      <w:r>
        <w:rPr>
          <w:rFonts w:eastAsia="Times New Roman"/>
          <w:color w:val="000000"/>
          <w:sz w:val="24"/>
          <w:szCs w:val="26"/>
        </w:rPr>
        <w:t>to conventional antiulcer treatments.</w:t>
      </w:r>
    </w:p>
    <w:p w:rsidR="005F01BE" w:rsidRDefault="003E2C3A">
      <w:pPr>
        <w:spacing w:after="0"/>
        <w:jc w:val="both"/>
        <w:rPr>
          <w:b/>
          <w:color w:val="000000"/>
          <w:sz w:val="24"/>
          <w:szCs w:val="26"/>
        </w:rPr>
      </w:pPr>
      <w:r>
        <w:rPr>
          <w:b/>
          <w:color w:val="000000"/>
          <w:sz w:val="24"/>
          <w:szCs w:val="26"/>
        </w:rPr>
        <w:t>1.3 Aim and objectives of the study</w:t>
      </w:r>
    </w:p>
    <w:p w:rsidR="005F01BE" w:rsidRDefault="003E2C3A">
      <w:pPr>
        <w:pStyle w:val="NormalWeb"/>
        <w:spacing w:after="0" w:afterAutospacing="0" w:line="480" w:lineRule="auto"/>
        <w:ind w:firstLine="720"/>
        <w:jc w:val="both"/>
        <w:rPr>
          <w:color w:val="000000"/>
          <w:szCs w:val="26"/>
        </w:rPr>
      </w:pPr>
      <w:r>
        <w:rPr>
          <w:color w:val="000000"/>
          <w:szCs w:val="26"/>
        </w:rPr>
        <w:t xml:space="preserve">The primary aim of this study is to evaluate the in vivo antiulcerogenic activity of </w:t>
      </w:r>
      <w:r>
        <w:rPr>
          <w:rStyle w:val="Emphasis"/>
          <w:color w:val="000000"/>
          <w:szCs w:val="26"/>
        </w:rPr>
        <w:t>Sida acuta</w:t>
      </w:r>
      <w:r>
        <w:rPr>
          <w:color w:val="000000"/>
          <w:szCs w:val="26"/>
        </w:rPr>
        <w:t xml:space="preserve"> in a rat model of induced ulcers, with a focus on assessing its ulcer-healing potentia</w:t>
      </w:r>
      <w:r>
        <w:rPr>
          <w:color w:val="000000"/>
          <w:szCs w:val="26"/>
        </w:rPr>
        <w:t>l and possible mechanisms of action.</w:t>
      </w:r>
    </w:p>
    <w:p w:rsidR="005F01BE" w:rsidRDefault="003E2C3A">
      <w:pPr>
        <w:pStyle w:val="NormalWeb"/>
        <w:spacing w:after="0" w:afterAutospacing="0" w:line="480" w:lineRule="auto"/>
        <w:jc w:val="both"/>
        <w:rPr>
          <w:rStyle w:val="Strong"/>
          <w:color w:val="000000"/>
          <w:szCs w:val="26"/>
        </w:rPr>
      </w:pPr>
      <w:r>
        <w:rPr>
          <w:rStyle w:val="Strong"/>
          <w:color w:val="000000"/>
          <w:szCs w:val="26"/>
        </w:rPr>
        <w:lastRenderedPageBreak/>
        <w:t>Objectives of the Study</w:t>
      </w:r>
    </w:p>
    <w:p w:rsidR="005F01BE" w:rsidRDefault="003E2C3A">
      <w:pPr>
        <w:pStyle w:val="NormalWeb"/>
        <w:spacing w:after="0" w:afterAutospacing="0" w:line="480" w:lineRule="auto"/>
        <w:ind w:firstLine="360"/>
        <w:jc w:val="both"/>
        <w:rPr>
          <w:rStyle w:val="Strong"/>
          <w:b w:val="0"/>
          <w:color w:val="000000"/>
          <w:szCs w:val="26"/>
        </w:rPr>
      </w:pPr>
      <w:r>
        <w:rPr>
          <w:rStyle w:val="Strong"/>
          <w:color w:val="000000"/>
          <w:szCs w:val="26"/>
        </w:rPr>
        <w:t>The specific objectives were:</w:t>
      </w:r>
    </w:p>
    <w:p w:rsidR="005F01BE" w:rsidRDefault="003E2C3A">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extract </w:t>
      </w:r>
      <w:r>
        <w:rPr>
          <w:rStyle w:val="Strong"/>
          <w:b w:val="0"/>
          <w:i/>
          <w:color w:val="000000"/>
          <w:szCs w:val="26"/>
        </w:rPr>
        <w:t xml:space="preserve">Sida acuta </w:t>
      </w:r>
      <w:r>
        <w:rPr>
          <w:rStyle w:val="Strong"/>
          <w:b w:val="0"/>
          <w:color w:val="000000"/>
          <w:szCs w:val="26"/>
        </w:rPr>
        <w:t>plant using ethanol</w:t>
      </w:r>
    </w:p>
    <w:p w:rsidR="005F01BE" w:rsidRDefault="003E2C3A">
      <w:pPr>
        <w:pStyle w:val="NormalWeb"/>
        <w:numPr>
          <w:ilvl w:val="0"/>
          <w:numId w:val="8"/>
        </w:numPr>
        <w:spacing w:after="0" w:afterAutospacing="0" w:line="480" w:lineRule="auto"/>
        <w:jc w:val="both"/>
        <w:rPr>
          <w:rStyle w:val="Strong"/>
          <w:bCs w:val="0"/>
          <w:color w:val="000000"/>
          <w:szCs w:val="26"/>
        </w:rPr>
      </w:pPr>
      <w:r>
        <w:rPr>
          <w:rStyle w:val="Strong"/>
          <w:b w:val="0"/>
          <w:color w:val="000000"/>
          <w:szCs w:val="26"/>
        </w:rPr>
        <w:t xml:space="preserve">To determine phytochemicals present in </w:t>
      </w:r>
      <w:r>
        <w:rPr>
          <w:rStyle w:val="Emphasis"/>
          <w:color w:val="000000"/>
          <w:szCs w:val="26"/>
        </w:rPr>
        <w:t>Sida acuta</w:t>
      </w:r>
    </w:p>
    <w:p w:rsidR="005F01BE" w:rsidRDefault="003E2C3A">
      <w:pPr>
        <w:pStyle w:val="NormalWeb"/>
        <w:numPr>
          <w:ilvl w:val="0"/>
          <w:numId w:val="8"/>
        </w:numPr>
        <w:spacing w:after="0" w:afterAutospacing="0" w:line="480" w:lineRule="auto"/>
        <w:jc w:val="both"/>
        <w:rPr>
          <w:color w:val="000000"/>
          <w:szCs w:val="26"/>
        </w:rPr>
      </w:pPr>
      <w:r>
        <w:rPr>
          <w:rStyle w:val="Strong"/>
          <w:b w:val="0"/>
          <w:color w:val="000000"/>
          <w:szCs w:val="26"/>
        </w:rPr>
        <w:t xml:space="preserve">To assess the effect of </w:t>
      </w:r>
      <w:r>
        <w:rPr>
          <w:rStyle w:val="Emphasis"/>
          <w:color w:val="000000"/>
          <w:szCs w:val="26"/>
        </w:rPr>
        <w:t>Sida acuta</w:t>
      </w:r>
      <w:r>
        <w:rPr>
          <w:rStyle w:val="Strong"/>
          <w:b w:val="0"/>
          <w:color w:val="000000"/>
          <w:szCs w:val="26"/>
        </w:rPr>
        <w:t xml:space="preserve"> on ulcer formation</w:t>
      </w:r>
      <w:r>
        <w:rPr>
          <w:color w:val="000000"/>
          <w:szCs w:val="26"/>
        </w:rPr>
        <w:t xml:space="preserve"> in rats induced with gastric ulcers by using an indomethacin.</w:t>
      </w:r>
    </w:p>
    <w:p w:rsidR="005F01BE" w:rsidRDefault="003E2C3A">
      <w:pPr>
        <w:pStyle w:val="NormalWeb"/>
        <w:numPr>
          <w:ilvl w:val="0"/>
          <w:numId w:val="8"/>
        </w:numPr>
        <w:spacing w:after="0" w:afterAutospacing="0" w:line="480" w:lineRule="auto"/>
        <w:jc w:val="both"/>
        <w:rPr>
          <w:color w:val="000000"/>
          <w:szCs w:val="26"/>
        </w:rPr>
      </w:pPr>
      <w:r>
        <w:rPr>
          <w:rStyle w:val="Strong"/>
          <w:b w:val="0"/>
          <w:color w:val="000000"/>
          <w:szCs w:val="26"/>
        </w:rPr>
        <w:t xml:space="preserve">To evaluate the healing properties of </w:t>
      </w:r>
      <w:r>
        <w:rPr>
          <w:rStyle w:val="Emphasis"/>
          <w:color w:val="000000"/>
          <w:szCs w:val="26"/>
        </w:rPr>
        <w:t>Sida acuta</w:t>
      </w:r>
      <w:r>
        <w:rPr>
          <w:rStyle w:val="Strong"/>
          <w:b w:val="0"/>
          <w:color w:val="000000"/>
          <w:szCs w:val="26"/>
        </w:rPr>
        <w:t xml:space="preserve"> on gastric mucosal damage</w:t>
      </w:r>
      <w:r>
        <w:rPr>
          <w:color w:val="000000"/>
          <w:szCs w:val="26"/>
        </w:rPr>
        <w:t>, measuring parameters such as ulcer index, gastric pH, and histopathological changes in the gastric tissues.</w:t>
      </w:r>
    </w:p>
    <w:p w:rsidR="005F01BE" w:rsidRDefault="003E2C3A">
      <w:pPr>
        <w:pStyle w:val="NormalWeb"/>
        <w:numPr>
          <w:ilvl w:val="0"/>
          <w:numId w:val="8"/>
        </w:numPr>
        <w:spacing w:after="0" w:afterAutospacing="0" w:line="480" w:lineRule="auto"/>
        <w:jc w:val="both"/>
        <w:rPr>
          <w:color w:val="000000"/>
          <w:szCs w:val="26"/>
        </w:rPr>
      </w:pPr>
      <w:r>
        <w:rPr>
          <w:rStyle w:val="Strong"/>
          <w:b w:val="0"/>
          <w:color w:val="000000"/>
          <w:szCs w:val="26"/>
        </w:rPr>
        <w:t>To determ</w:t>
      </w:r>
      <w:r>
        <w:rPr>
          <w:rStyle w:val="Strong"/>
          <w:b w:val="0"/>
          <w:color w:val="000000"/>
          <w:szCs w:val="26"/>
        </w:rPr>
        <w:t>ine the proximate composition of</w:t>
      </w:r>
      <w:r>
        <w:rPr>
          <w:rStyle w:val="Strong"/>
          <w:color w:val="000000"/>
          <w:szCs w:val="26"/>
        </w:rPr>
        <w:t xml:space="preserve"> </w:t>
      </w:r>
      <w:r>
        <w:rPr>
          <w:rStyle w:val="Emphasis"/>
          <w:color w:val="000000"/>
          <w:szCs w:val="26"/>
        </w:rPr>
        <w:t>Sida acuta extract</w:t>
      </w:r>
    </w:p>
    <w:p w:rsidR="005F01BE" w:rsidRDefault="003E2C3A">
      <w:pPr>
        <w:pStyle w:val="NormalWeb"/>
        <w:numPr>
          <w:ilvl w:val="0"/>
          <w:numId w:val="8"/>
        </w:numPr>
        <w:spacing w:after="0" w:afterAutospacing="0" w:line="480" w:lineRule="auto"/>
        <w:jc w:val="both"/>
        <w:rPr>
          <w:b/>
          <w:color w:val="000000"/>
          <w:szCs w:val="26"/>
        </w:rPr>
      </w:pPr>
      <w:r>
        <w:rPr>
          <w:rStyle w:val="Strong"/>
          <w:b w:val="0"/>
          <w:color w:val="000000"/>
          <w:szCs w:val="26"/>
        </w:rPr>
        <w:t xml:space="preserve">To investigate the antioxidant potential of </w:t>
      </w:r>
      <w:r>
        <w:rPr>
          <w:rStyle w:val="Emphasis"/>
          <w:color w:val="000000"/>
          <w:szCs w:val="26"/>
        </w:rPr>
        <w:t>Sida acuta</w:t>
      </w:r>
      <w:r>
        <w:rPr>
          <w:rStyle w:val="Strong"/>
          <w:b w:val="0"/>
          <w:color w:val="000000"/>
          <w:szCs w:val="26"/>
        </w:rPr>
        <w:t xml:space="preserve"> by evaluating oxidative stress markers</w:t>
      </w:r>
    </w:p>
    <w:p w:rsidR="005F01BE" w:rsidRDefault="003E2C3A">
      <w:pPr>
        <w:pStyle w:val="NormalWeb"/>
        <w:numPr>
          <w:ilvl w:val="0"/>
          <w:numId w:val="8"/>
        </w:numPr>
        <w:spacing w:after="0" w:afterAutospacing="0" w:line="480" w:lineRule="auto"/>
        <w:jc w:val="both"/>
        <w:rPr>
          <w:rStyle w:val="Strong"/>
          <w:b w:val="0"/>
          <w:bCs w:val="0"/>
          <w:color w:val="000000"/>
          <w:szCs w:val="26"/>
        </w:rPr>
      </w:pPr>
      <w:r>
        <w:rPr>
          <w:rStyle w:val="Strong"/>
          <w:b w:val="0"/>
          <w:color w:val="000000"/>
          <w:szCs w:val="26"/>
        </w:rPr>
        <w:t xml:space="preserve">To compare the effectiveness of </w:t>
      </w:r>
      <w:r>
        <w:rPr>
          <w:rStyle w:val="Emphasis"/>
          <w:color w:val="000000"/>
          <w:szCs w:val="26"/>
        </w:rPr>
        <w:t>Sida acuta</w:t>
      </w:r>
      <w:r>
        <w:rPr>
          <w:rStyle w:val="Strong"/>
          <w:b w:val="0"/>
          <w:color w:val="000000"/>
          <w:szCs w:val="26"/>
        </w:rPr>
        <w:t xml:space="preserve"> to conventional antiulcer medications</w:t>
      </w:r>
    </w:p>
    <w:p w:rsidR="005F01BE" w:rsidRDefault="005F01BE">
      <w:pPr>
        <w:pStyle w:val="NormalWeb"/>
        <w:spacing w:after="0" w:afterAutospacing="0" w:line="480" w:lineRule="auto"/>
        <w:ind w:left="720"/>
        <w:jc w:val="both"/>
        <w:rPr>
          <w:rStyle w:val="Strong"/>
          <w:b w:val="0"/>
          <w:bCs w:val="0"/>
          <w:color w:val="000000"/>
          <w:szCs w:val="26"/>
        </w:rPr>
      </w:pPr>
    </w:p>
    <w:p w:rsidR="005F01BE" w:rsidRDefault="005F01BE">
      <w:pPr>
        <w:pStyle w:val="NormalWeb"/>
        <w:spacing w:after="0" w:afterAutospacing="0" w:line="480" w:lineRule="auto"/>
        <w:ind w:left="720"/>
        <w:jc w:val="both"/>
        <w:rPr>
          <w:rStyle w:val="Strong"/>
          <w:b w:val="0"/>
          <w:bCs w:val="0"/>
          <w:color w:val="000000"/>
          <w:szCs w:val="26"/>
        </w:rPr>
      </w:pPr>
    </w:p>
    <w:p w:rsidR="005F01BE" w:rsidRDefault="005F01BE">
      <w:pPr>
        <w:pStyle w:val="NormalWeb"/>
        <w:spacing w:after="0" w:afterAutospacing="0" w:line="480" w:lineRule="auto"/>
        <w:jc w:val="both"/>
        <w:rPr>
          <w:rStyle w:val="Strong"/>
          <w:b w:val="0"/>
          <w:bCs w:val="0"/>
          <w:color w:val="000000"/>
          <w:szCs w:val="26"/>
        </w:rPr>
      </w:pPr>
    </w:p>
    <w:p w:rsidR="005F01BE" w:rsidRDefault="005F01BE">
      <w:pPr>
        <w:pStyle w:val="NormalWeb"/>
        <w:spacing w:after="0" w:afterAutospacing="0" w:line="480" w:lineRule="auto"/>
        <w:jc w:val="both"/>
        <w:rPr>
          <w:rStyle w:val="Strong"/>
          <w:b w:val="0"/>
          <w:bCs w:val="0"/>
          <w:color w:val="000000"/>
          <w:szCs w:val="26"/>
        </w:rPr>
      </w:pPr>
    </w:p>
    <w:p w:rsidR="005F01BE" w:rsidRDefault="005F01BE">
      <w:pPr>
        <w:spacing w:after="0" w:line="480" w:lineRule="auto"/>
        <w:rPr>
          <w:rStyle w:val="Strong"/>
          <w:rFonts w:eastAsia="Times New Roman"/>
          <w:b w:val="0"/>
          <w:bCs w:val="0"/>
          <w:color w:val="000000"/>
          <w:sz w:val="24"/>
          <w:szCs w:val="26"/>
        </w:rPr>
      </w:pPr>
    </w:p>
    <w:p w:rsidR="005F01BE" w:rsidRDefault="003E2C3A">
      <w:pPr>
        <w:spacing w:after="0" w:line="480" w:lineRule="auto"/>
        <w:jc w:val="center"/>
        <w:rPr>
          <w:b/>
          <w:color w:val="000000"/>
          <w:sz w:val="24"/>
          <w:szCs w:val="26"/>
        </w:rPr>
      </w:pPr>
      <w:r>
        <w:rPr>
          <w:b/>
          <w:color w:val="000000"/>
          <w:sz w:val="24"/>
          <w:szCs w:val="26"/>
        </w:rPr>
        <w:lastRenderedPageBreak/>
        <w:t>CHAPTER TWO</w:t>
      </w:r>
    </w:p>
    <w:p w:rsidR="005F01BE" w:rsidRDefault="003E2C3A">
      <w:pPr>
        <w:spacing w:after="0" w:line="480" w:lineRule="auto"/>
        <w:jc w:val="both"/>
        <w:rPr>
          <w:b/>
          <w:color w:val="000000"/>
          <w:sz w:val="24"/>
          <w:szCs w:val="26"/>
        </w:rPr>
      </w:pPr>
      <w:r>
        <w:rPr>
          <w:b/>
          <w:color w:val="000000"/>
          <w:sz w:val="24"/>
          <w:szCs w:val="26"/>
        </w:rPr>
        <w:t>2.0</w:t>
      </w:r>
      <w:r>
        <w:rPr>
          <w:b/>
          <w:color w:val="000000"/>
          <w:sz w:val="24"/>
          <w:szCs w:val="26"/>
        </w:rPr>
        <w:tab/>
        <w:t>LITERATU</w:t>
      </w:r>
      <w:r>
        <w:rPr>
          <w:b/>
          <w:color w:val="000000"/>
          <w:sz w:val="24"/>
          <w:szCs w:val="26"/>
        </w:rPr>
        <w:t xml:space="preserve">RE REVIEW </w:t>
      </w:r>
    </w:p>
    <w:p w:rsidR="005F01BE" w:rsidRDefault="003E2C3A">
      <w:pPr>
        <w:spacing w:after="0" w:line="480" w:lineRule="auto"/>
        <w:ind w:firstLine="720"/>
        <w:jc w:val="both"/>
        <w:rPr>
          <w:color w:val="000000"/>
          <w:sz w:val="24"/>
          <w:szCs w:val="26"/>
        </w:rPr>
      </w:pPr>
      <w:r>
        <w:rPr>
          <w:color w:val="000000"/>
          <w:sz w:val="24"/>
          <w:szCs w:val="26"/>
        </w:rPr>
        <w:t xml:space="preserve">Ulcers have been a significant medical concern for centuries, with extensive research dedicated to understanding their etiology, pathophysiology, and treatment. The most studied ulcers are peptic ulcers, which affect the gastrointestinal tract, </w:t>
      </w:r>
      <w:r>
        <w:rPr>
          <w:color w:val="000000"/>
          <w:sz w:val="24"/>
          <w:szCs w:val="26"/>
        </w:rPr>
        <w:t xml:space="preserve">primarily due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xml:space="preserve">., 2017). Research indicates that an imbalance between aggressive factors, such as gastric acid secretion and pepsin activity, and protective mucosal defense mechanisms contributes to ulcer formation (Laine </w:t>
      </w:r>
      <w:r>
        <w:rPr>
          <w:i/>
          <w:iCs/>
          <w:color w:val="000000"/>
          <w:sz w:val="24"/>
          <w:szCs w:val="26"/>
        </w:rPr>
        <w:t>et al</w:t>
      </w:r>
      <w:r>
        <w:rPr>
          <w:color w:val="000000"/>
          <w:sz w:val="24"/>
          <w:szCs w:val="26"/>
        </w:rPr>
        <w:t>., 2021). The role of stress and dietary hab</w:t>
      </w:r>
      <w:r>
        <w:rPr>
          <w:color w:val="000000"/>
          <w:sz w:val="24"/>
          <w:szCs w:val="26"/>
        </w:rPr>
        <w:t>its has also been explored in ulcer pathogenesis, although their direct causation remains debated (Lanas and Chan, 2017).</w:t>
      </w:r>
    </w:p>
    <w:p w:rsidR="005F01BE" w:rsidRDefault="003E2C3A">
      <w:pPr>
        <w:spacing w:after="0" w:line="480" w:lineRule="auto"/>
        <w:ind w:firstLine="720"/>
        <w:jc w:val="both"/>
        <w:rPr>
          <w:color w:val="000000"/>
          <w:sz w:val="24"/>
          <w:szCs w:val="26"/>
        </w:rPr>
      </w:pPr>
      <w:r>
        <w:rPr>
          <w:color w:val="000000"/>
          <w:sz w:val="24"/>
          <w:szCs w:val="26"/>
        </w:rPr>
        <w:t xml:space="preserve">Over the years, various treatment modalities have evolved, ranging from traditional remedies to modern pharmacological interventions. </w:t>
      </w:r>
      <w:r>
        <w:rPr>
          <w:color w:val="000000"/>
          <w:sz w:val="24"/>
          <w:szCs w:val="26"/>
        </w:rPr>
        <w:t xml:space="preserve">The advent of proton pump inhibitors (PPIs) revolutionized ulcer management by effectively reducing gastric acid production and promoting mucosal healing (Sung </w:t>
      </w:r>
      <w:r>
        <w:rPr>
          <w:i/>
          <w:iCs/>
          <w:color w:val="000000"/>
          <w:sz w:val="24"/>
          <w:szCs w:val="26"/>
        </w:rPr>
        <w:t>et al</w:t>
      </w:r>
      <w:r>
        <w:rPr>
          <w:color w:val="000000"/>
          <w:sz w:val="24"/>
          <w:szCs w:val="26"/>
        </w:rPr>
        <w:t>., 2020). Histamine Type 2 Receptor antagonists, such as ranitidine, were previously popula</w:t>
      </w:r>
      <w:r>
        <w:rPr>
          <w:color w:val="000000"/>
          <w:sz w:val="24"/>
          <w:szCs w:val="26"/>
        </w:rPr>
        <w:t xml:space="preserve">r but have been largely replaced due to the superior efficacy of PPIs (Laine </w:t>
      </w:r>
      <w:r>
        <w:rPr>
          <w:i/>
          <w:iCs/>
          <w:color w:val="000000"/>
          <w:sz w:val="24"/>
          <w:szCs w:val="26"/>
        </w:rPr>
        <w:t>et al</w:t>
      </w:r>
      <w:r>
        <w:rPr>
          <w:color w:val="000000"/>
          <w:sz w:val="24"/>
          <w:szCs w:val="26"/>
        </w:rPr>
        <w:t xml:space="preserve">., 2021). The discovery of </w:t>
      </w:r>
      <w:r>
        <w:rPr>
          <w:i/>
          <w:color w:val="000000"/>
          <w:sz w:val="24"/>
          <w:szCs w:val="26"/>
        </w:rPr>
        <w:t>H. pylori</w:t>
      </w:r>
      <w:r>
        <w:rPr>
          <w:color w:val="000000"/>
          <w:sz w:val="24"/>
          <w:szCs w:val="26"/>
        </w:rPr>
        <w:t xml:space="preserve"> as a key factor in peptic ulcer disease led to the introduction of antibiotic therapy, significantly improving treatment outcomes (Malfer</w:t>
      </w:r>
      <w:r>
        <w:rPr>
          <w:color w:val="000000"/>
          <w:sz w:val="24"/>
          <w:szCs w:val="26"/>
        </w:rPr>
        <w:t xml:space="preserve">theiner </w:t>
      </w:r>
      <w:r>
        <w:rPr>
          <w:i/>
          <w:iCs/>
          <w:color w:val="000000"/>
          <w:sz w:val="24"/>
          <w:szCs w:val="26"/>
        </w:rPr>
        <w:t>et al</w:t>
      </w:r>
      <w:r>
        <w:rPr>
          <w:color w:val="000000"/>
          <w:sz w:val="24"/>
          <w:szCs w:val="26"/>
        </w:rPr>
        <w:t xml:space="preserve">., 2017). </w:t>
      </w:r>
    </w:p>
    <w:p w:rsidR="005F01BE" w:rsidRDefault="003E2C3A">
      <w:pPr>
        <w:spacing w:after="0" w:line="480" w:lineRule="auto"/>
        <w:ind w:firstLine="720"/>
        <w:jc w:val="both"/>
        <w:rPr>
          <w:color w:val="000000"/>
          <w:sz w:val="24"/>
          <w:szCs w:val="26"/>
        </w:rPr>
      </w:pPr>
      <w:r>
        <w:rPr>
          <w:color w:val="000000"/>
          <w:sz w:val="24"/>
          <w:szCs w:val="26"/>
        </w:rPr>
        <w:t xml:space="preserve">However, antibiotic resistance poses a growing challenge, necessitating ongoing research into alternative therapeutic strategies (Sung </w:t>
      </w:r>
      <w:r>
        <w:rPr>
          <w:i/>
          <w:iCs/>
          <w:color w:val="000000"/>
          <w:sz w:val="24"/>
          <w:szCs w:val="26"/>
        </w:rPr>
        <w:t>et al</w:t>
      </w:r>
      <w:r>
        <w:rPr>
          <w:color w:val="000000"/>
          <w:sz w:val="24"/>
          <w:szCs w:val="26"/>
        </w:rPr>
        <w:t xml:space="preserve">., 2020). Recent studies have </w:t>
      </w:r>
      <w:r>
        <w:rPr>
          <w:color w:val="000000"/>
          <w:sz w:val="24"/>
          <w:szCs w:val="26"/>
        </w:rPr>
        <w:lastRenderedPageBreak/>
        <w:t>focused on the role of the gut microbiome in ulcer pathophysio</w:t>
      </w:r>
      <w:r>
        <w:rPr>
          <w:color w:val="000000"/>
          <w:sz w:val="24"/>
          <w:szCs w:val="26"/>
        </w:rPr>
        <w:t xml:space="preserve">logy, suggesting that microbial composition influences disease progression and healing (Lanas and Chan, 2017). may offer complementary therapeutic benefits (Malfertheiner </w:t>
      </w:r>
      <w:r>
        <w:rPr>
          <w:i/>
          <w:iCs/>
          <w:color w:val="000000"/>
          <w:sz w:val="24"/>
          <w:szCs w:val="26"/>
        </w:rPr>
        <w:t>et al</w:t>
      </w:r>
      <w:r>
        <w:rPr>
          <w:color w:val="000000"/>
          <w:sz w:val="24"/>
          <w:szCs w:val="26"/>
        </w:rPr>
        <w:t xml:space="preserve">., 2017). </w:t>
      </w:r>
    </w:p>
    <w:p w:rsidR="005F01BE" w:rsidRDefault="003E2C3A">
      <w:pPr>
        <w:spacing w:after="0" w:line="480" w:lineRule="auto"/>
        <w:ind w:firstLine="720"/>
        <w:jc w:val="both"/>
        <w:rPr>
          <w:color w:val="000000"/>
          <w:sz w:val="24"/>
          <w:szCs w:val="26"/>
        </w:rPr>
      </w:pPr>
      <w:r>
        <w:rPr>
          <w:color w:val="000000"/>
          <w:sz w:val="24"/>
          <w:szCs w:val="26"/>
        </w:rPr>
        <w:t>Despite advancements in treatment, ulcers remain a global health conc</w:t>
      </w:r>
      <w:r>
        <w:rPr>
          <w:color w:val="000000"/>
          <w:sz w:val="24"/>
          <w:szCs w:val="26"/>
        </w:rPr>
        <w:t xml:space="preserve">ern, particularly in developing countries where access to healthcare and eradication programs for </w:t>
      </w:r>
      <w:r>
        <w:rPr>
          <w:i/>
          <w:color w:val="000000"/>
          <w:sz w:val="24"/>
          <w:szCs w:val="26"/>
        </w:rPr>
        <w:t>H. pylori</w:t>
      </w:r>
      <w:r>
        <w:rPr>
          <w:color w:val="000000"/>
          <w:sz w:val="24"/>
          <w:szCs w:val="26"/>
        </w:rPr>
        <w:t xml:space="preserve"> are limited. Further research is needed to address these disparities and develop more effective, accessible treatment options (Sung </w:t>
      </w:r>
      <w:r>
        <w:rPr>
          <w:i/>
          <w:iCs/>
          <w:color w:val="000000"/>
          <w:sz w:val="24"/>
          <w:szCs w:val="26"/>
        </w:rPr>
        <w:t>et al</w:t>
      </w:r>
      <w:r>
        <w:rPr>
          <w:color w:val="000000"/>
          <w:sz w:val="24"/>
          <w:szCs w:val="26"/>
        </w:rPr>
        <w:t>., 2020). U</w:t>
      </w:r>
      <w:r>
        <w:rPr>
          <w:color w:val="000000"/>
          <w:sz w:val="24"/>
          <w:szCs w:val="26"/>
        </w:rPr>
        <w:t>lcers have been a significant medical concern for centuries, with extensive research dedicated to understanding their etiology, pathophysiology, and treatment. The most studied ulcers are peptic ulcers, which affect the gastrointestinal tract, primarily du</w:t>
      </w:r>
      <w:r>
        <w:rPr>
          <w:color w:val="000000"/>
          <w:sz w:val="24"/>
          <w:szCs w:val="26"/>
        </w:rPr>
        <w:t xml:space="preserve">e to the involvement of </w:t>
      </w:r>
      <w:r>
        <w:rPr>
          <w:i/>
          <w:color w:val="000000"/>
          <w:sz w:val="24"/>
          <w:szCs w:val="26"/>
        </w:rPr>
        <w:t xml:space="preserve">Helicobacter pylori </w:t>
      </w:r>
      <w:r>
        <w:rPr>
          <w:color w:val="000000"/>
          <w:sz w:val="24"/>
          <w:szCs w:val="26"/>
        </w:rPr>
        <w:t xml:space="preserve">infection and the prolonged use of nonsteroidal anti-inflammatory drugs (NSAIDs) (Malfertheiner </w:t>
      </w:r>
      <w:r>
        <w:rPr>
          <w:i/>
          <w:iCs/>
          <w:color w:val="000000"/>
          <w:sz w:val="24"/>
          <w:szCs w:val="26"/>
        </w:rPr>
        <w:t>et al</w:t>
      </w:r>
      <w:r>
        <w:rPr>
          <w:color w:val="000000"/>
          <w:sz w:val="24"/>
          <w:szCs w:val="26"/>
        </w:rPr>
        <w:t>., 2017). The role of stress and dietary habits has also been explored in ulcer pathogenesis, although their di</w:t>
      </w:r>
      <w:r>
        <w:rPr>
          <w:color w:val="000000"/>
          <w:sz w:val="24"/>
          <w:szCs w:val="26"/>
        </w:rPr>
        <w:t>rect causation remains debated (Lanas and Chan, 2017).</w:t>
      </w:r>
    </w:p>
    <w:p w:rsidR="005F01BE" w:rsidRDefault="003E2C3A">
      <w:pPr>
        <w:spacing w:after="0" w:line="480" w:lineRule="auto"/>
        <w:jc w:val="both"/>
        <w:rPr>
          <w:b/>
          <w:color w:val="000000"/>
          <w:sz w:val="24"/>
          <w:szCs w:val="26"/>
        </w:rPr>
      </w:pPr>
      <w:r>
        <w:rPr>
          <w:b/>
          <w:color w:val="000000"/>
          <w:sz w:val="24"/>
          <w:szCs w:val="26"/>
        </w:rPr>
        <w:t>2.1 Ulcer</w:t>
      </w:r>
    </w:p>
    <w:p w:rsidR="005F01BE" w:rsidRDefault="003E2C3A">
      <w:pPr>
        <w:spacing w:after="0" w:line="480" w:lineRule="auto"/>
        <w:ind w:firstLine="720"/>
        <w:jc w:val="both"/>
        <w:rPr>
          <w:color w:val="000000"/>
          <w:sz w:val="24"/>
          <w:szCs w:val="26"/>
        </w:rPr>
      </w:pPr>
      <w:r>
        <w:rPr>
          <w:color w:val="000000"/>
          <w:sz w:val="24"/>
          <w:szCs w:val="26"/>
        </w:rPr>
        <w:t>Ulcers are defined as open sores or lesions that develop on the skin or mucous membranes due to various etiological factors, including infections, chronic diseases, and medication-induced dam</w:t>
      </w:r>
      <w:r>
        <w:rPr>
          <w:color w:val="000000"/>
          <w:sz w:val="24"/>
          <w:szCs w:val="26"/>
        </w:rPr>
        <w:t>age (Lanas and Chan, 2017). Ulcers can occur in different parts of the body, including the gastrointestinal tract (gastric and duodenal ulcers), the skin (pressure ulcers), and the mouth (aphthous ulcers). Among these, peptic ulcers, particularly gastric a</w:t>
      </w:r>
      <w:r>
        <w:rPr>
          <w:color w:val="000000"/>
          <w:sz w:val="24"/>
          <w:szCs w:val="26"/>
        </w:rPr>
        <w:t xml:space="preserve">nd duodenal ulcers, have been widely studied due to their significant </w:t>
      </w:r>
      <w:r>
        <w:rPr>
          <w:color w:val="000000"/>
          <w:sz w:val="24"/>
          <w:szCs w:val="26"/>
        </w:rPr>
        <w:lastRenderedPageBreak/>
        <w:t xml:space="preserve">impact on global health (Sung </w:t>
      </w:r>
      <w:r>
        <w:rPr>
          <w:i/>
          <w:iCs/>
          <w:color w:val="000000"/>
          <w:sz w:val="24"/>
          <w:szCs w:val="26"/>
        </w:rPr>
        <w:t>et al</w:t>
      </w:r>
      <w:r>
        <w:rPr>
          <w:color w:val="000000"/>
          <w:sz w:val="24"/>
          <w:szCs w:val="26"/>
        </w:rPr>
        <w:t xml:space="preserve">., 2020). The prevalence of ulcers varies globally, influenced by dietary habits, healthcare accessibility, and infection rates of </w:t>
      </w:r>
      <w:r>
        <w:rPr>
          <w:i/>
          <w:color w:val="000000"/>
          <w:sz w:val="24"/>
          <w:szCs w:val="26"/>
        </w:rPr>
        <w:t>H. pylori</w:t>
      </w:r>
      <w:r>
        <w:rPr>
          <w:color w:val="000000"/>
          <w:sz w:val="24"/>
          <w:szCs w:val="26"/>
        </w:rPr>
        <w:t>. Developin</w:t>
      </w:r>
      <w:r>
        <w:rPr>
          <w:color w:val="000000"/>
          <w:sz w:val="24"/>
          <w:szCs w:val="26"/>
        </w:rPr>
        <w:t xml:space="preserve">g countries report higher incidences of peptic ulcers due to poor sanitation and high transmission of </w:t>
      </w:r>
      <w:r>
        <w:rPr>
          <w:i/>
          <w:color w:val="000000"/>
          <w:sz w:val="24"/>
          <w:szCs w:val="26"/>
        </w:rPr>
        <w:t>H. pylori</w:t>
      </w:r>
      <w:r>
        <w:rPr>
          <w:color w:val="000000"/>
          <w:sz w:val="24"/>
          <w:szCs w:val="26"/>
        </w:rPr>
        <w:t xml:space="preserve"> (Sung </w:t>
      </w:r>
      <w:r>
        <w:rPr>
          <w:i/>
          <w:iCs/>
          <w:color w:val="000000"/>
          <w:sz w:val="24"/>
          <w:szCs w:val="26"/>
        </w:rPr>
        <w:t>et al</w:t>
      </w:r>
      <w:r>
        <w:rPr>
          <w:color w:val="000000"/>
          <w:sz w:val="24"/>
          <w:szCs w:val="26"/>
        </w:rPr>
        <w:t xml:space="preserve">., 2020). </w:t>
      </w:r>
    </w:p>
    <w:p w:rsidR="005F01BE" w:rsidRDefault="003E2C3A">
      <w:pPr>
        <w:spacing w:after="0" w:line="480" w:lineRule="auto"/>
        <w:ind w:firstLine="720"/>
        <w:jc w:val="both"/>
        <w:rPr>
          <w:color w:val="000000"/>
          <w:sz w:val="24"/>
          <w:szCs w:val="26"/>
        </w:rPr>
      </w:pPr>
      <w:r>
        <w:rPr>
          <w:color w:val="000000"/>
          <w:sz w:val="24"/>
          <w:szCs w:val="26"/>
        </w:rPr>
        <w:t>On the other hand, industrialized nations have seen a decline in ulcer cases due to improved healthcare and the widespread use of proton pump inhibitors (PPIs) (Lanas and Chan, 2017). However, the increasing use of NSAIDs among the elderly population conti</w:t>
      </w:r>
      <w:r>
        <w:rPr>
          <w:color w:val="000000"/>
          <w:sz w:val="24"/>
          <w:szCs w:val="26"/>
        </w:rPr>
        <w:t xml:space="preserve">nues to pose a significant risk for ulcer development (Laine </w:t>
      </w:r>
      <w:r>
        <w:rPr>
          <w:i/>
          <w:iCs/>
          <w:color w:val="000000"/>
          <w:sz w:val="24"/>
          <w:szCs w:val="26"/>
        </w:rPr>
        <w:t>et al</w:t>
      </w:r>
      <w:r>
        <w:rPr>
          <w:color w:val="000000"/>
          <w:sz w:val="24"/>
          <w:szCs w:val="26"/>
        </w:rPr>
        <w:t>., 2021). Over the years, various treatment modalities have evolved, ranging from traditional remedies to modern pharmacological interventions. The advent of PPIs revolutionized ulcer manage</w:t>
      </w:r>
      <w:r>
        <w:rPr>
          <w:color w:val="000000"/>
          <w:sz w:val="24"/>
          <w:szCs w:val="26"/>
        </w:rPr>
        <w:t xml:space="preserve">ment by effectively reducing gastric acid production and promoting mucosal healing (Sung </w:t>
      </w:r>
      <w:r>
        <w:rPr>
          <w:i/>
          <w:iCs/>
          <w:color w:val="000000"/>
          <w:sz w:val="24"/>
          <w:szCs w:val="26"/>
        </w:rPr>
        <w:t>et al</w:t>
      </w:r>
      <w:r>
        <w:rPr>
          <w:color w:val="000000"/>
          <w:sz w:val="24"/>
          <w:szCs w:val="26"/>
        </w:rPr>
        <w:t xml:space="preserve">., 2020). H2-receptor antagonists, such as ranitidine, were previously popular but have been largely replaced due to the superior efficacy of PPIs (Laine </w:t>
      </w:r>
      <w:r>
        <w:rPr>
          <w:i/>
          <w:iCs/>
          <w:color w:val="000000"/>
          <w:sz w:val="24"/>
          <w:szCs w:val="26"/>
        </w:rPr>
        <w:t>et al</w:t>
      </w:r>
      <w:r>
        <w:rPr>
          <w:color w:val="000000"/>
          <w:sz w:val="24"/>
          <w:szCs w:val="26"/>
        </w:rPr>
        <w:t xml:space="preserve">., </w:t>
      </w:r>
      <w:r>
        <w:rPr>
          <w:color w:val="000000"/>
          <w:sz w:val="24"/>
          <w:szCs w:val="26"/>
        </w:rPr>
        <w:t xml:space="preserve">2021). </w:t>
      </w:r>
    </w:p>
    <w:p w:rsidR="005F01BE" w:rsidRDefault="003E2C3A">
      <w:pPr>
        <w:spacing w:after="0" w:line="480" w:lineRule="auto"/>
        <w:jc w:val="both"/>
        <w:rPr>
          <w:b/>
          <w:color w:val="000000"/>
          <w:sz w:val="24"/>
          <w:szCs w:val="26"/>
        </w:rPr>
      </w:pPr>
      <w:r>
        <w:rPr>
          <w:b/>
          <w:color w:val="000000"/>
          <w:sz w:val="24"/>
          <w:szCs w:val="26"/>
        </w:rPr>
        <w:t>2.2 Types of Ulcer</w:t>
      </w:r>
    </w:p>
    <w:p w:rsidR="005F01BE" w:rsidRDefault="003E2C3A">
      <w:pPr>
        <w:spacing w:after="0" w:line="480" w:lineRule="auto"/>
        <w:jc w:val="both"/>
        <w:rPr>
          <w:b/>
          <w:color w:val="000000"/>
          <w:sz w:val="24"/>
          <w:szCs w:val="26"/>
        </w:rPr>
      </w:pPr>
      <w:r>
        <w:rPr>
          <w:b/>
          <w:color w:val="000000"/>
          <w:sz w:val="24"/>
          <w:szCs w:val="26"/>
        </w:rPr>
        <w:t>2.2.1 Peptic Ulcer</w:t>
      </w:r>
    </w:p>
    <w:p w:rsidR="005F01BE" w:rsidRDefault="003E2C3A">
      <w:pPr>
        <w:spacing w:after="0" w:line="480" w:lineRule="auto"/>
        <w:ind w:firstLine="720"/>
        <w:jc w:val="both"/>
        <w:rPr>
          <w:color w:val="000000"/>
          <w:sz w:val="24"/>
          <w:szCs w:val="26"/>
        </w:rPr>
      </w:pPr>
      <w:r>
        <w:rPr>
          <w:color w:val="000000"/>
          <w:sz w:val="24"/>
          <w:szCs w:val="26"/>
        </w:rPr>
        <w:t>Peptic ulcer disease is a problem of the gastrointestinal tract characterized by mucosal damage secondary to pepsin and gastric acid secretion. It usually occurs in the stomach and proximal duodenum; less commo</w:t>
      </w:r>
      <w:r>
        <w:rPr>
          <w:color w:val="000000"/>
          <w:sz w:val="24"/>
          <w:szCs w:val="26"/>
        </w:rPr>
        <w:t xml:space="preserve">nly, it occurs in the lower esophagus, the distal duodenum, or the jejunum, as in unopposed hypersecretory states such as Zollinger-Ellison syndrome, in hiatal hernias (Cameron ulcers), or in ectopic gastric </w:t>
      </w:r>
      <w:r>
        <w:rPr>
          <w:color w:val="000000"/>
          <w:sz w:val="24"/>
          <w:szCs w:val="26"/>
        </w:rPr>
        <w:lastRenderedPageBreak/>
        <w:t>mucosa (e.g., in Meckel’s diverticulum) (Kalyana</w:t>
      </w:r>
      <w:r>
        <w:rPr>
          <w:color w:val="000000"/>
          <w:sz w:val="24"/>
          <w:szCs w:val="26"/>
        </w:rPr>
        <w:t xml:space="preserve">krishnan </w:t>
      </w:r>
      <w:r>
        <w:rPr>
          <w:i/>
          <w:iCs/>
          <w:color w:val="000000"/>
          <w:sz w:val="24"/>
          <w:szCs w:val="26"/>
        </w:rPr>
        <w:t>et al</w:t>
      </w:r>
      <w:r>
        <w:rPr>
          <w:color w:val="000000"/>
          <w:sz w:val="24"/>
          <w:szCs w:val="26"/>
        </w:rPr>
        <w:t xml:space="preserve">., 2007). Peptic ulcer disease affects 1-2 per 1000 people annually as per a systematic review with data from the USA, UK, and Europe (Sung </w:t>
      </w:r>
      <w:r>
        <w:rPr>
          <w:i/>
          <w:color w:val="000000"/>
          <w:sz w:val="24"/>
          <w:szCs w:val="26"/>
        </w:rPr>
        <w:t>et al.,</w:t>
      </w:r>
      <w:r>
        <w:rPr>
          <w:color w:val="000000"/>
          <w:sz w:val="24"/>
          <w:szCs w:val="26"/>
        </w:rPr>
        <w:t xml:space="preserve"> 2009). The incidence is declining, possibly due to decreasing prevalence of </w:t>
      </w:r>
      <w:r>
        <w:rPr>
          <w:i/>
          <w:color w:val="000000"/>
          <w:sz w:val="24"/>
          <w:szCs w:val="26"/>
        </w:rPr>
        <w:t>Helicobacter pylor</w:t>
      </w:r>
      <w:r>
        <w:rPr>
          <w:i/>
          <w:color w:val="000000"/>
          <w:sz w:val="24"/>
          <w:szCs w:val="26"/>
        </w:rPr>
        <w:t xml:space="preserve">i </w:t>
      </w:r>
      <w:r>
        <w:rPr>
          <w:color w:val="000000"/>
          <w:sz w:val="24"/>
          <w:szCs w:val="26"/>
        </w:rPr>
        <w:t xml:space="preserve">infection (Agréus </w:t>
      </w:r>
      <w:r>
        <w:rPr>
          <w:i/>
          <w:iCs/>
          <w:color w:val="000000"/>
          <w:sz w:val="24"/>
          <w:szCs w:val="26"/>
        </w:rPr>
        <w:t>et al</w:t>
      </w:r>
      <w:r>
        <w:rPr>
          <w:color w:val="000000"/>
          <w:sz w:val="24"/>
          <w:szCs w:val="26"/>
        </w:rPr>
        <w:t xml:space="preserve">., 2016). </w:t>
      </w:r>
    </w:p>
    <w:p w:rsidR="005F01BE" w:rsidRDefault="003E2C3A">
      <w:pPr>
        <w:spacing w:after="0" w:line="480" w:lineRule="auto"/>
        <w:ind w:firstLine="720"/>
        <w:jc w:val="both"/>
        <w:rPr>
          <w:color w:val="000000"/>
          <w:sz w:val="24"/>
          <w:szCs w:val="26"/>
        </w:rPr>
      </w:pPr>
      <w:r>
        <w:rPr>
          <w:color w:val="000000"/>
          <w:sz w:val="24"/>
          <w:szCs w:val="26"/>
        </w:rPr>
        <w:t xml:space="preserve">Previous studies suggest that 90% of duodenal ulcers and 70% of gastric ulcers are associated with </w:t>
      </w:r>
      <w:r>
        <w:rPr>
          <w:i/>
          <w:color w:val="000000"/>
          <w:sz w:val="24"/>
          <w:szCs w:val="26"/>
        </w:rPr>
        <w:t xml:space="preserve">Helicobacter pylori </w:t>
      </w:r>
      <w:r>
        <w:rPr>
          <w:color w:val="000000"/>
          <w:sz w:val="24"/>
          <w:szCs w:val="26"/>
        </w:rPr>
        <w:t xml:space="preserve">infection. Although these percentages are now considered to be lower, </w:t>
      </w:r>
      <w:r>
        <w:rPr>
          <w:i/>
          <w:color w:val="000000"/>
          <w:sz w:val="24"/>
          <w:szCs w:val="26"/>
        </w:rPr>
        <w:t xml:space="preserve">Helicobacter pylori </w:t>
      </w:r>
      <w:r>
        <w:rPr>
          <w:color w:val="000000"/>
          <w:sz w:val="24"/>
          <w:szCs w:val="26"/>
        </w:rPr>
        <w:t xml:space="preserve">is also an </w:t>
      </w:r>
      <w:r>
        <w:rPr>
          <w:color w:val="000000"/>
          <w:sz w:val="24"/>
          <w:szCs w:val="26"/>
        </w:rPr>
        <w:t xml:space="preserve">important risk factor for gastric cancer, which further emphasises the importance of its eradication (Ford </w:t>
      </w:r>
      <w:r>
        <w:rPr>
          <w:i/>
          <w:iCs/>
          <w:color w:val="000000"/>
          <w:sz w:val="24"/>
          <w:szCs w:val="26"/>
        </w:rPr>
        <w:t>et al</w:t>
      </w:r>
      <w:r>
        <w:rPr>
          <w:color w:val="000000"/>
          <w:sz w:val="24"/>
          <w:szCs w:val="26"/>
        </w:rPr>
        <w:t>., 2017).</w:t>
      </w:r>
    </w:p>
    <w:p w:rsidR="005F01BE" w:rsidRDefault="003E2C3A">
      <w:pPr>
        <w:spacing w:after="0" w:line="480" w:lineRule="auto"/>
        <w:jc w:val="both"/>
        <w:rPr>
          <w:color w:val="000000"/>
          <w:sz w:val="24"/>
          <w:szCs w:val="26"/>
        </w:rPr>
      </w:pPr>
      <w:r>
        <w:rPr>
          <w:i/>
          <w:color w:val="000000"/>
          <w:sz w:val="24"/>
          <w:szCs w:val="26"/>
        </w:rPr>
        <w:t xml:space="preserve">Helicobacter pylori </w:t>
      </w:r>
      <w:r>
        <w:rPr>
          <w:color w:val="000000"/>
          <w:sz w:val="24"/>
          <w:szCs w:val="26"/>
        </w:rPr>
        <w:t xml:space="preserve">infection and the use of nonsteroidal anti-inflammatory drugs (NSAIDs) are the predominant causes of peptic ulcer disease (Kurata and Nogawa, 1997). Although </w:t>
      </w:r>
      <w:r>
        <w:rPr>
          <w:i/>
          <w:color w:val="000000"/>
          <w:sz w:val="24"/>
          <w:szCs w:val="26"/>
        </w:rPr>
        <w:t>Helicobacter pylori</w:t>
      </w:r>
      <w:r>
        <w:rPr>
          <w:color w:val="000000"/>
          <w:sz w:val="24"/>
          <w:szCs w:val="26"/>
        </w:rPr>
        <w:t xml:space="preserve"> is present in the gastroduodenal mucosa in most patients with duodenal ulcers,</w:t>
      </w:r>
      <w:r>
        <w:rPr>
          <w:color w:val="000000"/>
          <w:sz w:val="24"/>
          <w:szCs w:val="26"/>
        </w:rPr>
        <w:t xml:space="preserve"> only a minority (10 to 15 percent) of patients with </w:t>
      </w:r>
      <w:r>
        <w:rPr>
          <w:i/>
          <w:color w:val="000000"/>
          <w:sz w:val="24"/>
          <w:szCs w:val="26"/>
        </w:rPr>
        <w:t>H. pylori</w:t>
      </w:r>
      <w:r>
        <w:rPr>
          <w:color w:val="000000"/>
          <w:sz w:val="24"/>
          <w:szCs w:val="26"/>
        </w:rPr>
        <w:t xml:space="preserve"> infection develop peptic ulcer disease. </w:t>
      </w:r>
      <w:r>
        <w:rPr>
          <w:i/>
          <w:color w:val="000000"/>
          <w:sz w:val="24"/>
          <w:szCs w:val="26"/>
        </w:rPr>
        <w:t>Helicobacter pylori</w:t>
      </w:r>
      <w:r>
        <w:rPr>
          <w:color w:val="000000"/>
          <w:sz w:val="24"/>
          <w:szCs w:val="26"/>
        </w:rPr>
        <w:t xml:space="preserve"> bacteria adhere to the gastric mucosa as shown in figure 2; the presence of an outer inflammatory protein and a functional cytotoxin-</w:t>
      </w:r>
      <w:r>
        <w:rPr>
          <w:color w:val="000000"/>
          <w:sz w:val="24"/>
          <w:szCs w:val="26"/>
        </w:rPr>
        <w:t xml:space="preserve">associated gene island in the bacterial chromosome increases virulence and probably ulcerogenic potential (Nilsson </w:t>
      </w:r>
      <w:r>
        <w:rPr>
          <w:i/>
          <w:iCs/>
          <w:color w:val="000000"/>
          <w:sz w:val="24"/>
          <w:szCs w:val="26"/>
        </w:rPr>
        <w:t>et al</w:t>
      </w:r>
      <w:r>
        <w:rPr>
          <w:color w:val="000000"/>
          <w:sz w:val="24"/>
          <w:szCs w:val="26"/>
        </w:rPr>
        <w:t xml:space="preserve">., 2003). </w:t>
      </w:r>
    </w:p>
    <w:p w:rsidR="005F01BE" w:rsidRDefault="005F01BE">
      <w:pPr>
        <w:spacing w:after="0" w:line="480" w:lineRule="auto"/>
        <w:jc w:val="both"/>
        <w:rPr>
          <w:color w:val="000000"/>
          <w:sz w:val="24"/>
          <w:szCs w:val="26"/>
        </w:rPr>
      </w:pPr>
    </w:p>
    <w:p w:rsidR="005F01BE" w:rsidRDefault="003E2C3A">
      <w:pPr>
        <w:spacing w:after="0" w:line="480" w:lineRule="auto"/>
        <w:jc w:val="both"/>
        <w:rPr>
          <w:b/>
          <w:color w:val="000000"/>
          <w:sz w:val="24"/>
          <w:szCs w:val="26"/>
        </w:rPr>
      </w:pPr>
      <w:r>
        <w:rPr>
          <w:b/>
          <w:noProof/>
          <w:color w:val="000000"/>
          <w:sz w:val="24"/>
          <w:szCs w:val="26"/>
        </w:rPr>
        <w:lastRenderedPageBreak/>
        <w:drawing>
          <wp:inline distT="0" distB="0" distL="0" distR="0">
            <wp:extent cx="5341882" cy="2809875"/>
            <wp:effectExtent l="0" t="0" r="0" b="0"/>
            <wp:docPr id="102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12" cstate="print"/>
                    <a:srcRect/>
                    <a:stretch/>
                  </pic:blipFill>
                  <pic:spPr>
                    <a:xfrm>
                      <a:off x="0" y="0"/>
                      <a:ext cx="5341882" cy="2809875"/>
                    </a:xfrm>
                    <a:prstGeom prst="rect">
                      <a:avLst/>
                    </a:prstGeom>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 xml:space="preserve">Figure 2: Peptic Ulcer infection </w:t>
      </w:r>
    </w:p>
    <w:p w:rsidR="005F01BE" w:rsidRDefault="003E2C3A">
      <w:pPr>
        <w:spacing w:after="0" w:line="480" w:lineRule="auto"/>
        <w:jc w:val="both"/>
        <w:rPr>
          <w:b/>
          <w:color w:val="000000"/>
          <w:sz w:val="24"/>
          <w:szCs w:val="26"/>
        </w:rPr>
      </w:pPr>
      <w:r>
        <w:rPr>
          <w:b/>
          <w:color w:val="000000"/>
          <w:sz w:val="24"/>
          <w:szCs w:val="26"/>
        </w:rPr>
        <w:t xml:space="preserve">Source: </w:t>
      </w:r>
      <w:r>
        <w:rPr>
          <w:color w:val="000000"/>
          <w:sz w:val="24"/>
          <w:szCs w:val="26"/>
        </w:rPr>
        <w:t>Lauret (2015).</w:t>
      </w:r>
    </w:p>
    <w:p w:rsidR="005F01BE" w:rsidRDefault="003E2C3A">
      <w:pPr>
        <w:spacing w:after="0" w:line="480" w:lineRule="auto"/>
        <w:jc w:val="both"/>
        <w:rPr>
          <w:b/>
          <w:color w:val="000000"/>
          <w:sz w:val="24"/>
          <w:szCs w:val="26"/>
        </w:rPr>
      </w:pPr>
      <w:r>
        <w:rPr>
          <w:b/>
          <w:color w:val="000000"/>
          <w:sz w:val="24"/>
          <w:szCs w:val="26"/>
        </w:rPr>
        <w:t>2.2.2 Skin Ulcer</w:t>
      </w:r>
    </w:p>
    <w:p w:rsidR="005F01BE" w:rsidRDefault="003E2C3A">
      <w:pPr>
        <w:spacing w:after="0" w:line="480" w:lineRule="auto"/>
        <w:ind w:firstLine="720"/>
        <w:jc w:val="both"/>
        <w:rPr>
          <w:color w:val="000000"/>
          <w:sz w:val="24"/>
          <w:szCs w:val="26"/>
        </w:rPr>
      </w:pPr>
      <w:r>
        <w:rPr>
          <w:color w:val="000000"/>
          <w:sz w:val="24"/>
          <w:szCs w:val="26"/>
        </w:rPr>
        <w:t>A skin ulcer is a localized defect or excavation</w:t>
      </w:r>
      <w:r>
        <w:rPr>
          <w:color w:val="000000"/>
          <w:sz w:val="24"/>
          <w:szCs w:val="26"/>
        </w:rPr>
        <w:t xml:space="preserve"> of the skin surface that results from the progressive disintegration and necrosis of epidermal and dermal tissues, often extending into the subcutaneous layers (Gupta </w:t>
      </w:r>
      <w:r>
        <w:rPr>
          <w:i/>
          <w:iCs/>
          <w:color w:val="000000"/>
          <w:sz w:val="24"/>
          <w:szCs w:val="26"/>
        </w:rPr>
        <w:t>et al</w:t>
      </w:r>
      <w:r>
        <w:rPr>
          <w:color w:val="000000"/>
          <w:sz w:val="24"/>
          <w:szCs w:val="26"/>
        </w:rPr>
        <w:t xml:space="preserve">., 2020). These ulcers are caused by various underlying conditions, including poor </w:t>
      </w:r>
      <w:r>
        <w:rPr>
          <w:color w:val="000000"/>
          <w:sz w:val="24"/>
          <w:szCs w:val="26"/>
        </w:rPr>
        <w:t xml:space="preserve">circulation, prolonged pressure, infections, and metabolic disorders. Skin ulcers are classified based on their etiology, such as pressure ulcers, venous ulcers, arterial ulcers, neuropathic ulcers, and infectious ulcers (Bergstrom </w:t>
      </w:r>
      <w:r>
        <w:rPr>
          <w:i/>
          <w:iCs/>
          <w:color w:val="000000"/>
          <w:sz w:val="24"/>
          <w:szCs w:val="26"/>
        </w:rPr>
        <w:t>et al</w:t>
      </w:r>
      <w:r>
        <w:rPr>
          <w:color w:val="000000"/>
          <w:sz w:val="24"/>
          <w:szCs w:val="26"/>
        </w:rPr>
        <w:t xml:space="preserve">., 2018). </w:t>
      </w:r>
    </w:p>
    <w:p w:rsidR="005F01BE" w:rsidRDefault="003E2C3A">
      <w:pPr>
        <w:spacing w:after="0" w:line="480" w:lineRule="auto"/>
        <w:ind w:firstLine="720"/>
        <w:jc w:val="both"/>
        <w:rPr>
          <w:color w:val="000000"/>
          <w:sz w:val="24"/>
          <w:szCs w:val="26"/>
        </w:rPr>
      </w:pPr>
      <w:r>
        <w:rPr>
          <w:color w:val="000000"/>
          <w:sz w:val="24"/>
          <w:szCs w:val="26"/>
        </w:rPr>
        <w:t>Skin ulc</w:t>
      </w:r>
      <w:r>
        <w:rPr>
          <w:color w:val="000000"/>
          <w:sz w:val="24"/>
          <w:szCs w:val="26"/>
        </w:rPr>
        <w:t xml:space="preserve">ers are a significant health concern globally, affecting individuals across various age groups and socioeconomic backgrounds. These chronic wounds result from </w:t>
      </w:r>
      <w:r>
        <w:rPr>
          <w:color w:val="000000"/>
          <w:sz w:val="24"/>
          <w:szCs w:val="26"/>
        </w:rPr>
        <w:lastRenderedPageBreak/>
        <w:t xml:space="preserve">multiple underlying conditions, including vascular insufficiency, prolonged pressure, infection, </w:t>
      </w:r>
      <w:r>
        <w:rPr>
          <w:color w:val="000000"/>
          <w:sz w:val="24"/>
          <w:szCs w:val="26"/>
        </w:rPr>
        <w:t xml:space="preserve">and systemic diseases (Sen </w:t>
      </w:r>
      <w:r>
        <w:rPr>
          <w:i/>
          <w:iCs/>
          <w:color w:val="000000"/>
          <w:sz w:val="24"/>
          <w:szCs w:val="26"/>
        </w:rPr>
        <w:t>et al</w:t>
      </w:r>
      <w:r>
        <w:rPr>
          <w:color w:val="000000"/>
          <w:sz w:val="24"/>
          <w:szCs w:val="26"/>
        </w:rPr>
        <w:t>., 2009). Skin ulcers are characterized by the loss of epidermal and dermal integrity as shown in figure 3 below, leading to exposure of underlying tissues, which can predispose affected individuals to infections and prolong</w:t>
      </w:r>
      <w:r>
        <w:rPr>
          <w:color w:val="000000"/>
          <w:sz w:val="24"/>
          <w:szCs w:val="26"/>
        </w:rPr>
        <w:t>ed healing processes (Guo and DiPietro, 2010). The burden of skin ulcers is extensive, with epidemiological studies indicating their high prevalence, particularly among elderly individuals and those with chronic illnesses such as diabetes and peripheral va</w:t>
      </w:r>
      <w:r>
        <w:rPr>
          <w:color w:val="000000"/>
          <w:sz w:val="24"/>
          <w:szCs w:val="26"/>
        </w:rPr>
        <w:t xml:space="preserve">scular diseases (Nussbaum </w:t>
      </w:r>
      <w:r>
        <w:rPr>
          <w:i/>
          <w:iCs/>
          <w:color w:val="000000"/>
          <w:sz w:val="24"/>
          <w:szCs w:val="26"/>
        </w:rPr>
        <w:t>et al</w:t>
      </w:r>
      <w:r>
        <w:rPr>
          <w:color w:val="000000"/>
          <w:sz w:val="24"/>
          <w:szCs w:val="26"/>
        </w:rPr>
        <w:t xml:space="preserve">., 2018). Studies have shown that factors such as persistent inflammation, excessive protease activity, and reduced cellular migration contribute to the delayed healing seen in ulcerative conditions (Eming </w:t>
      </w:r>
      <w:r>
        <w:rPr>
          <w:i/>
          <w:iCs/>
          <w:color w:val="000000"/>
          <w:sz w:val="24"/>
          <w:szCs w:val="26"/>
        </w:rPr>
        <w:t>et al</w:t>
      </w:r>
      <w:r>
        <w:rPr>
          <w:color w:val="000000"/>
          <w:sz w:val="24"/>
          <w:szCs w:val="26"/>
        </w:rPr>
        <w:t xml:space="preserve">., 2014). </w:t>
      </w:r>
    </w:p>
    <w:p w:rsidR="005F01BE" w:rsidRDefault="003E2C3A">
      <w:pPr>
        <w:spacing w:after="0" w:line="480" w:lineRule="auto"/>
        <w:jc w:val="both"/>
        <w:rPr>
          <w:b/>
          <w:color w:val="000000"/>
          <w:sz w:val="24"/>
          <w:szCs w:val="26"/>
        </w:rPr>
      </w:pPr>
      <w:r>
        <w:rPr>
          <w:b/>
          <w:noProof/>
          <w:color w:val="000000"/>
          <w:sz w:val="24"/>
          <w:szCs w:val="26"/>
        </w:rPr>
        <w:drawing>
          <wp:inline distT="0" distB="0" distL="0" distR="0">
            <wp:extent cx="2474405" cy="2371725"/>
            <wp:effectExtent l="0" t="0" r="2540" b="0"/>
            <wp:docPr id="102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8"/>
                    <pic:cNvPicPr/>
                  </pic:nvPicPr>
                  <pic:blipFill>
                    <a:blip r:embed="rId13" cstate="print"/>
                    <a:srcRect b="17828"/>
                    <a:stretch/>
                  </pic:blipFill>
                  <pic:spPr>
                    <a:xfrm>
                      <a:off x="0" y="0"/>
                      <a:ext cx="2474405" cy="2371725"/>
                    </a:xfrm>
                    <a:prstGeom prst="rect">
                      <a:avLst/>
                    </a:prstGeom>
                    <a:ln>
                      <a:noFill/>
                    </a:ln>
                  </pic:spPr>
                </pic:pic>
              </a:graphicData>
            </a:graphic>
          </wp:inline>
        </w:drawing>
      </w:r>
      <w:r>
        <w:rPr>
          <w:b/>
          <w:color w:val="000000"/>
          <w:sz w:val="24"/>
          <w:szCs w:val="26"/>
        </w:rPr>
        <w:t xml:space="preserve"> </w:t>
      </w:r>
      <w:r>
        <w:rPr>
          <w:b/>
          <w:noProof/>
          <w:color w:val="000000"/>
          <w:sz w:val="24"/>
          <w:szCs w:val="26"/>
        </w:rPr>
        <w:drawing>
          <wp:inline distT="0" distB="0" distL="0" distR="0">
            <wp:extent cx="2537649" cy="2428875"/>
            <wp:effectExtent l="0" t="0" r="0" b="0"/>
            <wp:docPr id="103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4" cstate="print"/>
                    <a:srcRect t="12734" b="20834"/>
                    <a:stretch/>
                  </pic:blipFill>
                  <pic:spPr>
                    <a:xfrm>
                      <a:off x="0" y="0"/>
                      <a:ext cx="2537649" cy="2428875"/>
                    </a:xfrm>
                    <a:prstGeom prst="rect">
                      <a:avLst/>
                    </a:prstGeom>
                    <a:ln>
                      <a:noFill/>
                    </a:ln>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 xml:space="preserve">Figure 3: Skin Ulcer </w:t>
      </w:r>
    </w:p>
    <w:p w:rsidR="005F01BE" w:rsidRDefault="003E2C3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5F01BE" w:rsidRDefault="003E2C3A">
      <w:pPr>
        <w:spacing w:after="0" w:line="480" w:lineRule="auto"/>
        <w:ind w:firstLine="720"/>
        <w:jc w:val="both"/>
        <w:rPr>
          <w:color w:val="000000"/>
          <w:sz w:val="24"/>
          <w:szCs w:val="26"/>
        </w:rPr>
      </w:pPr>
      <w:r>
        <w:rPr>
          <w:color w:val="000000"/>
          <w:sz w:val="24"/>
          <w:szCs w:val="26"/>
        </w:rPr>
        <w:lastRenderedPageBreak/>
        <w:t xml:space="preserve">Skin ulcers are also associated with substantial economic burdens, as their treatment often involves prolonged hospitalization, use of advanced wound care products, and surgical interventions (Sen </w:t>
      </w:r>
      <w:r>
        <w:rPr>
          <w:i/>
          <w:iCs/>
          <w:color w:val="000000"/>
          <w:sz w:val="24"/>
          <w:szCs w:val="26"/>
        </w:rPr>
        <w:t>et al</w:t>
      </w:r>
      <w:r>
        <w:rPr>
          <w:color w:val="000000"/>
          <w:sz w:val="24"/>
          <w:szCs w:val="26"/>
        </w:rPr>
        <w:t>., 2009)</w:t>
      </w:r>
      <w:r>
        <w:rPr>
          <w:color w:val="000000"/>
          <w:sz w:val="24"/>
          <w:szCs w:val="26"/>
        </w:rPr>
        <w:t xml:space="preserve">. A study by Guest </w:t>
      </w:r>
      <w:r>
        <w:rPr>
          <w:i/>
          <w:iCs/>
          <w:color w:val="000000"/>
          <w:sz w:val="24"/>
          <w:szCs w:val="26"/>
        </w:rPr>
        <w:t>et al</w:t>
      </w:r>
      <w:r>
        <w:rPr>
          <w:color w:val="000000"/>
          <w:sz w:val="24"/>
          <w:szCs w:val="26"/>
        </w:rPr>
        <w:t>. (2015) highlighted the financial implications of managing chronic wounds, emphasizing the need for cost-effective and innovative wound care solutions. An ulcer is a sore on the skin or a mucous membrane, accompanied by the disinte</w:t>
      </w:r>
      <w:r>
        <w:rPr>
          <w:color w:val="000000"/>
          <w:sz w:val="24"/>
          <w:szCs w:val="26"/>
        </w:rPr>
        <w:t xml:space="preserve">gration of tissue. Ulcers can result in complete loss of the epidermis and often portions of the dermis and even subcutaneous fat. Ulcers are most common on the skin of the lower extremities and in the gastrointestinal tract (Kumar </w:t>
      </w:r>
      <w:r>
        <w:rPr>
          <w:i/>
          <w:iCs/>
          <w:color w:val="000000"/>
          <w:sz w:val="24"/>
          <w:szCs w:val="26"/>
        </w:rPr>
        <w:t>et al</w:t>
      </w:r>
      <w:r>
        <w:rPr>
          <w:color w:val="000000"/>
          <w:sz w:val="24"/>
          <w:szCs w:val="26"/>
        </w:rPr>
        <w:t>., 2004).  An ulcer</w:t>
      </w:r>
      <w:r>
        <w:rPr>
          <w:color w:val="000000"/>
          <w:sz w:val="24"/>
          <w:szCs w:val="26"/>
        </w:rPr>
        <w:t xml:space="preserve"> that appears on the skin is often visible as an inflamed tissue with area of reddened skin. Pressure ulcers, also known as decubitus ulcers or bedsores, occur due to prolonged pressure on the skin, leading to tissue ischemia and necrosis (Stern and Neuman</w:t>
      </w:r>
      <w:r>
        <w:rPr>
          <w:color w:val="000000"/>
          <w:sz w:val="24"/>
          <w:szCs w:val="26"/>
        </w:rPr>
        <w:t xml:space="preserve">, 2019). These ulcers typically develop over bony prominences such as the sacrum, heels, and hips as shown in figure 3. Risk factors include immobility, malnutrition, moisture, and impaired sensory perception (Jaul </w:t>
      </w:r>
      <w:r>
        <w:rPr>
          <w:i/>
          <w:iCs/>
          <w:color w:val="000000"/>
          <w:sz w:val="24"/>
          <w:szCs w:val="26"/>
        </w:rPr>
        <w:t>et al</w:t>
      </w:r>
      <w:r>
        <w:rPr>
          <w:color w:val="000000"/>
          <w:sz w:val="24"/>
          <w:szCs w:val="26"/>
        </w:rPr>
        <w:t>., 2018).</w:t>
      </w:r>
    </w:p>
    <w:p w:rsidR="005F01BE" w:rsidRDefault="003E2C3A">
      <w:pPr>
        <w:spacing w:after="0" w:line="480" w:lineRule="auto"/>
        <w:jc w:val="both"/>
        <w:rPr>
          <w:color w:val="000000"/>
          <w:sz w:val="24"/>
          <w:szCs w:val="26"/>
        </w:rPr>
      </w:pPr>
      <w:r>
        <w:rPr>
          <w:noProof/>
          <w:color w:val="000000"/>
          <w:sz w:val="24"/>
          <w:szCs w:val="26"/>
        </w:rPr>
        <w:lastRenderedPageBreak/>
        <w:drawing>
          <wp:inline distT="0" distB="0" distL="0" distR="0">
            <wp:extent cx="3705225" cy="2495550"/>
            <wp:effectExtent l="0" t="0" r="0" b="0"/>
            <wp:docPr id="103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5" cstate="print"/>
                    <a:srcRect/>
                    <a:stretch/>
                  </pic:blipFill>
                  <pic:spPr>
                    <a:xfrm>
                      <a:off x="0" y="0"/>
                      <a:ext cx="3705225" cy="2495550"/>
                    </a:xfrm>
                    <a:prstGeom prst="rect">
                      <a:avLst/>
                    </a:prstGeom>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Figure 3: Pressure Ulcer</w:t>
      </w:r>
      <w:r>
        <w:rPr>
          <w:b/>
          <w:color w:val="000000"/>
          <w:sz w:val="24"/>
          <w:szCs w:val="26"/>
        </w:rPr>
        <w:t xml:space="preserve"> </w:t>
      </w:r>
    </w:p>
    <w:p w:rsidR="005F01BE" w:rsidRDefault="003E2C3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5F01BE" w:rsidRDefault="003E2C3A">
      <w:pPr>
        <w:spacing w:after="0" w:line="480" w:lineRule="auto"/>
        <w:ind w:firstLine="720"/>
        <w:jc w:val="both"/>
        <w:rPr>
          <w:color w:val="000000"/>
          <w:sz w:val="24"/>
          <w:szCs w:val="26"/>
        </w:rPr>
      </w:pPr>
      <w:r>
        <w:rPr>
          <w:color w:val="000000"/>
          <w:sz w:val="24"/>
          <w:szCs w:val="26"/>
        </w:rPr>
        <w:t xml:space="preserve">Venous ulcers are the most common type of chronic lower extremity ulcers and result from venous insufficiency due to dysfunctional venous valves (Armstrong </w:t>
      </w:r>
      <w:r>
        <w:rPr>
          <w:i/>
          <w:iCs/>
          <w:color w:val="000000"/>
          <w:sz w:val="24"/>
          <w:szCs w:val="26"/>
        </w:rPr>
        <w:t>et al</w:t>
      </w:r>
      <w:r>
        <w:rPr>
          <w:color w:val="000000"/>
          <w:sz w:val="24"/>
          <w:szCs w:val="26"/>
        </w:rPr>
        <w:t xml:space="preserve">., 2019). These ulcers are usually found around the medial malleolus, Figure 4 below shows Venous ulcer effect on human skin, alwaysw presenting with irregular borders, edema, and hyperpigmentation due to hemosiderin deposition (O’Donnell </w:t>
      </w:r>
      <w:r>
        <w:rPr>
          <w:i/>
          <w:iCs/>
          <w:color w:val="000000"/>
          <w:sz w:val="24"/>
          <w:szCs w:val="26"/>
        </w:rPr>
        <w:t>et al</w:t>
      </w:r>
      <w:r>
        <w:rPr>
          <w:color w:val="000000"/>
          <w:sz w:val="24"/>
          <w:szCs w:val="26"/>
        </w:rPr>
        <w:t>., 2020).</w:t>
      </w: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2975704" cy="2028825"/>
            <wp:effectExtent l="0" t="0" r="0" b="0"/>
            <wp:docPr id="103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1"/>
                    <pic:cNvPicPr/>
                  </pic:nvPicPr>
                  <pic:blipFill>
                    <a:blip r:embed="rId16" cstate="print"/>
                    <a:srcRect/>
                    <a:stretch/>
                  </pic:blipFill>
                  <pic:spPr>
                    <a:xfrm>
                      <a:off x="0" y="0"/>
                      <a:ext cx="2975704" cy="2028825"/>
                    </a:xfrm>
                    <a:prstGeom prst="rect">
                      <a:avLst/>
                    </a:prstGeom>
                  </pic:spPr>
                </pic:pic>
              </a:graphicData>
            </a:graphic>
          </wp:inline>
        </w:drawing>
      </w:r>
    </w:p>
    <w:p w:rsidR="005F01BE" w:rsidRDefault="003E2C3A">
      <w:pPr>
        <w:spacing w:after="0" w:line="480" w:lineRule="auto"/>
        <w:jc w:val="both"/>
        <w:rPr>
          <w:b/>
          <w:color w:val="000000"/>
          <w:sz w:val="24"/>
          <w:szCs w:val="26"/>
        </w:rPr>
      </w:pPr>
      <w:r>
        <w:rPr>
          <w:b/>
          <w:color w:val="000000"/>
          <w:sz w:val="24"/>
          <w:szCs w:val="26"/>
        </w:rPr>
        <w:lastRenderedPageBreak/>
        <w:t xml:space="preserve">Figure 4: Venus Ulcer </w:t>
      </w:r>
    </w:p>
    <w:p w:rsidR="005F01BE" w:rsidRDefault="003E2C3A">
      <w:pPr>
        <w:spacing w:after="0" w:line="480" w:lineRule="auto"/>
        <w:jc w:val="both"/>
        <w:rPr>
          <w:b/>
          <w:color w:val="000000"/>
          <w:sz w:val="24"/>
          <w:szCs w:val="26"/>
        </w:rPr>
      </w:pPr>
      <w:r>
        <w:rPr>
          <w:b/>
          <w:color w:val="000000"/>
          <w:sz w:val="24"/>
          <w:szCs w:val="26"/>
        </w:rPr>
        <w:t xml:space="preserve">Source: </w:t>
      </w:r>
      <w:r>
        <w:rPr>
          <w:color w:val="000000"/>
          <w:sz w:val="24"/>
          <w:szCs w:val="26"/>
        </w:rPr>
        <w:t>Kumar, (2004).</w:t>
      </w:r>
    </w:p>
    <w:p w:rsidR="005F01BE" w:rsidRDefault="003E2C3A">
      <w:pPr>
        <w:spacing w:after="0" w:line="480" w:lineRule="auto"/>
        <w:ind w:firstLine="720"/>
        <w:jc w:val="both"/>
        <w:rPr>
          <w:color w:val="000000"/>
          <w:sz w:val="24"/>
          <w:szCs w:val="26"/>
        </w:rPr>
      </w:pPr>
      <w:r>
        <w:rPr>
          <w:color w:val="000000"/>
          <w:sz w:val="24"/>
          <w:szCs w:val="26"/>
        </w:rPr>
        <w:t xml:space="preserve">Arterial ulcers develop due to inadequate blood supply from peripheral arterial disease (PAD), leading to ischemia and tissue necrosis (Fowkes </w:t>
      </w:r>
      <w:r>
        <w:rPr>
          <w:i/>
          <w:iCs/>
          <w:color w:val="000000"/>
          <w:sz w:val="24"/>
          <w:szCs w:val="26"/>
        </w:rPr>
        <w:t>et al</w:t>
      </w:r>
      <w:r>
        <w:rPr>
          <w:color w:val="000000"/>
          <w:sz w:val="24"/>
          <w:szCs w:val="26"/>
        </w:rPr>
        <w:t xml:space="preserve">., 2020). These ulcers are usually located on the toes, feet, </w:t>
      </w:r>
      <w:r>
        <w:rPr>
          <w:color w:val="000000"/>
          <w:sz w:val="24"/>
          <w:szCs w:val="26"/>
        </w:rPr>
        <w:t xml:space="preserve">(see figure 5) or lateral malleolus and have a punched-out appearance with a pale wound bed and minimal exudate (Conte </w:t>
      </w:r>
      <w:r>
        <w:rPr>
          <w:i/>
          <w:iCs/>
          <w:color w:val="000000"/>
          <w:sz w:val="24"/>
          <w:szCs w:val="26"/>
        </w:rPr>
        <w:t>et al</w:t>
      </w:r>
      <w:r>
        <w:rPr>
          <w:color w:val="000000"/>
          <w:sz w:val="24"/>
          <w:szCs w:val="26"/>
        </w:rPr>
        <w:t>., 2019).</w:t>
      </w:r>
    </w:p>
    <w:p w:rsidR="005F01BE" w:rsidRDefault="005F01BE">
      <w:pPr>
        <w:spacing w:after="0" w:line="480" w:lineRule="auto"/>
        <w:ind w:firstLine="720"/>
        <w:jc w:val="both"/>
        <w:rPr>
          <w:color w:val="000000"/>
          <w:sz w:val="24"/>
          <w:szCs w:val="26"/>
        </w:rPr>
      </w:pP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2581275" cy="1762125"/>
            <wp:effectExtent l="0" t="0" r="9525" b="9525"/>
            <wp:docPr id="103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2"/>
                    <pic:cNvPicPr/>
                  </pic:nvPicPr>
                  <pic:blipFill>
                    <a:blip r:embed="rId17" cstate="print"/>
                    <a:srcRect/>
                    <a:stretch/>
                  </pic:blipFill>
                  <pic:spPr>
                    <a:xfrm>
                      <a:off x="0" y="0"/>
                      <a:ext cx="2581275" cy="1762125"/>
                    </a:xfrm>
                    <a:prstGeom prst="rect">
                      <a:avLst/>
                    </a:prstGeom>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 xml:space="preserve">Figure 5: Arterial ulcers </w:t>
      </w:r>
    </w:p>
    <w:p w:rsidR="005F01BE" w:rsidRDefault="003E2C3A">
      <w:pPr>
        <w:spacing w:after="0" w:line="480" w:lineRule="auto"/>
        <w:jc w:val="both"/>
        <w:rPr>
          <w:color w:val="000000"/>
          <w:sz w:val="24"/>
          <w:szCs w:val="26"/>
        </w:rPr>
      </w:pPr>
      <w:r>
        <w:rPr>
          <w:b/>
          <w:color w:val="000000"/>
          <w:sz w:val="24"/>
          <w:szCs w:val="26"/>
        </w:rPr>
        <w:t xml:space="preserve">Source: </w:t>
      </w:r>
      <w:r>
        <w:rPr>
          <w:color w:val="000000"/>
          <w:sz w:val="24"/>
          <w:szCs w:val="26"/>
        </w:rPr>
        <w:t xml:space="preserve">Fowkes </w:t>
      </w:r>
      <w:r>
        <w:rPr>
          <w:i/>
          <w:iCs/>
          <w:color w:val="000000"/>
          <w:sz w:val="24"/>
          <w:szCs w:val="26"/>
        </w:rPr>
        <w:t>et al</w:t>
      </w:r>
      <w:r>
        <w:rPr>
          <w:color w:val="000000"/>
          <w:sz w:val="24"/>
          <w:szCs w:val="26"/>
        </w:rPr>
        <w:t>. (2020).</w:t>
      </w:r>
    </w:p>
    <w:p w:rsidR="005F01BE" w:rsidRDefault="003E2C3A">
      <w:pPr>
        <w:spacing w:after="0" w:line="480" w:lineRule="auto"/>
        <w:ind w:firstLine="720"/>
        <w:jc w:val="both"/>
        <w:rPr>
          <w:color w:val="000000"/>
          <w:sz w:val="24"/>
          <w:szCs w:val="26"/>
        </w:rPr>
      </w:pPr>
      <w:r>
        <w:rPr>
          <w:color w:val="000000"/>
          <w:sz w:val="24"/>
          <w:szCs w:val="26"/>
        </w:rPr>
        <w:t xml:space="preserve">Neuropathic ulcers are common in diabetic patients and result from peripheral neuropathy, leading to loss of sensation and repeated trauma (Armstrong </w:t>
      </w:r>
      <w:r>
        <w:rPr>
          <w:i/>
          <w:iCs/>
          <w:color w:val="000000"/>
          <w:sz w:val="24"/>
          <w:szCs w:val="26"/>
        </w:rPr>
        <w:t>et al</w:t>
      </w:r>
      <w:r>
        <w:rPr>
          <w:color w:val="000000"/>
          <w:sz w:val="24"/>
          <w:szCs w:val="26"/>
        </w:rPr>
        <w:t>., 2021). These ulcers are typically found on weight-bearing areas of the feet (figure 6), and are of</w:t>
      </w:r>
      <w:r>
        <w:rPr>
          <w:color w:val="000000"/>
          <w:sz w:val="24"/>
          <w:szCs w:val="26"/>
        </w:rPr>
        <w:t xml:space="preserve">ten associated with osteomyelitis and poor healing (Lazzarini </w:t>
      </w:r>
      <w:r>
        <w:rPr>
          <w:i/>
          <w:iCs/>
          <w:color w:val="000000"/>
          <w:sz w:val="24"/>
          <w:szCs w:val="26"/>
        </w:rPr>
        <w:t>et al</w:t>
      </w:r>
      <w:r>
        <w:rPr>
          <w:color w:val="000000"/>
          <w:sz w:val="24"/>
          <w:szCs w:val="26"/>
        </w:rPr>
        <w:t xml:space="preserve">., 2019). Skin ulcers can also arise due to bacterial, viral, or fungal infections. Examples include </w:t>
      </w:r>
      <w:r>
        <w:rPr>
          <w:color w:val="000000"/>
          <w:sz w:val="24"/>
          <w:szCs w:val="26"/>
        </w:rPr>
        <w:lastRenderedPageBreak/>
        <w:t>Mycobacterium ulcerans infections (Buruli ulcer), Treponema pallidum (syphilitic ulcers)</w:t>
      </w:r>
      <w:r>
        <w:rPr>
          <w:color w:val="000000"/>
          <w:sz w:val="24"/>
          <w:szCs w:val="26"/>
        </w:rPr>
        <w:t xml:space="preserve">, and Leishmania species (cutaneous leishmaniasis) (Sadeghian </w:t>
      </w:r>
      <w:r>
        <w:rPr>
          <w:i/>
          <w:iCs/>
          <w:color w:val="000000"/>
          <w:sz w:val="24"/>
          <w:szCs w:val="26"/>
        </w:rPr>
        <w:t>et al</w:t>
      </w:r>
      <w:r>
        <w:rPr>
          <w:color w:val="000000"/>
          <w:sz w:val="24"/>
          <w:szCs w:val="26"/>
        </w:rPr>
        <w:t>., 2020).</w:t>
      </w: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2695575" cy="1243485"/>
            <wp:effectExtent l="0" t="0" r="0" b="0"/>
            <wp:docPr id="103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8" cstate="print"/>
                    <a:srcRect/>
                    <a:stretch/>
                  </pic:blipFill>
                  <pic:spPr>
                    <a:xfrm>
                      <a:off x="0" y="0"/>
                      <a:ext cx="2695575" cy="1243485"/>
                    </a:xfrm>
                    <a:prstGeom prst="rect">
                      <a:avLst/>
                    </a:prstGeom>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Figure 6: Arterial ulcers</w:t>
      </w:r>
    </w:p>
    <w:p w:rsidR="005F01BE" w:rsidRDefault="003E2C3A">
      <w:pPr>
        <w:spacing w:after="0" w:line="480" w:lineRule="auto"/>
        <w:jc w:val="both"/>
        <w:rPr>
          <w:b/>
          <w:color w:val="000000"/>
          <w:sz w:val="24"/>
          <w:szCs w:val="26"/>
        </w:rPr>
      </w:pPr>
      <w:r>
        <w:rPr>
          <w:b/>
          <w:color w:val="000000"/>
          <w:sz w:val="24"/>
          <w:szCs w:val="26"/>
        </w:rPr>
        <w:t>2.2.3 Mouth Ulcer</w:t>
      </w:r>
    </w:p>
    <w:p w:rsidR="005F01BE" w:rsidRDefault="003E2C3A">
      <w:pPr>
        <w:spacing w:after="0" w:line="480" w:lineRule="auto"/>
        <w:ind w:firstLine="720"/>
        <w:jc w:val="both"/>
        <w:rPr>
          <w:color w:val="000000"/>
          <w:sz w:val="24"/>
          <w:szCs w:val="26"/>
        </w:rPr>
      </w:pPr>
      <w:r>
        <w:rPr>
          <w:color w:val="000000"/>
          <w:sz w:val="24"/>
          <w:szCs w:val="26"/>
        </w:rPr>
        <w:t>The oral cavity is lined by epithelia, extending from the inner aspect of the lips to the oropharynx. Keratinized mucosa includes the</w:t>
      </w:r>
      <w:r>
        <w:rPr>
          <w:color w:val="000000"/>
          <w:sz w:val="24"/>
          <w:szCs w:val="26"/>
        </w:rPr>
        <w:t xml:space="preserve"> dorsal tongue, gingivae and hard palate, while non keratinized mucosa involves the labial mucosa, buccal mucosa, ventral tongue, floor of the mouth and soft palate. Abnormalities of the oral mucosa can be manifestations of systemic disease and the initial</w:t>
      </w:r>
      <w:r>
        <w:rPr>
          <w:color w:val="000000"/>
          <w:sz w:val="24"/>
          <w:szCs w:val="26"/>
        </w:rPr>
        <w:t xml:space="preserve"> signs of an undiagnosed underlying condition (</w:t>
      </w:r>
      <w:r>
        <w:rPr>
          <w:rFonts w:eastAsia="Times New Roman"/>
          <w:color w:val="000000"/>
          <w:sz w:val="24"/>
          <w:szCs w:val="26"/>
        </w:rPr>
        <w:t xml:space="preserve">Yogarajah and Setterfield, 2021). </w:t>
      </w:r>
      <w:r>
        <w:rPr>
          <w:color w:val="000000"/>
          <w:sz w:val="24"/>
          <w:szCs w:val="26"/>
        </w:rPr>
        <w:t>Oral ulcers are common and although most are caused by trauma or are recurrent aphthae, some may be the manifestation of an underlying systemic disease or may be due to malign</w:t>
      </w:r>
      <w:r>
        <w:rPr>
          <w:color w:val="000000"/>
          <w:sz w:val="24"/>
          <w:szCs w:val="26"/>
        </w:rPr>
        <w:t>ant disease, mainly oral cancer (Scully and Felix, 2005). Ulceration is a commonly presenting sign of a wide spectrum of diseases of the oral cavity involving many etiologic factors (</w:t>
      </w:r>
      <w:r>
        <w:rPr>
          <w:rFonts w:eastAsia="Times New Roman"/>
          <w:color w:val="000000"/>
          <w:sz w:val="24"/>
          <w:szCs w:val="26"/>
        </w:rPr>
        <w:t xml:space="preserve">Fitzpatrick </w:t>
      </w:r>
      <w:r>
        <w:rPr>
          <w:rFonts w:eastAsia="Times New Roman"/>
          <w:i/>
          <w:iCs/>
          <w:color w:val="000000"/>
          <w:sz w:val="24"/>
          <w:szCs w:val="26"/>
        </w:rPr>
        <w:t>et al</w:t>
      </w:r>
      <w:r>
        <w:rPr>
          <w:rFonts w:eastAsia="Times New Roman"/>
          <w:color w:val="000000"/>
          <w:sz w:val="24"/>
          <w:szCs w:val="26"/>
        </w:rPr>
        <w:t>., 2019).</w:t>
      </w:r>
    </w:p>
    <w:p w:rsidR="005F01BE" w:rsidRDefault="003E2C3A">
      <w:pPr>
        <w:spacing w:after="0" w:line="480" w:lineRule="auto"/>
        <w:ind w:firstLine="720"/>
        <w:jc w:val="both"/>
        <w:rPr>
          <w:color w:val="000000"/>
          <w:sz w:val="24"/>
          <w:szCs w:val="26"/>
        </w:rPr>
      </w:pPr>
      <w:r>
        <w:rPr>
          <w:color w:val="000000"/>
          <w:sz w:val="24"/>
          <w:szCs w:val="26"/>
        </w:rPr>
        <w:t>These lesions may pose a unique diagnostic cha</w:t>
      </w:r>
      <w:r>
        <w:rPr>
          <w:color w:val="000000"/>
          <w:sz w:val="24"/>
          <w:szCs w:val="26"/>
        </w:rPr>
        <w:t xml:space="preserve">llenge for clinicians due to overlap of clinical and histologic features between different types of ulcerated lesions. Most ulcerative lesions of the oral mucosa fall into one of four categories: infection, </w:t>
      </w:r>
      <w:r>
        <w:rPr>
          <w:color w:val="000000"/>
          <w:sz w:val="24"/>
          <w:szCs w:val="26"/>
        </w:rPr>
        <w:lastRenderedPageBreak/>
        <w:t>immune related, traumatic, or neoplastic (</w:t>
      </w:r>
      <w:r>
        <w:rPr>
          <w:rFonts w:eastAsia="Times New Roman"/>
          <w:color w:val="000000"/>
          <w:sz w:val="24"/>
          <w:szCs w:val="26"/>
        </w:rPr>
        <w:t>Fitzpat</w:t>
      </w:r>
      <w:r>
        <w:rPr>
          <w:rFonts w:eastAsia="Times New Roman"/>
          <w:color w:val="000000"/>
          <w:sz w:val="24"/>
          <w:szCs w:val="26"/>
        </w:rPr>
        <w:t xml:space="preserve">rick </w:t>
      </w:r>
      <w:r>
        <w:rPr>
          <w:rFonts w:eastAsia="Times New Roman"/>
          <w:i/>
          <w:iCs/>
          <w:color w:val="000000"/>
          <w:sz w:val="24"/>
          <w:szCs w:val="26"/>
        </w:rPr>
        <w:t>et al</w:t>
      </w:r>
      <w:r>
        <w:rPr>
          <w:rFonts w:eastAsia="Times New Roman"/>
          <w:color w:val="000000"/>
          <w:sz w:val="24"/>
          <w:szCs w:val="26"/>
        </w:rPr>
        <w:t xml:space="preserve">., 2019). </w:t>
      </w:r>
      <w:r>
        <w:rPr>
          <w:color w:val="000000"/>
          <w:sz w:val="24"/>
          <w:szCs w:val="26"/>
        </w:rPr>
        <w:t>The precise aetiology of the mucositis remains unclear, although most likely reflects a loss of basal cell proliferation5 rather than a reaction to changes in the local oral microflora (e.g. rises in Gram-negative bacteria, particularly</w:t>
      </w:r>
      <w:r>
        <w:rPr>
          <w:color w:val="000000"/>
          <w:sz w:val="24"/>
          <w:szCs w:val="26"/>
        </w:rPr>
        <w:t xml:space="preserve"> Enterobacteriaceae) (Stokman </w:t>
      </w:r>
      <w:r>
        <w:rPr>
          <w:i/>
          <w:iCs/>
          <w:color w:val="000000"/>
          <w:sz w:val="24"/>
          <w:szCs w:val="26"/>
        </w:rPr>
        <w:t>et al</w:t>
      </w:r>
      <w:r>
        <w:rPr>
          <w:color w:val="000000"/>
          <w:sz w:val="24"/>
          <w:szCs w:val="26"/>
        </w:rPr>
        <w:t xml:space="preserve">., 2003). </w:t>
      </w:r>
    </w:p>
    <w:p w:rsidR="005F01BE" w:rsidRDefault="003E2C3A">
      <w:pPr>
        <w:spacing w:after="0" w:line="480" w:lineRule="auto"/>
        <w:ind w:firstLine="720"/>
        <w:jc w:val="both"/>
        <w:rPr>
          <w:color w:val="000000"/>
          <w:sz w:val="24"/>
          <w:szCs w:val="26"/>
        </w:rPr>
      </w:pPr>
      <w:r>
        <w:rPr>
          <w:color w:val="000000"/>
          <w:sz w:val="24"/>
          <w:szCs w:val="26"/>
        </w:rPr>
        <w:t>This mucositis, akin to that of the bowel, is difficult to manage specifically. Benzydamine hydrochloride mouth rinse or spray may provide symptomatic relief, but often effective analgesia requires opioids. The</w:t>
      </w:r>
      <w:r>
        <w:rPr>
          <w:color w:val="000000"/>
          <w:sz w:val="24"/>
          <w:szCs w:val="26"/>
        </w:rPr>
        <w:t xml:space="preserve"> clinical feature of oral mucositis does not significantly improve with topical chlorhexidine gluconate, although this is commonly used in clinical practice. Novel regimes for the treatment of mucositis include granulocyte-macrophage colony-stimulating fac</w:t>
      </w:r>
      <w:r>
        <w:rPr>
          <w:color w:val="000000"/>
          <w:sz w:val="24"/>
          <w:szCs w:val="26"/>
        </w:rPr>
        <w:t xml:space="preserve">tor (GM-CSF) and protegrins, although these are presently in the early stages of clinical trial (Chen </w:t>
      </w:r>
      <w:r>
        <w:rPr>
          <w:i/>
          <w:iCs/>
          <w:color w:val="000000"/>
          <w:sz w:val="24"/>
          <w:szCs w:val="26"/>
        </w:rPr>
        <w:t>et al</w:t>
      </w:r>
      <w:r>
        <w:rPr>
          <w:color w:val="000000"/>
          <w:sz w:val="24"/>
          <w:szCs w:val="26"/>
        </w:rPr>
        <w:t xml:space="preserve">., 2000; Mantovani </w:t>
      </w:r>
      <w:r>
        <w:rPr>
          <w:i/>
          <w:iCs/>
          <w:color w:val="000000"/>
          <w:sz w:val="24"/>
          <w:szCs w:val="26"/>
        </w:rPr>
        <w:t>et al</w:t>
      </w:r>
      <w:r>
        <w:rPr>
          <w:color w:val="000000"/>
          <w:sz w:val="24"/>
          <w:szCs w:val="26"/>
        </w:rPr>
        <w:t>., 2003).</w:t>
      </w:r>
    </w:p>
    <w:p w:rsidR="005F01BE" w:rsidRDefault="003E2C3A">
      <w:pPr>
        <w:spacing w:after="0" w:line="480" w:lineRule="auto"/>
        <w:jc w:val="both"/>
        <w:rPr>
          <w:b/>
          <w:color w:val="000000"/>
          <w:sz w:val="24"/>
          <w:szCs w:val="26"/>
        </w:rPr>
      </w:pPr>
      <w:r>
        <w:rPr>
          <w:b/>
          <w:noProof/>
          <w:color w:val="000000"/>
          <w:sz w:val="24"/>
          <w:szCs w:val="26"/>
        </w:rPr>
        <w:drawing>
          <wp:inline distT="0" distB="0" distL="0" distR="0">
            <wp:extent cx="2424412" cy="2358292"/>
            <wp:effectExtent l="0" t="0" r="0" b="4445"/>
            <wp:docPr id="103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4"/>
                    <pic:cNvPicPr/>
                  </pic:nvPicPr>
                  <pic:blipFill>
                    <a:blip r:embed="rId19" cstate="print"/>
                    <a:srcRect/>
                    <a:stretch/>
                  </pic:blipFill>
                  <pic:spPr>
                    <a:xfrm>
                      <a:off x="0" y="0"/>
                      <a:ext cx="2424412" cy="2358292"/>
                    </a:xfrm>
                    <a:prstGeom prst="rect">
                      <a:avLst/>
                    </a:prstGeom>
                  </pic:spPr>
                </pic:pic>
              </a:graphicData>
            </a:graphic>
          </wp:inline>
        </w:drawing>
      </w:r>
      <w:r>
        <w:rPr>
          <w:b/>
          <w:noProof/>
          <w:color w:val="000000"/>
          <w:sz w:val="24"/>
          <w:szCs w:val="26"/>
        </w:rPr>
        <w:drawing>
          <wp:inline distT="0" distB="0" distL="0" distR="0">
            <wp:extent cx="2846070" cy="2319316"/>
            <wp:effectExtent l="0" t="0" r="0" b="5080"/>
            <wp:docPr id="103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5"/>
                    <pic:cNvPicPr/>
                  </pic:nvPicPr>
                  <pic:blipFill>
                    <a:blip r:embed="rId20" cstate="print"/>
                    <a:srcRect/>
                    <a:stretch/>
                  </pic:blipFill>
                  <pic:spPr>
                    <a:xfrm>
                      <a:off x="0" y="0"/>
                      <a:ext cx="2846070" cy="2319316"/>
                    </a:xfrm>
                    <a:prstGeom prst="rect">
                      <a:avLst/>
                    </a:prstGeom>
                  </pic:spPr>
                </pic:pic>
              </a:graphicData>
            </a:graphic>
          </wp:inline>
        </w:drawing>
      </w:r>
      <w:r>
        <w:rPr>
          <w:b/>
          <w:color w:val="000000"/>
          <w:sz w:val="24"/>
          <w:szCs w:val="26"/>
        </w:rPr>
        <w:t xml:space="preserve">       </w:t>
      </w:r>
    </w:p>
    <w:p w:rsidR="005F01BE" w:rsidRDefault="003E2C3A">
      <w:pPr>
        <w:pStyle w:val="ListParagraph"/>
        <w:numPr>
          <w:ilvl w:val="0"/>
          <w:numId w:val="10"/>
        </w:numPr>
        <w:spacing w:after="0" w:line="480" w:lineRule="auto"/>
        <w:jc w:val="both"/>
        <w:rPr>
          <w:b/>
          <w:color w:val="000000"/>
          <w:sz w:val="24"/>
          <w:szCs w:val="26"/>
        </w:rPr>
      </w:pPr>
      <w:r>
        <w:rPr>
          <w:b/>
          <w:color w:val="000000"/>
          <w:sz w:val="24"/>
          <w:szCs w:val="26"/>
        </w:rPr>
        <w:t xml:space="preserve">                                                      (b)</w:t>
      </w:r>
    </w:p>
    <w:p w:rsidR="005F01BE" w:rsidRDefault="003E2C3A">
      <w:pPr>
        <w:spacing w:after="0" w:line="480" w:lineRule="auto"/>
        <w:jc w:val="both"/>
        <w:rPr>
          <w:b/>
          <w:color w:val="000000"/>
          <w:sz w:val="24"/>
          <w:szCs w:val="26"/>
        </w:rPr>
      </w:pPr>
      <w:r>
        <w:rPr>
          <w:b/>
          <w:color w:val="000000"/>
          <w:sz w:val="24"/>
          <w:szCs w:val="26"/>
        </w:rPr>
        <w:t xml:space="preserve">Figure 7: (a) Aphthous Ulcerations           </w:t>
      </w:r>
      <w:r>
        <w:rPr>
          <w:b/>
          <w:color w:val="000000"/>
          <w:sz w:val="24"/>
          <w:szCs w:val="26"/>
        </w:rPr>
        <w:t>(b)</w:t>
      </w:r>
      <w:r>
        <w:rPr>
          <w:color w:val="000000"/>
          <w:sz w:val="24"/>
          <w:szCs w:val="26"/>
        </w:rPr>
        <w:t xml:space="preserve"> </w:t>
      </w:r>
      <w:r>
        <w:rPr>
          <w:b/>
          <w:color w:val="000000"/>
          <w:sz w:val="24"/>
          <w:szCs w:val="26"/>
        </w:rPr>
        <w:t>Herpetiform ulceration</w:t>
      </w:r>
    </w:p>
    <w:p w:rsidR="005F01BE" w:rsidRDefault="003E2C3A">
      <w:pPr>
        <w:spacing w:after="0" w:line="480" w:lineRule="auto"/>
        <w:jc w:val="both"/>
        <w:rPr>
          <w:color w:val="000000"/>
          <w:sz w:val="24"/>
          <w:szCs w:val="26"/>
        </w:rPr>
      </w:pPr>
      <w:r>
        <w:rPr>
          <w:b/>
          <w:color w:val="000000"/>
          <w:sz w:val="24"/>
          <w:szCs w:val="26"/>
        </w:rPr>
        <w:lastRenderedPageBreak/>
        <w:t>Source:</w:t>
      </w:r>
      <w:r>
        <w:rPr>
          <w:color w:val="000000"/>
          <w:sz w:val="24"/>
          <w:szCs w:val="26"/>
        </w:rPr>
        <w:t xml:space="preserve"> Crispian and Rosemary (2000).</w:t>
      </w:r>
    </w:p>
    <w:p w:rsidR="005F01BE" w:rsidRDefault="003E2C3A">
      <w:pPr>
        <w:spacing w:after="0" w:line="480" w:lineRule="auto"/>
        <w:jc w:val="both"/>
        <w:rPr>
          <w:b/>
          <w:color w:val="000000"/>
          <w:sz w:val="24"/>
          <w:szCs w:val="26"/>
        </w:rPr>
      </w:pPr>
      <w:r>
        <w:rPr>
          <w:b/>
          <w:color w:val="000000"/>
          <w:sz w:val="24"/>
          <w:szCs w:val="26"/>
        </w:rPr>
        <w:t>2.2.4 Corneal Ulcer</w:t>
      </w:r>
    </w:p>
    <w:p w:rsidR="005F01BE" w:rsidRDefault="003E2C3A">
      <w:pPr>
        <w:spacing w:after="0" w:line="480" w:lineRule="auto"/>
        <w:ind w:firstLine="720"/>
        <w:jc w:val="both"/>
        <w:rPr>
          <w:b/>
          <w:color w:val="000000"/>
          <w:sz w:val="24"/>
          <w:szCs w:val="26"/>
        </w:rPr>
      </w:pPr>
      <w:r>
        <w:rPr>
          <w:color w:val="000000"/>
          <w:sz w:val="24"/>
          <w:szCs w:val="26"/>
        </w:rPr>
        <w:t>The cornea serves as the eye’s primary refracting surface and plays an indispensable role in transmitting and focusing light on the retina. Given its anterior location, it</w:t>
      </w:r>
      <w:r>
        <w:rPr>
          <w:color w:val="000000"/>
          <w:sz w:val="24"/>
          <w:szCs w:val="26"/>
        </w:rPr>
        <w:t xml:space="preserve"> is vulnerable to injuries, infections, and various inflammatory conditions, one of the most severe being the corneal ulcer. Defined as a defect in the corneal epithelium with underlying inflammation, a corneal ulcer, or keratitis, can have a profound impa</w:t>
      </w:r>
      <w:r>
        <w:rPr>
          <w:color w:val="000000"/>
          <w:sz w:val="24"/>
          <w:szCs w:val="26"/>
        </w:rPr>
        <w:t>ct on vision if not swiftly and adequately addressed. While corneal ulcers may arise from various etiologies, the majority are infectious in origin. Bacteria are often the most common causative agents, especially in contact lens wearers. However, fungi, vi</w:t>
      </w:r>
      <w:r>
        <w:rPr>
          <w:color w:val="000000"/>
          <w:sz w:val="24"/>
          <w:szCs w:val="26"/>
        </w:rPr>
        <w:t xml:space="preserve">ruses, and parasites can also be implicated, particularly in certain environmental or clinical scenarios (Mohan </w:t>
      </w:r>
      <w:r>
        <w:rPr>
          <w:i/>
          <w:iCs/>
          <w:color w:val="000000"/>
          <w:sz w:val="24"/>
          <w:szCs w:val="26"/>
        </w:rPr>
        <w:t>et al</w:t>
      </w:r>
      <w:r>
        <w:rPr>
          <w:color w:val="000000"/>
          <w:sz w:val="24"/>
          <w:szCs w:val="26"/>
        </w:rPr>
        <w:t xml:space="preserve">., 2003). </w:t>
      </w:r>
    </w:p>
    <w:p w:rsidR="005F01BE" w:rsidRDefault="003E2C3A">
      <w:pPr>
        <w:spacing w:after="0" w:line="480" w:lineRule="auto"/>
        <w:ind w:firstLine="720"/>
        <w:jc w:val="both"/>
        <w:rPr>
          <w:color w:val="000000"/>
          <w:sz w:val="24"/>
          <w:szCs w:val="26"/>
        </w:rPr>
      </w:pPr>
      <w:r>
        <w:rPr>
          <w:color w:val="000000"/>
          <w:sz w:val="24"/>
          <w:szCs w:val="26"/>
        </w:rPr>
        <w:t>Corneal ulcers are serious vision-threatening conditions characterized by defects in the corneal epithelium with underlying infl</w:t>
      </w:r>
      <w:r>
        <w:rPr>
          <w:color w:val="000000"/>
          <w:sz w:val="24"/>
          <w:szCs w:val="26"/>
        </w:rPr>
        <w:t xml:space="preserve">ammation, often due to microbial invasion by bacteria, fungi, viruses, or Acanthamoeba. These ulcers can be initiated by mechanical trauma or nutritional deficiencies and, if left untreated, can lead to severe complications such as corneal perforation and </w:t>
      </w:r>
      <w:r>
        <w:rPr>
          <w:color w:val="000000"/>
          <w:sz w:val="24"/>
          <w:szCs w:val="26"/>
        </w:rPr>
        <w:t xml:space="preserve">vision loss. Corneal ulcers are primarily categorized into infectious and noninfectious causes. Infectious causes include bacterial, viral, fungal, and amoebic infections (see figure 8 below). Noninfectious causes may involve trauma, contact lens use, and </w:t>
      </w:r>
      <w:r>
        <w:rPr>
          <w:color w:val="000000"/>
          <w:sz w:val="24"/>
          <w:szCs w:val="26"/>
        </w:rPr>
        <w:t xml:space="preserve">systemic conditions. Risk factors for developing corneal ulcers include contact lens wear, especially improper use or hygiene, and conditions that </w:t>
      </w:r>
      <w:r>
        <w:rPr>
          <w:color w:val="000000"/>
          <w:sz w:val="24"/>
          <w:szCs w:val="26"/>
        </w:rPr>
        <w:lastRenderedPageBreak/>
        <w:t xml:space="preserve">compromise the corneal surface, such as dry eye or previous eye surgery (Johnson, 2023). </w:t>
      </w:r>
      <w:r>
        <w:rPr>
          <w:rFonts w:eastAsia="Times New Roman"/>
          <w:color w:val="000000"/>
          <w:sz w:val="24"/>
          <w:szCs w:val="26"/>
        </w:rPr>
        <w:t>Corneal ulcers are a</w:t>
      </w:r>
      <w:r>
        <w:rPr>
          <w:rFonts w:eastAsia="Times New Roman"/>
          <w:color w:val="000000"/>
          <w:sz w:val="24"/>
          <w:szCs w:val="26"/>
        </w:rPr>
        <w:t xml:space="preserve"> significant cause of visual impairment globally, often resulting from microbial infections or trauma. A study conducted at the University of Ilorin Teaching Hospital in Nigeria highlighted the prevalence of corneal ulcers as a major cause of avoidable bli</w:t>
      </w:r>
      <w:r>
        <w:rPr>
          <w:rFonts w:eastAsia="Times New Roman"/>
          <w:color w:val="000000"/>
          <w:sz w:val="24"/>
          <w:szCs w:val="26"/>
        </w:rPr>
        <w:t xml:space="preserve">ndness, with microbial keratitis being the most common cause (Adepoju </w:t>
      </w:r>
      <w:r>
        <w:rPr>
          <w:rFonts w:eastAsia="Times New Roman"/>
          <w:i/>
          <w:iCs/>
          <w:color w:val="000000"/>
          <w:sz w:val="24"/>
          <w:szCs w:val="26"/>
        </w:rPr>
        <w:t>et al</w:t>
      </w:r>
      <w:r>
        <w:rPr>
          <w:rFonts w:eastAsia="Times New Roman"/>
          <w:color w:val="000000"/>
          <w:sz w:val="24"/>
          <w:szCs w:val="26"/>
        </w:rPr>
        <w:t>., 2023).</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 The World Health Organization guidelines also underscore the challenges in managing corneal ulcers across different health systems, highlighting the need for standardized</w:t>
      </w:r>
      <w:r>
        <w:rPr>
          <w:rFonts w:eastAsia="Times New Roman"/>
          <w:color w:val="000000"/>
          <w:sz w:val="24"/>
          <w:szCs w:val="26"/>
        </w:rPr>
        <w:t xml:space="preserve"> treatment protocols (WHO, 2015). Diagnosis and management of corneal ulcers involve detailed clinical examinations and microbial studies to identify the causative agent. A study published in the PMC highlighted the importance of thorough clinical evaluati</w:t>
      </w:r>
      <w:r>
        <w:rPr>
          <w:rFonts w:eastAsia="Times New Roman"/>
          <w:color w:val="000000"/>
          <w:sz w:val="24"/>
          <w:szCs w:val="26"/>
        </w:rPr>
        <w:t>on and appropriate antimicrobial therapy to improve outcomes (PMC, 2007).</w:t>
      </w:r>
    </w:p>
    <w:p w:rsidR="005F01BE" w:rsidRDefault="003E2C3A">
      <w:pPr>
        <w:spacing w:after="0" w:line="480" w:lineRule="auto"/>
        <w:jc w:val="both"/>
        <w:rPr>
          <w:rFonts w:eastAsia="Times New Roman"/>
          <w:color w:val="000000"/>
          <w:sz w:val="24"/>
          <w:szCs w:val="26"/>
        </w:rPr>
      </w:pPr>
      <w:r>
        <w:rPr>
          <w:rFonts w:eastAsia="Times New Roman"/>
          <w:noProof/>
          <w:color w:val="000000"/>
          <w:sz w:val="24"/>
          <w:szCs w:val="26"/>
        </w:rPr>
        <w:drawing>
          <wp:inline distT="0" distB="0" distL="0" distR="0">
            <wp:extent cx="2375819" cy="1750950"/>
            <wp:effectExtent l="0" t="0" r="5715" b="1905"/>
            <wp:docPr id="103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
                    <pic:cNvPicPr/>
                  </pic:nvPicPr>
                  <pic:blipFill>
                    <a:blip r:embed="rId21" cstate="print"/>
                    <a:srcRect/>
                    <a:stretch/>
                  </pic:blipFill>
                  <pic:spPr>
                    <a:xfrm>
                      <a:off x="0" y="0"/>
                      <a:ext cx="2375819" cy="1750950"/>
                    </a:xfrm>
                    <a:prstGeom prst="rect">
                      <a:avLst/>
                    </a:prstGeom>
                  </pic:spPr>
                </pic:pic>
              </a:graphicData>
            </a:graphic>
          </wp:inline>
        </w:drawing>
      </w:r>
    </w:p>
    <w:p w:rsidR="005F01BE" w:rsidRDefault="003E2C3A">
      <w:pPr>
        <w:spacing w:after="0" w:line="480" w:lineRule="auto"/>
        <w:jc w:val="both"/>
        <w:rPr>
          <w:b/>
          <w:bCs/>
          <w:color w:val="000000"/>
          <w:sz w:val="24"/>
          <w:szCs w:val="26"/>
        </w:rPr>
      </w:pPr>
      <w:r>
        <w:rPr>
          <w:b/>
          <w:color w:val="000000"/>
          <w:sz w:val="24"/>
          <w:szCs w:val="26"/>
        </w:rPr>
        <w:t xml:space="preserve">Figure 8: The </w:t>
      </w:r>
      <w:r>
        <w:rPr>
          <w:b/>
          <w:bCs/>
          <w:color w:val="000000"/>
          <w:sz w:val="24"/>
          <w:szCs w:val="26"/>
        </w:rPr>
        <w:t xml:space="preserve">Fungal keratitis </w:t>
      </w:r>
    </w:p>
    <w:p w:rsidR="005F01BE" w:rsidRDefault="003E2C3A">
      <w:pPr>
        <w:spacing w:after="0" w:line="480" w:lineRule="auto"/>
        <w:jc w:val="both"/>
        <w:rPr>
          <w:b/>
          <w:bCs/>
          <w:color w:val="000000"/>
          <w:sz w:val="24"/>
          <w:szCs w:val="26"/>
        </w:rPr>
      </w:pPr>
      <w:r>
        <w:rPr>
          <w:b/>
          <w:bCs/>
          <w:color w:val="000000"/>
          <w:sz w:val="24"/>
          <w:szCs w:val="26"/>
        </w:rPr>
        <w:t xml:space="preserve">Source: </w:t>
      </w:r>
      <w:r>
        <w:rPr>
          <w:rFonts w:eastAsia="Times New Roman"/>
          <w:color w:val="000000"/>
          <w:sz w:val="24"/>
          <w:szCs w:val="26"/>
        </w:rPr>
        <w:t>WHO (2015)</w:t>
      </w:r>
    </w:p>
    <w:p w:rsidR="005F01BE" w:rsidRDefault="003E2C3A">
      <w:pPr>
        <w:spacing w:after="0" w:line="480" w:lineRule="auto"/>
        <w:jc w:val="both"/>
        <w:rPr>
          <w:b/>
          <w:color w:val="000000"/>
          <w:sz w:val="24"/>
          <w:szCs w:val="26"/>
        </w:rPr>
      </w:pPr>
      <w:r>
        <w:rPr>
          <w:b/>
          <w:color w:val="000000"/>
          <w:sz w:val="24"/>
          <w:szCs w:val="26"/>
        </w:rPr>
        <w:lastRenderedPageBreak/>
        <w:t>2.2.5 Diabetic Ulcer</w:t>
      </w:r>
    </w:p>
    <w:p w:rsidR="005F01BE" w:rsidRDefault="003E2C3A">
      <w:pPr>
        <w:spacing w:after="0" w:line="480" w:lineRule="auto"/>
        <w:ind w:firstLine="720"/>
        <w:jc w:val="both"/>
        <w:rPr>
          <w:color w:val="000000"/>
          <w:sz w:val="24"/>
          <w:szCs w:val="26"/>
        </w:rPr>
      </w:pPr>
      <w:r>
        <w:rPr>
          <w:color w:val="000000"/>
          <w:sz w:val="24"/>
          <w:szCs w:val="26"/>
        </w:rPr>
        <w:t xml:space="preserve">Diabetes mellitus affects approximately 422 million people worldwide and is responsible for an estimated 2 million deaths per year. It affects 11.3% of the United States population (Raja </w:t>
      </w:r>
      <w:r>
        <w:rPr>
          <w:i/>
          <w:iCs/>
          <w:color w:val="000000"/>
          <w:sz w:val="24"/>
          <w:szCs w:val="26"/>
        </w:rPr>
        <w:t>et al</w:t>
      </w:r>
      <w:r>
        <w:rPr>
          <w:color w:val="000000"/>
          <w:sz w:val="24"/>
          <w:szCs w:val="26"/>
        </w:rPr>
        <w:t>., 2023). Diabetic ulcer (DU) is a debilitating and severe manif</w:t>
      </w:r>
      <w:r>
        <w:rPr>
          <w:color w:val="000000"/>
          <w:sz w:val="24"/>
          <w:szCs w:val="26"/>
        </w:rPr>
        <w:t>estation of uncontrolled and prolonged diabetes that presents as an ulceration, usually located at the plantar aspect of the foot. Approximately 15% of individuals with diabetes will eventually develop one of these ulcers, and out of these individuals, 14%</w:t>
      </w:r>
      <w:r>
        <w:rPr>
          <w:color w:val="000000"/>
          <w:sz w:val="24"/>
          <w:szCs w:val="26"/>
        </w:rPr>
        <w:t>-24% of them will require amputation of the ulcerated foot due to bone infection or other ulcer-related complications. With such a high level of morbidity stemming from debilitating osteomyelitis and amputation in patients with DU, it is of the utmost impo</w:t>
      </w:r>
      <w:r>
        <w:rPr>
          <w:color w:val="000000"/>
          <w:sz w:val="24"/>
          <w:szCs w:val="26"/>
        </w:rPr>
        <w:t xml:space="preserve">rtance to properly address and treat the underlying causes of DU. In this paper, we review the current literature with focus on the pathophysiology, preventive options, and definitive management of DU (Raja </w:t>
      </w:r>
      <w:r>
        <w:rPr>
          <w:i/>
          <w:iCs/>
          <w:color w:val="000000"/>
          <w:sz w:val="24"/>
          <w:szCs w:val="26"/>
        </w:rPr>
        <w:t>et al</w:t>
      </w:r>
      <w:r>
        <w:rPr>
          <w:color w:val="000000"/>
          <w:sz w:val="24"/>
          <w:szCs w:val="26"/>
        </w:rPr>
        <w:t>., 2023).</w:t>
      </w:r>
    </w:p>
    <w:p w:rsidR="005F01BE" w:rsidRDefault="003E2C3A">
      <w:pPr>
        <w:spacing w:after="0" w:line="480" w:lineRule="auto"/>
        <w:ind w:firstLine="720"/>
        <w:jc w:val="both"/>
        <w:rPr>
          <w:color w:val="000000"/>
          <w:sz w:val="24"/>
          <w:szCs w:val="26"/>
        </w:rPr>
      </w:pPr>
      <w:r>
        <w:rPr>
          <w:color w:val="000000"/>
          <w:sz w:val="24"/>
          <w:szCs w:val="26"/>
        </w:rPr>
        <w:t>Diabetic ulcer comprises a full-th</w:t>
      </w:r>
      <w:r>
        <w:rPr>
          <w:color w:val="000000"/>
          <w:sz w:val="24"/>
          <w:szCs w:val="26"/>
        </w:rPr>
        <w:t xml:space="preserve">ickness wound involving the dermis, located in the weight-bearing or exposed area below the ankle. The Wagner system aids in categorizing the severity of the ulcer, ranking it on a scale of 1 to 5 (figure 9). The pathologic mechanisms of DFU are described </w:t>
      </w:r>
      <w:r>
        <w:rPr>
          <w:color w:val="000000"/>
          <w:sz w:val="24"/>
          <w:szCs w:val="26"/>
        </w:rPr>
        <w:t xml:space="preserve">in terms of a triad. This triad includes neuropathy, vascular insufficiency, and secondary infection due to trauma of the foot (Raja </w:t>
      </w:r>
      <w:r>
        <w:rPr>
          <w:i/>
          <w:iCs/>
          <w:color w:val="000000"/>
          <w:sz w:val="24"/>
          <w:szCs w:val="26"/>
        </w:rPr>
        <w:t>et al</w:t>
      </w:r>
      <w:r>
        <w:rPr>
          <w:color w:val="000000"/>
          <w:sz w:val="24"/>
          <w:szCs w:val="26"/>
        </w:rPr>
        <w:t>., 2023).</w:t>
      </w:r>
    </w:p>
    <w:p w:rsidR="005F01BE" w:rsidRDefault="003E2C3A">
      <w:pPr>
        <w:spacing w:after="0" w:line="480" w:lineRule="auto"/>
        <w:jc w:val="both"/>
        <w:rPr>
          <w:rFonts w:eastAsia="Times New Roman"/>
          <w:color w:val="000000"/>
          <w:sz w:val="24"/>
          <w:szCs w:val="26"/>
        </w:rPr>
      </w:pPr>
      <w:r>
        <w:rPr>
          <w:rFonts w:eastAsia="Times New Roman"/>
          <w:noProof/>
          <w:color w:val="000000"/>
          <w:sz w:val="24"/>
          <w:szCs w:val="26"/>
        </w:rPr>
        <w:lastRenderedPageBreak/>
        <w:drawing>
          <wp:inline distT="0" distB="0" distL="0" distR="0">
            <wp:extent cx="5800534" cy="3438525"/>
            <wp:effectExtent l="0" t="0" r="0" b="0"/>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22" cstate="print"/>
                    <a:srcRect b="5957"/>
                    <a:stretch/>
                  </pic:blipFill>
                  <pic:spPr>
                    <a:xfrm>
                      <a:off x="0" y="0"/>
                      <a:ext cx="5800534" cy="3438525"/>
                    </a:xfrm>
                    <a:prstGeom prst="rect">
                      <a:avLst/>
                    </a:prstGeom>
                    <a:ln>
                      <a:noFill/>
                    </a:ln>
                  </pic:spPr>
                </pic:pic>
              </a:graphicData>
            </a:graphic>
          </wp:inline>
        </w:drawing>
      </w:r>
    </w:p>
    <w:p w:rsidR="005F01BE" w:rsidRDefault="003E2C3A">
      <w:pPr>
        <w:spacing w:after="0" w:line="480" w:lineRule="auto"/>
        <w:jc w:val="both"/>
        <w:rPr>
          <w:b/>
          <w:color w:val="000000"/>
          <w:sz w:val="24"/>
          <w:szCs w:val="26"/>
        </w:rPr>
      </w:pPr>
      <w:r>
        <w:rPr>
          <w:b/>
          <w:color w:val="000000"/>
          <w:sz w:val="24"/>
          <w:szCs w:val="26"/>
        </w:rPr>
        <w:t xml:space="preserve">Figure 9: The pathophysiology of Diabetic Ulcer  </w:t>
      </w:r>
    </w:p>
    <w:p w:rsidR="005F01BE" w:rsidRDefault="003E2C3A">
      <w:pPr>
        <w:spacing w:after="0" w:line="480" w:lineRule="auto"/>
        <w:jc w:val="both"/>
        <w:rPr>
          <w:b/>
          <w:color w:val="000000"/>
          <w:sz w:val="24"/>
          <w:szCs w:val="26"/>
        </w:rPr>
      </w:pPr>
      <w:r>
        <w:rPr>
          <w:b/>
          <w:color w:val="000000"/>
          <w:sz w:val="24"/>
          <w:szCs w:val="26"/>
        </w:rPr>
        <w:t xml:space="preserve"> Source: </w:t>
      </w:r>
      <w:r>
        <w:rPr>
          <w:color w:val="000000"/>
          <w:sz w:val="24"/>
          <w:szCs w:val="26"/>
        </w:rPr>
        <w:t xml:space="preserve">Raja </w:t>
      </w:r>
      <w:r>
        <w:rPr>
          <w:i/>
          <w:iCs/>
          <w:color w:val="000000"/>
          <w:sz w:val="24"/>
          <w:szCs w:val="26"/>
        </w:rPr>
        <w:t>et al</w:t>
      </w:r>
      <w:r>
        <w:rPr>
          <w:color w:val="000000"/>
          <w:sz w:val="24"/>
          <w:szCs w:val="26"/>
        </w:rPr>
        <w:t>. (2023)</w:t>
      </w:r>
    </w:p>
    <w:p w:rsidR="005F01BE" w:rsidRDefault="003E2C3A">
      <w:pPr>
        <w:spacing w:after="0" w:line="480" w:lineRule="auto"/>
        <w:jc w:val="both"/>
        <w:rPr>
          <w:b/>
          <w:color w:val="000000"/>
          <w:sz w:val="24"/>
          <w:szCs w:val="26"/>
        </w:rPr>
      </w:pPr>
      <w:r>
        <w:rPr>
          <w:b/>
          <w:color w:val="000000"/>
          <w:sz w:val="24"/>
          <w:szCs w:val="26"/>
        </w:rPr>
        <w:t>2.2.6 Stomach Ulcer</w:t>
      </w:r>
    </w:p>
    <w:p w:rsidR="005F01BE" w:rsidRDefault="003E2C3A">
      <w:pPr>
        <w:pStyle w:val="NormalWeb"/>
        <w:spacing w:after="0" w:afterAutospacing="0" w:line="480" w:lineRule="auto"/>
        <w:ind w:firstLine="720"/>
        <w:jc w:val="both"/>
        <w:rPr>
          <w:color w:val="000000"/>
          <w:szCs w:val="26"/>
        </w:rPr>
      </w:pPr>
      <w:r>
        <w:rPr>
          <w:color w:val="000000"/>
          <w:szCs w:val="26"/>
        </w:rPr>
        <w:t>Digestion and the role of the stomach in maintaining health have interested man since early times (Modlin, 1995). Stomach ulcers are a significant gastrointestinal disorder that affects millions of people worldwide. They occur when the mucosal lining of th</w:t>
      </w:r>
      <w:r>
        <w:rPr>
          <w:color w:val="000000"/>
          <w:szCs w:val="26"/>
        </w:rPr>
        <w:t xml:space="preserve">e stomach is eroded due to excessive gastric acid secretion, infection with </w:t>
      </w:r>
      <w:r>
        <w:rPr>
          <w:i/>
          <w:iCs/>
          <w:color w:val="000000"/>
          <w:szCs w:val="26"/>
        </w:rPr>
        <w:t>Helicobacter pylori</w:t>
      </w:r>
      <w:r>
        <w:rPr>
          <w:color w:val="000000"/>
          <w:szCs w:val="26"/>
        </w:rPr>
        <w:t xml:space="preserve">, or the chronic use of non-steroidal anti-inflammatory drugs (NSAIDs) (Sung </w:t>
      </w:r>
      <w:r>
        <w:rPr>
          <w:i/>
          <w:iCs/>
          <w:color w:val="000000"/>
          <w:szCs w:val="26"/>
        </w:rPr>
        <w:t>et al</w:t>
      </w:r>
      <w:r>
        <w:rPr>
          <w:color w:val="000000"/>
          <w:szCs w:val="26"/>
        </w:rPr>
        <w:t xml:space="preserve">., 2020). The primary cause of stomach ulcers is </w:t>
      </w:r>
      <w:r>
        <w:rPr>
          <w:i/>
          <w:iCs/>
          <w:color w:val="000000"/>
          <w:szCs w:val="26"/>
        </w:rPr>
        <w:t>H. pylori</w:t>
      </w:r>
      <w:r>
        <w:rPr>
          <w:color w:val="000000"/>
          <w:szCs w:val="26"/>
        </w:rPr>
        <w:t xml:space="preserve"> infection, which ind</w:t>
      </w:r>
      <w:r>
        <w:rPr>
          <w:color w:val="000000"/>
          <w:szCs w:val="26"/>
        </w:rPr>
        <w:t xml:space="preserve">uces inflammation and disrupts the mucosal barrier, making it more susceptible </w:t>
      </w:r>
      <w:r>
        <w:rPr>
          <w:color w:val="000000"/>
          <w:szCs w:val="26"/>
        </w:rPr>
        <w:lastRenderedPageBreak/>
        <w:t xml:space="preserve">to acid damage (Malfertheiner </w:t>
      </w:r>
      <w:r>
        <w:rPr>
          <w:i/>
          <w:iCs/>
          <w:color w:val="000000"/>
          <w:szCs w:val="26"/>
        </w:rPr>
        <w:t>et al</w:t>
      </w:r>
      <w:r>
        <w:rPr>
          <w:color w:val="000000"/>
          <w:szCs w:val="26"/>
        </w:rPr>
        <w:t>., 2017). NSAIDs also contribute to ulcer formation by inhibiting cyclooxygenase (COX) enzymes, reducing the production of protective prostagl</w:t>
      </w:r>
      <w:r>
        <w:rPr>
          <w:color w:val="000000"/>
          <w:szCs w:val="26"/>
        </w:rPr>
        <w:t xml:space="preserve">andins, and increasing gastric acidity (Lanas and Chan, 2017). </w:t>
      </w:r>
    </w:p>
    <w:p w:rsidR="005F01BE" w:rsidRDefault="003E2C3A">
      <w:pPr>
        <w:pStyle w:val="NormalWeb"/>
        <w:spacing w:after="0" w:afterAutospacing="0" w:line="480" w:lineRule="auto"/>
        <w:ind w:firstLine="720"/>
        <w:jc w:val="both"/>
        <w:rPr>
          <w:color w:val="000000"/>
          <w:szCs w:val="26"/>
        </w:rPr>
      </w:pPr>
      <w:r>
        <w:rPr>
          <w:color w:val="000000"/>
          <w:szCs w:val="26"/>
        </w:rPr>
        <w:t xml:space="preserve">Research indicates that </w:t>
      </w:r>
      <w:r>
        <w:rPr>
          <w:i/>
          <w:iCs/>
          <w:color w:val="000000"/>
          <w:szCs w:val="26"/>
        </w:rPr>
        <w:t>H. pylori</w:t>
      </w:r>
      <w:r>
        <w:rPr>
          <w:color w:val="000000"/>
          <w:szCs w:val="26"/>
        </w:rPr>
        <w:t xml:space="preserve"> infection is responsible for the majority of stomach ulcer cases. </w:t>
      </w:r>
      <w:r>
        <w:rPr>
          <w:i/>
          <w:iCs/>
          <w:color w:val="000000"/>
          <w:szCs w:val="26"/>
        </w:rPr>
        <w:t>Helicobacter pylori</w:t>
      </w:r>
      <w:r>
        <w:rPr>
          <w:color w:val="000000"/>
          <w:szCs w:val="26"/>
        </w:rPr>
        <w:t xml:space="preserve"> colonizes</w:t>
      </w:r>
      <w:r>
        <w:rPr>
          <w:color w:val="000000"/>
          <w:szCs w:val="26"/>
        </w:rPr>
        <w:t xml:space="preserve"> the gastric epithelium, triggering inflammatory responses and damaging the protective mucosal barrier, image shown in figure 10. This results in increased susceptibility to acid-induced injury (Malfertheiner </w:t>
      </w:r>
      <w:r>
        <w:rPr>
          <w:i/>
          <w:iCs/>
          <w:color w:val="000000"/>
          <w:szCs w:val="26"/>
        </w:rPr>
        <w:t>et al</w:t>
      </w:r>
      <w:r>
        <w:rPr>
          <w:color w:val="000000"/>
          <w:szCs w:val="26"/>
        </w:rPr>
        <w:t>., 2017). The bacterium produces virulence</w:t>
      </w:r>
      <w:r>
        <w:rPr>
          <w:color w:val="000000"/>
          <w:szCs w:val="26"/>
        </w:rPr>
        <w:t xml:space="preserve"> factors such as cytotoxin-associated gene A (CagA) and vacuolating cytotoxin A (VacA), which further contribute to epithelial damage and ulcer formation (Sugano </w:t>
      </w:r>
      <w:r>
        <w:rPr>
          <w:i/>
          <w:iCs/>
          <w:color w:val="000000"/>
          <w:szCs w:val="26"/>
        </w:rPr>
        <w:t>et al</w:t>
      </w:r>
      <w:r>
        <w:rPr>
          <w:color w:val="000000"/>
          <w:szCs w:val="26"/>
        </w:rPr>
        <w:t>., 2021).</w:t>
      </w:r>
    </w:p>
    <w:p w:rsidR="005F01BE" w:rsidRDefault="003E2C3A">
      <w:pPr>
        <w:spacing w:before="100" w:beforeAutospacing="1" w:after="0" w:line="480" w:lineRule="auto"/>
        <w:ind w:firstLine="720"/>
        <w:jc w:val="both"/>
        <w:rPr>
          <w:color w:val="000000"/>
          <w:sz w:val="24"/>
          <w:szCs w:val="26"/>
        </w:rPr>
      </w:pPr>
      <w:r>
        <w:rPr>
          <w:noProof/>
          <w:color w:val="000000"/>
          <w:sz w:val="24"/>
          <w:szCs w:val="26"/>
        </w:rPr>
        <w:t xml:space="preserve">   </w:t>
      </w:r>
      <w:r>
        <w:rPr>
          <w:noProof/>
          <w:color w:val="000000"/>
          <w:sz w:val="24"/>
          <w:szCs w:val="26"/>
        </w:rPr>
        <w:drawing>
          <wp:inline distT="0" distB="0" distL="0" distR="0">
            <wp:extent cx="2342278" cy="2327564"/>
            <wp:effectExtent l="0" t="0" r="1270" b="0"/>
            <wp:docPr id="103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7"/>
                    <pic:cNvPicPr/>
                  </pic:nvPicPr>
                  <pic:blipFill>
                    <a:blip r:embed="rId23" cstate="print"/>
                    <a:srcRect/>
                    <a:stretch/>
                  </pic:blipFill>
                  <pic:spPr>
                    <a:xfrm>
                      <a:off x="0" y="0"/>
                      <a:ext cx="2342278" cy="2327564"/>
                    </a:xfrm>
                    <a:prstGeom prst="rect">
                      <a:avLst/>
                    </a:prstGeom>
                    <a:ln>
                      <a:noFill/>
                    </a:ln>
                  </pic:spPr>
                </pic:pic>
              </a:graphicData>
            </a:graphic>
          </wp:inline>
        </w:drawing>
      </w:r>
      <w:r>
        <w:rPr>
          <w:noProof/>
          <w:color w:val="000000"/>
          <w:sz w:val="24"/>
          <w:szCs w:val="26"/>
        </w:rPr>
        <w:drawing>
          <wp:inline distT="0" distB="0" distL="0" distR="0">
            <wp:extent cx="2281927" cy="2327564"/>
            <wp:effectExtent l="0" t="0" r="4445" b="0"/>
            <wp:docPr id="1040" name="Picture 18" descr="undefi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8"/>
                    <pic:cNvPicPr/>
                  </pic:nvPicPr>
                  <pic:blipFill>
                    <a:blip r:embed="rId24" cstate="print"/>
                    <a:srcRect/>
                    <a:stretch/>
                  </pic:blipFill>
                  <pic:spPr>
                    <a:xfrm>
                      <a:off x="0" y="0"/>
                      <a:ext cx="2281927" cy="2327564"/>
                    </a:xfrm>
                    <a:prstGeom prst="rect">
                      <a:avLst/>
                    </a:prstGeom>
                    <a:ln>
                      <a:noFill/>
                    </a:ln>
                  </pic:spPr>
                </pic:pic>
              </a:graphicData>
            </a:graphic>
          </wp:inline>
        </w:drawing>
      </w:r>
      <w:r>
        <w:rPr>
          <w:color w:val="000000"/>
          <w:sz w:val="24"/>
          <w:szCs w:val="26"/>
        </w:rPr>
        <w:t xml:space="preserve">      </w:t>
      </w:r>
    </w:p>
    <w:p w:rsidR="005F01BE" w:rsidRDefault="003E2C3A">
      <w:pPr>
        <w:spacing w:before="100" w:beforeAutospacing="1" w:after="0" w:line="240" w:lineRule="auto"/>
        <w:jc w:val="both"/>
        <w:rPr>
          <w:b/>
          <w:bCs/>
          <w:color w:val="000000"/>
          <w:sz w:val="24"/>
          <w:szCs w:val="26"/>
        </w:rPr>
      </w:pPr>
      <w:r>
        <w:rPr>
          <w:b/>
          <w:bCs/>
          <w:color w:val="000000"/>
          <w:sz w:val="24"/>
          <w:szCs w:val="26"/>
        </w:rPr>
        <w:t xml:space="preserve">Figure 10: Stomach Ulcer    </w:t>
      </w:r>
    </w:p>
    <w:p w:rsidR="005F01BE" w:rsidRDefault="003E2C3A">
      <w:pPr>
        <w:spacing w:before="100" w:beforeAutospacing="1" w:after="0" w:line="240" w:lineRule="auto"/>
        <w:jc w:val="both"/>
        <w:rPr>
          <w:color w:val="000000"/>
          <w:sz w:val="24"/>
          <w:szCs w:val="26"/>
        </w:rPr>
      </w:pPr>
      <w:r>
        <w:rPr>
          <w:b/>
          <w:bCs/>
          <w:color w:val="000000"/>
          <w:sz w:val="24"/>
          <w:szCs w:val="26"/>
        </w:rPr>
        <w:t xml:space="preserve">Source: </w:t>
      </w:r>
      <w:r>
        <w:rPr>
          <w:color w:val="000000"/>
          <w:sz w:val="24"/>
          <w:szCs w:val="26"/>
          <w:shd w:val="clear" w:color="auto" w:fill="FFFFFF"/>
        </w:rPr>
        <w:t>Najm, (2011).</w:t>
      </w:r>
    </w:p>
    <w:p w:rsidR="005F01BE" w:rsidRDefault="003E2C3A">
      <w:pPr>
        <w:spacing w:before="100" w:beforeAutospacing="1" w:after="0" w:line="480" w:lineRule="auto"/>
        <w:ind w:firstLine="720"/>
        <w:jc w:val="both"/>
        <w:rPr>
          <w:color w:val="000000"/>
          <w:sz w:val="24"/>
          <w:szCs w:val="26"/>
        </w:rPr>
      </w:pPr>
      <w:r>
        <w:rPr>
          <w:color w:val="000000"/>
          <w:sz w:val="24"/>
          <w:szCs w:val="26"/>
        </w:rPr>
        <w:lastRenderedPageBreak/>
        <w:t>Gastric cancer i</w:t>
      </w:r>
      <w:r>
        <w:rPr>
          <w:color w:val="000000"/>
          <w:sz w:val="24"/>
          <w:szCs w:val="26"/>
        </w:rPr>
        <w:t xml:space="preserve">s a multifaceted disease with different aetiologies, genetic changes and phenotypes. </w:t>
      </w:r>
      <w:r>
        <w:rPr>
          <w:i/>
          <w:color w:val="000000"/>
          <w:sz w:val="24"/>
          <w:szCs w:val="26"/>
        </w:rPr>
        <w:t>Helicobacter pylori</w:t>
      </w:r>
      <w:r>
        <w:rPr>
          <w:color w:val="000000"/>
          <w:sz w:val="24"/>
          <w:szCs w:val="26"/>
        </w:rPr>
        <w:t xml:space="preserve"> infection is considered as the single most important risk factor leading to gastric cancer, (IARC, 2012) through chronic inflammatory changes in the ga</w:t>
      </w:r>
      <w:r>
        <w:rPr>
          <w:color w:val="000000"/>
          <w:sz w:val="24"/>
          <w:szCs w:val="26"/>
        </w:rPr>
        <w:t xml:space="preserve">stric mucosa, followed by preneoplastic changes such as atrophy and IM, as in the Correa cascade (Stearns </w:t>
      </w:r>
      <w:r>
        <w:rPr>
          <w:i/>
          <w:iCs/>
          <w:color w:val="000000"/>
          <w:sz w:val="24"/>
          <w:szCs w:val="26"/>
        </w:rPr>
        <w:t>et al</w:t>
      </w:r>
      <w:r>
        <w:rPr>
          <w:color w:val="000000"/>
          <w:sz w:val="24"/>
          <w:szCs w:val="26"/>
        </w:rPr>
        <w:t>., 2011).</w:t>
      </w:r>
    </w:p>
    <w:p w:rsidR="005F01BE" w:rsidRDefault="003E2C3A">
      <w:pPr>
        <w:spacing w:after="0"/>
        <w:jc w:val="both"/>
        <w:rPr>
          <w:bCs/>
          <w:color w:val="000000"/>
          <w:sz w:val="24"/>
          <w:szCs w:val="26"/>
        </w:rPr>
      </w:pPr>
      <w:r>
        <w:rPr>
          <w:bCs/>
          <w:noProof/>
          <w:color w:val="000000"/>
          <w:sz w:val="24"/>
          <w:szCs w:val="26"/>
        </w:rPr>
        <w:drawing>
          <wp:inline distT="0" distB="0" distL="0" distR="0">
            <wp:extent cx="5943600" cy="4036695"/>
            <wp:effectExtent l="0" t="0" r="0" b="1905"/>
            <wp:docPr id="104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7"/>
                    <pic:cNvPicPr/>
                  </pic:nvPicPr>
                  <pic:blipFill>
                    <a:blip r:embed="rId25" cstate="print"/>
                    <a:srcRect/>
                    <a:stretch/>
                  </pic:blipFill>
                  <pic:spPr>
                    <a:xfrm>
                      <a:off x="0" y="0"/>
                      <a:ext cx="5943600" cy="4036695"/>
                    </a:xfrm>
                    <a:prstGeom prst="rect">
                      <a:avLst/>
                    </a:prstGeom>
                  </pic:spPr>
                </pic:pic>
              </a:graphicData>
            </a:graphic>
          </wp:inline>
        </w:drawing>
      </w:r>
    </w:p>
    <w:p w:rsidR="005F01BE" w:rsidRDefault="003E2C3A">
      <w:pPr>
        <w:spacing w:after="0" w:line="480" w:lineRule="auto"/>
        <w:jc w:val="both"/>
        <w:rPr>
          <w:b/>
          <w:bCs/>
          <w:color w:val="000000"/>
          <w:sz w:val="24"/>
          <w:szCs w:val="26"/>
        </w:rPr>
      </w:pPr>
      <w:r>
        <w:rPr>
          <w:b/>
          <w:bCs/>
          <w:color w:val="000000"/>
          <w:sz w:val="24"/>
          <w:szCs w:val="26"/>
        </w:rPr>
        <w:t>Figure 11: Key functions of the stomach and common harmful and noxious agents that affect gastric mucosal, secretory and motor functi</w:t>
      </w:r>
      <w:r>
        <w:rPr>
          <w:b/>
          <w:bCs/>
          <w:color w:val="000000"/>
          <w:sz w:val="24"/>
          <w:szCs w:val="26"/>
        </w:rPr>
        <w:t>ons</w:t>
      </w:r>
    </w:p>
    <w:p w:rsidR="005F01BE" w:rsidRDefault="003E2C3A">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Stearns </w:t>
      </w:r>
      <w:r>
        <w:rPr>
          <w:i/>
          <w:iCs/>
          <w:color w:val="000000"/>
          <w:sz w:val="24"/>
          <w:szCs w:val="26"/>
        </w:rPr>
        <w:t>et al</w:t>
      </w:r>
      <w:r>
        <w:rPr>
          <w:color w:val="000000"/>
          <w:sz w:val="24"/>
          <w:szCs w:val="26"/>
        </w:rPr>
        <w:t>. (2011).</w:t>
      </w: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lastRenderedPageBreak/>
        <w:t>2.3 Causes of Ulcer</w:t>
      </w:r>
    </w:p>
    <w:p w:rsidR="005F01BE" w:rsidRDefault="003E2C3A">
      <w:pPr>
        <w:spacing w:after="0" w:line="480" w:lineRule="auto"/>
        <w:jc w:val="both"/>
        <w:rPr>
          <w:b/>
          <w:bCs/>
          <w:color w:val="000000"/>
          <w:sz w:val="24"/>
          <w:szCs w:val="26"/>
        </w:rPr>
      </w:pPr>
      <w:r>
        <w:rPr>
          <w:b/>
          <w:bCs/>
          <w:color w:val="000000"/>
          <w:sz w:val="24"/>
          <w:szCs w:val="26"/>
        </w:rPr>
        <w:t>2.3.1 Psychological Causes</w:t>
      </w:r>
    </w:p>
    <w:p w:rsidR="005F01BE" w:rsidRDefault="003E2C3A">
      <w:pPr>
        <w:spacing w:after="0" w:line="480" w:lineRule="auto"/>
        <w:ind w:firstLine="720"/>
        <w:jc w:val="both"/>
        <w:rPr>
          <w:bCs/>
          <w:color w:val="000000"/>
          <w:sz w:val="24"/>
          <w:szCs w:val="26"/>
        </w:rPr>
      </w:pPr>
      <w:r>
        <w:rPr>
          <w:bCs/>
          <w:color w:val="000000"/>
          <w:sz w:val="24"/>
          <w:szCs w:val="26"/>
        </w:rPr>
        <w:t>Over the generations clinicians have been intrigued by the relationships</w:t>
      </w:r>
      <w:r>
        <w:rPr>
          <w:b/>
          <w:bCs/>
          <w:color w:val="000000"/>
          <w:sz w:val="24"/>
          <w:szCs w:val="26"/>
        </w:rPr>
        <w:t xml:space="preserve"> </w:t>
      </w:r>
      <w:r>
        <w:rPr>
          <w:bCs/>
          <w:color w:val="000000"/>
          <w:sz w:val="24"/>
          <w:szCs w:val="26"/>
        </w:rPr>
        <w:t>between physical disorders and psychologic states. Observations of the role</w:t>
      </w:r>
      <w:r>
        <w:rPr>
          <w:b/>
          <w:bCs/>
          <w:color w:val="000000"/>
          <w:sz w:val="24"/>
          <w:szCs w:val="26"/>
        </w:rPr>
        <w:t xml:space="preserve"> </w:t>
      </w:r>
      <w:r>
        <w:rPr>
          <w:bCs/>
          <w:color w:val="000000"/>
          <w:sz w:val="24"/>
          <w:szCs w:val="26"/>
        </w:rPr>
        <w:t>of psychologic processes</w:t>
      </w:r>
      <w:r>
        <w:rPr>
          <w:bCs/>
          <w:color w:val="000000"/>
          <w:sz w:val="24"/>
          <w:szCs w:val="26"/>
        </w:rPr>
        <w:t xml:space="preserve"> in the pathogenesis and course of medical diseases</w:t>
      </w:r>
      <w:r>
        <w:rPr>
          <w:b/>
          <w:bCs/>
          <w:color w:val="000000"/>
          <w:sz w:val="24"/>
          <w:szCs w:val="26"/>
        </w:rPr>
        <w:t xml:space="preserve"> </w:t>
      </w:r>
      <w:r>
        <w:rPr>
          <w:bCs/>
          <w:color w:val="000000"/>
          <w:sz w:val="24"/>
          <w:szCs w:val="26"/>
        </w:rPr>
        <w:t>have been shown by many researchers. Some illnesses, recognized as the classic</w:t>
      </w:r>
      <w:r>
        <w:rPr>
          <w:b/>
          <w:bCs/>
          <w:color w:val="000000"/>
          <w:sz w:val="24"/>
          <w:szCs w:val="26"/>
        </w:rPr>
        <w:t xml:space="preserve"> </w:t>
      </w:r>
      <w:r>
        <w:rPr>
          <w:bCs/>
          <w:color w:val="000000"/>
          <w:sz w:val="24"/>
          <w:szCs w:val="26"/>
        </w:rPr>
        <w:t>psychosomatic disorders in the 1930s, appear to be directly affected by the</w:t>
      </w:r>
      <w:r>
        <w:rPr>
          <w:b/>
          <w:bCs/>
          <w:color w:val="000000"/>
          <w:sz w:val="24"/>
          <w:szCs w:val="26"/>
        </w:rPr>
        <w:t xml:space="preserve"> </w:t>
      </w:r>
      <w:r>
        <w:rPr>
          <w:bCs/>
          <w:color w:val="000000"/>
          <w:sz w:val="24"/>
          <w:szCs w:val="26"/>
        </w:rPr>
        <w:t>impact of psychosocial factors. Peptic ulcer dise</w:t>
      </w:r>
      <w:r>
        <w:rPr>
          <w:bCs/>
          <w:color w:val="000000"/>
          <w:sz w:val="24"/>
          <w:szCs w:val="26"/>
        </w:rPr>
        <w:t>ase is regarded as one of</w:t>
      </w:r>
      <w:r>
        <w:rPr>
          <w:b/>
          <w:bCs/>
          <w:color w:val="000000"/>
          <w:sz w:val="24"/>
          <w:szCs w:val="26"/>
        </w:rPr>
        <w:t xml:space="preserve"> </w:t>
      </w:r>
      <w:r>
        <w:rPr>
          <w:bCs/>
          <w:color w:val="000000"/>
          <w:sz w:val="24"/>
          <w:szCs w:val="26"/>
        </w:rPr>
        <w:t>the psychosomatic disorders. Alexander's initial psychologic constructs,</w:t>
      </w:r>
      <w:r>
        <w:rPr>
          <w:b/>
          <w:bCs/>
          <w:color w:val="000000"/>
          <w:sz w:val="24"/>
          <w:szCs w:val="26"/>
        </w:rPr>
        <w:t xml:space="preserve"> </w:t>
      </w:r>
      <w:r>
        <w:rPr>
          <w:bCs/>
          <w:color w:val="000000"/>
          <w:sz w:val="24"/>
          <w:szCs w:val="26"/>
        </w:rPr>
        <w:t>based on retrospective data, were elaborated by the prospective studies of</w:t>
      </w:r>
      <w:r>
        <w:rPr>
          <w:b/>
          <w:bCs/>
          <w:color w:val="000000"/>
          <w:sz w:val="24"/>
          <w:szCs w:val="26"/>
        </w:rPr>
        <w:t xml:space="preserve"> </w:t>
      </w:r>
      <w:r>
        <w:rPr>
          <w:bCs/>
          <w:color w:val="000000"/>
          <w:sz w:val="24"/>
          <w:szCs w:val="26"/>
        </w:rPr>
        <w:t>Mirsky and Weiner (</w:t>
      </w:r>
      <w:r>
        <w:rPr>
          <w:color w:val="000000"/>
          <w:sz w:val="24"/>
          <w:szCs w:val="26"/>
        </w:rPr>
        <w:t>NIasiry and Piper, 1985).</w:t>
      </w:r>
    </w:p>
    <w:p w:rsidR="005F01BE" w:rsidRDefault="003E2C3A">
      <w:pPr>
        <w:spacing w:after="0" w:line="480" w:lineRule="auto"/>
        <w:ind w:firstLine="720"/>
        <w:jc w:val="both"/>
        <w:rPr>
          <w:color w:val="000000"/>
          <w:sz w:val="24"/>
          <w:szCs w:val="26"/>
        </w:rPr>
      </w:pPr>
      <w:r>
        <w:rPr>
          <w:color w:val="000000"/>
          <w:sz w:val="24"/>
          <w:szCs w:val="26"/>
        </w:rPr>
        <w:t>More recently, it has become increasi</w:t>
      </w:r>
      <w:r>
        <w:rPr>
          <w:color w:val="000000"/>
          <w:sz w:val="24"/>
          <w:szCs w:val="26"/>
        </w:rPr>
        <w:t>ngly clear that peptic duodenal ulcer is a heterogeneous illness. Patients with peptic duodenal ulcer may have elevated or normal pepsinogen levels inherited as an autosomal dominant trait. Two-thirds of duodenal ulcer patients have elevated levels, wherea</w:t>
      </w:r>
      <w:r>
        <w:rPr>
          <w:color w:val="000000"/>
          <w:sz w:val="24"/>
          <w:szCs w:val="26"/>
        </w:rPr>
        <w:t>s the remaining one-third have normal levels. Elevated serum levels have been found in peptic ulcer disease patients with increased psychopathology, especially poor coping ability, hostility, and hypersensitivity. There may be additional genetic markers su</w:t>
      </w:r>
      <w:r>
        <w:rPr>
          <w:color w:val="000000"/>
          <w:sz w:val="24"/>
          <w:szCs w:val="26"/>
        </w:rPr>
        <w:t>ch as blood type 0 or absence of blood group antigens ABH in the saliva and gastric juice. Although the genetic and physiologic heterogeneity of peptic ulcer has become increasingly evident, it has not been possible to define equally refined psychologic ch</w:t>
      </w:r>
      <w:r>
        <w:rPr>
          <w:color w:val="000000"/>
          <w:sz w:val="24"/>
          <w:szCs w:val="26"/>
        </w:rPr>
        <w:t xml:space="preserve">aracteristics for possible subgroups of peptic ulcer patients (Magni </w:t>
      </w:r>
      <w:r>
        <w:rPr>
          <w:i/>
          <w:iCs/>
          <w:color w:val="000000"/>
          <w:sz w:val="24"/>
          <w:szCs w:val="26"/>
        </w:rPr>
        <w:t>et al</w:t>
      </w:r>
      <w:r>
        <w:rPr>
          <w:color w:val="000000"/>
          <w:sz w:val="24"/>
          <w:szCs w:val="26"/>
        </w:rPr>
        <w:t>., 1987).</w:t>
      </w:r>
    </w:p>
    <w:p w:rsidR="005F01BE" w:rsidRDefault="003E2C3A">
      <w:pPr>
        <w:spacing w:after="0" w:line="480" w:lineRule="auto"/>
        <w:ind w:firstLine="720"/>
        <w:jc w:val="both"/>
        <w:rPr>
          <w:color w:val="000000"/>
          <w:sz w:val="24"/>
          <w:szCs w:val="26"/>
        </w:rPr>
      </w:pPr>
      <w:r>
        <w:rPr>
          <w:color w:val="000000"/>
          <w:sz w:val="24"/>
          <w:szCs w:val="26"/>
        </w:rPr>
        <w:lastRenderedPageBreak/>
        <w:t>Recent attempts to delineate the psychogenic £actors in the etiology of peptic ulcer disease have utilized advanced behavioral research methodology. Three independent lines</w:t>
      </w:r>
      <w:r>
        <w:rPr>
          <w:color w:val="000000"/>
          <w:sz w:val="24"/>
          <w:szCs w:val="26"/>
        </w:rPr>
        <w:t xml:space="preserve"> of research have evolved: (1) personality and other psychologic factors; (2) stressful life events; and (3) biopsychological interactions. Personality and Psychologic Factors Many psychoanalytically oriented researchers have hypothesized the existence of </w:t>
      </w:r>
      <w:r>
        <w:rPr>
          <w:color w:val="000000"/>
          <w:sz w:val="24"/>
          <w:szCs w:val="26"/>
        </w:rPr>
        <w:t>a psychosomatic personality structure distinct from neurotic or psychotic patterns. This type of individual lacks imagination and displays poverty of interpretative functions and symbolization. He has difficulty verbalizing feelings and has a decreased cap</w:t>
      </w:r>
      <w:r>
        <w:rPr>
          <w:color w:val="000000"/>
          <w:sz w:val="24"/>
          <w:szCs w:val="26"/>
        </w:rPr>
        <w:t>acity for fantasy (Barbara, 1991).</w:t>
      </w:r>
    </w:p>
    <w:p w:rsidR="005F01BE" w:rsidRDefault="003E2C3A">
      <w:pPr>
        <w:spacing w:after="0" w:line="480" w:lineRule="auto"/>
        <w:ind w:firstLine="720"/>
        <w:jc w:val="both"/>
        <w:rPr>
          <w:color w:val="000000"/>
          <w:sz w:val="24"/>
          <w:szCs w:val="26"/>
        </w:rPr>
      </w:pPr>
      <w:r>
        <w:rPr>
          <w:color w:val="000000"/>
          <w:sz w:val="24"/>
          <w:szCs w:val="26"/>
        </w:rPr>
        <w:t>Recent research in psychoneuroimmunology and psychoneurophysioloogy has elucidated potential mediating mechanisms that link the psyche and soma, particularly the effect of stressful events in the evolution of physical ill</w:t>
      </w:r>
      <w:r>
        <w:rPr>
          <w:color w:val="000000"/>
          <w:sz w:val="24"/>
          <w:szCs w:val="26"/>
        </w:rPr>
        <w:t>ness. Complex direct and indirect interactions and feed-back loops between the central nervous system, the immune systems, and the neuroendocrine systems have been identified. In peptic ulcer disease, catecholamines, corticosteroids, pepsinogen I and 11, a</w:t>
      </w:r>
      <w:r>
        <w:rPr>
          <w:color w:val="000000"/>
          <w:sz w:val="24"/>
          <w:szCs w:val="26"/>
        </w:rPr>
        <w:t xml:space="preserve">s well as direct vagal stimulation, are viewed as mediators between stressful events and ulcer formation (Barbara </w:t>
      </w:r>
      <w:r>
        <w:rPr>
          <w:i/>
          <w:iCs/>
          <w:color w:val="000000"/>
          <w:sz w:val="24"/>
          <w:szCs w:val="26"/>
        </w:rPr>
        <w:t>et al</w:t>
      </w:r>
      <w:r>
        <w:rPr>
          <w:color w:val="000000"/>
          <w:sz w:val="24"/>
          <w:szCs w:val="26"/>
        </w:rPr>
        <w:t>., 1991).</w:t>
      </w:r>
    </w:p>
    <w:p w:rsidR="005F01BE" w:rsidRDefault="003E2C3A">
      <w:pPr>
        <w:spacing w:after="0" w:line="480" w:lineRule="auto"/>
        <w:jc w:val="both"/>
        <w:rPr>
          <w:b/>
          <w:bCs/>
          <w:color w:val="000000"/>
          <w:sz w:val="24"/>
          <w:szCs w:val="26"/>
        </w:rPr>
      </w:pPr>
      <w:r>
        <w:rPr>
          <w:b/>
          <w:bCs/>
          <w:color w:val="000000"/>
          <w:sz w:val="24"/>
          <w:szCs w:val="26"/>
        </w:rPr>
        <w:t>2.3.2 Medication</w:t>
      </w:r>
    </w:p>
    <w:p w:rsidR="005F01BE" w:rsidRDefault="003E2C3A">
      <w:pPr>
        <w:spacing w:after="0" w:line="480" w:lineRule="auto"/>
        <w:ind w:firstLine="720"/>
        <w:jc w:val="both"/>
        <w:rPr>
          <w:color w:val="000000"/>
          <w:sz w:val="24"/>
          <w:szCs w:val="26"/>
        </w:rPr>
      </w:pPr>
      <w:r>
        <w:rPr>
          <w:color w:val="000000"/>
          <w:sz w:val="24"/>
          <w:szCs w:val="26"/>
        </w:rPr>
        <w:t xml:space="preserve">Ulcers due to drugs are clinically classified into two types. The first is widespread mucositis and ulceration, mainly caused by cytotoxic drugs used for anti-tumor chemotherapy. Widespread sloughing and ulceration arise within days of commencing </w:t>
      </w:r>
      <w:r>
        <w:rPr>
          <w:color w:val="000000"/>
          <w:sz w:val="24"/>
          <w:szCs w:val="26"/>
        </w:rPr>
        <w:lastRenderedPageBreak/>
        <w:t xml:space="preserve">therapy, </w:t>
      </w:r>
      <w:r>
        <w:rPr>
          <w:color w:val="000000"/>
          <w:sz w:val="24"/>
          <w:szCs w:val="26"/>
        </w:rPr>
        <w:t>with the associated pain often requiring opioid therapy and alteration or cessation of chemotherapy. Such cytotoxic drugs include 5-fluorouracil, methotrexate, bleomycin, and cisplatin. Immunosuppressive agents may also cause oral ulceration through opport</w:t>
      </w:r>
      <w:r>
        <w:rPr>
          <w:color w:val="000000"/>
          <w:sz w:val="24"/>
          <w:szCs w:val="26"/>
        </w:rPr>
        <w:t>unistic secondary infections involving organisms such as Gram-negative bacteria and fungi. The second type is fixed drug eruption, showing repeated development of treatment-resistant ulcers (Ozkaya, 2013). Single or multiple large ulcerations are seen on e</w:t>
      </w:r>
      <w:r>
        <w:rPr>
          <w:color w:val="000000"/>
          <w:sz w:val="24"/>
          <w:szCs w:val="26"/>
        </w:rPr>
        <w:t>very site of the oral mucosa. Generally, the ulceration is larger than aphthous ulceration, with a flat surface showing slightly white appear ance (Ozkaya, 2013).</w:t>
      </w:r>
    </w:p>
    <w:p w:rsidR="005F01BE" w:rsidRDefault="003E2C3A">
      <w:pPr>
        <w:spacing w:after="0" w:line="480" w:lineRule="auto"/>
        <w:ind w:firstLine="720"/>
        <w:jc w:val="both"/>
        <w:rPr>
          <w:color w:val="000000"/>
          <w:sz w:val="24"/>
          <w:szCs w:val="26"/>
        </w:rPr>
      </w:pPr>
      <w:r>
        <w:rPr>
          <w:color w:val="000000"/>
          <w:sz w:val="24"/>
          <w:szCs w:val="26"/>
        </w:rPr>
        <w:t>The margin of the ulcer is clear and often slightly raised; however, the ulcers are unaccompa</w:t>
      </w:r>
      <w:r>
        <w:rPr>
          <w:color w:val="000000"/>
          <w:sz w:val="24"/>
          <w:szCs w:val="26"/>
        </w:rPr>
        <w:t xml:space="preserve">nied by any induration. Topical steroids are ineffective for these forms of ulceration. Histopathological examination usually reveals non-specific ulcer formation with marked infiltration of inflammatory cells. The molecular mechanisms involved with these </w:t>
      </w:r>
      <w:r>
        <w:rPr>
          <w:color w:val="000000"/>
          <w:sz w:val="24"/>
          <w:szCs w:val="26"/>
        </w:rPr>
        <w:t>types of oral ulceration have yet to be clarified, but immunological reactions may play some role in the process (Field and Allan, 2003).</w:t>
      </w:r>
    </w:p>
    <w:p w:rsidR="005F01BE" w:rsidRDefault="003E2C3A">
      <w:pPr>
        <w:spacing w:after="0" w:line="480" w:lineRule="auto"/>
        <w:ind w:firstLine="720"/>
        <w:jc w:val="both"/>
        <w:rPr>
          <w:color w:val="000000"/>
          <w:sz w:val="24"/>
          <w:szCs w:val="26"/>
        </w:rPr>
      </w:pPr>
      <w:r>
        <w:rPr>
          <w:color w:val="000000"/>
          <w:sz w:val="24"/>
          <w:szCs w:val="26"/>
        </w:rPr>
        <w:t>Many kinds of drugs cause oral ulcerations, including some b blockers, immunosuppressants, anticholinergic bronchodila</w:t>
      </w:r>
      <w:r>
        <w:rPr>
          <w:color w:val="000000"/>
          <w:sz w:val="24"/>
          <w:szCs w:val="26"/>
        </w:rPr>
        <w:t xml:space="preserve"> tors, platelet aggregation inhibitors, vasodilators, protease inhibitors, antibiotics, non-steroidal anti-inflammatory drugs (NSAIDs), antiretrovirals, and antihypertensives, table 1 below shows drug inducing ulceration (Scully and Bagan, 2003). </w:t>
      </w: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lastRenderedPageBreak/>
        <w:t>Table 1</w:t>
      </w:r>
      <w:r>
        <w:rPr>
          <w:b/>
          <w:bCs/>
          <w:color w:val="000000"/>
          <w:sz w:val="24"/>
          <w:szCs w:val="26"/>
        </w:rPr>
        <w:t>: Drugs inducing oral ulceration.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3419"/>
      </w:tblGrid>
      <w:tr w:rsidR="005F01BE">
        <w:trPr>
          <w:trHeight w:val="440"/>
        </w:trPr>
        <w:tc>
          <w:tcPr>
            <w:tcW w:w="3419" w:type="dxa"/>
          </w:tcPr>
          <w:p w:rsidR="005F01BE" w:rsidRDefault="003E2C3A">
            <w:pPr>
              <w:spacing w:line="480" w:lineRule="auto"/>
              <w:jc w:val="both"/>
              <w:rPr>
                <w:b/>
                <w:bCs/>
                <w:color w:val="000000"/>
                <w:sz w:val="22"/>
                <w:szCs w:val="24"/>
              </w:rPr>
            </w:pPr>
            <w:r>
              <w:rPr>
                <w:color w:val="000000"/>
                <w:sz w:val="22"/>
                <w:szCs w:val="24"/>
              </w:rPr>
              <w:t xml:space="preserve">Antibiotics </w:t>
            </w:r>
          </w:p>
        </w:tc>
        <w:tc>
          <w:tcPr>
            <w:tcW w:w="3419" w:type="dxa"/>
          </w:tcPr>
          <w:p w:rsidR="005F01BE" w:rsidRDefault="003E2C3A">
            <w:pPr>
              <w:spacing w:line="480" w:lineRule="auto"/>
              <w:jc w:val="both"/>
              <w:rPr>
                <w:b/>
                <w:bCs/>
                <w:color w:val="000000"/>
                <w:sz w:val="22"/>
                <w:szCs w:val="24"/>
              </w:rPr>
            </w:pPr>
            <w:r>
              <w:rPr>
                <w:color w:val="000000"/>
                <w:sz w:val="22"/>
                <w:szCs w:val="24"/>
              </w:rPr>
              <w:t>Gastric ulcer treatments</w:t>
            </w:r>
          </w:p>
        </w:tc>
      </w:tr>
      <w:tr w:rsidR="005F01BE">
        <w:trPr>
          <w:trHeight w:val="429"/>
        </w:trPr>
        <w:tc>
          <w:tcPr>
            <w:tcW w:w="3419" w:type="dxa"/>
          </w:tcPr>
          <w:p w:rsidR="005F01BE" w:rsidRDefault="003E2C3A">
            <w:pPr>
              <w:spacing w:line="480" w:lineRule="auto"/>
              <w:jc w:val="both"/>
              <w:rPr>
                <w:b/>
                <w:bCs/>
                <w:color w:val="000000"/>
                <w:sz w:val="22"/>
                <w:szCs w:val="24"/>
              </w:rPr>
            </w:pPr>
            <w:r>
              <w:rPr>
                <w:color w:val="000000"/>
                <w:sz w:val="22"/>
                <w:szCs w:val="24"/>
              </w:rPr>
              <w:t>Anticholinergic bronchodilators</w:t>
            </w:r>
          </w:p>
        </w:tc>
        <w:tc>
          <w:tcPr>
            <w:tcW w:w="3419" w:type="dxa"/>
          </w:tcPr>
          <w:p w:rsidR="005F01BE" w:rsidRDefault="003E2C3A">
            <w:pPr>
              <w:spacing w:line="480" w:lineRule="auto"/>
              <w:jc w:val="both"/>
              <w:rPr>
                <w:b/>
                <w:bCs/>
                <w:color w:val="000000"/>
                <w:sz w:val="22"/>
                <w:szCs w:val="24"/>
              </w:rPr>
            </w:pPr>
            <w:r>
              <w:rPr>
                <w:color w:val="000000"/>
                <w:sz w:val="22"/>
                <w:szCs w:val="24"/>
              </w:rPr>
              <w:t>Hypoglycemic agents</w:t>
            </w:r>
          </w:p>
        </w:tc>
      </w:tr>
      <w:tr w:rsidR="005F01BE">
        <w:trPr>
          <w:trHeight w:val="440"/>
        </w:trPr>
        <w:tc>
          <w:tcPr>
            <w:tcW w:w="3419" w:type="dxa"/>
          </w:tcPr>
          <w:p w:rsidR="005F01BE" w:rsidRDefault="003E2C3A">
            <w:pPr>
              <w:spacing w:line="480" w:lineRule="auto"/>
              <w:jc w:val="both"/>
              <w:rPr>
                <w:b/>
                <w:bCs/>
                <w:color w:val="000000"/>
                <w:sz w:val="22"/>
                <w:szCs w:val="24"/>
              </w:rPr>
            </w:pPr>
            <w:r>
              <w:rPr>
                <w:color w:val="000000"/>
                <w:sz w:val="22"/>
                <w:szCs w:val="24"/>
              </w:rPr>
              <w:t>Anti-hypertensives</w:t>
            </w:r>
          </w:p>
        </w:tc>
        <w:tc>
          <w:tcPr>
            <w:tcW w:w="3419" w:type="dxa"/>
          </w:tcPr>
          <w:p w:rsidR="005F01BE" w:rsidRDefault="003E2C3A">
            <w:pPr>
              <w:spacing w:line="480" w:lineRule="auto"/>
              <w:jc w:val="both"/>
              <w:rPr>
                <w:b/>
                <w:bCs/>
                <w:color w:val="000000"/>
                <w:sz w:val="22"/>
                <w:szCs w:val="24"/>
              </w:rPr>
            </w:pPr>
            <w:r>
              <w:rPr>
                <w:color w:val="000000"/>
                <w:sz w:val="22"/>
                <w:szCs w:val="24"/>
              </w:rPr>
              <w:t>Immunosuppressants</w:t>
            </w:r>
          </w:p>
        </w:tc>
      </w:tr>
      <w:tr w:rsidR="005F01BE">
        <w:trPr>
          <w:trHeight w:val="440"/>
        </w:trPr>
        <w:tc>
          <w:tcPr>
            <w:tcW w:w="3419" w:type="dxa"/>
          </w:tcPr>
          <w:p w:rsidR="005F01BE" w:rsidRDefault="003E2C3A">
            <w:pPr>
              <w:spacing w:line="480" w:lineRule="auto"/>
              <w:jc w:val="both"/>
              <w:rPr>
                <w:b/>
                <w:bCs/>
                <w:color w:val="000000"/>
                <w:sz w:val="22"/>
                <w:szCs w:val="24"/>
              </w:rPr>
            </w:pPr>
            <w:r>
              <w:rPr>
                <w:color w:val="000000"/>
                <w:sz w:val="22"/>
                <w:szCs w:val="24"/>
              </w:rPr>
              <w:t>Antiretrovirals</w:t>
            </w:r>
          </w:p>
        </w:tc>
        <w:tc>
          <w:tcPr>
            <w:tcW w:w="3419" w:type="dxa"/>
          </w:tcPr>
          <w:p w:rsidR="005F01BE" w:rsidRDefault="003E2C3A">
            <w:pPr>
              <w:spacing w:line="480" w:lineRule="auto"/>
              <w:jc w:val="both"/>
              <w:rPr>
                <w:b/>
                <w:bCs/>
                <w:color w:val="000000"/>
                <w:sz w:val="22"/>
                <w:szCs w:val="24"/>
              </w:rPr>
            </w:pPr>
            <w:r>
              <w:rPr>
                <w:color w:val="000000"/>
                <w:sz w:val="22"/>
                <w:szCs w:val="24"/>
              </w:rPr>
              <w:t>Interferons</w:t>
            </w:r>
          </w:p>
        </w:tc>
      </w:tr>
      <w:tr w:rsidR="005F01BE">
        <w:trPr>
          <w:trHeight w:val="882"/>
        </w:trPr>
        <w:tc>
          <w:tcPr>
            <w:tcW w:w="3419" w:type="dxa"/>
          </w:tcPr>
          <w:p w:rsidR="005F01BE" w:rsidRDefault="003E2C3A">
            <w:pPr>
              <w:spacing w:line="480" w:lineRule="auto"/>
              <w:jc w:val="both"/>
              <w:rPr>
                <w:b/>
                <w:bCs/>
                <w:color w:val="000000"/>
                <w:sz w:val="22"/>
                <w:szCs w:val="24"/>
              </w:rPr>
            </w:pPr>
            <w:r>
              <w:rPr>
                <w:color w:val="000000"/>
                <w:sz w:val="22"/>
                <w:szCs w:val="24"/>
              </w:rPr>
              <w:t>Anti-rheumatic drug</w:t>
            </w:r>
          </w:p>
        </w:tc>
        <w:tc>
          <w:tcPr>
            <w:tcW w:w="3419" w:type="dxa"/>
          </w:tcPr>
          <w:p w:rsidR="005F01BE" w:rsidRDefault="003E2C3A">
            <w:pPr>
              <w:spacing w:line="480" w:lineRule="auto"/>
              <w:jc w:val="both"/>
              <w:rPr>
                <w:b/>
                <w:bCs/>
                <w:color w:val="000000"/>
                <w:sz w:val="22"/>
                <w:szCs w:val="24"/>
              </w:rPr>
            </w:pPr>
            <w:r>
              <w:rPr>
                <w:color w:val="000000"/>
                <w:sz w:val="22"/>
                <w:szCs w:val="24"/>
              </w:rPr>
              <w:t xml:space="preserve">Non-steroidal anti-inflammatory drugs </w:t>
            </w:r>
            <w:r>
              <w:rPr>
                <w:color w:val="000000"/>
                <w:sz w:val="22"/>
                <w:szCs w:val="24"/>
              </w:rPr>
              <w:t>(NSAIDs)</w:t>
            </w:r>
          </w:p>
        </w:tc>
      </w:tr>
      <w:tr w:rsidR="005F01BE">
        <w:trPr>
          <w:trHeight w:val="440"/>
        </w:trPr>
        <w:tc>
          <w:tcPr>
            <w:tcW w:w="3419" w:type="dxa"/>
          </w:tcPr>
          <w:p w:rsidR="005F01BE" w:rsidRDefault="003E2C3A">
            <w:pPr>
              <w:spacing w:line="480" w:lineRule="auto"/>
              <w:jc w:val="both"/>
              <w:rPr>
                <w:b/>
                <w:bCs/>
                <w:color w:val="000000"/>
                <w:sz w:val="22"/>
                <w:szCs w:val="24"/>
              </w:rPr>
            </w:pPr>
            <w:r>
              <w:rPr>
                <w:color w:val="000000"/>
                <w:sz w:val="22"/>
                <w:szCs w:val="24"/>
              </w:rPr>
              <w:t>Anti-septics</w:t>
            </w:r>
          </w:p>
        </w:tc>
        <w:tc>
          <w:tcPr>
            <w:tcW w:w="3419" w:type="dxa"/>
          </w:tcPr>
          <w:p w:rsidR="005F01BE" w:rsidRDefault="003E2C3A">
            <w:pPr>
              <w:spacing w:line="480" w:lineRule="auto"/>
              <w:jc w:val="both"/>
              <w:rPr>
                <w:b/>
                <w:bCs/>
                <w:color w:val="000000"/>
                <w:sz w:val="22"/>
                <w:szCs w:val="24"/>
              </w:rPr>
            </w:pPr>
            <w:r>
              <w:rPr>
                <w:color w:val="000000"/>
                <w:sz w:val="22"/>
                <w:szCs w:val="24"/>
              </w:rPr>
              <w:t>Platelet aggregation inhibitors</w:t>
            </w:r>
          </w:p>
        </w:tc>
      </w:tr>
      <w:tr w:rsidR="005F01BE">
        <w:trPr>
          <w:trHeight w:val="440"/>
        </w:trPr>
        <w:tc>
          <w:tcPr>
            <w:tcW w:w="3419" w:type="dxa"/>
          </w:tcPr>
          <w:p w:rsidR="005F01BE" w:rsidRDefault="003E2C3A">
            <w:pPr>
              <w:spacing w:line="480" w:lineRule="auto"/>
              <w:jc w:val="both"/>
              <w:rPr>
                <w:b/>
                <w:bCs/>
                <w:color w:val="000000"/>
                <w:sz w:val="22"/>
                <w:szCs w:val="24"/>
              </w:rPr>
            </w:pPr>
            <w:r>
              <w:rPr>
                <w:color w:val="000000"/>
                <w:sz w:val="22"/>
                <w:szCs w:val="24"/>
              </w:rPr>
              <w:t>Bisphosphonate</w:t>
            </w:r>
          </w:p>
        </w:tc>
        <w:tc>
          <w:tcPr>
            <w:tcW w:w="3419" w:type="dxa"/>
          </w:tcPr>
          <w:p w:rsidR="005F01BE" w:rsidRDefault="003E2C3A">
            <w:pPr>
              <w:spacing w:line="480" w:lineRule="auto"/>
              <w:jc w:val="both"/>
              <w:rPr>
                <w:b/>
                <w:bCs/>
                <w:color w:val="000000"/>
                <w:sz w:val="22"/>
                <w:szCs w:val="24"/>
              </w:rPr>
            </w:pPr>
            <w:r>
              <w:rPr>
                <w:color w:val="000000"/>
                <w:sz w:val="22"/>
                <w:szCs w:val="24"/>
              </w:rPr>
              <w:t>Potassium-channel activators</w:t>
            </w:r>
          </w:p>
        </w:tc>
      </w:tr>
      <w:tr w:rsidR="005F01BE">
        <w:trPr>
          <w:trHeight w:val="429"/>
        </w:trPr>
        <w:tc>
          <w:tcPr>
            <w:tcW w:w="3419" w:type="dxa"/>
          </w:tcPr>
          <w:p w:rsidR="005F01BE" w:rsidRDefault="003E2C3A">
            <w:pPr>
              <w:spacing w:line="480" w:lineRule="auto"/>
              <w:jc w:val="both"/>
              <w:rPr>
                <w:color w:val="000000"/>
                <w:sz w:val="22"/>
                <w:szCs w:val="24"/>
              </w:rPr>
            </w:pPr>
            <w:r>
              <w:rPr>
                <w:color w:val="000000"/>
                <w:sz w:val="22"/>
                <w:szCs w:val="24"/>
              </w:rPr>
              <w:t>b-Blockers</w:t>
            </w:r>
          </w:p>
        </w:tc>
        <w:tc>
          <w:tcPr>
            <w:tcW w:w="3419" w:type="dxa"/>
          </w:tcPr>
          <w:p w:rsidR="005F01BE" w:rsidRDefault="003E2C3A">
            <w:pPr>
              <w:spacing w:line="480" w:lineRule="auto"/>
              <w:jc w:val="both"/>
              <w:rPr>
                <w:color w:val="000000"/>
                <w:sz w:val="22"/>
                <w:szCs w:val="24"/>
              </w:rPr>
            </w:pPr>
            <w:r>
              <w:rPr>
                <w:color w:val="000000"/>
                <w:sz w:val="22"/>
                <w:szCs w:val="24"/>
              </w:rPr>
              <w:t>Protease inhibitors</w:t>
            </w:r>
          </w:p>
        </w:tc>
      </w:tr>
      <w:tr w:rsidR="005F01BE">
        <w:trPr>
          <w:trHeight w:val="429"/>
        </w:trPr>
        <w:tc>
          <w:tcPr>
            <w:tcW w:w="3419" w:type="dxa"/>
          </w:tcPr>
          <w:p w:rsidR="005F01BE" w:rsidRDefault="003E2C3A">
            <w:pPr>
              <w:spacing w:line="480" w:lineRule="auto"/>
              <w:jc w:val="both"/>
              <w:rPr>
                <w:color w:val="000000"/>
                <w:sz w:val="22"/>
                <w:szCs w:val="24"/>
              </w:rPr>
            </w:pPr>
            <w:r>
              <w:rPr>
                <w:color w:val="000000"/>
                <w:sz w:val="22"/>
                <w:szCs w:val="24"/>
              </w:rPr>
              <w:t>Corticosteroids</w:t>
            </w:r>
          </w:p>
        </w:tc>
        <w:tc>
          <w:tcPr>
            <w:tcW w:w="3419" w:type="dxa"/>
          </w:tcPr>
          <w:p w:rsidR="005F01BE" w:rsidRDefault="003E2C3A">
            <w:pPr>
              <w:spacing w:line="480" w:lineRule="auto"/>
              <w:jc w:val="both"/>
              <w:rPr>
                <w:color w:val="000000"/>
                <w:sz w:val="22"/>
                <w:szCs w:val="24"/>
              </w:rPr>
            </w:pPr>
            <w:r>
              <w:rPr>
                <w:color w:val="000000"/>
                <w:sz w:val="22"/>
                <w:szCs w:val="24"/>
              </w:rPr>
              <w:t>Vasodilators</w:t>
            </w:r>
          </w:p>
        </w:tc>
      </w:tr>
    </w:tbl>
    <w:p w:rsidR="005F01BE" w:rsidRDefault="003E2C3A">
      <w:pPr>
        <w:spacing w:after="0" w:line="480" w:lineRule="auto"/>
        <w:jc w:val="both"/>
        <w:rPr>
          <w:color w:val="000000"/>
          <w:sz w:val="24"/>
          <w:szCs w:val="26"/>
        </w:rPr>
      </w:pPr>
      <w:r>
        <w:rPr>
          <w:b/>
          <w:color w:val="000000"/>
          <w:sz w:val="24"/>
          <w:szCs w:val="26"/>
          <w:shd w:val="clear" w:color="auto" w:fill="FFFFFF"/>
        </w:rPr>
        <w:t>Source:</w:t>
      </w:r>
      <w:r>
        <w:rPr>
          <w:color w:val="000000"/>
          <w:sz w:val="24"/>
          <w:szCs w:val="26"/>
          <w:shd w:val="clear" w:color="auto" w:fill="FFFFFF"/>
        </w:rPr>
        <w:t xml:space="preserve"> Jinbu and Demitsu (2014).</w:t>
      </w:r>
    </w:p>
    <w:p w:rsidR="005F01BE" w:rsidRDefault="003E2C3A">
      <w:pPr>
        <w:spacing w:after="0" w:line="480" w:lineRule="auto"/>
        <w:ind w:firstLine="720"/>
        <w:jc w:val="both"/>
        <w:rPr>
          <w:color w:val="000000"/>
          <w:sz w:val="24"/>
          <w:szCs w:val="26"/>
        </w:rPr>
      </w:pPr>
      <w:r>
        <w:rPr>
          <w:color w:val="000000"/>
          <w:sz w:val="24"/>
          <w:szCs w:val="26"/>
        </w:rPr>
        <w:t>Alendronate (bisphosphonate).</w:t>
      </w:r>
      <w:r>
        <w:rPr>
          <w:color w:val="000000"/>
          <w:sz w:val="24"/>
          <w:szCs w:val="26"/>
        </w:rPr>
        <w:t xml:space="preserve"> Alendronate is a drug belonging to the diphosphonate family that has recently been used in the treatment of osteoporosis and other bone diseases. This drug has been demonstrated to induce progressive and significant increases in bone mineral density in wo</w:t>
      </w:r>
      <w:r>
        <w:rPr>
          <w:color w:val="000000"/>
          <w:sz w:val="24"/>
          <w:szCs w:val="26"/>
        </w:rPr>
        <w:t>men with osteoporosis. Bisphosphonate-related osteonecrosis of the jaw is a well-established adverse effect of bisphosphonates, but oral ulceration as a result of taking alendronate has also recently been reported. These oral ulcerations are induced by inc</w:t>
      </w:r>
      <w:r>
        <w:rPr>
          <w:color w:val="000000"/>
          <w:sz w:val="24"/>
          <w:szCs w:val="26"/>
        </w:rPr>
        <w:t xml:space="preserve">orrect use of the drugs and are caused by the drugs causing direct irritation as shown in figure 12 and 13 </w:t>
      </w:r>
      <w:r>
        <w:rPr>
          <w:color w:val="000000"/>
          <w:sz w:val="24"/>
          <w:szCs w:val="26"/>
          <w:shd w:val="clear" w:color="auto" w:fill="FFFFFF"/>
        </w:rPr>
        <w:t>Jinbu and Demitsu, (2014).</w:t>
      </w:r>
    </w:p>
    <w:p w:rsidR="005F01BE" w:rsidRDefault="003E2C3A">
      <w:pPr>
        <w:spacing w:after="0" w:line="480" w:lineRule="auto"/>
        <w:jc w:val="both"/>
        <w:rPr>
          <w:b/>
          <w:bCs/>
          <w:color w:val="000000"/>
          <w:sz w:val="24"/>
          <w:szCs w:val="26"/>
        </w:rPr>
      </w:pPr>
      <w:r>
        <w:rPr>
          <w:b/>
          <w:bCs/>
          <w:noProof/>
          <w:color w:val="000000"/>
          <w:sz w:val="24"/>
          <w:szCs w:val="26"/>
        </w:rPr>
        <w:lastRenderedPageBreak/>
        <w:drawing>
          <wp:inline distT="0" distB="0" distL="0" distR="0">
            <wp:extent cx="2586892" cy="1914707"/>
            <wp:effectExtent l="0" t="0" r="4445" b="0"/>
            <wp:docPr id="104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2"/>
                    <pic:cNvPicPr/>
                  </pic:nvPicPr>
                  <pic:blipFill>
                    <a:blip r:embed="rId26" cstate="print"/>
                    <a:srcRect/>
                    <a:stretch/>
                  </pic:blipFill>
                  <pic:spPr>
                    <a:xfrm>
                      <a:off x="0" y="0"/>
                      <a:ext cx="2586892" cy="1914707"/>
                    </a:xfrm>
                    <a:prstGeom prst="rect">
                      <a:avLst/>
                    </a:prstGeom>
                  </pic:spPr>
                </pic:pic>
              </a:graphicData>
            </a:graphic>
          </wp:inline>
        </w:drawing>
      </w:r>
    </w:p>
    <w:p w:rsidR="005F01BE" w:rsidRDefault="003E2C3A">
      <w:pPr>
        <w:spacing w:after="0" w:line="480" w:lineRule="auto"/>
        <w:jc w:val="both"/>
        <w:rPr>
          <w:b/>
          <w:bCs/>
          <w:color w:val="000000"/>
          <w:sz w:val="24"/>
          <w:szCs w:val="26"/>
        </w:rPr>
      </w:pPr>
      <w:r>
        <w:rPr>
          <w:b/>
          <w:bCs/>
          <w:color w:val="000000"/>
          <w:sz w:val="24"/>
          <w:szCs w:val="26"/>
        </w:rPr>
        <w:t>Figure 12: Indomethacin-induced oral ulceration. Ulceration on the left tongue margin with no induration. Line shows the</w:t>
      </w:r>
      <w:r>
        <w:rPr>
          <w:b/>
          <w:bCs/>
          <w:color w:val="000000"/>
          <w:sz w:val="24"/>
          <w:szCs w:val="26"/>
        </w:rPr>
        <w:t xml:space="preserve"> biopsy site. </w:t>
      </w:r>
    </w:p>
    <w:p w:rsidR="005F01BE" w:rsidRDefault="003E2C3A">
      <w:pPr>
        <w:spacing w:after="0" w:line="480" w:lineRule="auto"/>
        <w:jc w:val="both"/>
        <w:rPr>
          <w:color w:val="000000"/>
          <w:sz w:val="24"/>
          <w:szCs w:val="26"/>
        </w:rPr>
      </w:pPr>
      <w:r>
        <w:rPr>
          <w:b/>
          <w:bCs/>
          <w:color w:val="000000"/>
          <w:sz w:val="24"/>
          <w:szCs w:val="26"/>
        </w:rPr>
        <w:t xml:space="preserve">Source: </w:t>
      </w:r>
      <w:r>
        <w:rPr>
          <w:color w:val="000000"/>
          <w:sz w:val="24"/>
          <w:szCs w:val="26"/>
          <w:shd w:val="clear" w:color="auto" w:fill="FFFFFF"/>
        </w:rPr>
        <w:t>Jinbu and Demitsu, (2014).</w:t>
      </w: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2610338" cy="1970857"/>
            <wp:effectExtent l="0" t="0" r="0" b="0"/>
            <wp:docPr id="1043"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4"/>
                    <pic:cNvPicPr/>
                  </pic:nvPicPr>
                  <pic:blipFill>
                    <a:blip r:embed="rId27" cstate="print"/>
                    <a:srcRect/>
                    <a:stretch/>
                  </pic:blipFill>
                  <pic:spPr>
                    <a:xfrm>
                      <a:off x="0" y="0"/>
                      <a:ext cx="2610338" cy="1970857"/>
                    </a:xfrm>
                    <a:prstGeom prst="rect">
                      <a:avLst/>
                    </a:prstGeom>
                  </pic:spPr>
                </pic:pic>
              </a:graphicData>
            </a:graphic>
          </wp:inline>
        </w:drawing>
      </w:r>
    </w:p>
    <w:p w:rsidR="005F01BE" w:rsidRDefault="003E2C3A">
      <w:pPr>
        <w:spacing w:after="0" w:line="480" w:lineRule="auto"/>
        <w:jc w:val="both"/>
        <w:rPr>
          <w:b/>
          <w:bCs/>
          <w:color w:val="000000"/>
          <w:sz w:val="24"/>
          <w:szCs w:val="26"/>
        </w:rPr>
      </w:pPr>
      <w:r>
        <w:rPr>
          <w:b/>
          <w:bCs/>
          <w:color w:val="000000"/>
          <w:sz w:val="24"/>
          <w:szCs w:val="26"/>
        </w:rPr>
        <w:t>Figure 13: Oral ulcerations due to nicorandil. Multiple ulcers on bilateral buccal mucosa and bilateral tongue margins.</w:t>
      </w:r>
    </w:p>
    <w:p w:rsidR="005F01BE" w:rsidRDefault="003E2C3A">
      <w:pPr>
        <w:spacing w:after="0" w:line="480" w:lineRule="auto"/>
        <w:jc w:val="both"/>
        <w:rPr>
          <w:color w:val="000000"/>
          <w:sz w:val="24"/>
          <w:szCs w:val="26"/>
          <w:shd w:val="clear" w:color="auto" w:fill="FFFFFF"/>
        </w:rPr>
      </w:pPr>
      <w:r>
        <w:rPr>
          <w:color w:val="000000"/>
          <w:sz w:val="24"/>
          <w:szCs w:val="26"/>
          <w:shd w:val="clear" w:color="auto" w:fill="FFFFFF"/>
        </w:rPr>
        <w:t>Jinbu and Demitsu, (2014).</w:t>
      </w:r>
    </w:p>
    <w:p w:rsidR="005F01BE" w:rsidRDefault="003E2C3A">
      <w:pPr>
        <w:spacing w:after="0" w:line="480" w:lineRule="auto"/>
        <w:ind w:firstLine="720"/>
        <w:jc w:val="both"/>
        <w:rPr>
          <w:color w:val="000000"/>
          <w:sz w:val="24"/>
          <w:szCs w:val="26"/>
        </w:rPr>
      </w:pPr>
      <w:r>
        <w:rPr>
          <w:color w:val="000000"/>
          <w:sz w:val="24"/>
          <w:szCs w:val="26"/>
        </w:rPr>
        <w:t>The use of dopamine and the use of corticosteroids8 have been reported as risk factors for the development of pressure ulcer. Few reports have investigated the effect of prescription medications on pressure ulcer after it has developed. In addition, certai</w:t>
      </w:r>
      <w:r>
        <w:rPr>
          <w:color w:val="000000"/>
          <w:sz w:val="24"/>
          <w:szCs w:val="26"/>
        </w:rPr>
        <w:t xml:space="preserve">n </w:t>
      </w:r>
      <w:r>
        <w:rPr>
          <w:color w:val="000000"/>
          <w:sz w:val="24"/>
          <w:szCs w:val="26"/>
        </w:rPr>
        <w:lastRenderedPageBreak/>
        <w:t>medications have been reported to delay wound healing, but the effect of medications on pressure ulcer remains unclear.</w:t>
      </w:r>
      <w:r>
        <w:rPr>
          <w:color w:val="000000"/>
          <w:sz w:val="24"/>
          <w:szCs w:val="26"/>
          <w:shd w:val="clear" w:color="auto" w:fill="FFFFFF"/>
        </w:rPr>
        <w:t xml:space="preserve"> </w:t>
      </w:r>
      <w:r>
        <w:rPr>
          <w:color w:val="000000"/>
          <w:sz w:val="24"/>
          <w:szCs w:val="26"/>
        </w:rPr>
        <w:t>Non-steroidal anti-inflammatory drugs (NSAIDs) ongoing use of this class of medications is the second most common cause of ulcers (</w:t>
      </w:r>
      <w:r>
        <w:rPr>
          <w:color w:val="000000"/>
          <w:sz w:val="24"/>
          <w:szCs w:val="26"/>
          <w:shd w:val="clear" w:color="auto" w:fill="FFFFFF"/>
        </w:rPr>
        <w:t>Ara</w:t>
      </w:r>
      <w:r>
        <w:rPr>
          <w:color w:val="000000"/>
          <w:sz w:val="24"/>
          <w:szCs w:val="26"/>
          <w:shd w:val="clear" w:color="auto" w:fill="FFFFFF"/>
        </w:rPr>
        <w:t xml:space="preserve">i </w:t>
      </w:r>
      <w:r>
        <w:rPr>
          <w:i/>
          <w:iCs/>
          <w:color w:val="000000"/>
          <w:sz w:val="24"/>
          <w:szCs w:val="26"/>
          <w:shd w:val="clear" w:color="auto" w:fill="FFFFFF"/>
        </w:rPr>
        <w:t>et al</w:t>
      </w:r>
      <w:r>
        <w:rPr>
          <w:color w:val="000000"/>
          <w:sz w:val="24"/>
          <w:szCs w:val="26"/>
          <w:shd w:val="clear" w:color="auto" w:fill="FFFFFF"/>
        </w:rPr>
        <w:t>., 2020).</w:t>
      </w:r>
      <w:r>
        <w:rPr>
          <w:color w:val="000000"/>
          <w:sz w:val="24"/>
          <w:szCs w:val="26"/>
        </w:rPr>
        <w:t xml:space="preserve">These drugs (which include aspirin, ibuprofen, naproxen, diclofenac, tolmetin, piroxicam, fenoprofen, indomethacin, oxaprozin, ketoprofen, sulindac, nabumetone, etodolac, and salsalate) are acidic (Debjit </w:t>
      </w:r>
      <w:r>
        <w:rPr>
          <w:i/>
          <w:iCs/>
          <w:color w:val="000000"/>
          <w:sz w:val="24"/>
          <w:szCs w:val="26"/>
        </w:rPr>
        <w:t>et al</w:t>
      </w:r>
      <w:r>
        <w:rPr>
          <w:color w:val="000000"/>
          <w:sz w:val="24"/>
          <w:szCs w:val="26"/>
        </w:rPr>
        <w:t>., 2010).</w:t>
      </w:r>
    </w:p>
    <w:p w:rsidR="005F01BE" w:rsidRDefault="003E2C3A">
      <w:pPr>
        <w:spacing w:after="0"/>
        <w:jc w:val="both"/>
        <w:rPr>
          <w:b/>
          <w:bCs/>
          <w:color w:val="000000"/>
          <w:sz w:val="24"/>
          <w:szCs w:val="26"/>
        </w:rPr>
      </w:pPr>
      <w:r>
        <w:rPr>
          <w:b/>
          <w:bCs/>
          <w:color w:val="000000"/>
          <w:sz w:val="24"/>
          <w:szCs w:val="26"/>
        </w:rPr>
        <w:t>2.3.3 Dietary Factor</w:t>
      </w:r>
      <w:r>
        <w:rPr>
          <w:b/>
          <w:bCs/>
          <w:color w:val="000000"/>
          <w:sz w:val="24"/>
          <w:szCs w:val="26"/>
        </w:rPr>
        <w:t>s</w:t>
      </w:r>
    </w:p>
    <w:p w:rsidR="005F01BE" w:rsidRDefault="003E2C3A">
      <w:pPr>
        <w:pStyle w:val="NormalWeb"/>
        <w:spacing w:after="0" w:afterAutospacing="0" w:line="480" w:lineRule="auto"/>
        <w:ind w:firstLine="720"/>
        <w:jc w:val="both"/>
        <w:rPr>
          <w:color w:val="000000"/>
          <w:szCs w:val="26"/>
        </w:rPr>
      </w:pPr>
      <w:r>
        <w:rPr>
          <w:color w:val="000000"/>
          <w:szCs w:val="26"/>
        </w:rPr>
        <w:t>Various factors contribute to ulcer development, including Helicobacter pylori infection, nonsteroidal anti-inflammatory drug (NSAID) use, and lifestyle factors such as diet (Lanas and Chan, 2017). Spicy foods, particularly those containing capsaicin, ha</w:t>
      </w:r>
      <w:r>
        <w:rPr>
          <w:color w:val="000000"/>
          <w:szCs w:val="26"/>
        </w:rPr>
        <w:t xml:space="preserve">ve been controversially linked to ulcer development. Some studies suggest that excessive consumption of spicy foods can exacerbate gastric mucosal irritation and increase acid secretion (Zhu </w:t>
      </w:r>
      <w:r>
        <w:rPr>
          <w:i/>
          <w:iCs/>
          <w:color w:val="000000"/>
          <w:szCs w:val="26"/>
        </w:rPr>
        <w:t>et al</w:t>
      </w:r>
      <w:r>
        <w:rPr>
          <w:color w:val="000000"/>
          <w:szCs w:val="26"/>
        </w:rPr>
        <w:t>., 2019). However, other research indicates that capsaicin m</w:t>
      </w:r>
      <w:r>
        <w:rPr>
          <w:color w:val="000000"/>
          <w:szCs w:val="26"/>
        </w:rPr>
        <w:t xml:space="preserve">ay have protective effects by stimulating mucus secretion and promoting gastric mucosal blood flow (Satyanarayana </w:t>
      </w:r>
      <w:r>
        <w:rPr>
          <w:i/>
          <w:iCs/>
          <w:color w:val="000000"/>
          <w:szCs w:val="26"/>
        </w:rPr>
        <w:t>et al</w:t>
      </w:r>
      <w:r>
        <w:rPr>
          <w:color w:val="000000"/>
          <w:szCs w:val="26"/>
        </w:rPr>
        <w:t>., 2021). Despite these conflicting findings, individuals with existing ulcers are often advised to limit spicy food intake.</w:t>
      </w:r>
    </w:p>
    <w:p w:rsidR="005F01BE" w:rsidRDefault="003E2C3A">
      <w:pPr>
        <w:pStyle w:val="NormalWeb"/>
        <w:spacing w:after="0" w:afterAutospacing="0" w:line="480" w:lineRule="auto"/>
        <w:ind w:firstLine="720"/>
        <w:jc w:val="both"/>
        <w:rPr>
          <w:color w:val="000000"/>
          <w:szCs w:val="26"/>
        </w:rPr>
      </w:pPr>
      <w:r>
        <w:rPr>
          <w:color w:val="000000"/>
          <w:szCs w:val="26"/>
        </w:rPr>
        <w:t xml:space="preserve">A diet high </w:t>
      </w:r>
      <w:r>
        <w:rPr>
          <w:color w:val="000000"/>
          <w:szCs w:val="26"/>
        </w:rPr>
        <w:t xml:space="preserve">in sodium has been implicated in gastric mucosal damage and increased susceptibility to H. pylori infection, which is a major risk factor for ulcers (Huang </w:t>
      </w:r>
      <w:r>
        <w:rPr>
          <w:i/>
          <w:iCs/>
          <w:color w:val="000000"/>
          <w:szCs w:val="26"/>
        </w:rPr>
        <w:t>et al</w:t>
      </w:r>
      <w:r>
        <w:rPr>
          <w:color w:val="000000"/>
          <w:szCs w:val="26"/>
        </w:rPr>
        <w:t>., 2017). High salt intake may alter gastric mucus composition and impair its protective functi</w:t>
      </w:r>
      <w:r>
        <w:rPr>
          <w:color w:val="000000"/>
          <w:szCs w:val="26"/>
        </w:rPr>
        <w:t xml:space="preserve">ons, thereby making the stomach lining more vulnerable to acid-induced </w:t>
      </w:r>
      <w:r>
        <w:rPr>
          <w:color w:val="000000"/>
          <w:szCs w:val="26"/>
        </w:rPr>
        <w:lastRenderedPageBreak/>
        <w:t xml:space="preserve">injury (Gaddy </w:t>
      </w:r>
      <w:r>
        <w:rPr>
          <w:i/>
          <w:iCs/>
          <w:color w:val="000000"/>
          <w:szCs w:val="26"/>
        </w:rPr>
        <w:t>et al</w:t>
      </w:r>
      <w:r>
        <w:rPr>
          <w:color w:val="000000"/>
          <w:szCs w:val="26"/>
        </w:rPr>
        <w:t>., 2019). Excessive alcohol consumption has been shown to contribute to ulcer formation by weakening the gastric mucosal barrier and increasing acid production (Jiang</w:t>
      </w:r>
      <w:r>
        <w:rPr>
          <w:color w:val="000000"/>
          <w:szCs w:val="26"/>
        </w:rPr>
        <w:t xml:space="preserve"> </w:t>
      </w:r>
      <w:r>
        <w:rPr>
          <w:i/>
          <w:iCs/>
          <w:color w:val="000000"/>
          <w:szCs w:val="26"/>
        </w:rPr>
        <w:t>et al</w:t>
      </w:r>
      <w:r>
        <w:rPr>
          <w:color w:val="000000"/>
          <w:szCs w:val="26"/>
        </w:rPr>
        <w:t xml:space="preserve">., 2021). Alcohol can also stimulate inflammatory responses and delay ulcer healing by interfering with prostaglandin synthesis (Matsuhashi </w:t>
      </w:r>
      <w:r>
        <w:rPr>
          <w:i/>
          <w:iCs/>
          <w:color w:val="000000"/>
          <w:szCs w:val="26"/>
        </w:rPr>
        <w:t>et al</w:t>
      </w:r>
      <w:r>
        <w:rPr>
          <w:color w:val="000000"/>
          <w:szCs w:val="26"/>
        </w:rPr>
        <w:t xml:space="preserve">., 2018). </w:t>
      </w:r>
    </w:p>
    <w:p w:rsidR="005F01BE" w:rsidRDefault="003E2C3A">
      <w:pPr>
        <w:pStyle w:val="NormalWeb"/>
        <w:spacing w:after="0" w:afterAutospacing="0" w:line="480" w:lineRule="auto"/>
        <w:ind w:firstLine="720"/>
        <w:jc w:val="both"/>
        <w:rPr>
          <w:color w:val="000000"/>
          <w:szCs w:val="26"/>
        </w:rPr>
      </w:pPr>
      <w:r>
        <w:rPr>
          <w:color w:val="000000"/>
          <w:szCs w:val="26"/>
        </w:rPr>
        <w:t xml:space="preserve">Diets rich in processed foods containing artificial additives, preservatives, and high levels </w:t>
      </w:r>
      <w:r>
        <w:rPr>
          <w:color w:val="000000"/>
          <w:szCs w:val="26"/>
        </w:rPr>
        <w:t xml:space="preserve">of unhealthy fats have been associated with increased ulcer risk (Zhang </w:t>
      </w:r>
      <w:r>
        <w:rPr>
          <w:i/>
          <w:iCs/>
          <w:color w:val="000000"/>
          <w:szCs w:val="26"/>
        </w:rPr>
        <w:t>et al</w:t>
      </w:r>
      <w:r>
        <w:rPr>
          <w:color w:val="000000"/>
          <w:szCs w:val="26"/>
        </w:rPr>
        <w:t>., 2019). These foods may promote inflammation and oxidative stress, which can weaken the mucosal defense system and contribute to ulcerogenesis (Patel and Shah, 2022). While certain dietary habits contribute to ulcer formation, others may offer protection</w:t>
      </w:r>
      <w:r>
        <w:rPr>
          <w:color w:val="000000"/>
          <w:szCs w:val="26"/>
        </w:rPr>
        <w:t xml:space="preserve">. Diets rich in fiber, particularly from fruits, vegetables, and whole grains, have been shown to reduce ulcer risk by promoting healthy gut microbiota and enhancing mucosal integrity (Song </w:t>
      </w:r>
      <w:r>
        <w:rPr>
          <w:i/>
          <w:iCs/>
          <w:color w:val="000000"/>
          <w:szCs w:val="26"/>
        </w:rPr>
        <w:t>et al</w:t>
      </w:r>
      <w:r>
        <w:rPr>
          <w:color w:val="000000"/>
          <w:szCs w:val="26"/>
        </w:rPr>
        <w:t xml:space="preserve">., 2018). </w:t>
      </w:r>
    </w:p>
    <w:p w:rsidR="005F01BE" w:rsidRDefault="003E2C3A">
      <w:pPr>
        <w:spacing w:before="100" w:beforeAutospacing="1" w:after="0" w:line="480" w:lineRule="auto"/>
        <w:jc w:val="both"/>
        <w:rPr>
          <w:rFonts w:eastAsia="Times New Roman"/>
          <w:noProof/>
          <w:color w:val="000000"/>
          <w:sz w:val="24"/>
          <w:szCs w:val="26"/>
        </w:rPr>
      </w:pPr>
      <w:r>
        <w:rPr>
          <w:rFonts w:eastAsia="Times New Roman"/>
          <w:noProof/>
          <w:color w:val="000000"/>
          <w:sz w:val="24"/>
          <w:szCs w:val="26"/>
        </w:rPr>
        <w:lastRenderedPageBreak/>
        <w:drawing>
          <wp:inline distT="0" distB="0" distL="0" distR="0">
            <wp:extent cx="3800475" cy="2809875"/>
            <wp:effectExtent l="0" t="0" r="9525" b="9525"/>
            <wp:docPr id="104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9"/>
                    <pic:cNvPicPr/>
                  </pic:nvPicPr>
                  <pic:blipFill>
                    <a:blip r:embed="rId28" cstate="print"/>
                    <a:srcRect l="3954" t="11172" r="4382" b="6436"/>
                    <a:stretch/>
                  </pic:blipFill>
                  <pic:spPr>
                    <a:xfrm>
                      <a:off x="0" y="0"/>
                      <a:ext cx="3800475" cy="2809875"/>
                    </a:xfrm>
                    <a:prstGeom prst="rect">
                      <a:avLst/>
                    </a:prstGeom>
                    <a:ln>
                      <a:noFill/>
                    </a:ln>
                  </pic:spPr>
                </pic:pic>
              </a:graphicData>
            </a:graphic>
          </wp:inline>
        </w:drawing>
      </w:r>
    </w:p>
    <w:p w:rsidR="005F01BE" w:rsidRDefault="003E2C3A">
      <w:pPr>
        <w:spacing w:before="100" w:beforeAutospacing="1" w:after="0"/>
        <w:jc w:val="both"/>
        <w:rPr>
          <w:rFonts w:eastAsia="Times New Roman"/>
          <w:b/>
          <w:bCs/>
          <w:color w:val="000000"/>
          <w:sz w:val="24"/>
          <w:szCs w:val="26"/>
        </w:rPr>
      </w:pPr>
      <w:r>
        <w:rPr>
          <w:rFonts w:eastAsia="Times New Roman"/>
          <w:b/>
          <w:bCs/>
          <w:color w:val="000000"/>
          <w:sz w:val="24"/>
          <w:szCs w:val="26"/>
        </w:rPr>
        <w:t xml:space="preserve">Figure 14: Stomach ulcer Diet </w:t>
      </w:r>
    </w:p>
    <w:p w:rsidR="005F01BE" w:rsidRDefault="003E2C3A">
      <w:pPr>
        <w:spacing w:before="100" w:beforeAutospacing="1" w:after="0"/>
        <w:jc w:val="both"/>
        <w:rPr>
          <w:rFonts w:eastAsia="Times New Roman"/>
          <w:color w:val="000000"/>
          <w:sz w:val="24"/>
          <w:szCs w:val="26"/>
        </w:rPr>
      </w:pPr>
      <w:r>
        <w:rPr>
          <w:rFonts w:eastAsia="Times New Roman"/>
          <w:b/>
          <w:color w:val="000000"/>
          <w:sz w:val="24"/>
          <w:szCs w:val="26"/>
        </w:rPr>
        <w:t>Source:</w:t>
      </w:r>
      <w:r>
        <w:rPr>
          <w:rFonts w:eastAsia="Times New Roman"/>
          <w:color w:val="000000"/>
          <w:sz w:val="24"/>
          <w:szCs w:val="26"/>
        </w:rPr>
        <w:t xml:space="preserve"> </w:t>
      </w:r>
      <w:hyperlink r:id="rId29" w:history="1">
        <w:r>
          <w:rPr>
            <w:rStyle w:val="Hyperlink"/>
            <w:rFonts w:eastAsia="Times New Roman"/>
            <w:color w:val="000000"/>
            <w:sz w:val="24"/>
            <w:szCs w:val="26"/>
          </w:rPr>
          <w:t>www.sprintmedical.in</w:t>
        </w:r>
      </w:hyperlink>
    </w:p>
    <w:p w:rsidR="005F01BE" w:rsidRDefault="005F01BE">
      <w:pPr>
        <w:spacing w:before="100" w:beforeAutospacing="1" w:after="0"/>
        <w:jc w:val="both"/>
        <w:rPr>
          <w:rFonts w:eastAsia="Times New Roman"/>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t>2.4 Pathophysiology of Ulcer</w:t>
      </w:r>
    </w:p>
    <w:p w:rsidR="005F01BE" w:rsidRDefault="003E2C3A">
      <w:pPr>
        <w:spacing w:after="0" w:line="480" w:lineRule="auto"/>
        <w:ind w:firstLine="720"/>
        <w:jc w:val="both"/>
        <w:rPr>
          <w:color w:val="000000"/>
          <w:sz w:val="24"/>
          <w:szCs w:val="26"/>
        </w:rPr>
      </w:pPr>
      <w:r>
        <w:rPr>
          <w:color w:val="000000"/>
          <w:sz w:val="24"/>
          <w:szCs w:val="26"/>
        </w:rPr>
        <w:t>In recent years the hospitalization rate for duodenal ulcer (DU) has decreased by 43%, that for gastric ulcer (GU) by 8% and mortality by ca. 62%. At first sight these fi</w:t>
      </w:r>
      <w:r>
        <w:rPr>
          <w:color w:val="000000"/>
          <w:sz w:val="24"/>
          <w:szCs w:val="26"/>
        </w:rPr>
        <w:t>gures might suggest that the disease as such is dying out. This is an illusion based to some extent on improvements in diagnosis, therapy and control of complications. Gastric acid (HCl) and pepsin play a crucial role in digestion but can also contribute t</w:t>
      </w:r>
      <w:r>
        <w:rPr>
          <w:color w:val="000000"/>
          <w:sz w:val="24"/>
          <w:szCs w:val="26"/>
        </w:rPr>
        <w:t xml:space="preserve">o mucosal injury when unregulated. The parietal cells of the stomach secrete acid under the influence of histamine, gastrin, and acetylcholine (Kumar </w:t>
      </w:r>
      <w:r>
        <w:rPr>
          <w:i/>
          <w:iCs/>
          <w:color w:val="000000"/>
          <w:sz w:val="24"/>
          <w:szCs w:val="26"/>
        </w:rPr>
        <w:t>et al</w:t>
      </w:r>
      <w:r>
        <w:rPr>
          <w:color w:val="000000"/>
          <w:sz w:val="24"/>
          <w:szCs w:val="26"/>
        </w:rPr>
        <w:t xml:space="preserve">., 2021). Excessive acid production leads to mucosal erosion and ulcer formation, especially in conditions such as </w:t>
      </w:r>
      <w:r>
        <w:rPr>
          <w:color w:val="000000"/>
          <w:sz w:val="24"/>
          <w:szCs w:val="26"/>
        </w:rPr>
        <w:lastRenderedPageBreak/>
        <w:t>Zollinger-Ellison syndrome (Sundaram and Sitaraman, 2018). Pepsin, a proteolytic enzyme, further degrades the mucosal proteins, worsening ulc</w:t>
      </w:r>
      <w:r>
        <w:rPr>
          <w:color w:val="000000"/>
          <w:sz w:val="24"/>
          <w:szCs w:val="26"/>
        </w:rPr>
        <w:t xml:space="preserve">eration (Wang </w:t>
      </w:r>
      <w:r>
        <w:rPr>
          <w:i/>
          <w:iCs/>
          <w:color w:val="000000"/>
          <w:sz w:val="24"/>
          <w:szCs w:val="26"/>
        </w:rPr>
        <w:t>et al</w:t>
      </w:r>
      <w:r>
        <w:rPr>
          <w:color w:val="000000"/>
          <w:sz w:val="24"/>
          <w:szCs w:val="26"/>
        </w:rPr>
        <w:t>., 2019).</w:t>
      </w:r>
    </w:p>
    <w:p w:rsidR="005F01BE" w:rsidRDefault="003E2C3A">
      <w:pPr>
        <w:spacing w:after="0" w:line="480" w:lineRule="auto"/>
        <w:ind w:firstLine="720"/>
        <w:jc w:val="both"/>
        <w:rPr>
          <w:color w:val="000000"/>
          <w:sz w:val="24"/>
          <w:szCs w:val="26"/>
        </w:rPr>
      </w:pPr>
      <w:r>
        <w:rPr>
          <w:color w:val="000000"/>
          <w:sz w:val="24"/>
          <w:szCs w:val="26"/>
        </w:rPr>
        <w:t>The majority of the Helicobacter pylori bacteria live freely in colonized hosts, but ~20% are believed to bind gastric epithelial cells. The bacteria colonize the gastric mucosa, producing urease, which converts urea into ammon</w:t>
      </w:r>
      <w:r>
        <w:rPr>
          <w:color w:val="000000"/>
          <w:sz w:val="24"/>
          <w:szCs w:val="26"/>
        </w:rPr>
        <w:t xml:space="preserve">ia, neutralizing stomach acid and allowing bacterial survival (Hooi </w:t>
      </w:r>
      <w:r>
        <w:rPr>
          <w:i/>
          <w:iCs/>
          <w:color w:val="000000"/>
          <w:sz w:val="24"/>
          <w:szCs w:val="26"/>
        </w:rPr>
        <w:t>et al</w:t>
      </w:r>
      <w:r>
        <w:rPr>
          <w:color w:val="000000"/>
          <w:sz w:val="24"/>
          <w:szCs w:val="26"/>
        </w:rPr>
        <w:t>., 2017). Additionally, H. pylori releases cytotoxins such as CagA (cytotoxin-associated gene A) and VacA (vacuolating cytotoxin A), leading to epithelial cell damage, inflammation, a</w:t>
      </w:r>
      <w:r>
        <w:rPr>
          <w:color w:val="000000"/>
          <w:sz w:val="24"/>
          <w:szCs w:val="26"/>
        </w:rPr>
        <w:t>nd disruption of gastric mucosal integrity (Chey and Leontiadis, 2018).</w:t>
      </w:r>
    </w:p>
    <w:p w:rsidR="005F01BE" w:rsidRDefault="003E2C3A">
      <w:pPr>
        <w:spacing w:after="0" w:line="480" w:lineRule="auto"/>
        <w:ind w:firstLine="720"/>
        <w:jc w:val="both"/>
        <w:rPr>
          <w:color w:val="000000"/>
          <w:sz w:val="24"/>
          <w:szCs w:val="26"/>
        </w:rPr>
      </w:pPr>
      <w:r>
        <w:rPr>
          <w:color w:val="000000"/>
          <w:sz w:val="24"/>
          <w:szCs w:val="26"/>
        </w:rPr>
        <w:t xml:space="preserve">This colonization is highly specific in vivo when it overlays islands of gastric metaplasia (Peek and Crabtree, 2006). </w:t>
      </w:r>
      <w:r>
        <w:rPr>
          <w:i/>
          <w:color w:val="000000"/>
          <w:sz w:val="24"/>
          <w:szCs w:val="26"/>
        </w:rPr>
        <w:t>Helicobacter pylori</w:t>
      </w:r>
      <w:r>
        <w:rPr>
          <w:color w:val="000000"/>
          <w:sz w:val="24"/>
          <w:szCs w:val="26"/>
        </w:rPr>
        <w:t xml:space="preserve"> is well characterized as determining the ‘cag</w:t>
      </w:r>
      <w:r>
        <w:rPr>
          <w:color w:val="000000"/>
          <w:sz w:val="24"/>
          <w:szCs w:val="26"/>
        </w:rPr>
        <w:t>’ pathogenicity island (cag PAI), a multigene locus. It induces gastritis augmenting the risk for atrophie gastritis and distal gastric cancer. In most people, however, it remains asymptomatic. It would be useful to identify a few people with high risk, be</w:t>
      </w:r>
      <w:r>
        <w:rPr>
          <w:color w:val="000000"/>
          <w:sz w:val="24"/>
          <w:szCs w:val="26"/>
        </w:rPr>
        <w:t>cause they could serve as a paradigm for the chronie role of inflammation in the genesis of malignancies that arise in the gastrointestinal tract. Helicobacter pylori is not the only organism that is believed to cause active chronie gastritis in man. Other</w:t>
      </w:r>
      <w:r>
        <w:rPr>
          <w:color w:val="000000"/>
          <w:sz w:val="24"/>
          <w:szCs w:val="26"/>
        </w:rPr>
        <w:t xml:space="preserve"> infections with spiral organisms have been described (Israel and Peek, 2006).</w:t>
      </w:r>
    </w:p>
    <w:p w:rsidR="005F01BE" w:rsidRDefault="003E2C3A">
      <w:pPr>
        <w:spacing w:after="0" w:line="480" w:lineRule="auto"/>
        <w:ind w:firstLine="720"/>
        <w:jc w:val="both"/>
        <w:rPr>
          <w:color w:val="000000"/>
          <w:sz w:val="24"/>
          <w:szCs w:val="26"/>
        </w:rPr>
      </w:pPr>
      <w:r>
        <w:rPr>
          <w:color w:val="000000"/>
          <w:sz w:val="24"/>
          <w:szCs w:val="26"/>
        </w:rPr>
        <w:t xml:space="preserve">The bacillus is sensitive to penicillin, erythromycin, cephalosporins, gentamycin, tetracycline and bismuth citrate. Ranitidine has been combined with bismuth citrate </w:t>
      </w:r>
      <w:r>
        <w:rPr>
          <w:color w:val="000000"/>
          <w:sz w:val="24"/>
          <w:szCs w:val="26"/>
        </w:rPr>
        <w:lastRenderedPageBreak/>
        <w:t>(RBC), cla</w:t>
      </w:r>
      <w:r>
        <w:rPr>
          <w:color w:val="000000"/>
          <w:sz w:val="24"/>
          <w:szCs w:val="26"/>
        </w:rPr>
        <w:t>rithromycin or amoxycillin. In 70% of patients the peptic ulcer healed within 4 weeks, but only 41-48% of the Helicobacter organism were eradicated. In a randomized study of 900 patients with peptic complaints an average of 75% of those given the combinati</w:t>
      </w:r>
      <w:r>
        <w:rPr>
          <w:color w:val="000000"/>
          <w:sz w:val="24"/>
          <w:szCs w:val="26"/>
        </w:rPr>
        <w:t>on of omeprazole plus clarithromycin, had Helicobacter eradication, but at 6 months 30% in one study and 52% in another had ulcer recurrence. In a third study at final analyses after 4-6 weeks 50-70% of ulcers had not healed (Bamett, 1995).</w:t>
      </w:r>
    </w:p>
    <w:p w:rsidR="005F01BE" w:rsidRDefault="003E2C3A">
      <w:pPr>
        <w:spacing w:after="0" w:line="480" w:lineRule="auto"/>
        <w:jc w:val="both"/>
        <w:rPr>
          <w:b/>
          <w:color w:val="000000"/>
          <w:sz w:val="24"/>
          <w:szCs w:val="26"/>
        </w:rPr>
      </w:pPr>
      <w:r>
        <w:rPr>
          <w:b/>
          <w:color w:val="000000"/>
          <w:sz w:val="24"/>
          <w:szCs w:val="26"/>
        </w:rPr>
        <w:t xml:space="preserve">2.5 </w:t>
      </w:r>
      <w:r>
        <w:rPr>
          <w:b/>
          <w:i/>
          <w:color w:val="000000"/>
          <w:sz w:val="24"/>
          <w:szCs w:val="26"/>
        </w:rPr>
        <w:t>Sida acuta</w:t>
      </w:r>
      <w:r>
        <w:rPr>
          <w:b/>
          <w:color w:val="000000"/>
          <w:sz w:val="24"/>
          <w:szCs w:val="26"/>
        </w:rPr>
        <w:t xml:space="preserve"> </w:t>
      </w:r>
    </w:p>
    <w:p w:rsidR="005F01BE" w:rsidRDefault="003E2C3A">
      <w:pPr>
        <w:spacing w:after="0" w:line="480" w:lineRule="auto"/>
        <w:ind w:firstLine="720"/>
        <w:jc w:val="both"/>
        <w:rPr>
          <w:color w:val="000000"/>
          <w:sz w:val="24"/>
          <w:szCs w:val="26"/>
        </w:rPr>
      </w:pPr>
      <w:r>
        <w:rPr>
          <w:color w:val="000000"/>
          <w:sz w:val="24"/>
          <w:szCs w:val="26"/>
        </w:rPr>
        <w:t>The important of plants of various types cannot be over emphasized. Since the time immemorial, plant has been taking so important in various approaches. Several plant leaves are delicacy in the preparation of stew in some tribes, which when its number and</w:t>
      </w:r>
      <w:r>
        <w:rPr>
          <w:color w:val="000000"/>
          <w:sz w:val="24"/>
          <w:szCs w:val="26"/>
        </w:rPr>
        <w:t xml:space="preserve"> types is not complete the stew look awkward and unacceptable to them. The belief is that different plant contributes different nutrient to the stew which make it delicious and nutritional. Therefore plenty plants of proven nutritional/ medicinal quality a</w:t>
      </w:r>
      <w:r>
        <w:rPr>
          <w:color w:val="000000"/>
          <w:sz w:val="24"/>
          <w:szCs w:val="26"/>
        </w:rPr>
        <w:t>re of important to many pharmaceutical companies manufacturing a wide range of allopathic medicines, due to their phytochemical properties. This has caused increasing consideration of natural drug to an individual and most companies producing most syntheti</w:t>
      </w:r>
      <w:r>
        <w:rPr>
          <w:color w:val="000000"/>
          <w:sz w:val="24"/>
          <w:szCs w:val="26"/>
        </w:rPr>
        <w:t>c drug (Shittu and Alagbe, 2020).</w:t>
      </w:r>
    </w:p>
    <w:p w:rsidR="005F01BE" w:rsidRDefault="003E2C3A">
      <w:pPr>
        <w:spacing w:after="0" w:line="480" w:lineRule="auto"/>
        <w:ind w:firstLine="720"/>
        <w:jc w:val="both"/>
        <w:rPr>
          <w:color w:val="000000"/>
          <w:sz w:val="24"/>
          <w:szCs w:val="26"/>
        </w:rPr>
      </w:pPr>
      <w:r>
        <w:rPr>
          <w:i/>
          <w:color w:val="000000"/>
          <w:sz w:val="24"/>
          <w:szCs w:val="26"/>
        </w:rPr>
        <w:t>Sida acuta</w:t>
      </w:r>
      <w:r>
        <w:rPr>
          <w:color w:val="000000"/>
          <w:sz w:val="24"/>
          <w:szCs w:val="26"/>
        </w:rPr>
        <w:t xml:space="preserve"> (broom weed) is one of the plants with medicinal potential qualities and present in abundance in the tropics. It is drought resistance tropical weeds that are common in almost everywhere. </w:t>
      </w:r>
      <w:r>
        <w:rPr>
          <w:i/>
          <w:color w:val="000000"/>
          <w:sz w:val="24"/>
          <w:szCs w:val="26"/>
        </w:rPr>
        <w:t>Sida acuta</w:t>
      </w:r>
      <w:r>
        <w:rPr>
          <w:color w:val="000000"/>
          <w:sz w:val="24"/>
          <w:szCs w:val="26"/>
        </w:rPr>
        <w:t xml:space="preserve"> is an erect,</w:t>
      </w:r>
      <w:r>
        <w:rPr>
          <w:color w:val="000000"/>
          <w:sz w:val="24"/>
          <w:szCs w:val="26"/>
        </w:rPr>
        <w:t xml:space="preserve"> branched and perennial shrub with a woody tap root, hairy branded up to 1 m high and is reproduced from their seeds. The </w:t>
      </w:r>
      <w:r>
        <w:rPr>
          <w:color w:val="000000"/>
          <w:sz w:val="24"/>
          <w:szCs w:val="26"/>
        </w:rPr>
        <w:lastRenderedPageBreak/>
        <w:t>stem is woody, rounded and slender, and is fibrous and hairy especially when young. The leaves are simple and alternate while the infl</w:t>
      </w:r>
      <w:r>
        <w:rPr>
          <w:color w:val="000000"/>
          <w:sz w:val="24"/>
          <w:szCs w:val="26"/>
        </w:rPr>
        <w:t>orescence is solitary and axillary with stalks up to 1.3 cm long jointed about half of the length. The flowers are yellow with five petals and the fruit is capsuled with 5-6 carpels (Ekpo and Etim, 2009).</w:t>
      </w:r>
    </w:p>
    <w:p w:rsidR="005F01BE" w:rsidRDefault="003E2C3A">
      <w:pPr>
        <w:spacing w:after="0" w:line="480" w:lineRule="auto"/>
        <w:ind w:firstLine="720"/>
        <w:jc w:val="both"/>
        <w:rPr>
          <w:color w:val="000000"/>
          <w:sz w:val="24"/>
          <w:szCs w:val="26"/>
          <w:shd w:val="clear" w:color="auto" w:fill="FFFFFF"/>
        </w:rPr>
      </w:pPr>
      <w:r>
        <w:rPr>
          <w:color w:val="000000"/>
          <w:sz w:val="24"/>
          <w:szCs w:val="26"/>
        </w:rPr>
        <w:t xml:space="preserve">As shown in figure 15, the bark of </w:t>
      </w:r>
      <w:r>
        <w:rPr>
          <w:i/>
          <w:color w:val="000000"/>
          <w:sz w:val="24"/>
          <w:szCs w:val="26"/>
        </w:rPr>
        <w:t>Sida acuta</w:t>
      </w:r>
      <w:r>
        <w:rPr>
          <w:color w:val="000000"/>
          <w:sz w:val="24"/>
          <w:szCs w:val="26"/>
        </w:rPr>
        <w:t xml:space="preserve"> is smooth, greenish, the root is thin, long, cylindrical and very rough; leaves are lanceolate, the flowers are yellow, solitary or in pairs; seeds are smooth and black. In Indian traditional medicine, the root of </w:t>
      </w:r>
      <w:r>
        <w:rPr>
          <w:i/>
          <w:color w:val="000000"/>
          <w:sz w:val="24"/>
          <w:szCs w:val="26"/>
        </w:rPr>
        <w:t>Sida acuta</w:t>
      </w:r>
      <w:r>
        <w:rPr>
          <w:color w:val="000000"/>
          <w:sz w:val="24"/>
          <w:szCs w:val="26"/>
        </w:rPr>
        <w:t xml:space="preserve"> is extensively used as a stoma</w:t>
      </w:r>
      <w:r>
        <w:rPr>
          <w:color w:val="000000"/>
          <w:sz w:val="24"/>
          <w:szCs w:val="26"/>
        </w:rPr>
        <w:t xml:space="preserve">chic, diaphoretic and antipyretic. It is regarded as cooling, astringent, tonic and useful in treating nervous and urinary diseases and also disorders of the blood, bile and liver (Khare </w:t>
      </w:r>
      <w:r>
        <w:rPr>
          <w:i/>
          <w:iCs/>
          <w:color w:val="000000"/>
          <w:sz w:val="24"/>
          <w:szCs w:val="26"/>
        </w:rPr>
        <w:t>et al</w:t>
      </w:r>
      <w:r>
        <w:rPr>
          <w:color w:val="000000"/>
          <w:sz w:val="24"/>
          <w:szCs w:val="26"/>
        </w:rPr>
        <w:t xml:space="preserve">., 2002).The ethanol extract of </w:t>
      </w:r>
      <w:r>
        <w:rPr>
          <w:i/>
          <w:color w:val="000000"/>
          <w:sz w:val="24"/>
          <w:szCs w:val="26"/>
        </w:rPr>
        <w:t>Sida acuta</w:t>
      </w:r>
      <w:r>
        <w:rPr>
          <w:color w:val="000000"/>
          <w:sz w:val="24"/>
          <w:szCs w:val="26"/>
        </w:rPr>
        <w:t xml:space="preserve"> whole plant exhibited</w:t>
      </w:r>
      <w:r>
        <w:rPr>
          <w:color w:val="000000"/>
          <w:sz w:val="24"/>
          <w:szCs w:val="26"/>
        </w:rPr>
        <w:t xml:space="preserve"> moderate anti-ulcer activity in ulcer models in rats (Malairajan </w:t>
      </w:r>
      <w:r>
        <w:rPr>
          <w:i/>
          <w:iCs/>
          <w:color w:val="000000"/>
          <w:sz w:val="24"/>
          <w:szCs w:val="26"/>
        </w:rPr>
        <w:t>et al</w:t>
      </w:r>
      <w:r>
        <w:rPr>
          <w:color w:val="000000"/>
          <w:sz w:val="24"/>
          <w:szCs w:val="26"/>
        </w:rPr>
        <w:t xml:space="preserve">., 2006). The ethanol extract of </w:t>
      </w:r>
      <w:r>
        <w:rPr>
          <w:i/>
          <w:color w:val="000000"/>
          <w:sz w:val="24"/>
          <w:szCs w:val="26"/>
        </w:rPr>
        <w:t>S. acuta</w:t>
      </w:r>
      <w:r>
        <w:rPr>
          <w:color w:val="000000"/>
          <w:sz w:val="24"/>
          <w:szCs w:val="26"/>
        </w:rPr>
        <w:t xml:space="preserve"> leaf also exhibited antiulcer activity in ulcer models in rats (Akilandeswari </w:t>
      </w:r>
      <w:r>
        <w:rPr>
          <w:i/>
          <w:iCs/>
          <w:color w:val="000000"/>
          <w:sz w:val="24"/>
          <w:szCs w:val="26"/>
        </w:rPr>
        <w:t>et al</w:t>
      </w:r>
      <w:r>
        <w:rPr>
          <w:color w:val="000000"/>
          <w:sz w:val="24"/>
          <w:szCs w:val="26"/>
        </w:rPr>
        <w:t xml:space="preserve">., 2010). </w:t>
      </w:r>
    </w:p>
    <w:p w:rsidR="005F01BE" w:rsidRDefault="003E2C3A">
      <w:pPr>
        <w:spacing w:after="0" w:line="480" w:lineRule="auto"/>
        <w:jc w:val="both"/>
        <w:rPr>
          <w:color w:val="000000"/>
          <w:sz w:val="24"/>
          <w:szCs w:val="26"/>
        </w:rPr>
      </w:pPr>
      <w:r>
        <w:rPr>
          <w:noProof/>
          <w:color w:val="000000"/>
          <w:sz w:val="24"/>
          <w:szCs w:val="26"/>
        </w:rPr>
        <w:drawing>
          <wp:inline distT="0" distB="0" distL="0" distR="0">
            <wp:extent cx="3276600" cy="2483761"/>
            <wp:effectExtent l="0" t="0" r="0" b="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0"/>
                    <pic:cNvPicPr/>
                  </pic:nvPicPr>
                  <pic:blipFill>
                    <a:blip r:embed="rId30" cstate="print"/>
                    <a:srcRect l="2298" t="1918" r="8239" b="13190"/>
                    <a:stretch/>
                  </pic:blipFill>
                  <pic:spPr>
                    <a:xfrm>
                      <a:off x="0" y="0"/>
                      <a:ext cx="3276600" cy="2483761"/>
                    </a:xfrm>
                    <a:prstGeom prst="rect">
                      <a:avLst/>
                    </a:prstGeom>
                    <a:ln>
                      <a:noFill/>
                    </a:ln>
                  </pic:spPr>
                </pic:pic>
              </a:graphicData>
            </a:graphic>
          </wp:inline>
        </w:drawing>
      </w:r>
    </w:p>
    <w:p w:rsidR="005F01BE" w:rsidRDefault="003E2C3A">
      <w:pPr>
        <w:spacing w:after="0" w:line="480" w:lineRule="auto"/>
        <w:jc w:val="both"/>
        <w:rPr>
          <w:b/>
          <w:bCs/>
          <w:color w:val="000000"/>
          <w:sz w:val="24"/>
          <w:szCs w:val="26"/>
        </w:rPr>
      </w:pPr>
      <w:r>
        <w:rPr>
          <w:b/>
          <w:bCs/>
          <w:color w:val="000000"/>
          <w:sz w:val="24"/>
          <w:szCs w:val="26"/>
        </w:rPr>
        <w:lastRenderedPageBreak/>
        <w:t xml:space="preserve">Figure 20: </w:t>
      </w:r>
      <w:r>
        <w:rPr>
          <w:b/>
          <w:bCs/>
          <w:i/>
          <w:color w:val="000000"/>
          <w:sz w:val="24"/>
          <w:szCs w:val="26"/>
        </w:rPr>
        <w:t>Sida acuta</w:t>
      </w:r>
      <w:r>
        <w:rPr>
          <w:b/>
          <w:bCs/>
          <w:color w:val="000000"/>
          <w:sz w:val="24"/>
          <w:szCs w:val="26"/>
        </w:rPr>
        <w:t xml:space="preserve"> Plant with arrow indicating different parts </w:t>
      </w:r>
    </w:p>
    <w:p w:rsidR="005F01BE" w:rsidRDefault="003E2C3A">
      <w:pPr>
        <w:spacing w:after="0" w:line="480" w:lineRule="auto"/>
        <w:jc w:val="both"/>
        <w:rPr>
          <w:color w:val="000000"/>
          <w:sz w:val="24"/>
          <w:szCs w:val="26"/>
        </w:rPr>
      </w:pPr>
      <w:r>
        <w:rPr>
          <w:b/>
          <w:bCs/>
          <w:color w:val="000000"/>
          <w:sz w:val="24"/>
          <w:szCs w:val="26"/>
        </w:rPr>
        <w:t xml:space="preserve">Source: </w:t>
      </w:r>
      <w:r>
        <w:rPr>
          <w:color w:val="000000"/>
          <w:sz w:val="24"/>
          <w:szCs w:val="26"/>
        </w:rPr>
        <w:t xml:space="preserve">Tejas </w:t>
      </w:r>
      <w:r>
        <w:rPr>
          <w:i/>
          <w:iCs/>
          <w:color w:val="000000"/>
          <w:sz w:val="24"/>
          <w:szCs w:val="26"/>
        </w:rPr>
        <w:t>et al</w:t>
      </w:r>
      <w:r>
        <w:rPr>
          <w:color w:val="000000"/>
          <w:sz w:val="24"/>
          <w:szCs w:val="26"/>
        </w:rPr>
        <w:t>. (2024)</w:t>
      </w:r>
    </w:p>
    <w:p w:rsidR="005F01BE" w:rsidRDefault="003E2C3A">
      <w:pPr>
        <w:spacing w:after="0" w:line="480" w:lineRule="auto"/>
        <w:jc w:val="both"/>
        <w:rPr>
          <w:b/>
          <w:color w:val="000000"/>
          <w:sz w:val="24"/>
          <w:szCs w:val="26"/>
        </w:rPr>
      </w:pPr>
      <w:r>
        <w:rPr>
          <w:b/>
          <w:color w:val="000000"/>
          <w:sz w:val="24"/>
          <w:szCs w:val="26"/>
        </w:rPr>
        <w:t>Table 2: Taxonomical Hierarchy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446"/>
      </w:tblGrid>
      <w:tr w:rsidR="005F01BE">
        <w:tc>
          <w:tcPr>
            <w:tcW w:w="4675" w:type="dxa"/>
          </w:tcPr>
          <w:p w:rsidR="005F01BE" w:rsidRDefault="003E2C3A">
            <w:pPr>
              <w:spacing w:line="480" w:lineRule="auto"/>
              <w:jc w:val="both"/>
              <w:rPr>
                <w:color w:val="000000"/>
                <w:sz w:val="24"/>
                <w:szCs w:val="26"/>
              </w:rPr>
            </w:pPr>
            <w:r>
              <w:rPr>
                <w:color w:val="000000"/>
                <w:sz w:val="24"/>
                <w:szCs w:val="26"/>
              </w:rPr>
              <w:t>Kingdom</w:t>
            </w:r>
          </w:p>
        </w:tc>
        <w:tc>
          <w:tcPr>
            <w:tcW w:w="4675" w:type="dxa"/>
          </w:tcPr>
          <w:p w:rsidR="005F01BE" w:rsidRDefault="003E2C3A">
            <w:pPr>
              <w:spacing w:line="480" w:lineRule="auto"/>
              <w:jc w:val="both"/>
              <w:rPr>
                <w:color w:val="000000"/>
                <w:sz w:val="24"/>
                <w:szCs w:val="26"/>
              </w:rPr>
            </w:pPr>
            <w:r>
              <w:rPr>
                <w:color w:val="000000"/>
                <w:sz w:val="24"/>
                <w:szCs w:val="26"/>
              </w:rPr>
              <w:t>Plantae</w:t>
            </w:r>
          </w:p>
        </w:tc>
      </w:tr>
      <w:tr w:rsidR="005F01BE">
        <w:tc>
          <w:tcPr>
            <w:tcW w:w="4675" w:type="dxa"/>
          </w:tcPr>
          <w:p w:rsidR="005F01BE" w:rsidRDefault="003E2C3A">
            <w:pPr>
              <w:spacing w:line="480" w:lineRule="auto"/>
              <w:jc w:val="both"/>
              <w:rPr>
                <w:color w:val="000000"/>
                <w:sz w:val="24"/>
                <w:szCs w:val="26"/>
              </w:rPr>
            </w:pPr>
            <w:r>
              <w:rPr>
                <w:color w:val="000000"/>
                <w:sz w:val="24"/>
                <w:szCs w:val="26"/>
              </w:rPr>
              <w:t>Phylum</w:t>
            </w:r>
          </w:p>
        </w:tc>
        <w:tc>
          <w:tcPr>
            <w:tcW w:w="4675" w:type="dxa"/>
          </w:tcPr>
          <w:p w:rsidR="005F01BE" w:rsidRDefault="003E2C3A">
            <w:pPr>
              <w:spacing w:line="480" w:lineRule="auto"/>
              <w:jc w:val="both"/>
              <w:rPr>
                <w:color w:val="000000"/>
                <w:sz w:val="24"/>
                <w:szCs w:val="26"/>
              </w:rPr>
            </w:pPr>
            <w:r>
              <w:rPr>
                <w:color w:val="000000"/>
                <w:sz w:val="24"/>
                <w:szCs w:val="26"/>
              </w:rPr>
              <w:t>Anthophyta</w:t>
            </w:r>
          </w:p>
        </w:tc>
      </w:tr>
      <w:tr w:rsidR="005F01BE">
        <w:tc>
          <w:tcPr>
            <w:tcW w:w="4675" w:type="dxa"/>
          </w:tcPr>
          <w:p w:rsidR="005F01BE" w:rsidRDefault="003E2C3A">
            <w:pPr>
              <w:spacing w:line="480" w:lineRule="auto"/>
              <w:jc w:val="both"/>
              <w:rPr>
                <w:color w:val="000000"/>
                <w:sz w:val="24"/>
                <w:szCs w:val="26"/>
              </w:rPr>
            </w:pPr>
            <w:r>
              <w:rPr>
                <w:color w:val="000000"/>
                <w:sz w:val="24"/>
                <w:szCs w:val="26"/>
              </w:rPr>
              <w:t>Class</w:t>
            </w:r>
          </w:p>
        </w:tc>
        <w:tc>
          <w:tcPr>
            <w:tcW w:w="4675" w:type="dxa"/>
          </w:tcPr>
          <w:p w:rsidR="005F01BE" w:rsidRDefault="003E2C3A">
            <w:pPr>
              <w:spacing w:line="480" w:lineRule="auto"/>
              <w:jc w:val="both"/>
              <w:rPr>
                <w:color w:val="000000"/>
                <w:sz w:val="24"/>
                <w:szCs w:val="26"/>
              </w:rPr>
            </w:pPr>
            <w:r>
              <w:rPr>
                <w:color w:val="000000"/>
                <w:sz w:val="24"/>
                <w:szCs w:val="26"/>
              </w:rPr>
              <w:t>Dicotyledonae</w:t>
            </w:r>
          </w:p>
        </w:tc>
      </w:tr>
      <w:tr w:rsidR="005F01BE">
        <w:tc>
          <w:tcPr>
            <w:tcW w:w="4675" w:type="dxa"/>
          </w:tcPr>
          <w:p w:rsidR="005F01BE" w:rsidRDefault="003E2C3A">
            <w:pPr>
              <w:spacing w:line="480" w:lineRule="auto"/>
              <w:jc w:val="both"/>
              <w:rPr>
                <w:color w:val="000000"/>
                <w:sz w:val="24"/>
                <w:szCs w:val="26"/>
              </w:rPr>
            </w:pPr>
            <w:r>
              <w:rPr>
                <w:color w:val="000000"/>
                <w:sz w:val="24"/>
                <w:szCs w:val="26"/>
              </w:rPr>
              <w:t>Order</w:t>
            </w:r>
          </w:p>
        </w:tc>
        <w:tc>
          <w:tcPr>
            <w:tcW w:w="4675" w:type="dxa"/>
          </w:tcPr>
          <w:p w:rsidR="005F01BE" w:rsidRDefault="003E2C3A">
            <w:pPr>
              <w:spacing w:line="480" w:lineRule="auto"/>
              <w:jc w:val="both"/>
              <w:rPr>
                <w:color w:val="000000"/>
                <w:sz w:val="24"/>
                <w:szCs w:val="26"/>
              </w:rPr>
            </w:pPr>
            <w:r>
              <w:rPr>
                <w:color w:val="000000"/>
                <w:sz w:val="24"/>
                <w:szCs w:val="26"/>
              </w:rPr>
              <w:t>Malvales</w:t>
            </w:r>
          </w:p>
        </w:tc>
      </w:tr>
      <w:tr w:rsidR="005F01BE">
        <w:tc>
          <w:tcPr>
            <w:tcW w:w="4675" w:type="dxa"/>
          </w:tcPr>
          <w:p w:rsidR="005F01BE" w:rsidRDefault="003E2C3A">
            <w:pPr>
              <w:spacing w:line="480" w:lineRule="auto"/>
              <w:jc w:val="both"/>
              <w:rPr>
                <w:color w:val="000000"/>
                <w:sz w:val="24"/>
                <w:szCs w:val="26"/>
              </w:rPr>
            </w:pPr>
            <w:r>
              <w:rPr>
                <w:color w:val="000000"/>
                <w:sz w:val="24"/>
                <w:szCs w:val="26"/>
              </w:rPr>
              <w:t>Family</w:t>
            </w:r>
          </w:p>
        </w:tc>
        <w:tc>
          <w:tcPr>
            <w:tcW w:w="4675" w:type="dxa"/>
          </w:tcPr>
          <w:p w:rsidR="005F01BE" w:rsidRDefault="003E2C3A">
            <w:pPr>
              <w:spacing w:line="480" w:lineRule="auto"/>
              <w:jc w:val="both"/>
              <w:rPr>
                <w:color w:val="000000"/>
                <w:sz w:val="24"/>
                <w:szCs w:val="26"/>
              </w:rPr>
            </w:pPr>
            <w:r>
              <w:rPr>
                <w:color w:val="000000"/>
                <w:sz w:val="24"/>
                <w:szCs w:val="26"/>
              </w:rPr>
              <w:t>Malvaceae</w:t>
            </w:r>
          </w:p>
        </w:tc>
      </w:tr>
      <w:tr w:rsidR="005F01BE">
        <w:tc>
          <w:tcPr>
            <w:tcW w:w="4675" w:type="dxa"/>
          </w:tcPr>
          <w:p w:rsidR="005F01BE" w:rsidRDefault="003E2C3A">
            <w:pPr>
              <w:spacing w:line="480" w:lineRule="auto"/>
              <w:jc w:val="both"/>
              <w:rPr>
                <w:color w:val="000000"/>
                <w:sz w:val="24"/>
                <w:szCs w:val="26"/>
              </w:rPr>
            </w:pPr>
            <w:r>
              <w:rPr>
                <w:color w:val="000000"/>
                <w:sz w:val="24"/>
                <w:szCs w:val="26"/>
              </w:rPr>
              <w:t>Genius</w:t>
            </w:r>
          </w:p>
        </w:tc>
        <w:tc>
          <w:tcPr>
            <w:tcW w:w="4675" w:type="dxa"/>
          </w:tcPr>
          <w:p w:rsidR="005F01BE" w:rsidRDefault="003E2C3A">
            <w:pPr>
              <w:spacing w:line="480" w:lineRule="auto"/>
              <w:jc w:val="both"/>
              <w:rPr>
                <w:i/>
                <w:color w:val="000000"/>
                <w:sz w:val="24"/>
                <w:szCs w:val="26"/>
              </w:rPr>
            </w:pPr>
            <w:r>
              <w:rPr>
                <w:i/>
                <w:color w:val="000000"/>
                <w:sz w:val="24"/>
                <w:szCs w:val="26"/>
              </w:rPr>
              <w:t>Sida</w:t>
            </w:r>
          </w:p>
        </w:tc>
      </w:tr>
      <w:tr w:rsidR="005F01BE">
        <w:tc>
          <w:tcPr>
            <w:tcW w:w="4675" w:type="dxa"/>
          </w:tcPr>
          <w:p w:rsidR="005F01BE" w:rsidRDefault="003E2C3A">
            <w:pPr>
              <w:spacing w:line="480" w:lineRule="auto"/>
              <w:jc w:val="both"/>
              <w:rPr>
                <w:color w:val="000000"/>
                <w:sz w:val="24"/>
                <w:szCs w:val="26"/>
              </w:rPr>
            </w:pPr>
            <w:r>
              <w:rPr>
                <w:color w:val="000000"/>
                <w:sz w:val="24"/>
                <w:szCs w:val="26"/>
              </w:rPr>
              <w:t>Species</w:t>
            </w:r>
          </w:p>
        </w:tc>
        <w:tc>
          <w:tcPr>
            <w:tcW w:w="4675" w:type="dxa"/>
          </w:tcPr>
          <w:p w:rsidR="005F01BE" w:rsidRDefault="003E2C3A">
            <w:pPr>
              <w:spacing w:line="480" w:lineRule="auto"/>
              <w:jc w:val="both"/>
              <w:rPr>
                <w:i/>
                <w:color w:val="000000"/>
                <w:sz w:val="24"/>
                <w:szCs w:val="26"/>
              </w:rPr>
            </w:pPr>
            <w:r>
              <w:rPr>
                <w:i/>
                <w:color w:val="000000"/>
                <w:sz w:val="24"/>
                <w:szCs w:val="26"/>
              </w:rPr>
              <w:t>Sida acuta</w:t>
            </w:r>
          </w:p>
        </w:tc>
      </w:tr>
      <w:tr w:rsidR="005F01BE">
        <w:tc>
          <w:tcPr>
            <w:tcW w:w="4675" w:type="dxa"/>
          </w:tcPr>
          <w:p w:rsidR="005F01BE" w:rsidRDefault="003E2C3A">
            <w:pPr>
              <w:spacing w:line="480" w:lineRule="auto"/>
              <w:jc w:val="both"/>
              <w:rPr>
                <w:color w:val="000000"/>
                <w:sz w:val="24"/>
                <w:szCs w:val="26"/>
              </w:rPr>
            </w:pPr>
            <w:r>
              <w:rPr>
                <w:color w:val="000000"/>
                <w:sz w:val="24"/>
                <w:szCs w:val="26"/>
              </w:rPr>
              <w:t>Scientific Name</w:t>
            </w:r>
          </w:p>
        </w:tc>
        <w:tc>
          <w:tcPr>
            <w:tcW w:w="4675" w:type="dxa"/>
          </w:tcPr>
          <w:p w:rsidR="005F01BE" w:rsidRDefault="003E2C3A">
            <w:pPr>
              <w:spacing w:line="480" w:lineRule="auto"/>
              <w:jc w:val="both"/>
              <w:rPr>
                <w:i/>
                <w:color w:val="000000"/>
                <w:sz w:val="24"/>
                <w:szCs w:val="26"/>
              </w:rPr>
            </w:pPr>
            <w:r>
              <w:rPr>
                <w:i/>
                <w:color w:val="000000"/>
                <w:sz w:val="24"/>
                <w:szCs w:val="26"/>
              </w:rPr>
              <w:t xml:space="preserve">Sida acuta </w:t>
            </w:r>
            <w:r>
              <w:rPr>
                <w:i/>
                <w:color w:val="000000"/>
                <w:sz w:val="24"/>
                <w:szCs w:val="26"/>
              </w:rPr>
              <w:t>Burm f.</w:t>
            </w:r>
          </w:p>
        </w:tc>
      </w:tr>
    </w:tbl>
    <w:p w:rsidR="005F01BE" w:rsidRDefault="003E2C3A">
      <w:pPr>
        <w:spacing w:after="0" w:line="480" w:lineRule="auto"/>
        <w:jc w:val="both"/>
        <w:rPr>
          <w:color w:val="000000"/>
          <w:sz w:val="24"/>
          <w:szCs w:val="26"/>
        </w:rPr>
      </w:pPr>
      <w:r>
        <w:rPr>
          <w:color w:val="000000"/>
          <w:sz w:val="24"/>
          <w:szCs w:val="26"/>
        </w:rPr>
        <w:t xml:space="preserve">Tejas, </w:t>
      </w:r>
      <w:r>
        <w:rPr>
          <w:i/>
          <w:iCs/>
          <w:color w:val="000000"/>
          <w:sz w:val="24"/>
          <w:szCs w:val="26"/>
        </w:rPr>
        <w:t>et al</w:t>
      </w:r>
      <w:r>
        <w:rPr>
          <w:i/>
          <w:color w:val="000000"/>
          <w:sz w:val="24"/>
          <w:szCs w:val="26"/>
        </w:rPr>
        <w:t>.</w:t>
      </w:r>
      <w:r>
        <w:rPr>
          <w:color w:val="000000"/>
          <w:sz w:val="24"/>
          <w:szCs w:val="26"/>
        </w:rPr>
        <w:t xml:space="preserve"> (2024).</w:t>
      </w:r>
    </w:p>
    <w:p w:rsidR="005F01BE" w:rsidRDefault="003E2C3A">
      <w:pPr>
        <w:pStyle w:val="NormalWeb"/>
        <w:spacing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Burm. f. (</w:t>
      </w:r>
      <w:r>
        <w:rPr>
          <w:i/>
          <w:color w:val="000000"/>
          <w:szCs w:val="26"/>
        </w:rPr>
        <w:t>Malvaceae</w:t>
      </w:r>
      <w:r>
        <w:rPr>
          <w:color w:val="000000"/>
          <w:szCs w:val="26"/>
        </w:rPr>
        <w:t>) is a</w:t>
      </w:r>
      <w:bookmarkStart w:id="0" w:name="_GoBack"/>
      <w:bookmarkEnd w:id="0"/>
      <w:r>
        <w:rPr>
          <w:color w:val="000000"/>
          <w:szCs w:val="26"/>
        </w:rPr>
        <w:t xml:space="preserve"> widely distributed medicinal plant found in tropical and subtropical regions. It is traditionally used in various cultures for its therapeutic properties, including antibacterial, anti-inflammatory, antidiabetic, antioxidant, and anti-ulcer activiti</w:t>
      </w:r>
      <w:r>
        <w:rPr>
          <w:color w:val="000000"/>
          <w:szCs w:val="26"/>
        </w:rPr>
        <w:t xml:space="preserve">es (Okokon </w:t>
      </w:r>
      <w:r>
        <w:rPr>
          <w:i/>
          <w:iCs/>
          <w:color w:val="000000"/>
          <w:szCs w:val="26"/>
        </w:rPr>
        <w:t>et al</w:t>
      </w:r>
      <w:r>
        <w:rPr>
          <w:color w:val="000000"/>
          <w:szCs w:val="26"/>
        </w:rPr>
        <w:t xml:space="preserve">., 2018). Studies have identified a variety of bioactive compounds in </w:t>
      </w:r>
      <w:r>
        <w:rPr>
          <w:rStyle w:val="Emphasis"/>
          <w:rFonts w:eastAsia="SimSun"/>
          <w:color w:val="000000"/>
          <w:szCs w:val="26"/>
        </w:rPr>
        <w:t>Sida acuta</w:t>
      </w:r>
      <w:r>
        <w:rPr>
          <w:color w:val="000000"/>
          <w:szCs w:val="26"/>
        </w:rPr>
        <w:t xml:space="preserve">, including alkaloids, flavonoids, tannins, saponins, terpenoids, and phenolic compounds (Ogunyemi </w:t>
      </w:r>
      <w:r>
        <w:rPr>
          <w:i/>
          <w:iCs/>
          <w:color w:val="000000"/>
          <w:szCs w:val="26"/>
        </w:rPr>
        <w:t>et al</w:t>
      </w:r>
      <w:r>
        <w:rPr>
          <w:color w:val="000000"/>
          <w:szCs w:val="26"/>
        </w:rPr>
        <w:t>., 2019). These secondary metabolites are responsible fo</w:t>
      </w:r>
      <w:r>
        <w:rPr>
          <w:color w:val="000000"/>
          <w:szCs w:val="26"/>
        </w:rPr>
        <w:t xml:space="preserve">r its medicinal properties. The presence of flavonoids and </w:t>
      </w:r>
      <w:r>
        <w:rPr>
          <w:color w:val="000000"/>
          <w:szCs w:val="26"/>
        </w:rPr>
        <w:lastRenderedPageBreak/>
        <w:t xml:space="preserve">polyphenols contributes significantly to its antioxidant activity, which plays a crucial role in neutralizing free radicals (Edeoga </w:t>
      </w:r>
      <w:r>
        <w:rPr>
          <w:i/>
          <w:iCs/>
          <w:color w:val="000000"/>
          <w:szCs w:val="26"/>
        </w:rPr>
        <w:t>et al</w:t>
      </w:r>
      <w:r>
        <w:rPr>
          <w:color w:val="000000"/>
          <w:szCs w:val="26"/>
        </w:rPr>
        <w:t xml:space="preserve">., 2020). </w:t>
      </w:r>
    </w:p>
    <w:p w:rsidR="005F01BE" w:rsidRDefault="003E2C3A">
      <w:pPr>
        <w:pStyle w:val="NormalWeb"/>
        <w:spacing w:after="0" w:afterAutospacing="0" w:line="480" w:lineRule="auto"/>
        <w:ind w:firstLine="720"/>
        <w:jc w:val="both"/>
        <w:rPr>
          <w:color w:val="000000"/>
          <w:szCs w:val="26"/>
        </w:rPr>
      </w:pPr>
      <w:r>
        <w:rPr>
          <w:color w:val="000000"/>
          <w:szCs w:val="26"/>
        </w:rPr>
        <w:t xml:space="preserve">The antimicrobial efficacy of </w:t>
      </w:r>
      <w:r>
        <w:rPr>
          <w:rStyle w:val="Emphasis"/>
          <w:rFonts w:eastAsia="SimSun"/>
          <w:color w:val="000000"/>
          <w:szCs w:val="26"/>
        </w:rPr>
        <w:t>Sida acuta</w:t>
      </w:r>
      <w:r>
        <w:rPr>
          <w:color w:val="000000"/>
          <w:szCs w:val="26"/>
        </w:rPr>
        <w:t xml:space="preserve"> has been</w:t>
      </w:r>
      <w:r>
        <w:rPr>
          <w:color w:val="000000"/>
          <w:szCs w:val="26"/>
        </w:rPr>
        <w:t xml:space="preserve"> widely reported. Studies indicate that extracts from the plant exhibit strong antibacterial properties against Gram-positive and Gram-negative bacteria, including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Pseudomonas aeruginosa</w:t>
      </w:r>
      <w:r>
        <w:rPr>
          <w:color w:val="000000"/>
          <w:szCs w:val="26"/>
        </w:rPr>
        <w:t xml:space="preserve"> (Adegboye </w:t>
      </w:r>
      <w:r>
        <w:rPr>
          <w:i/>
          <w:iCs/>
          <w:color w:val="000000"/>
          <w:szCs w:val="26"/>
        </w:rPr>
        <w:t>et al</w:t>
      </w:r>
      <w:r>
        <w:rPr>
          <w:color w:val="000000"/>
          <w:szCs w:val="26"/>
        </w:rPr>
        <w:t>., 2021).</w:t>
      </w:r>
      <w:r>
        <w:rPr>
          <w:color w:val="000000"/>
          <w:szCs w:val="26"/>
        </w:rPr>
        <w:t xml:space="preserve"> Oxidative stress is a major contributor to various diseases, including cancer and cardiovascular disorders. Extracts of </w:t>
      </w:r>
      <w:r>
        <w:rPr>
          <w:rStyle w:val="Emphasis"/>
          <w:rFonts w:eastAsia="SimSun"/>
          <w:color w:val="000000"/>
          <w:szCs w:val="26"/>
        </w:rPr>
        <w:t>Sida acuta</w:t>
      </w:r>
      <w:r>
        <w:rPr>
          <w:color w:val="000000"/>
          <w:szCs w:val="26"/>
        </w:rPr>
        <w:t xml:space="preserve"> have been shown to possess potent antioxidant properties, which help in reducing oxidative damage and protecting cells from </w:t>
      </w:r>
      <w:r>
        <w:rPr>
          <w:color w:val="000000"/>
          <w:szCs w:val="26"/>
        </w:rPr>
        <w:t xml:space="preserve">lipid peroxidation (Uche </w:t>
      </w:r>
      <w:r>
        <w:rPr>
          <w:i/>
          <w:iCs/>
          <w:color w:val="000000"/>
          <w:szCs w:val="26"/>
        </w:rPr>
        <w:t>et al</w:t>
      </w:r>
      <w:r>
        <w:rPr>
          <w:color w:val="000000"/>
          <w:szCs w:val="26"/>
        </w:rPr>
        <w:t xml:space="preserve">., 2020). Animal studies have demonstrated that </w:t>
      </w:r>
      <w:r>
        <w:rPr>
          <w:rStyle w:val="Emphasis"/>
          <w:rFonts w:eastAsia="SimSun"/>
          <w:color w:val="000000"/>
          <w:szCs w:val="26"/>
        </w:rPr>
        <w:t>Sida acuta</w:t>
      </w:r>
      <w:r>
        <w:rPr>
          <w:color w:val="000000"/>
          <w:szCs w:val="26"/>
        </w:rPr>
        <w:t xml:space="preserve"> extracts can significantly reduce blood glucose levels in diabetic rats (Akinpelu </w:t>
      </w:r>
      <w:r>
        <w:rPr>
          <w:i/>
          <w:iCs/>
          <w:color w:val="000000"/>
          <w:szCs w:val="26"/>
        </w:rPr>
        <w:t>et al</w:t>
      </w:r>
      <w:r>
        <w:rPr>
          <w:color w:val="000000"/>
          <w:szCs w:val="26"/>
        </w:rPr>
        <w:t>., 2021). These effects make it a promising candidate for ulcer management. Desp</w:t>
      </w:r>
      <w:r>
        <w:rPr>
          <w:color w:val="000000"/>
          <w:szCs w:val="26"/>
        </w:rPr>
        <w:t xml:space="preserve">ite its numerous pharmacological benefits, toxicological assessments are necessary to determine the safety of </w:t>
      </w:r>
      <w:r>
        <w:rPr>
          <w:rStyle w:val="Emphasis"/>
          <w:rFonts w:eastAsia="SimSun"/>
          <w:color w:val="000000"/>
          <w:szCs w:val="26"/>
        </w:rPr>
        <w:t>Sida acuta</w:t>
      </w:r>
      <w:r>
        <w:rPr>
          <w:color w:val="000000"/>
          <w:szCs w:val="26"/>
        </w:rPr>
        <w:t xml:space="preserve"> (Ajayi </w:t>
      </w:r>
      <w:r>
        <w:rPr>
          <w:i/>
          <w:iCs/>
          <w:color w:val="000000"/>
          <w:szCs w:val="26"/>
        </w:rPr>
        <w:t>et al</w:t>
      </w:r>
      <w:r>
        <w:rPr>
          <w:color w:val="000000"/>
          <w:szCs w:val="26"/>
        </w:rPr>
        <w:t>., 2022).</w:t>
      </w:r>
    </w:p>
    <w:p w:rsidR="005F01BE" w:rsidRDefault="003E2C3A">
      <w:pPr>
        <w:pStyle w:val="NormalWeb"/>
        <w:spacing w:before="0" w:beforeAutospacing="0" w:after="0" w:afterAutospacing="0" w:line="480" w:lineRule="auto"/>
        <w:jc w:val="both"/>
        <w:rPr>
          <w:b/>
          <w:color w:val="000000"/>
          <w:szCs w:val="26"/>
        </w:rPr>
      </w:pPr>
      <w:r>
        <w:rPr>
          <w:b/>
          <w:color w:val="000000"/>
          <w:szCs w:val="26"/>
        </w:rPr>
        <w:t>2.5.1 Saponin</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Saponins are bioactive glycosides with a characteristic foaming property, widely studied for their medicinal benefits (Ogunyemi </w:t>
      </w:r>
      <w:r>
        <w:rPr>
          <w:i/>
          <w:iCs/>
          <w:color w:val="000000"/>
          <w:szCs w:val="26"/>
        </w:rPr>
        <w:t>et al</w:t>
      </w:r>
      <w:r>
        <w:rPr>
          <w:color w:val="000000"/>
          <w:szCs w:val="26"/>
        </w:rPr>
        <w:t xml:space="preserve">., 2019). Saponin in </w:t>
      </w:r>
      <w:r>
        <w:rPr>
          <w:rStyle w:val="Emphasis"/>
          <w:rFonts w:eastAsia="SimSun"/>
          <w:color w:val="000000"/>
          <w:szCs w:val="26"/>
        </w:rPr>
        <w:t>Sida acuta</w:t>
      </w:r>
      <w:r>
        <w:rPr>
          <w:color w:val="000000"/>
          <w:szCs w:val="26"/>
        </w:rPr>
        <w:t xml:space="preserve"> are a class of triterpenoid or steroidal glycosides known for their amphiphilic nature (Ede</w:t>
      </w:r>
      <w:r>
        <w:rPr>
          <w:color w:val="000000"/>
          <w:szCs w:val="26"/>
        </w:rPr>
        <w:t xml:space="preserve">oga </w:t>
      </w:r>
      <w:r>
        <w:rPr>
          <w:i/>
          <w:iCs/>
          <w:color w:val="000000"/>
          <w:szCs w:val="26"/>
        </w:rPr>
        <w:t>et al</w:t>
      </w:r>
      <w:r>
        <w:rPr>
          <w:color w:val="000000"/>
          <w:szCs w:val="26"/>
        </w:rPr>
        <w:t xml:space="preserve">., 2020). Phytochemical screening has confirmed the presence of these compounds in various parts of the plant, including leaves, stems, and roots (Adegboye </w:t>
      </w:r>
      <w:r>
        <w:rPr>
          <w:i/>
          <w:iCs/>
          <w:color w:val="000000"/>
          <w:szCs w:val="26"/>
        </w:rPr>
        <w:t>et al</w:t>
      </w:r>
      <w:r>
        <w:rPr>
          <w:color w:val="000000"/>
          <w:szCs w:val="26"/>
        </w:rPr>
        <w:t xml:space="preserve">., 2021). </w:t>
      </w:r>
      <w:r>
        <w:rPr>
          <w:color w:val="000000"/>
          <w:szCs w:val="26"/>
        </w:rPr>
        <w:lastRenderedPageBreak/>
        <w:t>Their structural diversity contributes to various biological activities, inc</w:t>
      </w:r>
      <w:r>
        <w:rPr>
          <w:color w:val="000000"/>
          <w:szCs w:val="26"/>
        </w:rPr>
        <w:t xml:space="preserve">luding antimicrobial, anti-inflammatory, and antioxidant effects (Olajide </w:t>
      </w:r>
      <w:r>
        <w:rPr>
          <w:i/>
          <w:iCs/>
          <w:color w:val="000000"/>
          <w:szCs w:val="26"/>
        </w:rPr>
        <w:t>et al</w:t>
      </w:r>
      <w:r>
        <w:rPr>
          <w:color w:val="000000"/>
          <w:szCs w:val="26"/>
        </w:rPr>
        <w:t xml:space="preserve">., 2019). The extraction of saponins from </w:t>
      </w:r>
      <w:r>
        <w:rPr>
          <w:rStyle w:val="Emphasis"/>
          <w:rFonts w:eastAsia="SimSun"/>
          <w:color w:val="000000"/>
          <w:szCs w:val="26"/>
        </w:rPr>
        <w:t>Sida acuta</w:t>
      </w:r>
      <w:r>
        <w:rPr>
          <w:color w:val="000000"/>
          <w:szCs w:val="26"/>
        </w:rPr>
        <w:t xml:space="preserve"> is typically performed using aqueous or alcoholic solvents, with ethanol and methanol being the most effective (Mbagwu and O</w:t>
      </w:r>
      <w:r>
        <w:rPr>
          <w:color w:val="000000"/>
          <w:szCs w:val="26"/>
        </w:rPr>
        <w:t xml:space="preserve">koro, 2017). Chromatographic techniques such as High-Performance Liquid Chromatography (HPLC) and Gas Chromatography-Mass Spectrometry (GC-MS) have been utilized to characterize these bioactive compounds (Uche </w:t>
      </w:r>
      <w:r>
        <w:rPr>
          <w:i/>
          <w:iCs/>
          <w:color w:val="000000"/>
          <w:szCs w:val="26"/>
        </w:rPr>
        <w:t>et al</w:t>
      </w:r>
      <w:r>
        <w:rPr>
          <w:color w:val="000000"/>
          <w:szCs w:val="26"/>
        </w:rPr>
        <w:t xml:space="preserve">., 2020). </w:t>
      </w:r>
    </w:p>
    <w:p w:rsidR="005F01BE" w:rsidRDefault="003E2C3A">
      <w:pPr>
        <w:pStyle w:val="NormalWeb"/>
        <w:spacing w:before="0" w:beforeAutospacing="0" w:after="0" w:afterAutospacing="0" w:line="480" w:lineRule="auto"/>
        <w:jc w:val="both"/>
        <w:rPr>
          <w:color w:val="000000"/>
          <w:szCs w:val="26"/>
        </w:rPr>
      </w:pPr>
      <w:r>
        <w:rPr>
          <w:b/>
          <w:color w:val="000000"/>
          <w:szCs w:val="26"/>
        </w:rPr>
        <w:t>2.5.2 Tannins</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Tannins are a cl</w:t>
      </w:r>
      <w:r>
        <w:rPr>
          <w:color w:val="000000"/>
          <w:szCs w:val="26"/>
        </w:rPr>
        <w:t xml:space="preserve">ass of polyphenolic compounds widely distributed in plants, and </w:t>
      </w:r>
      <w:r>
        <w:rPr>
          <w:i/>
          <w:color w:val="000000"/>
          <w:szCs w:val="26"/>
        </w:rPr>
        <w:t>Sida acuta</w:t>
      </w:r>
      <w:r>
        <w:rPr>
          <w:color w:val="000000"/>
          <w:szCs w:val="26"/>
        </w:rPr>
        <w:t xml:space="preserve"> has been reported to contain significant amounts of these compounds. Tannins exhibit strong astringent properties and have been associated with various pharmacological activities, i</w:t>
      </w:r>
      <w:r>
        <w:rPr>
          <w:color w:val="000000"/>
          <w:szCs w:val="26"/>
        </w:rPr>
        <w:t xml:space="preserve">ncluding antimicrobial, antioxidant, anti-inflammatory, and gastroprotective effects (Bennett and Wallsgrove, 2019). Tannins in </w:t>
      </w:r>
      <w:r>
        <w:rPr>
          <w:i/>
          <w:color w:val="000000"/>
          <w:szCs w:val="26"/>
        </w:rPr>
        <w:t>Sida acuta</w:t>
      </w:r>
      <w:r>
        <w:rPr>
          <w:color w:val="000000"/>
          <w:szCs w:val="26"/>
        </w:rPr>
        <w:t xml:space="preserve"> contribute significantly to its antioxidant properties. These compounds can scavenge free radicals and chelate metal </w:t>
      </w:r>
      <w:r>
        <w:rPr>
          <w:color w:val="000000"/>
          <w:szCs w:val="26"/>
        </w:rPr>
        <w:t xml:space="preserve">ions, thereby preventing oxidative damage to cells (Hagerman and Butler, 2020). The antioxidant potential of </w:t>
      </w:r>
      <w:r>
        <w:rPr>
          <w:i/>
          <w:color w:val="000000"/>
          <w:szCs w:val="26"/>
        </w:rPr>
        <w:t>Sida acuta</w:t>
      </w:r>
      <w:r>
        <w:rPr>
          <w:color w:val="000000"/>
          <w:szCs w:val="26"/>
        </w:rPr>
        <w:t xml:space="preserve"> tannins has been linked to its effectiveness in preventing lipid peroxidation and oxidative stress-related diseases (Uche </w:t>
      </w:r>
      <w:r>
        <w:rPr>
          <w:i/>
          <w:iCs/>
          <w:color w:val="000000"/>
          <w:szCs w:val="26"/>
        </w:rPr>
        <w:t>et al</w:t>
      </w:r>
      <w:r>
        <w:rPr>
          <w:color w:val="000000"/>
          <w:szCs w:val="26"/>
        </w:rPr>
        <w:t>., 2020).</w:t>
      </w:r>
      <w:r>
        <w:rPr>
          <w:color w:val="000000"/>
          <w:szCs w:val="26"/>
        </w:rPr>
        <w:t xml:space="preserve"> Tannins play a crucial role in the gastroprotective activity of </w:t>
      </w:r>
      <w:r>
        <w:rPr>
          <w:i/>
          <w:color w:val="000000"/>
          <w:szCs w:val="26"/>
        </w:rPr>
        <w:t>Sida acuta</w:t>
      </w:r>
      <w:r>
        <w:rPr>
          <w:color w:val="000000"/>
          <w:szCs w:val="26"/>
        </w:rPr>
        <w:t xml:space="preserve">. They enhance mucus secretion, reduce gastric acid production, and strengthen the mucosal barrier, thereby preventing ulcer formation (Ezekwesili </w:t>
      </w:r>
      <w:r>
        <w:rPr>
          <w:i/>
          <w:iCs/>
          <w:color w:val="000000"/>
          <w:szCs w:val="26"/>
        </w:rPr>
        <w:t>et al</w:t>
      </w:r>
      <w:r>
        <w:rPr>
          <w:color w:val="000000"/>
          <w:szCs w:val="26"/>
        </w:rPr>
        <w:t xml:space="preserve">., 2018). </w:t>
      </w:r>
    </w:p>
    <w:p w:rsidR="005F01BE" w:rsidRDefault="005F01BE">
      <w:pPr>
        <w:spacing w:after="0" w:line="480" w:lineRule="auto"/>
        <w:jc w:val="both"/>
        <w:rPr>
          <w:rFonts w:eastAsia="Times New Roman"/>
          <w:b/>
          <w:bCs/>
          <w:color w:val="000000"/>
          <w:sz w:val="24"/>
          <w:szCs w:val="26"/>
        </w:rPr>
      </w:pPr>
    </w:p>
    <w:p w:rsidR="005F01BE" w:rsidRDefault="003E2C3A">
      <w:pPr>
        <w:spacing w:after="0" w:line="480" w:lineRule="auto"/>
        <w:jc w:val="both"/>
        <w:rPr>
          <w:rFonts w:eastAsia="Times New Roman"/>
          <w:color w:val="000000"/>
          <w:sz w:val="24"/>
          <w:szCs w:val="26"/>
        </w:rPr>
      </w:pPr>
      <w:r>
        <w:rPr>
          <w:rFonts w:eastAsia="Times New Roman"/>
          <w:b/>
          <w:bCs/>
          <w:color w:val="000000"/>
          <w:sz w:val="24"/>
          <w:szCs w:val="26"/>
        </w:rPr>
        <w:lastRenderedPageBreak/>
        <w:t>2.5.3 Flavonoids</w:t>
      </w:r>
    </w:p>
    <w:p w:rsidR="005F01BE" w:rsidRDefault="003E2C3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is a medicinal plant rich in flavonoids, which are polyphenolic compounds known for their diverse biological activities. Flavonoids play a critical role in the pharmacological potential of </w:t>
      </w:r>
      <w:r>
        <w:rPr>
          <w:rFonts w:eastAsia="Times New Roman"/>
          <w:i/>
          <w:iCs/>
          <w:color w:val="000000"/>
          <w:sz w:val="24"/>
          <w:szCs w:val="26"/>
        </w:rPr>
        <w:t>Sida acuta</w:t>
      </w:r>
      <w:r>
        <w:rPr>
          <w:rFonts w:eastAsia="Times New Roman"/>
          <w:color w:val="000000"/>
          <w:sz w:val="24"/>
          <w:szCs w:val="26"/>
        </w:rPr>
        <w:t>, exhibiting antioxidant, antimicrobial, anti-</w:t>
      </w:r>
      <w:r>
        <w:rPr>
          <w:rFonts w:eastAsia="Times New Roman"/>
          <w:color w:val="000000"/>
          <w:sz w:val="24"/>
          <w:szCs w:val="26"/>
        </w:rPr>
        <w:t xml:space="preserve">inflammatory, and other health benefits (Ogunyemi </w:t>
      </w:r>
      <w:r>
        <w:rPr>
          <w:rFonts w:eastAsia="Times New Roman"/>
          <w:i/>
          <w:iCs/>
          <w:color w:val="000000"/>
          <w:sz w:val="24"/>
          <w:szCs w:val="26"/>
        </w:rPr>
        <w:t>et al</w:t>
      </w:r>
      <w:r>
        <w:rPr>
          <w:rFonts w:eastAsia="Times New Roman"/>
          <w:color w:val="000000"/>
          <w:sz w:val="24"/>
          <w:szCs w:val="26"/>
        </w:rPr>
        <w:t>., 2019). The presence of these bioactive compounds in the plant contributes significantly to its traditional and therapeutic uses in managing various diseases. These compounds act as potent free radic</w:t>
      </w:r>
      <w:r>
        <w:rPr>
          <w:rFonts w:eastAsia="Times New Roman"/>
          <w:color w:val="000000"/>
          <w:sz w:val="24"/>
          <w:szCs w:val="26"/>
        </w:rPr>
        <w:t xml:space="preserve">al scavengers, reducing oxidative stress and preventing cellular damage (Edeoga </w:t>
      </w:r>
      <w:r>
        <w:rPr>
          <w:rFonts w:eastAsia="Times New Roman"/>
          <w:i/>
          <w:iCs/>
          <w:color w:val="000000"/>
          <w:sz w:val="24"/>
          <w:szCs w:val="26"/>
        </w:rPr>
        <w:t>et al</w:t>
      </w:r>
      <w:r>
        <w:rPr>
          <w:rFonts w:eastAsia="Times New Roman"/>
          <w:color w:val="000000"/>
          <w:sz w:val="24"/>
          <w:szCs w:val="26"/>
        </w:rPr>
        <w:t>., 2020). Oxidative stress is a major contributor to aging and various chronic diseases, including cardiovascular diseases, neurodegenerative disorders, and cancer. Flavon</w:t>
      </w:r>
      <w:r>
        <w:rPr>
          <w:rFonts w:eastAsia="Times New Roman"/>
          <w:color w:val="000000"/>
          <w:sz w:val="24"/>
          <w:szCs w:val="26"/>
        </w:rPr>
        <w:t xml:space="preserve">oids neutralize reactive oxygen species (ROS) and enhance the activity of endogenous antioxidant enzymes, thus protecting cells from oxidative damage (Uche </w:t>
      </w:r>
      <w:r>
        <w:rPr>
          <w:rFonts w:eastAsia="Times New Roman"/>
          <w:i/>
          <w:iCs/>
          <w:color w:val="000000"/>
          <w:sz w:val="24"/>
          <w:szCs w:val="26"/>
        </w:rPr>
        <w:t>et al</w:t>
      </w:r>
      <w:r>
        <w:rPr>
          <w:rFonts w:eastAsia="Times New Roman"/>
          <w:color w:val="000000"/>
          <w:sz w:val="24"/>
          <w:szCs w:val="26"/>
        </w:rPr>
        <w:t>., 2020).</w:t>
      </w:r>
    </w:p>
    <w:p w:rsidR="005F01BE" w:rsidRDefault="003E2C3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xml:space="preserve"> flavonoids exhibit strong antimicrobial effects. Studies have demonstrated</w:t>
      </w:r>
      <w:r>
        <w:rPr>
          <w:rFonts w:eastAsia="Times New Roman"/>
          <w:color w:val="000000"/>
          <w:sz w:val="24"/>
          <w:szCs w:val="26"/>
        </w:rPr>
        <w:t xml:space="preserve"> their efficacy against various bacterial and fungal pathogens, including </w:t>
      </w:r>
      <w:r>
        <w:rPr>
          <w:rFonts w:eastAsia="Times New Roman"/>
          <w:i/>
          <w:iCs/>
          <w:color w:val="000000"/>
          <w:sz w:val="24"/>
          <w:szCs w:val="26"/>
        </w:rPr>
        <w:t>Staphylococcus aureus</w:t>
      </w:r>
      <w:r>
        <w:rPr>
          <w:rFonts w:eastAsia="Times New Roman"/>
          <w:color w:val="000000"/>
          <w:sz w:val="24"/>
          <w:szCs w:val="26"/>
        </w:rPr>
        <w:t xml:space="preserve">, </w:t>
      </w:r>
      <w:r>
        <w:rPr>
          <w:rFonts w:eastAsia="Times New Roman"/>
          <w:i/>
          <w:iCs/>
          <w:color w:val="000000"/>
          <w:sz w:val="24"/>
          <w:szCs w:val="26"/>
        </w:rPr>
        <w:t>Escherichia coli</w:t>
      </w:r>
      <w:r>
        <w:rPr>
          <w:rFonts w:eastAsia="Times New Roman"/>
          <w:color w:val="000000"/>
          <w:sz w:val="24"/>
          <w:szCs w:val="26"/>
        </w:rPr>
        <w:t xml:space="preserve">, and </w:t>
      </w:r>
      <w:r>
        <w:rPr>
          <w:rFonts w:eastAsia="Times New Roman"/>
          <w:i/>
          <w:iCs/>
          <w:color w:val="000000"/>
          <w:sz w:val="24"/>
          <w:szCs w:val="26"/>
        </w:rPr>
        <w:t>Pseudomonas aeruginosa</w:t>
      </w:r>
      <w:r>
        <w:rPr>
          <w:rFonts w:eastAsia="Times New Roman"/>
          <w:color w:val="000000"/>
          <w:sz w:val="24"/>
          <w:szCs w:val="26"/>
        </w:rPr>
        <w:t xml:space="preserve"> (Adegboye </w:t>
      </w:r>
      <w:r>
        <w:rPr>
          <w:rFonts w:eastAsia="Times New Roman"/>
          <w:i/>
          <w:iCs/>
          <w:color w:val="000000"/>
          <w:sz w:val="24"/>
          <w:szCs w:val="26"/>
        </w:rPr>
        <w:t>et al</w:t>
      </w:r>
      <w:r>
        <w:rPr>
          <w:rFonts w:eastAsia="Times New Roman"/>
          <w:color w:val="000000"/>
          <w:sz w:val="24"/>
          <w:szCs w:val="26"/>
        </w:rPr>
        <w:t>., 2021). The antimicrobial mechanism involves disruption of microbial cell membranes, inhibition o</w:t>
      </w:r>
      <w:r>
        <w:rPr>
          <w:rFonts w:eastAsia="Times New Roman"/>
          <w:color w:val="000000"/>
          <w:sz w:val="24"/>
          <w:szCs w:val="26"/>
        </w:rPr>
        <w:t xml:space="preserve">f bacterial enzyme systems, and interference with biofilm formation (Olajide </w:t>
      </w:r>
      <w:r>
        <w:rPr>
          <w:rFonts w:eastAsia="Times New Roman"/>
          <w:i/>
          <w:iCs/>
          <w:color w:val="000000"/>
          <w:sz w:val="24"/>
          <w:szCs w:val="26"/>
        </w:rPr>
        <w:t>et al</w:t>
      </w:r>
      <w:r>
        <w:rPr>
          <w:rFonts w:eastAsia="Times New Roman"/>
          <w:color w:val="000000"/>
          <w:sz w:val="24"/>
          <w:szCs w:val="26"/>
        </w:rPr>
        <w:t xml:space="preserve">., 2019). This makes </w:t>
      </w:r>
      <w:r>
        <w:rPr>
          <w:rFonts w:eastAsia="Times New Roman"/>
          <w:i/>
          <w:iCs/>
          <w:color w:val="000000"/>
          <w:sz w:val="24"/>
          <w:szCs w:val="26"/>
        </w:rPr>
        <w:t>Sida acuta</w:t>
      </w:r>
      <w:r>
        <w:rPr>
          <w:rFonts w:eastAsia="Times New Roman"/>
          <w:color w:val="000000"/>
          <w:sz w:val="24"/>
          <w:szCs w:val="26"/>
        </w:rPr>
        <w:t xml:space="preserve"> extracts a promising alternative for combating antibiotic-resistant infections. Flavonoids from </w:t>
      </w:r>
      <w:r>
        <w:rPr>
          <w:rFonts w:eastAsia="Times New Roman"/>
          <w:i/>
          <w:iCs/>
          <w:color w:val="000000"/>
          <w:sz w:val="24"/>
          <w:szCs w:val="26"/>
        </w:rPr>
        <w:t>Sida acuta</w:t>
      </w:r>
      <w:r>
        <w:rPr>
          <w:rFonts w:eastAsia="Times New Roman"/>
          <w:color w:val="000000"/>
          <w:sz w:val="24"/>
          <w:szCs w:val="26"/>
        </w:rPr>
        <w:t xml:space="preserve"> also possess significant anti-infla</w:t>
      </w:r>
      <w:r>
        <w:rPr>
          <w:rFonts w:eastAsia="Times New Roman"/>
          <w:color w:val="000000"/>
          <w:sz w:val="24"/>
          <w:szCs w:val="26"/>
        </w:rPr>
        <w:t>mmatory properties (Mbagwu and Okoro, 2017).</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Research suggests that </w:t>
      </w:r>
      <w:r>
        <w:rPr>
          <w:rFonts w:eastAsia="Times New Roman"/>
          <w:i/>
          <w:iCs/>
          <w:color w:val="000000"/>
          <w:sz w:val="24"/>
          <w:szCs w:val="26"/>
        </w:rPr>
        <w:t>Sida acuta</w:t>
      </w:r>
      <w:r>
        <w:rPr>
          <w:rFonts w:eastAsia="Times New Roman"/>
          <w:color w:val="000000"/>
          <w:sz w:val="24"/>
          <w:szCs w:val="26"/>
        </w:rPr>
        <w:t xml:space="preserve"> flavonoids have anticancer properties. They exhibit cytotoxic effects against tumor cells by inducing apoptosis, inhibiting proliferation, and modulating key signaling pathways </w:t>
      </w:r>
      <w:r>
        <w:rPr>
          <w:rFonts w:eastAsia="Times New Roman"/>
          <w:color w:val="000000"/>
          <w:sz w:val="24"/>
          <w:szCs w:val="26"/>
        </w:rPr>
        <w:t xml:space="preserve">involved in cancer progression (Fraga </w:t>
      </w:r>
      <w:r>
        <w:rPr>
          <w:rFonts w:eastAsia="Times New Roman"/>
          <w:i/>
          <w:iCs/>
          <w:color w:val="000000"/>
          <w:sz w:val="24"/>
          <w:szCs w:val="26"/>
        </w:rPr>
        <w:t>et al</w:t>
      </w:r>
      <w:r>
        <w:rPr>
          <w:rFonts w:eastAsia="Times New Roman"/>
          <w:color w:val="000000"/>
          <w:sz w:val="24"/>
          <w:szCs w:val="26"/>
        </w:rPr>
        <w:t xml:space="preserve">., 2019). These properties make </w:t>
      </w:r>
      <w:r>
        <w:rPr>
          <w:rFonts w:eastAsia="Times New Roman"/>
          <w:i/>
          <w:iCs/>
          <w:color w:val="000000"/>
          <w:sz w:val="24"/>
          <w:szCs w:val="26"/>
        </w:rPr>
        <w:t>Sida acuta</w:t>
      </w:r>
      <w:r>
        <w:rPr>
          <w:rFonts w:eastAsia="Times New Roman"/>
          <w:color w:val="000000"/>
          <w:sz w:val="24"/>
          <w:szCs w:val="26"/>
        </w:rPr>
        <w:t xml:space="preserve"> a promising candidate for further investigation in cancer prevention and treatment (Ezekwesili </w:t>
      </w:r>
      <w:r>
        <w:rPr>
          <w:rFonts w:eastAsia="Times New Roman"/>
          <w:i/>
          <w:iCs/>
          <w:color w:val="000000"/>
          <w:sz w:val="24"/>
          <w:szCs w:val="26"/>
        </w:rPr>
        <w:t>et al</w:t>
      </w:r>
      <w:r>
        <w:rPr>
          <w:rFonts w:eastAsia="Times New Roman"/>
          <w:color w:val="000000"/>
          <w:sz w:val="24"/>
          <w:szCs w:val="26"/>
        </w:rPr>
        <w:t xml:space="preserve">., 2018). </w:t>
      </w:r>
    </w:p>
    <w:p w:rsidR="005F01BE" w:rsidRDefault="003E2C3A">
      <w:pPr>
        <w:spacing w:after="160" w:line="480" w:lineRule="auto"/>
        <w:jc w:val="both"/>
        <w:rPr>
          <w:rFonts w:eastAsia="Times New Roman"/>
          <w:b/>
          <w:bCs/>
          <w:color w:val="000000"/>
          <w:sz w:val="24"/>
          <w:szCs w:val="26"/>
        </w:rPr>
      </w:pPr>
      <w:r>
        <w:rPr>
          <w:rFonts w:eastAsia="Times New Roman"/>
          <w:b/>
          <w:bCs/>
          <w:color w:val="000000"/>
          <w:sz w:val="24"/>
          <w:szCs w:val="26"/>
        </w:rPr>
        <w:t>2.5.4 Phenols</w:t>
      </w:r>
    </w:p>
    <w:p w:rsidR="005F01BE" w:rsidRDefault="003E2C3A">
      <w:pPr>
        <w:pStyle w:val="NormalWeb"/>
        <w:spacing w:before="0" w:beforeAutospacing="0" w:after="0" w:afterAutospacing="0" w:line="480" w:lineRule="auto"/>
        <w:ind w:firstLine="720"/>
        <w:jc w:val="both"/>
        <w:rPr>
          <w:color w:val="000000"/>
          <w:szCs w:val="26"/>
        </w:rPr>
      </w:pPr>
      <w:r>
        <w:rPr>
          <w:rStyle w:val="Emphasis"/>
          <w:rFonts w:eastAsia="SimSun"/>
          <w:color w:val="000000"/>
          <w:szCs w:val="26"/>
        </w:rPr>
        <w:t>Sida acuta</w:t>
      </w:r>
      <w:r>
        <w:rPr>
          <w:color w:val="000000"/>
          <w:szCs w:val="26"/>
        </w:rPr>
        <w:t xml:space="preserve"> phenols play a crucial role in neu</w:t>
      </w:r>
      <w:r>
        <w:rPr>
          <w:color w:val="000000"/>
          <w:szCs w:val="26"/>
        </w:rPr>
        <w:t xml:space="preserve">tralizing free radicals and reducing oxidative stress, which is linked to chronic diseases such as cancer, cardiovascular disorders, and neurodegenerative conditions (Edeoga </w:t>
      </w:r>
      <w:r>
        <w:rPr>
          <w:i/>
          <w:iCs/>
          <w:color w:val="000000"/>
          <w:szCs w:val="26"/>
        </w:rPr>
        <w:t>et al</w:t>
      </w:r>
      <w:r>
        <w:rPr>
          <w:color w:val="000000"/>
          <w:szCs w:val="26"/>
        </w:rPr>
        <w:t>., 2020). Phenolic compounds exhibit strong radical-scavenging abilities by d</w:t>
      </w:r>
      <w:r>
        <w:rPr>
          <w:color w:val="000000"/>
          <w:szCs w:val="26"/>
        </w:rPr>
        <w:t xml:space="preserve">onating hydrogen atoms to reactive oxygen species (ROS), thereby preventing cellular damage and enhancing the body’s defense mechanisms (Uche </w:t>
      </w:r>
      <w:r>
        <w:rPr>
          <w:i/>
          <w:iCs/>
          <w:color w:val="000000"/>
          <w:szCs w:val="26"/>
        </w:rPr>
        <w:t>et al</w:t>
      </w:r>
      <w:r>
        <w:rPr>
          <w:color w:val="000000"/>
          <w:szCs w:val="26"/>
        </w:rPr>
        <w:t xml:space="preserve">., 2020). Phenols display significant antimicrobial activity against various bacterial and fungal pathogens. </w:t>
      </w:r>
      <w:r>
        <w:rPr>
          <w:color w:val="000000"/>
          <w:szCs w:val="26"/>
        </w:rPr>
        <w:t xml:space="preserve">Studies have shown that these compounds inhibit the growth of </w:t>
      </w:r>
      <w:r>
        <w:rPr>
          <w:rStyle w:val="Emphasis"/>
          <w:rFonts w:eastAsia="SimSun"/>
          <w:color w:val="000000"/>
          <w:szCs w:val="26"/>
        </w:rPr>
        <w:t>Escherichia coli</w:t>
      </w:r>
      <w:r>
        <w:rPr>
          <w:color w:val="000000"/>
          <w:szCs w:val="26"/>
        </w:rPr>
        <w:t xml:space="preserve">, </w:t>
      </w:r>
      <w:r>
        <w:rPr>
          <w:rStyle w:val="Emphasis"/>
          <w:rFonts w:eastAsia="SimSun"/>
          <w:color w:val="000000"/>
          <w:szCs w:val="26"/>
        </w:rPr>
        <w:t>Staphylococcus aureus</w:t>
      </w:r>
      <w:r>
        <w:rPr>
          <w:color w:val="000000"/>
          <w:szCs w:val="26"/>
        </w:rPr>
        <w:t xml:space="preserve">, and </w:t>
      </w:r>
      <w:r>
        <w:rPr>
          <w:rStyle w:val="Emphasis"/>
          <w:rFonts w:eastAsia="SimSun"/>
          <w:color w:val="000000"/>
          <w:szCs w:val="26"/>
        </w:rPr>
        <w:t>Candida albicans</w:t>
      </w:r>
      <w:r>
        <w:rPr>
          <w:color w:val="000000"/>
          <w:szCs w:val="26"/>
        </w:rPr>
        <w:t xml:space="preserve">, making them effective agents in combating infectious diseases (Adegboye </w:t>
      </w:r>
      <w:r>
        <w:rPr>
          <w:i/>
          <w:iCs/>
          <w:color w:val="000000"/>
          <w:szCs w:val="26"/>
        </w:rPr>
        <w:t>et al</w:t>
      </w:r>
      <w:r>
        <w:rPr>
          <w:color w:val="000000"/>
          <w:szCs w:val="26"/>
        </w:rPr>
        <w:t>., 2021). The antimicrobial mechanism involves disrupt</w:t>
      </w:r>
      <w:r>
        <w:rPr>
          <w:color w:val="000000"/>
          <w:szCs w:val="26"/>
        </w:rPr>
        <w:t xml:space="preserve">ing microbial cell membranes, inhibiting essential enzymes, and interfering with microbial DNA synthesis (Olajide </w:t>
      </w:r>
      <w:r>
        <w:rPr>
          <w:i/>
          <w:iCs/>
          <w:color w:val="000000"/>
          <w:szCs w:val="26"/>
        </w:rPr>
        <w:t>et al</w:t>
      </w:r>
      <w:r>
        <w:rPr>
          <w:color w:val="000000"/>
          <w:szCs w:val="26"/>
        </w:rPr>
        <w:t xml:space="preserve">., 2019). This highlights the potential of </w:t>
      </w:r>
      <w:r>
        <w:rPr>
          <w:rStyle w:val="Emphasis"/>
          <w:rFonts w:eastAsia="SimSun"/>
          <w:color w:val="000000"/>
          <w:szCs w:val="26"/>
        </w:rPr>
        <w:t>Sida acuta</w:t>
      </w:r>
      <w:r>
        <w:rPr>
          <w:color w:val="000000"/>
          <w:szCs w:val="26"/>
        </w:rPr>
        <w:t xml:space="preserve"> as a natural source for developing antimicrobial drugs.</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The phenolic content of </w:t>
      </w:r>
      <w:r>
        <w:rPr>
          <w:rStyle w:val="Emphasis"/>
          <w:rFonts w:eastAsia="SimSun"/>
          <w:color w:val="000000"/>
          <w:szCs w:val="26"/>
        </w:rPr>
        <w:t>Sida acuta</w:t>
      </w:r>
      <w:r>
        <w:rPr>
          <w:color w:val="000000"/>
          <w:szCs w:val="26"/>
        </w:rPr>
        <w:t xml:space="preserve"> makes it a promising candidate for further studies in cancer prevention and treatment. However, additional research is required to </w:t>
      </w:r>
      <w:r>
        <w:rPr>
          <w:color w:val="000000"/>
          <w:szCs w:val="26"/>
        </w:rPr>
        <w:lastRenderedPageBreak/>
        <w:t>establish the full molecular mechanisms and therapeutic potential of these bioactive molecules. Phenols contribute</w:t>
      </w:r>
      <w:r>
        <w:rPr>
          <w:color w:val="000000"/>
          <w:szCs w:val="26"/>
        </w:rPr>
        <w:t xml:space="preserve"> to gastroprotection by reducing gastric acid secretion, enhancing mucosal defense, and promoting ulcer healing (Ezekwesili </w:t>
      </w:r>
      <w:r>
        <w:rPr>
          <w:i/>
          <w:iCs/>
          <w:color w:val="000000"/>
          <w:szCs w:val="26"/>
        </w:rPr>
        <w:t>et al</w:t>
      </w:r>
      <w:r>
        <w:rPr>
          <w:color w:val="000000"/>
          <w:szCs w:val="26"/>
        </w:rPr>
        <w:t>., 2018).</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2.6 Mineral composition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The diverse mineral profile of </w:t>
      </w:r>
      <w:r>
        <w:rPr>
          <w:rStyle w:val="Emphasis"/>
          <w:rFonts w:eastAsia="SimSun"/>
          <w:color w:val="000000"/>
          <w:szCs w:val="26"/>
        </w:rPr>
        <w:t>Sida acuta</w:t>
      </w:r>
      <w:r>
        <w:rPr>
          <w:color w:val="000000"/>
          <w:szCs w:val="26"/>
        </w:rPr>
        <w:t xml:space="preserve"> enhances its pharmacological relevance, supporting</w:t>
      </w:r>
      <w:r>
        <w:rPr>
          <w:color w:val="000000"/>
          <w:szCs w:val="26"/>
        </w:rPr>
        <w:t xml:space="preserve"> its traditional applications in treating mineral deficiencies and metabolic disorders. Continued research is necessary to quantify the bioavailability of these minerals and their precise roles in human health. The potential for </w:t>
      </w:r>
      <w:r>
        <w:rPr>
          <w:rStyle w:val="Emphasis"/>
          <w:rFonts w:eastAsia="SimSun"/>
          <w:color w:val="000000"/>
          <w:szCs w:val="26"/>
        </w:rPr>
        <w:t>Sida acuta</w:t>
      </w:r>
      <w:r>
        <w:rPr>
          <w:color w:val="000000"/>
          <w:szCs w:val="26"/>
        </w:rPr>
        <w:t xml:space="preserve"> as a nutraceutic</w:t>
      </w:r>
      <w:r>
        <w:rPr>
          <w:color w:val="000000"/>
          <w:szCs w:val="26"/>
        </w:rPr>
        <w:t xml:space="preserve">al or functional food supplement remains promising, warranting further investigation into its therapeutic benefits and clinical applications (Fraga </w:t>
      </w:r>
      <w:r>
        <w:rPr>
          <w:i/>
          <w:iCs/>
          <w:color w:val="000000"/>
          <w:szCs w:val="26"/>
        </w:rPr>
        <w:t>et al</w:t>
      </w:r>
      <w:r>
        <w:rPr>
          <w:color w:val="000000"/>
          <w:szCs w:val="26"/>
        </w:rPr>
        <w:t xml:space="preserve">., 2019). Trace elements such as iron (Fe), zinc (Zn), and copper (Cu) are also present in </w:t>
      </w:r>
      <w:r>
        <w:rPr>
          <w:rStyle w:val="Emphasis"/>
          <w:rFonts w:eastAsia="SimSun"/>
          <w:color w:val="000000"/>
          <w:szCs w:val="26"/>
        </w:rPr>
        <w:t>Sida acuta</w:t>
      </w:r>
      <w:r>
        <w:rPr>
          <w:color w:val="000000"/>
          <w:szCs w:val="26"/>
        </w:rPr>
        <w:t xml:space="preserve"> a</w:t>
      </w:r>
      <w:r>
        <w:rPr>
          <w:color w:val="000000"/>
          <w:szCs w:val="26"/>
        </w:rPr>
        <w:t xml:space="preserve">nd are essential for various biological processes. Iron is crucial for hemoglobin formation and oxygen transport, making </w:t>
      </w:r>
      <w:r>
        <w:rPr>
          <w:rStyle w:val="Emphasis"/>
          <w:rFonts w:eastAsia="SimSun"/>
          <w:color w:val="000000"/>
          <w:szCs w:val="26"/>
        </w:rPr>
        <w:t>Sida acuta</w:t>
      </w:r>
      <w:r>
        <w:rPr>
          <w:color w:val="000000"/>
          <w:szCs w:val="26"/>
        </w:rPr>
        <w:t xml:space="preserve"> beneficial in addressing iron deficiency anemia (Mbagwu and Okoro, 2017).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2.6.1 Calcium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Among the macrominerals found in </w:t>
      </w:r>
      <w:r>
        <w:rPr>
          <w:rStyle w:val="Emphasis"/>
          <w:rFonts w:eastAsia="SimSun"/>
          <w:color w:val="000000"/>
          <w:szCs w:val="26"/>
        </w:rPr>
        <w:t>S</w:t>
      </w:r>
      <w:r>
        <w:rPr>
          <w:rStyle w:val="Emphasis"/>
          <w:rFonts w:eastAsia="SimSun"/>
          <w:color w:val="000000"/>
          <w:szCs w:val="26"/>
        </w:rPr>
        <w:t>ida acuta</w:t>
      </w:r>
      <w:r>
        <w:rPr>
          <w:color w:val="000000"/>
          <w:szCs w:val="26"/>
        </w:rPr>
        <w:t xml:space="preserve">, calcium (Ca) is one of the most abundant. Calcium is essential for bone health, nerve transmission, and muscle function. The presence of calcium in </w:t>
      </w:r>
      <w:r>
        <w:rPr>
          <w:rStyle w:val="Emphasis"/>
          <w:rFonts w:eastAsia="SimSun"/>
          <w:color w:val="000000"/>
          <w:szCs w:val="26"/>
        </w:rPr>
        <w:t>Sida acuta</w:t>
      </w:r>
      <w:r>
        <w:rPr>
          <w:color w:val="000000"/>
          <w:szCs w:val="26"/>
        </w:rPr>
        <w:t xml:space="preserve"> suggests its potential role in preventing osteoporosis and maintaining skeletal integr</w:t>
      </w:r>
      <w:r>
        <w:rPr>
          <w:color w:val="000000"/>
          <w:szCs w:val="26"/>
        </w:rPr>
        <w:t xml:space="preserve">ity (Edeoga </w:t>
      </w:r>
      <w:r>
        <w:rPr>
          <w:i/>
          <w:iCs/>
          <w:color w:val="000000"/>
          <w:szCs w:val="26"/>
        </w:rPr>
        <w:t>et al</w:t>
      </w:r>
      <w:r>
        <w:rPr>
          <w:color w:val="000000"/>
          <w:szCs w:val="26"/>
        </w:rPr>
        <w:t xml:space="preserve">., 2020). According to Enin (2015), the calcium content in </w:t>
      </w:r>
      <w:r>
        <w:rPr>
          <w:i/>
          <w:iCs/>
          <w:color w:val="000000"/>
          <w:szCs w:val="26"/>
        </w:rPr>
        <w:t>Sida acuta</w:t>
      </w:r>
      <w:r>
        <w:rPr>
          <w:color w:val="000000"/>
          <w:szCs w:val="26"/>
        </w:rPr>
        <w:t xml:space="preserve"> leaves is approximately 185 mg per 100 grams of dried sample. This level is relatively high when compared with other wild leafy </w:t>
      </w:r>
      <w:r>
        <w:rPr>
          <w:color w:val="000000"/>
          <w:szCs w:val="26"/>
        </w:rPr>
        <w:lastRenderedPageBreak/>
        <w:t>vegetables and highlights the plant’s pot</w:t>
      </w:r>
      <w:r>
        <w:rPr>
          <w:color w:val="000000"/>
          <w:szCs w:val="26"/>
        </w:rPr>
        <w:t>ential to support calcium requirements, especially in plant-based or low-income diets. Shittu and Alagbe (2020) similarly observed a significant calcium presence in their analysis of the plant’s mineral profile, further supporting its nutritional relevance</w:t>
      </w:r>
      <w:r>
        <w:rPr>
          <w:color w:val="000000"/>
          <w:szCs w:val="26"/>
        </w:rPr>
        <w:t xml:space="preserve">.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2.6.2 Potassium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Potassium (K) is another vital mineral present in </w:t>
      </w:r>
      <w:r>
        <w:rPr>
          <w:rStyle w:val="Emphasis"/>
          <w:rFonts w:eastAsia="SimSun"/>
          <w:color w:val="000000"/>
          <w:szCs w:val="26"/>
        </w:rPr>
        <w:t>Sida acuta</w:t>
      </w:r>
      <w:r>
        <w:rPr>
          <w:color w:val="000000"/>
          <w:szCs w:val="26"/>
        </w:rPr>
        <w:t>, playing an essential role in maintaining electrolyte balance, nerve signaling, and cardiovascular function. A potassium-rich diet has been linked to reduced blood pressure an</w:t>
      </w:r>
      <w:r>
        <w:rPr>
          <w:color w:val="000000"/>
          <w:szCs w:val="26"/>
        </w:rPr>
        <w:t xml:space="preserve">d a lower risk of stroke (Adegboye </w:t>
      </w:r>
      <w:r>
        <w:rPr>
          <w:i/>
          <w:iCs/>
          <w:color w:val="000000"/>
          <w:szCs w:val="26"/>
        </w:rPr>
        <w:t>et al</w:t>
      </w:r>
      <w:r>
        <w:rPr>
          <w:color w:val="000000"/>
          <w:szCs w:val="26"/>
        </w:rPr>
        <w:t xml:space="preserve">., 2021). The presence of potassium in </w:t>
      </w:r>
      <w:r>
        <w:rPr>
          <w:rStyle w:val="Emphasis"/>
          <w:rFonts w:eastAsia="SimSun"/>
          <w:color w:val="000000"/>
          <w:szCs w:val="26"/>
        </w:rPr>
        <w:t>Sida acuta</w:t>
      </w:r>
      <w:r>
        <w:rPr>
          <w:color w:val="000000"/>
          <w:szCs w:val="26"/>
        </w:rPr>
        <w:t xml:space="preserve"> suggests its potential contribution to heart health and blood pressure regulation. Furthermore, sodium (Na) is present in trace amounts, ensuring proper fluid balance</w:t>
      </w:r>
      <w:r>
        <w:rPr>
          <w:color w:val="000000"/>
          <w:szCs w:val="26"/>
        </w:rPr>
        <w:t xml:space="preserve"> and nerve function without contributing to hypertension (Olajide </w:t>
      </w:r>
      <w:r>
        <w:rPr>
          <w:i/>
          <w:iCs/>
          <w:color w:val="000000"/>
          <w:szCs w:val="26"/>
        </w:rPr>
        <w:t>et al</w:t>
      </w:r>
      <w:r>
        <w:rPr>
          <w:color w:val="000000"/>
          <w:szCs w:val="26"/>
        </w:rPr>
        <w:t>., 2019).</w:t>
      </w:r>
    </w:p>
    <w:p w:rsidR="005F01BE" w:rsidRDefault="003E2C3A">
      <w:pPr>
        <w:spacing w:after="160" w:line="480" w:lineRule="auto"/>
        <w:jc w:val="both"/>
        <w:rPr>
          <w:b/>
          <w:bCs/>
          <w:color w:val="000000"/>
          <w:sz w:val="24"/>
          <w:szCs w:val="26"/>
        </w:rPr>
      </w:pPr>
      <w:r>
        <w:rPr>
          <w:b/>
          <w:bCs/>
          <w:color w:val="000000"/>
          <w:sz w:val="24"/>
          <w:szCs w:val="26"/>
        </w:rPr>
        <w:t xml:space="preserve">2.6.3 Sodium </w:t>
      </w:r>
    </w:p>
    <w:p w:rsidR="005F01BE" w:rsidRDefault="003E2C3A">
      <w:pPr>
        <w:spacing w:after="0" w:line="480" w:lineRule="auto"/>
        <w:ind w:firstLine="720"/>
        <w:jc w:val="both"/>
        <w:rPr>
          <w:rFonts w:eastAsia="Times New Roman"/>
          <w:color w:val="000000"/>
          <w:sz w:val="24"/>
          <w:szCs w:val="26"/>
        </w:rPr>
      </w:pPr>
      <w:r>
        <w:rPr>
          <w:rFonts w:eastAsia="Times New Roman"/>
          <w:i/>
          <w:iCs/>
          <w:color w:val="000000"/>
          <w:sz w:val="24"/>
          <w:szCs w:val="26"/>
        </w:rPr>
        <w:t>Sida acuta</w:t>
      </w:r>
      <w:r>
        <w:rPr>
          <w:rFonts w:eastAsia="Times New Roman"/>
          <w:color w:val="000000"/>
          <w:sz w:val="24"/>
          <w:szCs w:val="26"/>
        </w:rPr>
        <w:t>, commonly referred to as broom weed, is a medicinal plant widely utilized in traditional medicine across tropical regions. One of its lesser-discussed</w:t>
      </w:r>
      <w:r>
        <w:rPr>
          <w:rFonts w:eastAsia="Times New Roman"/>
          <w:color w:val="000000"/>
          <w:sz w:val="24"/>
          <w:szCs w:val="26"/>
        </w:rPr>
        <w:t xml:space="preserve"> but important attributes is its mineral composition particularly sodium. Sodium, a key electrolyte in human physiology, plays essential roles in fluid regulation, nerve transmission, and muscle function. Although many dietary sources provide sodium, the r</w:t>
      </w:r>
      <w:r>
        <w:rPr>
          <w:rFonts w:eastAsia="Times New Roman"/>
          <w:color w:val="000000"/>
          <w:sz w:val="24"/>
          <w:szCs w:val="26"/>
        </w:rPr>
        <w:t xml:space="preserve">elevance of its presence in medicinal plants like </w:t>
      </w:r>
      <w:r>
        <w:rPr>
          <w:rFonts w:eastAsia="Times New Roman"/>
          <w:i/>
          <w:iCs/>
          <w:color w:val="000000"/>
          <w:sz w:val="24"/>
          <w:szCs w:val="26"/>
        </w:rPr>
        <w:t>Sida acuta</w:t>
      </w:r>
      <w:r>
        <w:rPr>
          <w:rFonts w:eastAsia="Times New Roman"/>
          <w:color w:val="000000"/>
          <w:sz w:val="24"/>
          <w:szCs w:val="26"/>
        </w:rPr>
        <w:t xml:space="preserve"> is significant, especially for populations relying on herbal remedies for both nutrition and therapy. Recent analyses have revealed that </w:t>
      </w:r>
      <w:r>
        <w:rPr>
          <w:rFonts w:eastAsia="Times New Roman"/>
          <w:i/>
          <w:iCs/>
          <w:color w:val="000000"/>
          <w:sz w:val="24"/>
          <w:szCs w:val="26"/>
        </w:rPr>
        <w:t>Sida acuta</w:t>
      </w:r>
      <w:r>
        <w:rPr>
          <w:rFonts w:eastAsia="Times New Roman"/>
          <w:color w:val="000000"/>
          <w:sz w:val="24"/>
          <w:szCs w:val="26"/>
        </w:rPr>
        <w:t xml:space="preserve"> leaves contain appreciable amounts of sodium. According </w:t>
      </w:r>
      <w:r>
        <w:rPr>
          <w:rFonts w:eastAsia="Times New Roman"/>
          <w:color w:val="000000"/>
          <w:sz w:val="24"/>
          <w:szCs w:val="26"/>
        </w:rPr>
        <w:lastRenderedPageBreak/>
        <w:t xml:space="preserve">to Shittu and Alagbe (2020), the sodium content in </w:t>
      </w:r>
      <w:r>
        <w:rPr>
          <w:rFonts w:eastAsia="Times New Roman"/>
          <w:i/>
          <w:iCs/>
          <w:color w:val="000000"/>
          <w:sz w:val="24"/>
          <w:szCs w:val="26"/>
        </w:rPr>
        <w:t>Sida acuta</w:t>
      </w:r>
      <w:r>
        <w:rPr>
          <w:rFonts w:eastAsia="Times New Roman"/>
          <w:color w:val="000000"/>
          <w:sz w:val="24"/>
          <w:szCs w:val="26"/>
        </w:rPr>
        <w:t xml:space="preserve"> leaf extract was recorded at 0.222 mg per gram. This indicates that even in small servings, the plant contributes measurable sodium to th</w:t>
      </w:r>
      <w:r>
        <w:rPr>
          <w:rFonts w:eastAsia="Times New Roman"/>
          <w:color w:val="000000"/>
          <w:sz w:val="24"/>
          <w:szCs w:val="26"/>
        </w:rPr>
        <w:t xml:space="preserve">e diet. Similarly, Enin (2015) found that the leaves contain approximately 110 mg of sodium per 100 grams of dried plant material, further confirming the plant’s role as a potential sodium source. </w:t>
      </w:r>
    </w:p>
    <w:p w:rsidR="005F01BE" w:rsidRDefault="003E2C3A">
      <w:pPr>
        <w:spacing w:after="0" w:line="480" w:lineRule="auto"/>
        <w:jc w:val="both"/>
        <w:rPr>
          <w:b/>
          <w:bCs/>
          <w:color w:val="000000"/>
          <w:sz w:val="24"/>
          <w:szCs w:val="26"/>
        </w:rPr>
      </w:pPr>
      <w:r>
        <w:rPr>
          <w:b/>
          <w:bCs/>
          <w:color w:val="000000"/>
          <w:sz w:val="24"/>
          <w:szCs w:val="26"/>
        </w:rPr>
        <w:t xml:space="preserve">2.6.4 Phosphorus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Phosphorus is a critical mineral require</w:t>
      </w:r>
      <w:r>
        <w:rPr>
          <w:rFonts w:eastAsia="Times New Roman"/>
          <w:color w:val="000000"/>
          <w:sz w:val="24"/>
          <w:szCs w:val="26"/>
        </w:rPr>
        <w:t xml:space="preserve">d for various physiological processes, including energy metabolism, bone mineralization, and cellular signaling. While commonly obtained through animal products and cereals, some medicinal plants like </w:t>
      </w:r>
      <w:r>
        <w:rPr>
          <w:rFonts w:eastAsia="Times New Roman"/>
          <w:i/>
          <w:iCs/>
          <w:color w:val="000000"/>
          <w:sz w:val="24"/>
          <w:szCs w:val="26"/>
        </w:rPr>
        <w:t>Sida acuta</w:t>
      </w:r>
      <w:r>
        <w:rPr>
          <w:rFonts w:eastAsia="Times New Roman"/>
          <w:color w:val="000000"/>
          <w:sz w:val="24"/>
          <w:szCs w:val="26"/>
        </w:rPr>
        <w:t xml:space="preserve"> also contribute to dietary phosphorus intake</w:t>
      </w:r>
      <w:r>
        <w:rPr>
          <w:rFonts w:eastAsia="Times New Roman"/>
          <w:color w:val="000000"/>
          <w:sz w:val="24"/>
          <w:szCs w:val="26"/>
        </w:rPr>
        <w:t xml:space="preserve">, especially in regions where plant-based diets are predominant. The phosphorus content in </w:t>
      </w:r>
      <w:r>
        <w:rPr>
          <w:rFonts w:eastAsia="Times New Roman"/>
          <w:i/>
          <w:iCs/>
          <w:color w:val="000000"/>
          <w:sz w:val="24"/>
          <w:szCs w:val="26"/>
        </w:rPr>
        <w:t>Sida acuta</w:t>
      </w:r>
      <w:r>
        <w:rPr>
          <w:rFonts w:eastAsia="Times New Roman"/>
          <w:color w:val="000000"/>
          <w:sz w:val="24"/>
          <w:szCs w:val="26"/>
        </w:rPr>
        <w:t xml:space="preserve"> has been analyzed in several nutritional studies.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Enin (2015), the leaves of </w:t>
      </w:r>
      <w:r>
        <w:rPr>
          <w:rFonts w:eastAsia="Times New Roman"/>
          <w:i/>
          <w:iCs/>
          <w:color w:val="000000"/>
          <w:sz w:val="24"/>
          <w:szCs w:val="26"/>
        </w:rPr>
        <w:t>Sida acuta</w:t>
      </w:r>
      <w:r>
        <w:rPr>
          <w:rFonts w:eastAsia="Times New Roman"/>
          <w:color w:val="000000"/>
          <w:sz w:val="24"/>
          <w:szCs w:val="26"/>
        </w:rPr>
        <w:t xml:space="preserve"> contain approximately 18.6 mg of phosphorus per 100 grams of dried plant material. This level, though modest compared to animal-based sources, is notable for a wild leafy plant often used in herbal infusions or as a supplementary food source. Shittu and A</w:t>
      </w:r>
      <w:r>
        <w:rPr>
          <w:rFonts w:eastAsia="Times New Roman"/>
          <w:color w:val="000000"/>
          <w:sz w:val="24"/>
          <w:szCs w:val="26"/>
        </w:rPr>
        <w:t>lagbe (2020) similarly reported the presence of phosphorus in the leaf extract, suggesting its contribution to the mineral profile of the plant.</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2.6.5 Iron and copper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Iron is crucial for the formation of hemoglobin, the protein responsible for transportin</w:t>
      </w:r>
      <w:r>
        <w:rPr>
          <w:rFonts w:eastAsia="Times New Roman"/>
          <w:color w:val="000000"/>
          <w:sz w:val="24"/>
          <w:szCs w:val="26"/>
        </w:rPr>
        <w:t xml:space="preserve">g oxygen in the blood, and plays a role in cellular respiration and immune </w:t>
      </w:r>
      <w:r>
        <w:rPr>
          <w:rFonts w:eastAsia="Times New Roman"/>
          <w:color w:val="000000"/>
          <w:sz w:val="24"/>
          <w:szCs w:val="26"/>
        </w:rPr>
        <w:lastRenderedPageBreak/>
        <w:t>function. Copper, on the other hand, assists in iron metabolism, supports antioxidant activity, and is necessary for the development of connective tissue and the nervous system. Whe</w:t>
      </w:r>
      <w:r>
        <w:rPr>
          <w:rFonts w:eastAsia="Times New Roman"/>
          <w:color w:val="000000"/>
          <w:sz w:val="24"/>
          <w:szCs w:val="26"/>
        </w:rPr>
        <w:t xml:space="preserve">n found together in a plant like </w:t>
      </w:r>
      <w:r>
        <w:rPr>
          <w:rFonts w:eastAsia="Times New Roman"/>
          <w:i/>
          <w:iCs/>
          <w:color w:val="000000"/>
          <w:sz w:val="24"/>
          <w:szCs w:val="26"/>
        </w:rPr>
        <w:t>Sida acuta</w:t>
      </w:r>
      <w:r>
        <w:rPr>
          <w:rFonts w:eastAsia="Times New Roman"/>
          <w:color w:val="000000"/>
          <w:sz w:val="24"/>
          <w:szCs w:val="26"/>
        </w:rPr>
        <w:t>, these minerals suggest that the plant may serve as a valuable dietary supplement, especially in areas where iron-deficiency anemia is common.</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According to Shittu and Alagbe (2020), the iron content in </w:t>
      </w:r>
      <w:r>
        <w:rPr>
          <w:rFonts w:eastAsia="Times New Roman"/>
          <w:i/>
          <w:iCs/>
          <w:color w:val="000000"/>
          <w:sz w:val="24"/>
          <w:szCs w:val="26"/>
        </w:rPr>
        <w:t>Sida acuta</w:t>
      </w:r>
      <w:r>
        <w:rPr>
          <w:rFonts w:eastAsia="Times New Roman"/>
          <w:color w:val="000000"/>
          <w:sz w:val="24"/>
          <w:szCs w:val="26"/>
        </w:rPr>
        <w:t xml:space="preserve"> leaf extract was reported to be approximately 1.02 mg per gram. This relatively high value indicates a promising potential for combating iron deficiency through traditional herbal consumption. Enin (2015) also reported a comparable iron concentration, fur</w:t>
      </w:r>
      <w:r>
        <w:rPr>
          <w:rFonts w:eastAsia="Times New Roman"/>
          <w:color w:val="000000"/>
          <w:sz w:val="24"/>
          <w:szCs w:val="26"/>
        </w:rPr>
        <w:t xml:space="preserve">ther supporting the idea that </w:t>
      </w:r>
      <w:r>
        <w:rPr>
          <w:rFonts w:eastAsia="Times New Roman"/>
          <w:i/>
          <w:iCs/>
          <w:color w:val="000000"/>
          <w:sz w:val="24"/>
          <w:szCs w:val="26"/>
        </w:rPr>
        <w:t>Sida acuta</w:t>
      </w:r>
      <w:r>
        <w:rPr>
          <w:rFonts w:eastAsia="Times New Roman"/>
          <w:color w:val="000000"/>
          <w:sz w:val="24"/>
          <w:szCs w:val="26"/>
        </w:rPr>
        <w:t xml:space="preserve"> could be an effective natural source of dietary iron. In terms of copper, </w:t>
      </w:r>
      <w:r>
        <w:rPr>
          <w:rFonts w:eastAsia="Times New Roman"/>
          <w:i/>
          <w:iCs/>
          <w:color w:val="000000"/>
          <w:sz w:val="24"/>
          <w:szCs w:val="26"/>
        </w:rPr>
        <w:t>Sida acuta</w:t>
      </w:r>
      <w:r>
        <w:rPr>
          <w:rFonts w:eastAsia="Times New Roman"/>
          <w:color w:val="000000"/>
          <w:sz w:val="24"/>
          <w:szCs w:val="26"/>
        </w:rPr>
        <w:t xml:space="preserve"> also shows a meaningful mineral profile. Enin (2015) documented the presence of about 0.35 mg of copper per 100 grams of dried lea</w:t>
      </w:r>
      <w:r>
        <w:rPr>
          <w:rFonts w:eastAsia="Times New Roman"/>
          <w:color w:val="000000"/>
          <w:sz w:val="24"/>
          <w:szCs w:val="26"/>
        </w:rPr>
        <w:t>f sample. Although the copper content is lower compared to iron, it remains within a beneficial range for human nutrition. This trace amount contributes to several physiological functions, including the formation of red blood cells and maintenance of healt</w:t>
      </w:r>
      <w:r>
        <w:rPr>
          <w:rFonts w:eastAsia="Times New Roman"/>
          <w:color w:val="000000"/>
          <w:sz w:val="24"/>
          <w:szCs w:val="26"/>
        </w:rPr>
        <w:t>hy bones and blood vessels.</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2.6.6 Aluminum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Aluminium, although not considered an essential nutrient for human physiology, is a naturally occurring element that can be found in various plants, soils, and water sources. In recent years, the presence of alum</w:t>
      </w:r>
      <w:r>
        <w:rPr>
          <w:rFonts w:eastAsia="Times New Roman"/>
          <w:color w:val="000000"/>
          <w:sz w:val="24"/>
          <w:szCs w:val="26"/>
        </w:rPr>
        <w:t xml:space="preserve">inium in medicinal plants such as </w:t>
      </w:r>
      <w:r>
        <w:rPr>
          <w:rFonts w:eastAsia="Times New Roman"/>
          <w:i/>
          <w:iCs/>
          <w:color w:val="000000"/>
          <w:sz w:val="24"/>
          <w:szCs w:val="26"/>
        </w:rPr>
        <w:t>Sida acuta</w:t>
      </w:r>
      <w:r>
        <w:rPr>
          <w:rFonts w:eastAsia="Times New Roman"/>
          <w:color w:val="000000"/>
          <w:sz w:val="24"/>
          <w:szCs w:val="26"/>
        </w:rPr>
        <w:t xml:space="preserve"> has sparked interest, especially due to growing concerns about its potential health </w:t>
      </w:r>
      <w:r>
        <w:rPr>
          <w:rFonts w:eastAsia="Times New Roman"/>
          <w:color w:val="000000"/>
          <w:sz w:val="24"/>
          <w:szCs w:val="26"/>
        </w:rPr>
        <w:lastRenderedPageBreak/>
        <w:t xml:space="preserve">effects when consumed in large quantities or over extended periods. </w:t>
      </w:r>
      <w:r>
        <w:rPr>
          <w:rFonts w:eastAsia="Times New Roman"/>
          <w:i/>
          <w:iCs/>
          <w:color w:val="000000"/>
          <w:sz w:val="24"/>
          <w:szCs w:val="26"/>
        </w:rPr>
        <w:t>Sida acuta</w:t>
      </w:r>
      <w:r>
        <w:rPr>
          <w:rFonts w:eastAsia="Times New Roman"/>
          <w:color w:val="000000"/>
          <w:sz w:val="24"/>
          <w:szCs w:val="26"/>
        </w:rPr>
        <w:t>, known for its medicinal versatility, has been e</w:t>
      </w:r>
      <w:r>
        <w:rPr>
          <w:rFonts w:eastAsia="Times New Roman"/>
          <w:color w:val="000000"/>
          <w:sz w:val="24"/>
          <w:szCs w:val="26"/>
        </w:rPr>
        <w:t xml:space="preserve">xamined for its elemental composition, including trace amounts of aluminium. According to Enin (2015), the leaves of </w:t>
      </w:r>
      <w:r>
        <w:rPr>
          <w:rFonts w:eastAsia="Times New Roman"/>
          <w:i/>
          <w:iCs/>
          <w:color w:val="000000"/>
          <w:sz w:val="24"/>
          <w:szCs w:val="26"/>
        </w:rPr>
        <w:t>Sida acuta</w:t>
      </w:r>
      <w:r>
        <w:rPr>
          <w:rFonts w:eastAsia="Times New Roman"/>
          <w:color w:val="000000"/>
          <w:sz w:val="24"/>
          <w:szCs w:val="26"/>
        </w:rPr>
        <w:t xml:space="preserve"> were found to contain approximately 3.08 mg of aluminium per 100 grams of dried sample. This value indicates that while aluminiu</w:t>
      </w:r>
      <w:r>
        <w:rPr>
          <w:rFonts w:eastAsia="Times New Roman"/>
          <w:color w:val="000000"/>
          <w:sz w:val="24"/>
          <w:szCs w:val="26"/>
        </w:rPr>
        <w:t xml:space="preserve">m is present in the plant, it is within a relatively low concentration compared to other essential minerals like iron or calcium.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2.7 Proximate composition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Proximate analysis is used to estimate the relative amounts of protein, lipid, water, ash and carb</w:t>
      </w:r>
      <w:r>
        <w:rPr>
          <w:color w:val="000000"/>
          <w:szCs w:val="26"/>
        </w:rPr>
        <w:t>ohydrate in any sample. Proximate composition is the term usually used in the field of feed/food and means the components of moisture, crude protein, ether extract, crude fibre, crude ash and nitrogen-free extracts, which are expressed as the content (%) i</w:t>
      </w:r>
      <w:r>
        <w:rPr>
          <w:color w:val="000000"/>
          <w:szCs w:val="26"/>
        </w:rPr>
        <w:t>n the sample, respectively. Protein, lipid and carbohydrate each contribute to the total energy content of an organism, while water and ash only contribute mass (</w:t>
      </w:r>
      <w:r>
        <w:rPr>
          <w:color w:val="000000"/>
          <w:szCs w:val="26"/>
          <w:shd w:val="clear" w:color="auto" w:fill="FFFFFF"/>
        </w:rPr>
        <w:t>Parimelazhagan and Thangaraj, 2016).</w:t>
      </w:r>
    </w:p>
    <w:p w:rsidR="005F01BE" w:rsidRDefault="003E2C3A">
      <w:pPr>
        <w:pStyle w:val="NormalWeb"/>
        <w:spacing w:before="0" w:beforeAutospacing="0" w:after="0" w:afterAutospacing="0" w:line="480" w:lineRule="auto"/>
        <w:jc w:val="both"/>
        <w:rPr>
          <w:b/>
          <w:bCs/>
          <w:color w:val="000000"/>
          <w:szCs w:val="26"/>
          <w:lang w:val="fr-FR"/>
        </w:rPr>
      </w:pPr>
      <w:r>
        <w:rPr>
          <w:b/>
          <w:color w:val="000000"/>
          <w:szCs w:val="26"/>
          <w:lang w:val="fr-FR"/>
        </w:rPr>
        <w:t>2</w:t>
      </w:r>
      <w:r>
        <w:rPr>
          <w:b/>
          <w:bCs/>
          <w:color w:val="000000"/>
          <w:szCs w:val="26"/>
          <w:lang w:val="fr-FR"/>
        </w:rPr>
        <w:t xml:space="preserve">.7.1 Moisture content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Moisture content is an essential factor in determining the storage and preservation characteristics of plant materials. It directly affects the stability and nutritional quality of plants, influencing their shelf life and susceptibility to microbial spoila</w:t>
      </w:r>
      <w:r>
        <w:rPr>
          <w:rFonts w:eastAsia="Times New Roman"/>
          <w:color w:val="000000"/>
          <w:sz w:val="24"/>
          <w:szCs w:val="26"/>
        </w:rPr>
        <w:t xml:space="preserve">ge. For </w:t>
      </w:r>
      <w:r>
        <w:rPr>
          <w:rFonts w:eastAsia="Times New Roman"/>
          <w:i/>
          <w:iCs/>
          <w:color w:val="000000"/>
          <w:sz w:val="24"/>
          <w:szCs w:val="26"/>
        </w:rPr>
        <w:t>Sida acuta</w:t>
      </w:r>
      <w:r>
        <w:rPr>
          <w:rFonts w:eastAsia="Times New Roman"/>
          <w:color w:val="000000"/>
          <w:sz w:val="24"/>
          <w:szCs w:val="26"/>
        </w:rPr>
        <w:t>, a plant commonly utilized in traditional medicine and as a food supplement, understanding its moisture content is crucial for effective post-harvest handling and processing.</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 xml:space="preserve">The moisture content in </w:t>
      </w:r>
      <w:r>
        <w:rPr>
          <w:rFonts w:eastAsia="Times New Roman"/>
          <w:i/>
          <w:iCs/>
          <w:color w:val="000000"/>
          <w:sz w:val="24"/>
          <w:szCs w:val="26"/>
        </w:rPr>
        <w:t>Sida acuta</w:t>
      </w:r>
      <w:r>
        <w:rPr>
          <w:rFonts w:eastAsia="Times New Roman"/>
          <w:color w:val="000000"/>
          <w:sz w:val="24"/>
          <w:szCs w:val="26"/>
        </w:rPr>
        <w:t xml:space="preserve"> leaves has been reported to</w:t>
      </w:r>
      <w:r>
        <w:rPr>
          <w:rFonts w:eastAsia="Times New Roman"/>
          <w:color w:val="000000"/>
          <w:sz w:val="24"/>
          <w:szCs w:val="26"/>
        </w:rPr>
        <w:t xml:space="preserve"> be relatively high, a study by Moti </w:t>
      </w:r>
      <w:r>
        <w:rPr>
          <w:rFonts w:eastAsia="Times New Roman"/>
          <w:i/>
          <w:iCs/>
          <w:color w:val="000000"/>
          <w:sz w:val="24"/>
          <w:szCs w:val="26"/>
        </w:rPr>
        <w:t>et al</w:t>
      </w:r>
      <w:r>
        <w:rPr>
          <w:rFonts w:eastAsia="Times New Roman"/>
          <w:color w:val="000000"/>
          <w:sz w:val="24"/>
          <w:szCs w:val="26"/>
        </w:rPr>
        <w:t xml:space="preserve">. (2020) found that the fresh leaves of </w:t>
      </w:r>
      <w:r>
        <w:rPr>
          <w:rFonts w:eastAsia="Times New Roman"/>
          <w:i/>
          <w:iCs/>
          <w:color w:val="000000"/>
          <w:sz w:val="24"/>
          <w:szCs w:val="26"/>
        </w:rPr>
        <w:t>Sida acuta</w:t>
      </w:r>
      <w:r>
        <w:rPr>
          <w:rFonts w:eastAsia="Times New Roman"/>
          <w:color w:val="000000"/>
          <w:sz w:val="24"/>
          <w:szCs w:val="26"/>
        </w:rPr>
        <w:t xml:space="preserve"> contained approximately 75.2% moisture, which is typical of many leafy plants. This high moisture content makes the plant vulnerable to rapid spoilage if not prope</w:t>
      </w:r>
      <w:r>
        <w:rPr>
          <w:rFonts w:eastAsia="Times New Roman"/>
          <w:color w:val="000000"/>
          <w:sz w:val="24"/>
          <w:szCs w:val="26"/>
        </w:rPr>
        <w:t xml:space="preserve">rly dried or stored. Adequate drying is critical to preserving the plant’s bioactive compounds and extending its shelf life for both medicinal and nutritional purposes (Akinmoladun </w:t>
      </w:r>
      <w:r>
        <w:rPr>
          <w:rFonts w:eastAsia="Times New Roman"/>
          <w:i/>
          <w:iCs/>
          <w:color w:val="000000"/>
          <w:sz w:val="24"/>
          <w:szCs w:val="26"/>
        </w:rPr>
        <w:t>et al</w:t>
      </w:r>
      <w:r>
        <w:rPr>
          <w:rFonts w:eastAsia="Times New Roman"/>
          <w:color w:val="000000"/>
          <w:sz w:val="24"/>
          <w:szCs w:val="26"/>
        </w:rPr>
        <w:t>., 2016).</w:t>
      </w:r>
    </w:p>
    <w:p w:rsidR="005F01BE" w:rsidRDefault="003E2C3A">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2.7.2 Crude protein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Crude protein is an essential component</w:t>
      </w:r>
      <w:r>
        <w:rPr>
          <w:rFonts w:eastAsia="Times New Roman"/>
          <w:color w:val="000000"/>
          <w:sz w:val="24"/>
          <w:szCs w:val="26"/>
        </w:rPr>
        <w:t xml:space="preserve"> in the nutritional evaluation of plant materials, as it reflects the total protein content, including both true proteins and non-protein nitrogen compounds. As an important macronutrient, protein plays a vital role in tissue repair, enzyme activity, immun</w:t>
      </w:r>
      <w:r>
        <w:rPr>
          <w:rFonts w:eastAsia="Times New Roman"/>
          <w:color w:val="000000"/>
          <w:sz w:val="24"/>
          <w:szCs w:val="26"/>
        </w:rPr>
        <w:t xml:space="preserve">e function, and overall growth. Research on the crude protein content of </w:t>
      </w:r>
      <w:r>
        <w:rPr>
          <w:rFonts w:eastAsia="Times New Roman"/>
          <w:i/>
          <w:iCs/>
          <w:color w:val="000000"/>
          <w:sz w:val="24"/>
          <w:szCs w:val="26"/>
        </w:rPr>
        <w:t>Sida acuta</w:t>
      </w:r>
      <w:r>
        <w:rPr>
          <w:rFonts w:eastAsia="Times New Roman"/>
          <w:color w:val="000000"/>
          <w:sz w:val="24"/>
          <w:szCs w:val="26"/>
        </w:rPr>
        <w:t xml:space="preserve"> indicates that it is a reasonable source of plant-based protein. According to Moti </w:t>
      </w:r>
      <w:r>
        <w:rPr>
          <w:rFonts w:eastAsia="Times New Roman"/>
          <w:i/>
          <w:iCs/>
          <w:color w:val="000000"/>
          <w:sz w:val="24"/>
          <w:szCs w:val="26"/>
        </w:rPr>
        <w:t>et al</w:t>
      </w:r>
      <w:r>
        <w:rPr>
          <w:rFonts w:eastAsia="Times New Roman"/>
          <w:color w:val="000000"/>
          <w:sz w:val="24"/>
          <w:szCs w:val="26"/>
        </w:rPr>
        <w:t xml:space="preserve">. (2020), the crude protein content in </w:t>
      </w:r>
      <w:r>
        <w:rPr>
          <w:rFonts w:eastAsia="Times New Roman"/>
          <w:i/>
          <w:iCs/>
          <w:color w:val="000000"/>
          <w:sz w:val="24"/>
          <w:szCs w:val="26"/>
        </w:rPr>
        <w:t>Sida acuta</w:t>
      </w:r>
      <w:r>
        <w:rPr>
          <w:rFonts w:eastAsia="Times New Roman"/>
          <w:color w:val="000000"/>
          <w:sz w:val="24"/>
          <w:szCs w:val="26"/>
        </w:rPr>
        <w:t xml:space="preserve"> leaves was found to be approximate</w:t>
      </w:r>
      <w:r>
        <w:rPr>
          <w:rFonts w:eastAsia="Times New Roman"/>
          <w:color w:val="000000"/>
          <w:sz w:val="24"/>
          <w:szCs w:val="26"/>
        </w:rPr>
        <w:t xml:space="preserve">ly 12.3% on a dry weight basis. This value places </w:t>
      </w:r>
      <w:r>
        <w:rPr>
          <w:rFonts w:eastAsia="Times New Roman"/>
          <w:i/>
          <w:iCs/>
          <w:color w:val="000000"/>
          <w:sz w:val="24"/>
          <w:szCs w:val="26"/>
        </w:rPr>
        <w:t>Sida acuta</w:t>
      </w:r>
      <w:r>
        <w:rPr>
          <w:rFonts w:eastAsia="Times New Roman"/>
          <w:color w:val="000000"/>
          <w:sz w:val="24"/>
          <w:szCs w:val="26"/>
        </w:rPr>
        <w:t xml:space="preserve"> among moderate protein-containing leafy vegetables, which is important for supporting protein intake in plant-based diets. </w:t>
      </w:r>
      <w:r>
        <w:rPr>
          <w:rFonts w:eastAsia="Times New Roman"/>
          <w:color w:val="000000"/>
          <w:sz w:val="24"/>
          <w:szCs w:val="26"/>
        </w:rPr>
        <w:tab/>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Similarly, Akinmoladun </w:t>
      </w:r>
      <w:r>
        <w:rPr>
          <w:rFonts w:eastAsia="Times New Roman"/>
          <w:i/>
          <w:iCs/>
          <w:color w:val="000000"/>
          <w:sz w:val="24"/>
          <w:szCs w:val="26"/>
        </w:rPr>
        <w:t>et al</w:t>
      </w:r>
      <w:r>
        <w:rPr>
          <w:rFonts w:eastAsia="Times New Roman"/>
          <w:color w:val="000000"/>
          <w:sz w:val="24"/>
          <w:szCs w:val="26"/>
        </w:rPr>
        <w:t xml:space="preserve">. (2016) found that the leaves of </w:t>
      </w:r>
      <w:r>
        <w:rPr>
          <w:rFonts w:eastAsia="Times New Roman"/>
          <w:i/>
          <w:iCs/>
          <w:color w:val="000000"/>
          <w:sz w:val="24"/>
          <w:szCs w:val="26"/>
        </w:rPr>
        <w:t>Sida acu</w:t>
      </w:r>
      <w:r>
        <w:rPr>
          <w:rFonts w:eastAsia="Times New Roman"/>
          <w:i/>
          <w:iCs/>
          <w:color w:val="000000"/>
          <w:sz w:val="24"/>
          <w:szCs w:val="26"/>
        </w:rPr>
        <w:t>ta</w:t>
      </w:r>
      <w:r>
        <w:rPr>
          <w:rFonts w:eastAsia="Times New Roman"/>
          <w:color w:val="000000"/>
          <w:sz w:val="24"/>
          <w:szCs w:val="26"/>
        </w:rPr>
        <w:t xml:space="preserve"> contained 11.5% crude protein, which is consistent with the general range found in other leafy plants commonly used in herbal medicine and traditional food. The presence of crude protein in </w:t>
      </w:r>
      <w:r>
        <w:rPr>
          <w:rFonts w:eastAsia="Times New Roman"/>
          <w:i/>
          <w:iCs/>
          <w:color w:val="000000"/>
          <w:sz w:val="24"/>
          <w:szCs w:val="26"/>
        </w:rPr>
        <w:t>Sida acuta</w:t>
      </w:r>
      <w:r>
        <w:rPr>
          <w:rFonts w:eastAsia="Times New Roman"/>
          <w:color w:val="000000"/>
          <w:sz w:val="24"/>
          <w:szCs w:val="26"/>
        </w:rPr>
        <w:t xml:space="preserve"> highlights its potential as a supplementary protein </w:t>
      </w:r>
      <w:r>
        <w:rPr>
          <w:rFonts w:eastAsia="Times New Roman"/>
          <w:color w:val="000000"/>
          <w:sz w:val="24"/>
          <w:szCs w:val="26"/>
        </w:rPr>
        <w:t xml:space="preserve">source, especially in regions where animal protein is scarce or expensive. Although the protein </w:t>
      </w:r>
      <w:r>
        <w:rPr>
          <w:rFonts w:eastAsia="Times New Roman"/>
          <w:color w:val="000000"/>
          <w:sz w:val="24"/>
          <w:szCs w:val="26"/>
        </w:rPr>
        <w:lastRenderedPageBreak/>
        <w:t xml:space="preserve">content in </w:t>
      </w:r>
      <w:r>
        <w:rPr>
          <w:rFonts w:eastAsia="Times New Roman"/>
          <w:i/>
          <w:iCs/>
          <w:color w:val="000000"/>
          <w:sz w:val="24"/>
          <w:szCs w:val="26"/>
        </w:rPr>
        <w:t>Sida acuta</w:t>
      </w:r>
      <w:r>
        <w:rPr>
          <w:rFonts w:eastAsia="Times New Roman"/>
          <w:color w:val="000000"/>
          <w:sz w:val="24"/>
          <w:szCs w:val="26"/>
        </w:rPr>
        <w:t xml:space="preserve"> may not be as high as in legumes or animal-based sources, it still contributes meaningfully to the protein intake of individuals consuming</w:t>
      </w:r>
      <w:r>
        <w:rPr>
          <w:rFonts w:eastAsia="Times New Roman"/>
          <w:color w:val="000000"/>
          <w:sz w:val="24"/>
          <w:szCs w:val="26"/>
        </w:rPr>
        <w:t xml:space="preserve"> it regularly. Additionally, the plant’s protein is complemented by other essential nutrients, making it a valuable part of a balanced diet or herbal remedy (Akinmoladun </w:t>
      </w:r>
      <w:r>
        <w:rPr>
          <w:rFonts w:eastAsia="Times New Roman"/>
          <w:i/>
          <w:iCs/>
          <w:color w:val="000000"/>
          <w:sz w:val="24"/>
          <w:szCs w:val="26"/>
        </w:rPr>
        <w:t>et al</w:t>
      </w:r>
      <w:r>
        <w:rPr>
          <w:rFonts w:eastAsia="Times New Roman"/>
          <w:color w:val="000000"/>
          <w:sz w:val="24"/>
          <w:szCs w:val="26"/>
        </w:rPr>
        <w:t xml:space="preserve">., 2016; Moti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lang w:val="fr-FR"/>
        </w:rPr>
      </w:pPr>
      <w:r>
        <w:rPr>
          <w:b/>
          <w:bCs/>
          <w:color w:val="000000"/>
          <w:szCs w:val="26"/>
          <w:lang w:val="fr-FR"/>
        </w:rPr>
        <w:t xml:space="preserve">2.7.3 Crude ash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Crude ash content is a key indicato</w:t>
      </w:r>
      <w:r>
        <w:rPr>
          <w:rFonts w:eastAsia="Times New Roman"/>
          <w:color w:val="000000"/>
          <w:sz w:val="24"/>
          <w:szCs w:val="26"/>
        </w:rPr>
        <w:t>r of the total mineral content in a plant material. It represents the inorganic residue left after the combustion of the plant material, and it includes essential minerals such as calcium, magnesium, potassium, phosphorus, and trace elements. While high cr</w:t>
      </w:r>
      <w:r>
        <w:rPr>
          <w:rFonts w:eastAsia="Times New Roman"/>
          <w:color w:val="000000"/>
          <w:sz w:val="24"/>
          <w:szCs w:val="26"/>
        </w:rPr>
        <w:t xml:space="preserve">ude ash content is often linked with a rich mineral composition, For </w:t>
      </w:r>
      <w:r>
        <w:rPr>
          <w:rFonts w:eastAsia="Times New Roman"/>
          <w:i/>
          <w:iCs/>
          <w:color w:val="000000"/>
          <w:sz w:val="24"/>
          <w:szCs w:val="26"/>
        </w:rPr>
        <w:t>Sida acuta</w:t>
      </w:r>
      <w:r>
        <w:rPr>
          <w:rFonts w:eastAsia="Times New Roman"/>
          <w:color w:val="000000"/>
          <w:sz w:val="24"/>
          <w:szCs w:val="26"/>
        </w:rPr>
        <w:t xml:space="preserve">, crude ash content has been studied to evaluate its mineral composition and overall nutritional profile. According to Singh </w:t>
      </w:r>
      <w:r>
        <w:rPr>
          <w:rFonts w:eastAsia="Times New Roman"/>
          <w:i/>
          <w:iCs/>
          <w:color w:val="000000"/>
          <w:sz w:val="24"/>
          <w:szCs w:val="26"/>
        </w:rPr>
        <w:t>et al</w:t>
      </w:r>
      <w:r>
        <w:rPr>
          <w:rFonts w:eastAsia="Times New Roman"/>
          <w:color w:val="000000"/>
          <w:sz w:val="24"/>
          <w:szCs w:val="26"/>
        </w:rPr>
        <w:t xml:space="preserve">. (2019), the crude ash content of </w:t>
      </w:r>
      <w:r>
        <w:rPr>
          <w:rFonts w:eastAsia="Times New Roman"/>
          <w:i/>
          <w:iCs/>
          <w:color w:val="000000"/>
          <w:sz w:val="24"/>
          <w:szCs w:val="26"/>
        </w:rPr>
        <w:t>Sida acuta</w:t>
      </w:r>
      <w:r>
        <w:rPr>
          <w:rFonts w:eastAsia="Times New Roman"/>
          <w:color w:val="000000"/>
          <w:sz w:val="24"/>
          <w:szCs w:val="26"/>
        </w:rPr>
        <w:t xml:space="preserve"> l</w:t>
      </w:r>
      <w:r>
        <w:rPr>
          <w:rFonts w:eastAsia="Times New Roman"/>
          <w:color w:val="000000"/>
          <w:sz w:val="24"/>
          <w:szCs w:val="26"/>
        </w:rPr>
        <w:t xml:space="preserve">eaves was found to be 7.1% on a dry weight basis. This value indicates that the plant contains a significant proportion of minerals, which could contribute to its nutritional and medicinal properties. In a similar study, Oyetayo </w:t>
      </w:r>
      <w:r>
        <w:rPr>
          <w:rFonts w:eastAsia="Times New Roman"/>
          <w:i/>
          <w:iCs/>
          <w:color w:val="000000"/>
          <w:sz w:val="24"/>
          <w:szCs w:val="26"/>
        </w:rPr>
        <w:t>et al</w:t>
      </w:r>
      <w:r>
        <w:rPr>
          <w:rFonts w:eastAsia="Times New Roman"/>
          <w:color w:val="000000"/>
          <w:sz w:val="24"/>
          <w:szCs w:val="26"/>
        </w:rPr>
        <w:t>. (2018) reported that</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leaves contained 6.3% crude ash, further supporting its status as a plant rich in essential minerals. The presence of a relatively high crude ash content in </w:t>
      </w:r>
      <w:r>
        <w:rPr>
          <w:rFonts w:eastAsia="Times New Roman"/>
          <w:i/>
          <w:iCs/>
          <w:color w:val="000000"/>
          <w:sz w:val="24"/>
          <w:szCs w:val="26"/>
        </w:rPr>
        <w:t>Sida acuta</w:t>
      </w:r>
      <w:r>
        <w:rPr>
          <w:rFonts w:eastAsia="Times New Roman"/>
          <w:color w:val="000000"/>
          <w:sz w:val="24"/>
          <w:szCs w:val="26"/>
        </w:rPr>
        <w:t xml:space="preserve"> suggests that it may be a useful source of minerals, particularly for indivi</w:t>
      </w:r>
      <w:r>
        <w:rPr>
          <w:rFonts w:eastAsia="Times New Roman"/>
          <w:color w:val="000000"/>
          <w:sz w:val="24"/>
          <w:szCs w:val="26"/>
        </w:rPr>
        <w:t xml:space="preserve">duals seeking to supplement their mineral intake through plant-based foods. (Singh </w:t>
      </w:r>
      <w:r>
        <w:rPr>
          <w:rFonts w:eastAsia="Times New Roman"/>
          <w:i/>
          <w:iCs/>
          <w:color w:val="000000"/>
          <w:sz w:val="24"/>
          <w:szCs w:val="26"/>
        </w:rPr>
        <w:t>et al</w:t>
      </w:r>
      <w:r>
        <w:rPr>
          <w:rFonts w:eastAsia="Times New Roman"/>
          <w:color w:val="000000"/>
          <w:sz w:val="24"/>
          <w:szCs w:val="26"/>
        </w:rPr>
        <w:t xml:space="preserve">., 2019; Oyetayo </w:t>
      </w:r>
      <w:r>
        <w:rPr>
          <w:rFonts w:eastAsia="Times New Roman"/>
          <w:i/>
          <w:iCs/>
          <w:color w:val="000000"/>
          <w:sz w:val="24"/>
          <w:szCs w:val="26"/>
        </w:rPr>
        <w:t>et al</w:t>
      </w:r>
      <w:r>
        <w:rPr>
          <w:rFonts w:eastAsia="Times New Roman"/>
          <w:color w:val="000000"/>
          <w:sz w:val="24"/>
          <w:szCs w:val="26"/>
        </w:rPr>
        <w:t>., 2018).</w:t>
      </w: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 xml:space="preserve">2.7.4 Lipid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Lipids are an essential class of biomolecules that play key roles in energy storage, cellular structure, and signaling processes within the human body. In plants, lipids are primarily found in the form of oils and fats, which are important for their role i</w:t>
      </w:r>
      <w:r>
        <w:rPr>
          <w:rFonts w:eastAsia="Times New Roman"/>
          <w:color w:val="000000"/>
          <w:sz w:val="24"/>
          <w:szCs w:val="26"/>
        </w:rPr>
        <w:t xml:space="preserve">n cellular function and energy storage. Research on the lipid content of </w:t>
      </w:r>
      <w:r>
        <w:rPr>
          <w:rFonts w:eastAsia="Times New Roman"/>
          <w:i/>
          <w:iCs/>
          <w:color w:val="000000"/>
          <w:sz w:val="24"/>
          <w:szCs w:val="26"/>
        </w:rPr>
        <w:t>Sida acuta</w:t>
      </w:r>
      <w:r>
        <w:rPr>
          <w:rFonts w:eastAsia="Times New Roman"/>
          <w:color w:val="000000"/>
          <w:sz w:val="24"/>
          <w:szCs w:val="26"/>
        </w:rPr>
        <w:t xml:space="preserve"> indicates that while the plant does contain lipids, the levels are generally moderate. According to Oyeleke </w:t>
      </w:r>
      <w:r>
        <w:rPr>
          <w:rFonts w:eastAsia="Times New Roman"/>
          <w:i/>
          <w:iCs/>
          <w:color w:val="000000"/>
          <w:sz w:val="24"/>
          <w:szCs w:val="26"/>
        </w:rPr>
        <w:t>et al</w:t>
      </w:r>
      <w:r>
        <w:rPr>
          <w:rFonts w:eastAsia="Times New Roman"/>
          <w:color w:val="000000"/>
          <w:sz w:val="24"/>
          <w:szCs w:val="26"/>
        </w:rPr>
        <w:t xml:space="preserve">. (2021), the crude lipid content of </w:t>
      </w:r>
      <w:r>
        <w:rPr>
          <w:rFonts w:eastAsia="Times New Roman"/>
          <w:i/>
          <w:iCs/>
          <w:color w:val="000000"/>
          <w:sz w:val="24"/>
          <w:szCs w:val="26"/>
        </w:rPr>
        <w:t>Sida acuta</w:t>
      </w:r>
      <w:r>
        <w:rPr>
          <w:rFonts w:eastAsia="Times New Roman"/>
          <w:color w:val="000000"/>
          <w:sz w:val="24"/>
          <w:szCs w:val="26"/>
        </w:rPr>
        <w:t xml:space="preserve"> leaves was </w:t>
      </w:r>
      <w:r>
        <w:rPr>
          <w:rFonts w:eastAsia="Times New Roman"/>
          <w:color w:val="000000"/>
          <w:sz w:val="24"/>
          <w:szCs w:val="26"/>
        </w:rPr>
        <w:t>found to be around 3.2% on a dry weight basis. This is relatively low compared to oil-rich plants like soybean or sunflower, which have lipid contents above 20%. However, this level of lipids is still significant for a plant traditionally consumed as a lea</w:t>
      </w:r>
      <w:r>
        <w:rPr>
          <w:rFonts w:eastAsia="Times New Roman"/>
          <w:color w:val="000000"/>
          <w:sz w:val="24"/>
          <w:szCs w:val="26"/>
        </w:rPr>
        <w:t xml:space="preserve">fy green or used in herbal medicine. </w:t>
      </w:r>
    </w:p>
    <w:p w:rsidR="005F01BE" w:rsidRDefault="003E2C3A">
      <w:pPr>
        <w:spacing w:after="0" w:line="480" w:lineRule="auto"/>
        <w:jc w:val="both"/>
        <w:rPr>
          <w:b/>
          <w:bCs/>
          <w:color w:val="000000"/>
          <w:sz w:val="24"/>
          <w:szCs w:val="26"/>
        </w:rPr>
      </w:pPr>
      <w:r>
        <w:rPr>
          <w:rFonts w:eastAsia="Times New Roman"/>
          <w:color w:val="000000"/>
          <w:sz w:val="24"/>
          <w:szCs w:val="26"/>
        </w:rPr>
        <w:tab/>
      </w:r>
      <w:r>
        <w:rPr>
          <w:color w:val="000000"/>
          <w:sz w:val="24"/>
          <w:szCs w:val="26"/>
        </w:rPr>
        <w:t>Crude fat is the term used to refer the crude mixture of fat-soluble material present in a sample. Crude fat also known as the ether extract or the free lipid content is the traditional measure of fat in food products</w:t>
      </w:r>
      <w:r>
        <w:rPr>
          <w:color w:val="000000"/>
          <w:sz w:val="24"/>
          <w:szCs w:val="26"/>
        </w:rPr>
        <w:t>. The lipid materials may include triglycerides, diglycerides, monoglycerides, phospholipids, steroids, free fatty acids, fat-soluble vitamins, carotene pigments and chlorophylls. The common approach for total crude fat determination is based on the solubi</w:t>
      </w:r>
      <w:r>
        <w:rPr>
          <w:color w:val="000000"/>
          <w:sz w:val="24"/>
          <w:szCs w:val="26"/>
        </w:rPr>
        <w:t xml:space="preserve">lity of lipids in non-polar organic solvents such as hexanes, petroleum ether or supercritical liquid carbon dioxide with or without a solvent modifier (Arunachalam </w:t>
      </w:r>
      <w:r>
        <w:rPr>
          <w:i/>
          <w:iCs/>
          <w:color w:val="000000"/>
          <w:sz w:val="24"/>
          <w:szCs w:val="26"/>
        </w:rPr>
        <w:t>et al</w:t>
      </w:r>
      <w:r>
        <w:rPr>
          <w:color w:val="000000"/>
          <w:sz w:val="24"/>
          <w:szCs w:val="26"/>
        </w:rPr>
        <w:t>., 2011)</w:t>
      </w:r>
      <w:r>
        <w:rPr>
          <w:rFonts w:eastAsia="Times New Roman"/>
          <w:color w:val="000000"/>
          <w:sz w:val="24"/>
          <w:szCs w:val="26"/>
        </w:rPr>
        <w:t>.</w:t>
      </w:r>
    </w:p>
    <w:p w:rsidR="005F01BE" w:rsidRDefault="005F01BE">
      <w:pPr>
        <w:spacing w:after="0" w:line="480" w:lineRule="auto"/>
        <w:jc w:val="both"/>
        <w:rPr>
          <w:b/>
          <w:bCs/>
          <w:color w:val="000000"/>
          <w:sz w:val="24"/>
          <w:szCs w:val="26"/>
        </w:rPr>
      </w:pP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lastRenderedPageBreak/>
        <w:t xml:space="preserve">2.7.5 Crude fibre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Crude fibre, or dietary fibre, refers to the indigestible parts of plant materials, including cellulose, hemicellulose, and lignin, which are essential for digestive health. Fibre plays an important role in maintaining gastrointestinal function, regulating</w:t>
      </w:r>
      <w:r>
        <w:rPr>
          <w:rFonts w:eastAsia="Times New Roman"/>
          <w:color w:val="000000"/>
          <w:sz w:val="24"/>
          <w:szCs w:val="26"/>
        </w:rPr>
        <w:t xml:space="preserve"> blood sugar levels, and supporting cardiovascular health. The crude fibre content in </w:t>
      </w:r>
      <w:r>
        <w:rPr>
          <w:rFonts w:eastAsia="Times New Roman"/>
          <w:i/>
          <w:iCs/>
          <w:color w:val="000000"/>
          <w:sz w:val="24"/>
          <w:szCs w:val="26"/>
        </w:rPr>
        <w:t>Sida acuta</w:t>
      </w:r>
      <w:r>
        <w:rPr>
          <w:rFonts w:eastAsia="Times New Roman"/>
          <w:color w:val="000000"/>
          <w:sz w:val="24"/>
          <w:szCs w:val="26"/>
        </w:rPr>
        <w:t xml:space="preserve"> has been examined in several studies, revealing notable levels of dietary fibre. According to Akinmoladun </w:t>
      </w:r>
      <w:r>
        <w:rPr>
          <w:rFonts w:eastAsia="Times New Roman"/>
          <w:i/>
          <w:iCs/>
          <w:color w:val="000000"/>
          <w:sz w:val="24"/>
          <w:szCs w:val="26"/>
        </w:rPr>
        <w:t>et al</w:t>
      </w:r>
      <w:r>
        <w:rPr>
          <w:rFonts w:eastAsia="Times New Roman"/>
          <w:color w:val="000000"/>
          <w:sz w:val="24"/>
          <w:szCs w:val="26"/>
        </w:rPr>
        <w:t xml:space="preserve">. (2017), the crude fibre content in the leaves </w:t>
      </w:r>
      <w:r>
        <w:rPr>
          <w:rFonts w:eastAsia="Times New Roman"/>
          <w:color w:val="000000"/>
          <w:sz w:val="24"/>
          <w:szCs w:val="26"/>
        </w:rPr>
        <w:t xml:space="preserve">of </w:t>
      </w:r>
      <w:r>
        <w:rPr>
          <w:rFonts w:eastAsia="Times New Roman"/>
          <w:i/>
          <w:iCs/>
          <w:color w:val="000000"/>
          <w:sz w:val="24"/>
          <w:szCs w:val="26"/>
        </w:rPr>
        <w:t>Sida acuta</w:t>
      </w:r>
      <w:r>
        <w:rPr>
          <w:rFonts w:eastAsia="Times New Roman"/>
          <w:color w:val="000000"/>
          <w:sz w:val="24"/>
          <w:szCs w:val="26"/>
        </w:rPr>
        <w:t xml:space="preserve"> was found to be approximately 14.4% on a dry weight basis. This value indicates that </w:t>
      </w:r>
      <w:r>
        <w:rPr>
          <w:rFonts w:eastAsia="Times New Roman"/>
          <w:i/>
          <w:iCs/>
          <w:color w:val="000000"/>
          <w:sz w:val="24"/>
          <w:szCs w:val="26"/>
        </w:rPr>
        <w:t>Sida acuta</w:t>
      </w:r>
      <w:r>
        <w:rPr>
          <w:rFonts w:eastAsia="Times New Roman"/>
          <w:color w:val="000000"/>
          <w:sz w:val="24"/>
          <w:szCs w:val="26"/>
        </w:rPr>
        <w:t xml:space="preserve"> is a moderate source of fibre, which is beneficial for promoting healthy digestion and preventing constipation. Additionally, dietary fibre is kno</w:t>
      </w:r>
      <w:r>
        <w:rPr>
          <w:rFonts w:eastAsia="Times New Roman"/>
          <w:color w:val="000000"/>
          <w:sz w:val="24"/>
          <w:szCs w:val="26"/>
        </w:rPr>
        <w:t xml:space="preserve">wn to play a role in weight management by promoting satiety, which could enhance </w:t>
      </w:r>
      <w:r>
        <w:rPr>
          <w:rFonts w:eastAsia="Times New Roman"/>
          <w:i/>
          <w:iCs/>
          <w:color w:val="000000"/>
          <w:sz w:val="24"/>
          <w:szCs w:val="26"/>
        </w:rPr>
        <w:t>Sida acuta</w:t>
      </w:r>
      <w:r>
        <w:rPr>
          <w:rFonts w:eastAsia="Times New Roman"/>
          <w:color w:val="000000"/>
          <w:sz w:val="24"/>
          <w:szCs w:val="26"/>
        </w:rPr>
        <w:t>'s role as part of a balanced diet.</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In a similar study, Oyeleke </w:t>
      </w:r>
      <w:r>
        <w:rPr>
          <w:rFonts w:eastAsia="Times New Roman"/>
          <w:i/>
          <w:iCs/>
          <w:color w:val="000000"/>
          <w:sz w:val="24"/>
          <w:szCs w:val="26"/>
        </w:rPr>
        <w:t>et al</w:t>
      </w:r>
      <w:r>
        <w:rPr>
          <w:rFonts w:eastAsia="Times New Roman"/>
          <w:color w:val="000000"/>
          <w:sz w:val="24"/>
          <w:szCs w:val="26"/>
        </w:rPr>
        <w:t xml:space="preserve">. (2021) reported that the crude fibre content of </w:t>
      </w:r>
      <w:r>
        <w:rPr>
          <w:rFonts w:eastAsia="Times New Roman"/>
          <w:i/>
          <w:iCs/>
          <w:color w:val="000000"/>
          <w:sz w:val="24"/>
          <w:szCs w:val="26"/>
        </w:rPr>
        <w:t>Sida acuta</w:t>
      </w:r>
      <w:r>
        <w:rPr>
          <w:rFonts w:eastAsia="Times New Roman"/>
          <w:color w:val="000000"/>
          <w:sz w:val="24"/>
          <w:szCs w:val="26"/>
        </w:rPr>
        <w:t xml:space="preserve"> was 13.8%, further supporting its r</w:t>
      </w:r>
      <w:r>
        <w:rPr>
          <w:rFonts w:eastAsia="Times New Roman"/>
          <w:color w:val="000000"/>
          <w:sz w:val="24"/>
          <w:szCs w:val="26"/>
        </w:rPr>
        <w:t>elevance as a plant-based source of fibre. Given the plant’s use in traditional medicine and as a food supplement, its moderate fibre content could be advantageous for individuals seeking to improve their digestive health or regulate their cholesterol leve</w:t>
      </w:r>
      <w:r>
        <w:rPr>
          <w:rFonts w:eastAsia="Times New Roman"/>
          <w:color w:val="000000"/>
          <w:sz w:val="24"/>
          <w:szCs w:val="26"/>
        </w:rPr>
        <w:t xml:space="preserve">ls. Fibre-rich plants such as </w:t>
      </w:r>
      <w:r>
        <w:rPr>
          <w:rFonts w:eastAsia="Times New Roman"/>
          <w:i/>
          <w:iCs/>
          <w:color w:val="000000"/>
          <w:sz w:val="24"/>
          <w:szCs w:val="26"/>
        </w:rPr>
        <w:t>Sida acuta</w:t>
      </w:r>
      <w:r>
        <w:rPr>
          <w:rFonts w:eastAsia="Times New Roman"/>
          <w:color w:val="000000"/>
          <w:sz w:val="24"/>
          <w:szCs w:val="26"/>
        </w:rPr>
        <w:t xml:space="preserve"> are also thought to contribute to overall gut health by supporting the growth of beneficial gut bacteria (Oyeleke </w:t>
      </w:r>
      <w:r>
        <w:rPr>
          <w:rFonts w:eastAsia="Times New Roman"/>
          <w:i/>
          <w:iCs/>
          <w:color w:val="000000"/>
          <w:sz w:val="24"/>
          <w:szCs w:val="26"/>
        </w:rPr>
        <w:t>et al</w:t>
      </w:r>
      <w:r>
        <w:rPr>
          <w:rFonts w:eastAsia="Times New Roman"/>
          <w:color w:val="000000"/>
          <w:sz w:val="24"/>
          <w:szCs w:val="26"/>
        </w:rPr>
        <w:t>., 2021).</w:t>
      </w: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 xml:space="preserve">2.8 Non enzymatic antioxidant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2.8.1 Total phenolic content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Non-enzymatic antioxida</w:t>
      </w:r>
      <w:r>
        <w:rPr>
          <w:rFonts w:eastAsia="Times New Roman"/>
          <w:color w:val="000000"/>
          <w:sz w:val="24"/>
          <w:szCs w:val="26"/>
        </w:rPr>
        <w:t>nts play a vital role in protecting biological systems from oxidative stress, which arises when there's an imbalance between the production of free radicals and the body’s ability to detoxify them. Among the most important non-enzymatic antioxidants are ph</w:t>
      </w:r>
      <w:r>
        <w:rPr>
          <w:rFonts w:eastAsia="Times New Roman"/>
          <w:color w:val="000000"/>
          <w:sz w:val="24"/>
          <w:szCs w:val="26"/>
        </w:rPr>
        <w:t>enolic compounds, which are naturally found in plants and known for their strong radical-scavenging abilities. The cumulative measure of these compounds in a sample is referred to as the Total Phenolic Content (TPC), and it is a widely accepted indicator o</w:t>
      </w:r>
      <w:r>
        <w:rPr>
          <w:rFonts w:eastAsia="Times New Roman"/>
          <w:color w:val="000000"/>
          <w:sz w:val="24"/>
          <w:szCs w:val="26"/>
        </w:rPr>
        <w:t xml:space="preserve">f a plant’s antioxidant potential. In recent years, medicinal plants like </w:t>
      </w:r>
      <w:r>
        <w:rPr>
          <w:rFonts w:eastAsia="Times New Roman"/>
          <w:i/>
          <w:iCs/>
          <w:color w:val="000000"/>
          <w:sz w:val="24"/>
          <w:szCs w:val="26"/>
        </w:rPr>
        <w:t>Sida acuta</w:t>
      </w:r>
      <w:r>
        <w:rPr>
          <w:rFonts w:eastAsia="Times New Roman"/>
          <w:color w:val="000000"/>
          <w:sz w:val="24"/>
          <w:szCs w:val="26"/>
        </w:rPr>
        <w:t xml:space="preserve"> have gained attention for their high TPC and associated health benefits (Ogunmoyole </w:t>
      </w:r>
      <w:r>
        <w:rPr>
          <w:rFonts w:eastAsia="Times New Roman"/>
          <w:i/>
          <w:iCs/>
          <w:color w:val="000000"/>
          <w:sz w:val="24"/>
          <w:szCs w:val="26"/>
        </w:rPr>
        <w:t>et al</w:t>
      </w:r>
      <w:r>
        <w:rPr>
          <w:rFonts w:eastAsia="Times New Roman"/>
          <w:color w:val="000000"/>
          <w:sz w:val="24"/>
          <w:szCs w:val="26"/>
        </w:rPr>
        <w:t>., 2015).</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A high Total Phenolic Content in </w:t>
      </w:r>
      <w:r>
        <w:rPr>
          <w:rFonts w:eastAsia="Times New Roman"/>
          <w:i/>
          <w:iCs/>
          <w:color w:val="000000"/>
          <w:sz w:val="24"/>
          <w:szCs w:val="26"/>
        </w:rPr>
        <w:t>Sida acuta</w:t>
      </w:r>
      <w:r>
        <w:rPr>
          <w:rFonts w:eastAsia="Times New Roman"/>
          <w:color w:val="000000"/>
          <w:sz w:val="24"/>
          <w:szCs w:val="26"/>
        </w:rPr>
        <w:t xml:space="preserve"> signifies a rich presence of</w:t>
      </w:r>
      <w:r>
        <w:rPr>
          <w:rFonts w:eastAsia="Times New Roman"/>
          <w:color w:val="000000"/>
          <w:sz w:val="24"/>
          <w:szCs w:val="26"/>
        </w:rPr>
        <w:t xml:space="preserve"> bioactive phytochemicals such as flavonoids, tannins, and phenolic acids, which contribute to its therapeutic properties, including anti-ulcer, anti-inflammatory, and antioxidant effects (Ogunmoyole </w:t>
      </w:r>
      <w:r>
        <w:rPr>
          <w:rFonts w:eastAsia="Times New Roman"/>
          <w:i/>
          <w:iCs/>
          <w:color w:val="000000"/>
          <w:sz w:val="24"/>
          <w:szCs w:val="26"/>
        </w:rPr>
        <w:t>et al</w:t>
      </w:r>
      <w:r>
        <w:rPr>
          <w:rFonts w:eastAsia="Times New Roman"/>
          <w:color w:val="000000"/>
          <w:sz w:val="24"/>
          <w:szCs w:val="26"/>
        </w:rPr>
        <w:t>., 2015). Phenolic compounds work by directly scave</w:t>
      </w:r>
      <w:r>
        <w:rPr>
          <w:rFonts w:eastAsia="Times New Roman"/>
          <w:color w:val="000000"/>
          <w:sz w:val="24"/>
          <w:szCs w:val="26"/>
        </w:rPr>
        <w:t>nging reactive oxygen species (ROS) and reactive nitrogen species (RNS), thereby preventing the oxidative damage of cell membranes, proteins, and DNA. In the context of peptic ulcer disease, oxidative stress plays a major role in gastric mucosal injury, of</w:t>
      </w:r>
      <w:r>
        <w:rPr>
          <w:rFonts w:eastAsia="Times New Roman"/>
          <w:color w:val="000000"/>
          <w:sz w:val="24"/>
          <w:szCs w:val="26"/>
        </w:rPr>
        <w:t xml:space="preserve">ten triggered by factors such as </w:t>
      </w:r>
      <w:r>
        <w:rPr>
          <w:rFonts w:eastAsia="Times New Roman"/>
          <w:i/>
          <w:iCs/>
          <w:color w:val="000000"/>
          <w:sz w:val="24"/>
          <w:szCs w:val="26"/>
        </w:rPr>
        <w:t>Helicobacter pylori</w:t>
      </w:r>
      <w:r>
        <w:rPr>
          <w:rFonts w:eastAsia="Times New Roman"/>
          <w:color w:val="000000"/>
          <w:sz w:val="24"/>
          <w:szCs w:val="26"/>
        </w:rPr>
        <w:t xml:space="preserve"> infection, NSAID use, or ethanol-induced gastric irritation. The phenolic-rich extracts of </w:t>
      </w:r>
      <w:r>
        <w:rPr>
          <w:rFonts w:eastAsia="Times New Roman"/>
          <w:i/>
          <w:iCs/>
          <w:color w:val="000000"/>
          <w:sz w:val="24"/>
          <w:szCs w:val="26"/>
        </w:rPr>
        <w:t>Sida acuta</w:t>
      </w:r>
      <w:r>
        <w:rPr>
          <w:rFonts w:eastAsia="Times New Roman"/>
          <w:color w:val="000000"/>
          <w:sz w:val="24"/>
          <w:szCs w:val="26"/>
        </w:rPr>
        <w:t xml:space="preserve"> have been shown to mitigate such </w:t>
      </w:r>
      <w:r>
        <w:rPr>
          <w:rFonts w:eastAsia="Times New Roman"/>
          <w:color w:val="000000"/>
          <w:sz w:val="24"/>
          <w:szCs w:val="26"/>
        </w:rPr>
        <w:lastRenderedPageBreak/>
        <w:t xml:space="preserve">damage by reducing lipid peroxidation and enhancing mucosal protection (Akinmoladun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2.8.2 Total flavonoid content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Flavonoids are a large class of naturally occurring polyphenolic compounds that serve as powerful non-enzymatic antioxidants. </w:t>
      </w:r>
      <w:r>
        <w:rPr>
          <w:rFonts w:eastAsia="Times New Roman"/>
          <w:color w:val="000000"/>
          <w:sz w:val="24"/>
          <w:szCs w:val="26"/>
        </w:rPr>
        <w:t>They are known for their capacity to scavenge free radicals, inhibit oxidative damage, and modulate inflammatory responses, making them central to the prevention and management of numerous health conditions, including peptic ulcer disease. The Total Flavon</w:t>
      </w:r>
      <w:r>
        <w:rPr>
          <w:rFonts w:eastAsia="Times New Roman"/>
          <w:color w:val="000000"/>
          <w:sz w:val="24"/>
          <w:szCs w:val="26"/>
        </w:rPr>
        <w:t xml:space="preserve">oid Content (TFC) of a plant extract is a quantifiable measure of its flavonoid richness, often used as a marker of its antioxidant potential. In medicinal plants like </w:t>
      </w:r>
      <w:r>
        <w:rPr>
          <w:rFonts w:eastAsia="Times New Roman"/>
          <w:i/>
          <w:iCs/>
          <w:color w:val="000000"/>
          <w:sz w:val="24"/>
          <w:szCs w:val="26"/>
        </w:rPr>
        <w:t>Sida acuta</w:t>
      </w:r>
      <w:r>
        <w:rPr>
          <w:rFonts w:eastAsia="Times New Roman"/>
          <w:color w:val="000000"/>
          <w:sz w:val="24"/>
          <w:szCs w:val="26"/>
        </w:rPr>
        <w:t>, TFC plays a crucial role in its gastroprotective, anti-inflammatory, and wou</w:t>
      </w:r>
      <w:r>
        <w:rPr>
          <w:rFonts w:eastAsia="Times New Roman"/>
          <w:color w:val="000000"/>
          <w:sz w:val="24"/>
          <w:szCs w:val="26"/>
        </w:rPr>
        <w:t xml:space="preserve">nd-healing properties. The Total Flavonoid Content is typically determined using the aluminium chloride colorimetric method and results are expressed in quercetin equivalents (QE) (Ogunmoyole </w:t>
      </w:r>
      <w:r>
        <w:rPr>
          <w:rFonts w:eastAsia="Times New Roman"/>
          <w:i/>
          <w:iCs/>
          <w:color w:val="000000"/>
          <w:sz w:val="24"/>
          <w:szCs w:val="26"/>
        </w:rPr>
        <w:t>et al</w:t>
      </w:r>
      <w:r>
        <w:rPr>
          <w:rFonts w:eastAsia="Times New Roman"/>
          <w:color w:val="000000"/>
          <w:sz w:val="24"/>
          <w:szCs w:val="26"/>
        </w:rPr>
        <w:t>., 2015).</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Studies on </w:t>
      </w:r>
      <w:r>
        <w:rPr>
          <w:rFonts w:eastAsia="Times New Roman"/>
          <w:i/>
          <w:iCs/>
          <w:color w:val="000000"/>
          <w:sz w:val="24"/>
          <w:szCs w:val="26"/>
        </w:rPr>
        <w:t>Sida acuta</w:t>
      </w:r>
      <w:r>
        <w:rPr>
          <w:rFonts w:eastAsia="Times New Roman"/>
          <w:color w:val="000000"/>
          <w:sz w:val="24"/>
          <w:szCs w:val="26"/>
        </w:rPr>
        <w:t xml:space="preserve"> have revealed that it conta</w:t>
      </w:r>
      <w:r>
        <w:rPr>
          <w:rFonts w:eastAsia="Times New Roman"/>
          <w:color w:val="000000"/>
          <w:sz w:val="24"/>
          <w:szCs w:val="26"/>
        </w:rPr>
        <w:t xml:space="preserve">ins a high flavonoid content, particularly in its ethanolic and aqueous leaf extracts, which correlates with its notable antioxidant activity (Ogunmoyole </w:t>
      </w:r>
      <w:r>
        <w:rPr>
          <w:rFonts w:eastAsia="Times New Roman"/>
          <w:i/>
          <w:iCs/>
          <w:color w:val="000000"/>
          <w:sz w:val="24"/>
          <w:szCs w:val="26"/>
        </w:rPr>
        <w:t>et al</w:t>
      </w:r>
      <w:r>
        <w:rPr>
          <w:rFonts w:eastAsia="Times New Roman"/>
          <w:color w:val="000000"/>
          <w:sz w:val="24"/>
          <w:szCs w:val="26"/>
        </w:rPr>
        <w:t xml:space="preserve">., 2015). Flavonoids in </w:t>
      </w:r>
      <w:r>
        <w:rPr>
          <w:rFonts w:eastAsia="Times New Roman"/>
          <w:i/>
          <w:iCs/>
          <w:color w:val="000000"/>
          <w:sz w:val="24"/>
          <w:szCs w:val="26"/>
        </w:rPr>
        <w:t>Sida acuta</w:t>
      </w:r>
      <w:r>
        <w:rPr>
          <w:rFonts w:eastAsia="Times New Roman"/>
          <w:color w:val="000000"/>
          <w:sz w:val="24"/>
          <w:szCs w:val="26"/>
        </w:rPr>
        <w:t xml:space="preserve"> contribute to ulcer prevention through several biological mech</w:t>
      </w:r>
      <w:r>
        <w:rPr>
          <w:rFonts w:eastAsia="Times New Roman"/>
          <w:color w:val="000000"/>
          <w:sz w:val="24"/>
          <w:szCs w:val="26"/>
        </w:rPr>
        <w:t>anisms. Firstly, they neutralise reactive oxygen species (ROS) and reduce lipid peroxidation, which is a major cause of gastric mucosal damage in ulcer formation. Secondly, flavonoids enhance gastric mucosal defense by stimulating prostaglandin synthesis a</w:t>
      </w:r>
      <w:r>
        <w:rPr>
          <w:rFonts w:eastAsia="Times New Roman"/>
          <w:color w:val="000000"/>
          <w:sz w:val="24"/>
          <w:szCs w:val="26"/>
        </w:rPr>
        <w:t xml:space="preserve">nd increasing mucus secretion, both of </w:t>
      </w:r>
      <w:r>
        <w:rPr>
          <w:rFonts w:eastAsia="Times New Roman"/>
          <w:color w:val="000000"/>
          <w:sz w:val="24"/>
          <w:szCs w:val="26"/>
        </w:rPr>
        <w:lastRenderedPageBreak/>
        <w:t xml:space="preserve">which are essential for protecting the stomach lining from irritants such as ethanol, NSAIDs, or </w:t>
      </w:r>
      <w:r>
        <w:rPr>
          <w:rFonts w:eastAsia="Times New Roman"/>
          <w:i/>
          <w:iCs/>
          <w:color w:val="000000"/>
          <w:sz w:val="24"/>
          <w:szCs w:val="26"/>
        </w:rPr>
        <w:t>Helicobacter pylori</w:t>
      </w:r>
      <w:r>
        <w:rPr>
          <w:rFonts w:eastAsia="Times New Roman"/>
          <w:color w:val="000000"/>
          <w:sz w:val="24"/>
          <w:szCs w:val="26"/>
        </w:rPr>
        <w:t xml:space="preserve"> (Ezekwesili </w:t>
      </w:r>
      <w:r>
        <w:rPr>
          <w:rFonts w:eastAsia="Times New Roman"/>
          <w:i/>
          <w:iCs/>
          <w:color w:val="000000"/>
          <w:sz w:val="24"/>
          <w:szCs w:val="26"/>
        </w:rPr>
        <w:t>et al</w:t>
      </w:r>
      <w:r>
        <w:rPr>
          <w:rFonts w:eastAsia="Times New Roman"/>
          <w:color w:val="000000"/>
          <w:sz w:val="24"/>
          <w:szCs w:val="26"/>
        </w:rPr>
        <w:t>., 2014).</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2.8.3 Ferric reducing antioxidant power (FRAP)</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Ferric Reducing Antiox</w:t>
      </w:r>
      <w:r>
        <w:rPr>
          <w:rFonts w:eastAsia="Times New Roman"/>
          <w:color w:val="000000"/>
          <w:sz w:val="24"/>
          <w:szCs w:val="26"/>
        </w:rPr>
        <w:t>idant Power (FRAP) assay is a well-established analytical method used to evaluate the antioxidant potential of plant extracts. It measures the ability of a sample to reduce ferric ions (Fe³</w:t>
      </w:r>
      <w:r>
        <w:rPr>
          <w:rFonts w:ascii="Cambria Math" w:eastAsia="Times New Roman" w:hAnsi="Cambria Math" w:cs="Cambria Math"/>
          <w:color w:val="000000"/>
          <w:sz w:val="24"/>
          <w:szCs w:val="26"/>
        </w:rPr>
        <w:t>⁺</w:t>
      </w:r>
      <w:r>
        <w:rPr>
          <w:rFonts w:eastAsia="Times New Roman"/>
          <w:color w:val="000000"/>
          <w:sz w:val="24"/>
          <w:szCs w:val="26"/>
        </w:rPr>
        <w:t>) to ferrous ions (Fe²</w:t>
      </w:r>
      <w:r>
        <w:rPr>
          <w:rFonts w:ascii="Cambria Math" w:eastAsia="Times New Roman" w:hAnsi="Cambria Math" w:cs="Cambria Math"/>
          <w:color w:val="000000"/>
          <w:sz w:val="24"/>
          <w:szCs w:val="26"/>
        </w:rPr>
        <w:t>⁺</w:t>
      </w:r>
      <w:r>
        <w:rPr>
          <w:rFonts w:eastAsia="Times New Roman"/>
          <w:color w:val="000000"/>
          <w:sz w:val="24"/>
          <w:szCs w:val="26"/>
        </w:rPr>
        <w:t>) under acidic conditions. The higher the r</w:t>
      </w:r>
      <w:r>
        <w:rPr>
          <w:rFonts w:eastAsia="Times New Roman"/>
          <w:color w:val="000000"/>
          <w:sz w:val="24"/>
          <w:szCs w:val="26"/>
        </w:rPr>
        <w:t xml:space="preserve">educing capacity, the stronger the antioxidant activity, which is crucial in preventing oxidative damage implicated in several pathological conditions, particularly peptic ulcers. In this context, </w:t>
      </w:r>
      <w:r>
        <w:rPr>
          <w:rFonts w:eastAsia="Times New Roman"/>
          <w:i/>
          <w:iCs/>
          <w:color w:val="000000"/>
          <w:sz w:val="24"/>
          <w:szCs w:val="26"/>
        </w:rPr>
        <w:t>Sida acuta</w:t>
      </w:r>
      <w:r>
        <w:rPr>
          <w:rFonts w:eastAsia="Times New Roman"/>
          <w:color w:val="000000"/>
          <w:sz w:val="24"/>
          <w:szCs w:val="26"/>
        </w:rPr>
        <w:t>, a medicinal plant long used in traditional syst</w:t>
      </w:r>
      <w:r>
        <w:rPr>
          <w:rFonts w:eastAsia="Times New Roman"/>
          <w:color w:val="000000"/>
          <w:sz w:val="24"/>
          <w:szCs w:val="26"/>
        </w:rPr>
        <w:t>ems for treating stomach-related disorders, has demonstrated notable FRAP activity, especially in its leaf extracts. The antioxidant power exhibited is primarily attributed to its abundance of polyphenolic compounds, especially flavonoids and phenolic acid</w:t>
      </w:r>
      <w:r>
        <w:rPr>
          <w:rFonts w:eastAsia="Times New Roman"/>
          <w:color w:val="000000"/>
          <w:sz w:val="24"/>
          <w:szCs w:val="26"/>
        </w:rPr>
        <w:t xml:space="preserve">s, which are known for their electron-donating capacity (Sharma </w:t>
      </w:r>
      <w:r>
        <w:rPr>
          <w:rFonts w:eastAsia="Times New Roman"/>
          <w:i/>
          <w:iCs/>
          <w:color w:val="000000"/>
          <w:sz w:val="24"/>
          <w:szCs w:val="26"/>
        </w:rPr>
        <w:t>et al</w:t>
      </w:r>
      <w:r>
        <w:rPr>
          <w:rFonts w:eastAsia="Times New Roman"/>
          <w:color w:val="000000"/>
          <w:sz w:val="24"/>
          <w:szCs w:val="26"/>
        </w:rPr>
        <w:t>., 2022). Oxidative stress plays a central role in ulcerogenesis, contributing to mucosal erosion through the generation of free radicals that damage cell membranes, proteins, and DNA. Su</w:t>
      </w:r>
      <w:r>
        <w:rPr>
          <w:rFonts w:eastAsia="Times New Roman"/>
          <w:color w:val="000000"/>
          <w:sz w:val="24"/>
          <w:szCs w:val="26"/>
        </w:rPr>
        <w:t xml:space="preserve">bstances with high FRAP values like </w:t>
      </w:r>
      <w:r>
        <w:rPr>
          <w:rFonts w:eastAsia="Times New Roman"/>
          <w:i/>
          <w:iCs/>
          <w:color w:val="000000"/>
          <w:sz w:val="24"/>
          <w:szCs w:val="26"/>
        </w:rPr>
        <w:t>Sida acuta</w:t>
      </w:r>
      <w:r>
        <w:rPr>
          <w:rFonts w:eastAsia="Times New Roman"/>
          <w:color w:val="000000"/>
          <w:sz w:val="24"/>
          <w:szCs w:val="26"/>
        </w:rPr>
        <w:t xml:space="preserve"> can interrupt this process by donating electrons to unstable radicals, thus halting their damaging cascade. Such antioxidant activity enhances gastric mucosal protection and supports healing of existing lesion</w:t>
      </w:r>
      <w:r>
        <w:rPr>
          <w:rFonts w:eastAsia="Times New Roman"/>
          <w:color w:val="000000"/>
          <w:sz w:val="24"/>
          <w:szCs w:val="26"/>
        </w:rPr>
        <w:t xml:space="preserve">s (Mehta </w:t>
      </w:r>
      <w:r>
        <w:rPr>
          <w:rFonts w:eastAsia="Times New Roman"/>
          <w:i/>
          <w:iCs/>
          <w:color w:val="000000"/>
          <w:sz w:val="24"/>
          <w:szCs w:val="26"/>
        </w:rPr>
        <w:t>et al</w:t>
      </w:r>
      <w:r>
        <w:rPr>
          <w:rFonts w:eastAsia="Times New Roman"/>
          <w:color w:val="000000"/>
          <w:sz w:val="24"/>
          <w:szCs w:val="26"/>
        </w:rPr>
        <w:t xml:space="preserve">., 2021). Additionally, the FRAP assay reflects the total antioxidant effect of all compounds present in the extract. In </w:t>
      </w:r>
      <w:r>
        <w:rPr>
          <w:rFonts w:eastAsia="Times New Roman"/>
          <w:i/>
          <w:iCs/>
          <w:color w:val="000000"/>
          <w:sz w:val="24"/>
          <w:szCs w:val="26"/>
        </w:rPr>
        <w:t>Sida acuta</w:t>
      </w:r>
      <w:r>
        <w:rPr>
          <w:rFonts w:eastAsia="Times New Roman"/>
          <w:color w:val="000000"/>
          <w:sz w:val="24"/>
          <w:szCs w:val="26"/>
        </w:rPr>
        <w:t>, these include flavonoids, tannins, and saponins, which may act synergistically to neutralise free radicals an</w:t>
      </w:r>
      <w:r>
        <w:rPr>
          <w:rFonts w:eastAsia="Times New Roman"/>
          <w:color w:val="000000"/>
          <w:sz w:val="24"/>
          <w:szCs w:val="26"/>
        </w:rPr>
        <w:t xml:space="preserve">d reduce </w:t>
      </w:r>
      <w:r>
        <w:rPr>
          <w:rFonts w:eastAsia="Times New Roman"/>
          <w:color w:val="000000"/>
          <w:sz w:val="24"/>
          <w:szCs w:val="26"/>
        </w:rPr>
        <w:lastRenderedPageBreak/>
        <w:t xml:space="preserve">inflammation. This synergistic action contributes to the plant’s broader therapeutic roles, including its gastroprotective and anti-inflammatory effects (Kumar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2.8.4 2,2-azino-bis C3 ethylbenzothiazoline-b-sulphonic acid (ABTS)</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The </w:t>
      </w:r>
      <w:r>
        <w:rPr>
          <w:rFonts w:eastAsia="Times New Roman"/>
          <w:color w:val="000000"/>
          <w:sz w:val="24"/>
          <w:szCs w:val="26"/>
        </w:rPr>
        <w:t>ABTS [2,2′-azino-bis(3-ethylbenzothiazoline-6-sulphonic acid)] assay is a reliable method for determining the antioxidant capacity of natural compounds and plant extracts. It evaluates the ability of antioxidants to quench the ABTS</w:t>
      </w:r>
      <w:r>
        <w:rPr>
          <w:rFonts w:ascii="Cambria Math" w:eastAsia="Times New Roman" w:hAnsi="Cambria Math" w:cs="Cambria Math"/>
          <w:color w:val="000000"/>
          <w:sz w:val="24"/>
          <w:szCs w:val="26"/>
        </w:rPr>
        <w:t>⁺</w:t>
      </w:r>
      <w:r>
        <w:rPr>
          <w:rFonts w:eastAsia="Times New Roman"/>
          <w:color w:val="000000"/>
          <w:sz w:val="24"/>
          <w:szCs w:val="26"/>
        </w:rPr>
        <w:t>• radical cation, produc</w:t>
      </w:r>
      <w:r>
        <w:rPr>
          <w:rFonts w:eastAsia="Times New Roman"/>
          <w:color w:val="000000"/>
          <w:sz w:val="24"/>
          <w:szCs w:val="26"/>
        </w:rPr>
        <w:t xml:space="preserve">ing a measurable reduction in absorbance. The higher the antioxidant activity, the more effectively the extract neutralises free radicals, making this assay especially relevant in studies exploring the gastroprotective potential of medicinal plants like </w:t>
      </w:r>
      <w:r>
        <w:rPr>
          <w:rFonts w:eastAsia="Times New Roman"/>
          <w:i/>
          <w:iCs/>
          <w:color w:val="000000"/>
          <w:sz w:val="24"/>
          <w:szCs w:val="26"/>
        </w:rPr>
        <w:t>Si</w:t>
      </w:r>
      <w:r>
        <w:rPr>
          <w:rFonts w:eastAsia="Times New Roman"/>
          <w:i/>
          <w:iCs/>
          <w:color w:val="000000"/>
          <w:sz w:val="24"/>
          <w:szCs w:val="26"/>
        </w:rPr>
        <w:t>da acuta</w:t>
      </w:r>
      <w:r>
        <w:rPr>
          <w:rFonts w:eastAsia="Times New Roman"/>
          <w:color w:val="000000"/>
          <w:sz w:val="24"/>
          <w:szCs w:val="26"/>
        </w:rPr>
        <w:t xml:space="preserve">. </w:t>
      </w:r>
      <w:r>
        <w:rPr>
          <w:rFonts w:eastAsia="Times New Roman"/>
          <w:i/>
          <w:iCs/>
          <w:color w:val="000000"/>
          <w:sz w:val="24"/>
          <w:szCs w:val="26"/>
        </w:rPr>
        <w:t>Sida acuta</w:t>
      </w:r>
      <w:r>
        <w:rPr>
          <w:rFonts w:eastAsia="Times New Roman"/>
          <w:color w:val="000000"/>
          <w:sz w:val="24"/>
          <w:szCs w:val="26"/>
        </w:rPr>
        <w:t xml:space="preserve">, a plant traditionally used to treat inflammation and gastrointestinal discomfort, has been shown to possess strong ABTS radical scavenging activity, particularly in its methanolic and aqueous extracts (Adepoju </w:t>
      </w:r>
      <w:r>
        <w:rPr>
          <w:rFonts w:eastAsia="Times New Roman"/>
          <w:i/>
          <w:iCs/>
          <w:color w:val="000000"/>
          <w:sz w:val="24"/>
          <w:szCs w:val="26"/>
        </w:rPr>
        <w:t>et al</w:t>
      </w:r>
      <w:r>
        <w:rPr>
          <w:rFonts w:eastAsia="Times New Roman"/>
          <w:color w:val="000000"/>
          <w:sz w:val="24"/>
          <w:szCs w:val="26"/>
        </w:rPr>
        <w:t>., 2021). This acti</w:t>
      </w:r>
      <w:r>
        <w:rPr>
          <w:rFonts w:eastAsia="Times New Roman"/>
          <w:color w:val="000000"/>
          <w:sz w:val="24"/>
          <w:szCs w:val="26"/>
        </w:rPr>
        <w:t>vity is directly linked to the presence of flavonoids, tannins, and polyphenolic compounds, which are known to donate hydrogen atoms or electrons to stabilise free radicals and prevent cellular damage.</w:t>
      </w:r>
    </w:p>
    <w:p w:rsidR="005F01BE" w:rsidRDefault="003E2C3A">
      <w:pPr>
        <w:spacing w:after="0" w:line="480" w:lineRule="auto"/>
        <w:ind w:firstLine="720"/>
        <w:jc w:val="both"/>
        <w:rPr>
          <w:rFonts w:eastAsia="Times New Roman"/>
          <w:b/>
          <w:bCs/>
          <w:color w:val="000000"/>
          <w:sz w:val="24"/>
          <w:szCs w:val="26"/>
        </w:rPr>
      </w:pPr>
      <w:r>
        <w:rPr>
          <w:rFonts w:eastAsia="Times New Roman"/>
          <w:color w:val="000000"/>
          <w:sz w:val="24"/>
          <w:szCs w:val="26"/>
        </w:rPr>
        <w:t>The antioxidant effect measured by the ABTS assay is i</w:t>
      </w:r>
      <w:r>
        <w:rPr>
          <w:rFonts w:eastAsia="Times New Roman"/>
          <w:color w:val="000000"/>
          <w:sz w:val="24"/>
          <w:szCs w:val="26"/>
        </w:rPr>
        <w:t xml:space="preserve">mportant in the context of peptic ulcer disease, as oxidative stress plays a significant role in the breakdown of gastric mucosa. Excessive generation of reactive oxygen species (ROS) during stress, NSAID use, or </w:t>
      </w:r>
      <w:r>
        <w:rPr>
          <w:rFonts w:eastAsia="Times New Roman"/>
          <w:i/>
          <w:iCs/>
          <w:color w:val="000000"/>
          <w:sz w:val="24"/>
          <w:szCs w:val="26"/>
        </w:rPr>
        <w:t>Helicobacter pylori</w:t>
      </w:r>
      <w:r>
        <w:rPr>
          <w:rFonts w:eastAsia="Times New Roman"/>
          <w:color w:val="000000"/>
          <w:sz w:val="24"/>
          <w:szCs w:val="26"/>
        </w:rPr>
        <w:t xml:space="preserve"> infection can lead to m</w:t>
      </w:r>
      <w:r>
        <w:rPr>
          <w:rFonts w:eastAsia="Times New Roman"/>
          <w:color w:val="000000"/>
          <w:sz w:val="24"/>
          <w:szCs w:val="26"/>
        </w:rPr>
        <w:t xml:space="preserve">ucosal injury. The ability of </w:t>
      </w:r>
      <w:r>
        <w:rPr>
          <w:rFonts w:eastAsia="Times New Roman"/>
          <w:i/>
          <w:iCs/>
          <w:color w:val="000000"/>
          <w:sz w:val="24"/>
          <w:szCs w:val="26"/>
        </w:rPr>
        <w:t>Sida acuta</w:t>
      </w:r>
      <w:r>
        <w:rPr>
          <w:rFonts w:eastAsia="Times New Roman"/>
          <w:color w:val="000000"/>
          <w:sz w:val="24"/>
          <w:szCs w:val="26"/>
        </w:rPr>
        <w:t xml:space="preserve"> extracts to scavenge ABTS radicals suggests that the plant can protect gastric </w:t>
      </w:r>
      <w:r>
        <w:rPr>
          <w:rFonts w:eastAsia="Times New Roman"/>
          <w:color w:val="000000"/>
          <w:sz w:val="24"/>
          <w:szCs w:val="26"/>
        </w:rPr>
        <w:lastRenderedPageBreak/>
        <w:t xml:space="preserve">tissue by neutralising free radicals, thereby preventing or reducing ulcer formation (Nwanya </w:t>
      </w:r>
      <w:r>
        <w:rPr>
          <w:rFonts w:eastAsia="Times New Roman"/>
          <w:i/>
          <w:iCs/>
          <w:color w:val="000000"/>
          <w:sz w:val="24"/>
          <w:szCs w:val="26"/>
        </w:rPr>
        <w:t>et al</w:t>
      </w:r>
      <w:r>
        <w:rPr>
          <w:rFonts w:eastAsia="Times New Roman"/>
          <w:color w:val="000000"/>
          <w:sz w:val="24"/>
          <w:szCs w:val="26"/>
        </w:rPr>
        <w:t xml:space="preserve">., 2020).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2.8.5 2,2</w:t>
      </w:r>
      <w:r>
        <w:rPr>
          <w:b/>
          <w:bCs/>
          <w:color w:val="000000"/>
          <w:szCs w:val="26"/>
        </w:rPr>
        <w:t>-diphenyl-1-pycrylhydraxyl (DPPH)</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2,2-diphenyl-1-picrylhydrazyl (DPPH) assay is a widely used and simple method for evaluating the free radical scavenging activity of plant extracts. It measures the ability of antioxidants in a sample to reduce the DPP</w:t>
      </w:r>
      <w:r>
        <w:rPr>
          <w:rFonts w:eastAsia="Times New Roman"/>
          <w:color w:val="000000"/>
          <w:sz w:val="24"/>
          <w:szCs w:val="26"/>
        </w:rPr>
        <w:t xml:space="preserve">H radical, a stable purple-colored compound, into a yellow-colored non-radical form. The reduction in absorbance is directly proportional to the antioxidant strength of the sample, offering valuable insight into its potential biological protective effects </w:t>
      </w:r>
      <w:r>
        <w:rPr>
          <w:rFonts w:eastAsia="Times New Roman"/>
          <w:color w:val="000000"/>
          <w:sz w:val="24"/>
          <w:szCs w:val="26"/>
        </w:rPr>
        <w:t xml:space="preserve">(Olasehinde </w:t>
      </w:r>
      <w:r>
        <w:rPr>
          <w:rFonts w:eastAsia="Times New Roman"/>
          <w:i/>
          <w:iCs/>
          <w:color w:val="000000"/>
          <w:sz w:val="24"/>
          <w:szCs w:val="26"/>
        </w:rPr>
        <w:t>et al</w:t>
      </w:r>
      <w:r>
        <w:rPr>
          <w:rFonts w:eastAsia="Times New Roman"/>
          <w:color w:val="000000"/>
          <w:sz w:val="24"/>
          <w:szCs w:val="26"/>
        </w:rPr>
        <w:t>., 2022).</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In the context of peptic ulcer disease, oxidative stress is one of the main culprits in mucosal injury, particularly when triggered by ethanol, NSAIDs, or </w:t>
      </w:r>
      <w:r>
        <w:rPr>
          <w:rFonts w:eastAsia="Times New Roman"/>
          <w:i/>
          <w:iCs/>
          <w:color w:val="000000"/>
          <w:sz w:val="24"/>
          <w:szCs w:val="26"/>
        </w:rPr>
        <w:t>Helicobacter pylori</w:t>
      </w:r>
      <w:r>
        <w:rPr>
          <w:rFonts w:eastAsia="Times New Roman"/>
          <w:color w:val="000000"/>
          <w:sz w:val="24"/>
          <w:szCs w:val="26"/>
        </w:rPr>
        <w:t>. Antioxidants that effectively quench radicals like DP</w:t>
      </w:r>
      <w:r>
        <w:rPr>
          <w:rFonts w:eastAsia="Times New Roman"/>
          <w:color w:val="000000"/>
          <w:sz w:val="24"/>
          <w:szCs w:val="26"/>
        </w:rPr>
        <w:t xml:space="preserve">PH can significantly mitigate gastric epithelial cell damage, promote tissue repair, and improve mucosal defense mechanisms. Extracts of </w:t>
      </w:r>
      <w:r>
        <w:rPr>
          <w:rFonts w:eastAsia="Times New Roman"/>
          <w:i/>
          <w:iCs/>
          <w:color w:val="000000"/>
          <w:sz w:val="24"/>
          <w:szCs w:val="26"/>
        </w:rPr>
        <w:t>Sida acuta</w:t>
      </w:r>
      <w:r>
        <w:rPr>
          <w:rFonts w:eastAsia="Times New Roman"/>
          <w:color w:val="000000"/>
          <w:sz w:val="24"/>
          <w:szCs w:val="26"/>
        </w:rPr>
        <w:t xml:space="preserve"> with high DPPH scavenging capacity have been found to reduce oxidative stress markers, thereby supporting th</w:t>
      </w:r>
      <w:r>
        <w:rPr>
          <w:rFonts w:eastAsia="Times New Roman"/>
          <w:color w:val="000000"/>
          <w:sz w:val="24"/>
          <w:szCs w:val="26"/>
        </w:rPr>
        <w:t>eir gastroprotective potential (Iroanya and Onajobi, 2020). Compared to other assays, DPPH is particularly useful for evaluating lipophilic antioxidants, making it an ideal method for investigating the total antioxidant capacity of plant-based remedies (Aj</w:t>
      </w:r>
      <w:r>
        <w:rPr>
          <w:rFonts w:eastAsia="Times New Roman"/>
          <w:color w:val="000000"/>
          <w:sz w:val="24"/>
          <w:szCs w:val="26"/>
        </w:rPr>
        <w:t xml:space="preserve">iboye </w:t>
      </w:r>
      <w:r>
        <w:rPr>
          <w:rFonts w:eastAsia="Times New Roman"/>
          <w:i/>
          <w:iCs/>
          <w:color w:val="000000"/>
          <w:sz w:val="24"/>
          <w:szCs w:val="26"/>
        </w:rPr>
        <w:t>et al</w:t>
      </w:r>
      <w:r>
        <w:rPr>
          <w:rFonts w:eastAsia="Times New Roman"/>
          <w:color w:val="000000"/>
          <w:sz w:val="24"/>
          <w:szCs w:val="26"/>
        </w:rPr>
        <w:t>., 2021).</w:t>
      </w: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 xml:space="preserve">2.9 Organ studied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2.9.1 Stomach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stomach is the primary organ affected in gastric ulceration, which results from a complex interplay of acid secretion, enzyme activity, and oxidative stress. Ulcers often arise due to the breakdown of the gastric mucosal barrier, exposing the underlyin</w:t>
      </w:r>
      <w:r>
        <w:rPr>
          <w:rFonts w:eastAsia="Times New Roman"/>
          <w:color w:val="000000"/>
          <w:sz w:val="24"/>
          <w:szCs w:val="26"/>
        </w:rPr>
        <w:t xml:space="preserve">g tissue to damaging factors such as gastric acid and reactive oxygen species (ROS). Antioxidants from plant sources, including </w:t>
      </w:r>
      <w:r>
        <w:rPr>
          <w:rFonts w:eastAsia="Times New Roman"/>
          <w:i/>
          <w:iCs/>
          <w:color w:val="000000"/>
          <w:sz w:val="24"/>
          <w:szCs w:val="26"/>
        </w:rPr>
        <w:t>Sida acuta</w:t>
      </w:r>
      <w:r>
        <w:rPr>
          <w:rFonts w:eastAsia="Times New Roman"/>
          <w:color w:val="000000"/>
          <w:sz w:val="24"/>
          <w:szCs w:val="26"/>
        </w:rPr>
        <w:t>, are known to offer protection by neutralising free radicals and enhancing the gastric mucosal defense mechanisms. Se</w:t>
      </w:r>
      <w:r>
        <w:rPr>
          <w:rFonts w:eastAsia="Times New Roman"/>
          <w:color w:val="000000"/>
          <w:sz w:val="24"/>
          <w:szCs w:val="26"/>
        </w:rPr>
        <w:t xml:space="preserve">veral studies have shown that </w:t>
      </w:r>
      <w:r>
        <w:rPr>
          <w:rFonts w:eastAsia="Times New Roman"/>
          <w:i/>
          <w:iCs/>
          <w:color w:val="000000"/>
          <w:sz w:val="24"/>
          <w:szCs w:val="26"/>
        </w:rPr>
        <w:t>Sida acuta</w:t>
      </w:r>
      <w:r>
        <w:rPr>
          <w:rFonts w:eastAsia="Times New Roman"/>
          <w:color w:val="000000"/>
          <w:sz w:val="24"/>
          <w:szCs w:val="26"/>
        </w:rPr>
        <w:t xml:space="preserve"> extracts exhibit significant gastroprotective effects, primarily by scavenging free radicals and promoting the synthesis of prostaglandins, which increase mucus secretion and help maintain mucosal integrity (Ezekwes</w:t>
      </w:r>
      <w:r>
        <w:rPr>
          <w:rFonts w:eastAsia="Times New Roman"/>
          <w:color w:val="000000"/>
          <w:sz w:val="24"/>
          <w:szCs w:val="26"/>
        </w:rPr>
        <w:t xml:space="preserve">ili </w:t>
      </w:r>
      <w:r>
        <w:rPr>
          <w:rFonts w:eastAsia="Times New Roman"/>
          <w:i/>
          <w:iCs/>
          <w:color w:val="000000"/>
          <w:sz w:val="24"/>
          <w:szCs w:val="26"/>
        </w:rPr>
        <w:t>et al</w:t>
      </w:r>
      <w:r>
        <w:rPr>
          <w:rFonts w:eastAsia="Times New Roman"/>
          <w:color w:val="000000"/>
          <w:sz w:val="24"/>
          <w:szCs w:val="26"/>
        </w:rPr>
        <w:t xml:space="preserve">., 2014). These effects are particularly important in combating the damage caused by excessive alcohol consumption, NSAIDs, and </w:t>
      </w:r>
      <w:r>
        <w:rPr>
          <w:rFonts w:eastAsia="Times New Roman"/>
          <w:i/>
          <w:iCs/>
          <w:color w:val="000000"/>
          <w:sz w:val="24"/>
          <w:szCs w:val="26"/>
        </w:rPr>
        <w:t>Helicobacter pylori</w:t>
      </w:r>
      <w:r>
        <w:rPr>
          <w:rFonts w:eastAsia="Times New Roman"/>
          <w:color w:val="000000"/>
          <w:sz w:val="24"/>
          <w:szCs w:val="26"/>
        </w:rPr>
        <w:t xml:space="preserve"> infection, all of which are associated with gastric ulcers. Furthermore, antioxidants from </w:t>
      </w:r>
      <w:r>
        <w:rPr>
          <w:rFonts w:eastAsia="Times New Roman"/>
          <w:i/>
          <w:iCs/>
          <w:color w:val="000000"/>
          <w:sz w:val="24"/>
          <w:szCs w:val="26"/>
        </w:rPr>
        <w:t>Sida acu</w:t>
      </w:r>
      <w:r>
        <w:rPr>
          <w:rFonts w:eastAsia="Times New Roman"/>
          <w:i/>
          <w:iCs/>
          <w:color w:val="000000"/>
          <w:sz w:val="24"/>
          <w:szCs w:val="26"/>
        </w:rPr>
        <w:t>ta</w:t>
      </w:r>
      <w:r>
        <w:rPr>
          <w:rFonts w:eastAsia="Times New Roman"/>
          <w:color w:val="000000"/>
          <w:sz w:val="24"/>
          <w:szCs w:val="26"/>
        </w:rPr>
        <w:t xml:space="preserve"> have been found to reduce oxidative markers in the stomach, supporting the idea that oxidative stress is a central factor in ulcer pathogenesis (Akinmoladun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2.9.2 Liver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liver plays a pivotal role in metabolising nutrients, detoxifyin</w:t>
      </w:r>
      <w:r>
        <w:rPr>
          <w:rFonts w:eastAsia="Times New Roman"/>
          <w:color w:val="000000"/>
          <w:sz w:val="24"/>
          <w:szCs w:val="26"/>
        </w:rPr>
        <w:t>g harmful substances, and regulating antioxidant systems. It is also a key organ in responding to oxidative stress, which can be exacerbated in conditions such as gastritis or peptic ulcers. While ulcers primarily affect the stomach and duodenum, liver fun</w:t>
      </w:r>
      <w:r>
        <w:rPr>
          <w:rFonts w:eastAsia="Times New Roman"/>
          <w:color w:val="000000"/>
          <w:sz w:val="24"/>
          <w:szCs w:val="26"/>
        </w:rPr>
        <w:t xml:space="preserve">ction can be indirectly </w:t>
      </w:r>
      <w:r>
        <w:rPr>
          <w:rFonts w:eastAsia="Times New Roman"/>
          <w:color w:val="000000"/>
          <w:sz w:val="24"/>
          <w:szCs w:val="26"/>
        </w:rPr>
        <w:lastRenderedPageBreak/>
        <w:t xml:space="preserve">impacted due to systemic inflammation and oxidative damage caused by chronic ulcers. Studies have shown that the hepatoprotective effects of </w:t>
      </w:r>
      <w:r>
        <w:rPr>
          <w:rFonts w:eastAsia="Times New Roman"/>
          <w:i/>
          <w:iCs/>
          <w:color w:val="000000"/>
          <w:sz w:val="24"/>
          <w:szCs w:val="26"/>
        </w:rPr>
        <w:t>Sida acuta</w:t>
      </w:r>
      <w:r>
        <w:rPr>
          <w:rFonts w:eastAsia="Times New Roman"/>
          <w:color w:val="000000"/>
          <w:sz w:val="24"/>
          <w:szCs w:val="26"/>
        </w:rPr>
        <w:t xml:space="preserve"> can be attributed to its antioxidant properties, which help reduce liver damage </w:t>
      </w:r>
      <w:r>
        <w:rPr>
          <w:rFonts w:eastAsia="Times New Roman"/>
          <w:color w:val="000000"/>
          <w:sz w:val="24"/>
          <w:szCs w:val="26"/>
        </w:rPr>
        <w:t xml:space="preserve">induced by toxic substances or oxidative stress (Ogunmoyole </w:t>
      </w:r>
      <w:r>
        <w:rPr>
          <w:rFonts w:eastAsia="Times New Roman"/>
          <w:i/>
          <w:iCs/>
          <w:color w:val="000000"/>
          <w:sz w:val="24"/>
          <w:szCs w:val="26"/>
        </w:rPr>
        <w:t>et al</w:t>
      </w:r>
      <w:r>
        <w:rPr>
          <w:rFonts w:eastAsia="Times New Roman"/>
          <w:color w:val="000000"/>
          <w:sz w:val="24"/>
          <w:szCs w:val="26"/>
        </w:rPr>
        <w:t xml:space="preserve">., 2015).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2.9.3 Duodenum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duodenum, the first section of the small intestine, is another critical site in the pathophysiology of peptic ulcers, particularly duodenal ulcers, which are of</w:t>
      </w:r>
      <w:r>
        <w:rPr>
          <w:rFonts w:eastAsia="Times New Roman"/>
          <w:color w:val="000000"/>
          <w:sz w:val="24"/>
          <w:szCs w:val="26"/>
        </w:rPr>
        <w:t xml:space="preserve">ten linked to Helicobacter pylori infection and excessive acid secretion. The duodenum plays a key role in digestion and nutrient absorption and is highly susceptible to oxidative damage and inflammation during ulceration. In preclinical studies, </w:t>
      </w:r>
      <w:r>
        <w:rPr>
          <w:rFonts w:eastAsia="Times New Roman"/>
          <w:i/>
          <w:iCs/>
          <w:color w:val="000000"/>
          <w:sz w:val="24"/>
          <w:szCs w:val="26"/>
        </w:rPr>
        <w:t>Sida acut</w:t>
      </w:r>
      <w:r>
        <w:rPr>
          <w:rFonts w:eastAsia="Times New Roman"/>
          <w:i/>
          <w:iCs/>
          <w:color w:val="000000"/>
          <w:sz w:val="24"/>
          <w:szCs w:val="26"/>
        </w:rPr>
        <w:t>a</w:t>
      </w:r>
      <w:r>
        <w:rPr>
          <w:rFonts w:eastAsia="Times New Roman"/>
          <w:color w:val="000000"/>
          <w:sz w:val="24"/>
          <w:szCs w:val="26"/>
        </w:rPr>
        <w:t xml:space="preserve"> has shown the ability to reduce ulcer formation in the duodenum by scavenging ROS and reducing pro-inflammatory cytokines, thus supporting its traditional use as a gastroprotective herb. The plant's high antioxidant capacity, as demonstrated in DPPH, FRA</w:t>
      </w:r>
      <w:r>
        <w:rPr>
          <w:rFonts w:eastAsia="Times New Roman"/>
          <w:color w:val="000000"/>
          <w:sz w:val="24"/>
          <w:szCs w:val="26"/>
        </w:rPr>
        <w:t xml:space="preserve">P, and ABTS assays, directly contributes to its ability to protect the duodenal mucosa (Ajiboye </w:t>
      </w:r>
      <w:r>
        <w:rPr>
          <w:rFonts w:eastAsia="Times New Roman"/>
          <w:i/>
          <w:iCs/>
          <w:color w:val="000000"/>
          <w:sz w:val="24"/>
          <w:szCs w:val="26"/>
        </w:rPr>
        <w:t>et al</w:t>
      </w:r>
      <w:r>
        <w:rPr>
          <w:rFonts w:eastAsia="Times New Roman"/>
          <w:color w:val="000000"/>
          <w:sz w:val="24"/>
          <w:szCs w:val="26"/>
        </w:rPr>
        <w:t xml:space="preserve">., 2021).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2.10 Hematological indices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Hematological indices refer to a set of measures obtained from blood tests that provide insights into an individual'</w:t>
      </w:r>
      <w:r>
        <w:rPr>
          <w:rFonts w:eastAsia="Times New Roman"/>
          <w:color w:val="000000"/>
          <w:sz w:val="24"/>
          <w:szCs w:val="26"/>
        </w:rPr>
        <w:t>s overall health and specific conditions. These indices include parameters such as red blood cell count, hemoglobin concentration, hematocrit, white blood cell count, and platelet count. One of the primary hematological indices affected by ulcers is hemogl</w:t>
      </w:r>
      <w:r>
        <w:rPr>
          <w:rFonts w:eastAsia="Times New Roman"/>
          <w:color w:val="000000"/>
          <w:sz w:val="24"/>
          <w:szCs w:val="26"/>
        </w:rPr>
        <w:t xml:space="preserve">obin. Chronic blood loss from ulcers can result in a condition known as iron-deficiency anemia. As blood loss occurs over time, there is a decrease in </w:t>
      </w:r>
      <w:r>
        <w:rPr>
          <w:rFonts w:eastAsia="Times New Roman"/>
          <w:color w:val="000000"/>
          <w:sz w:val="24"/>
          <w:szCs w:val="26"/>
        </w:rPr>
        <w:lastRenderedPageBreak/>
        <w:t>red blood cells and hemoglobin concentration, which can lead to symptoms such as fatigue, weakness, and p</w:t>
      </w:r>
      <w:r>
        <w:rPr>
          <w:rFonts w:eastAsia="Times New Roman"/>
          <w:color w:val="000000"/>
          <w:sz w:val="24"/>
          <w:szCs w:val="26"/>
        </w:rPr>
        <w:t>allor (Fitzgerald and McCarthy, 2019). Hematocrit, which reflects the proportion of red blood cells in the blood, is also often reduced in individuals with active ulcers, especially if there is ongoing bleeding. A decreased hematocrit can indicate anemia r</w:t>
      </w:r>
      <w:r>
        <w:rPr>
          <w:rFonts w:eastAsia="Times New Roman"/>
          <w:color w:val="000000"/>
          <w:sz w:val="24"/>
          <w:szCs w:val="26"/>
        </w:rPr>
        <w:t xml:space="preserve">esulting from blood loss, further exacerbating the symptoms of the ulcer and complicating recovery (Zhao </w:t>
      </w:r>
      <w:r>
        <w:rPr>
          <w:rFonts w:eastAsia="Times New Roman"/>
          <w:i/>
          <w:iCs/>
          <w:color w:val="000000"/>
          <w:sz w:val="24"/>
          <w:szCs w:val="26"/>
        </w:rPr>
        <w:t>et al</w:t>
      </w:r>
      <w:r>
        <w:rPr>
          <w:rFonts w:eastAsia="Times New Roman"/>
          <w:color w:val="000000"/>
          <w:sz w:val="24"/>
          <w:szCs w:val="26"/>
        </w:rPr>
        <w:t>., 2018).</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2.10.1 Red blood cell count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red blood cell count (RBC) is an important hematological index that reflects the number of red blood ce</w:t>
      </w:r>
      <w:r>
        <w:rPr>
          <w:rFonts w:eastAsia="Times New Roman"/>
          <w:color w:val="000000"/>
          <w:sz w:val="24"/>
          <w:szCs w:val="26"/>
        </w:rPr>
        <w:t>lls circulating in the bloodstream. These cells are responsible for transporting oxygen from the lungs to the tissues and organs and carrying carbon dioxide back to the lungs for exhalation. A decrease in RBC count can lead to anemia, which is characterize</w:t>
      </w:r>
      <w:r>
        <w:rPr>
          <w:rFonts w:eastAsia="Times New Roman"/>
          <w:color w:val="000000"/>
          <w:sz w:val="24"/>
          <w:szCs w:val="26"/>
        </w:rPr>
        <w:t>d by fatigue, weakness, pallor, and impaired oxygen delivery to tissues. In the context of ulcer conditions, particularly peptic ulcers, changes in RBC count are significant as they can indicate underlying complications such as bleeding, nutritional defici</w:t>
      </w:r>
      <w:r>
        <w:rPr>
          <w:rFonts w:eastAsia="Times New Roman"/>
          <w:color w:val="000000"/>
          <w:sz w:val="24"/>
          <w:szCs w:val="26"/>
        </w:rPr>
        <w:t>encies, and the overall severity of the disease. Peptic ulcers, which are open sores that form in the stomach lining or small intestine, can cause chronic blood loss, either through overt bleeding or slow, insidious blood loss. This prolonged blood loss ca</w:t>
      </w:r>
      <w:r>
        <w:rPr>
          <w:rFonts w:eastAsia="Times New Roman"/>
          <w:color w:val="000000"/>
          <w:sz w:val="24"/>
          <w:szCs w:val="26"/>
        </w:rPr>
        <w:t xml:space="preserve">n lead to a reduced RBC count, which is commonly associated with iron-deficiency anemia. Anemia in ulcer patients often results from the continuous loss of small amounts of blood, which is common in individuals with ulcers, especially if the ulceration is </w:t>
      </w:r>
      <w:r>
        <w:rPr>
          <w:rFonts w:eastAsia="Times New Roman"/>
          <w:color w:val="000000"/>
          <w:sz w:val="24"/>
          <w:szCs w:val="26"/>
        </w:rPr>
        <w:t>not properly managed or treated (Fitzgerald and McCarthy, 2019).</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lastRenderedPageBreak/>
        <w:t>A decreased RBC count in individuals with ulcers is a key indicator of blood loss, often accompanied by a reduction in hemoglobin (Hb) and hematocrit (Hct) levels. As blood loss continues, th</w:t>
      </w:r>
      <w:r>
        <w:rPr>
          <w:rFonts w:eastAsia="Times New Roman"/>
          <w:color w:val="000000"/>
          <w:sz w:val="24"/>
          <w:szCs w:val="26"/>
        </w:rPr>
        <w:t xml:space="preserve">e body’s ability to maintain an adequate supply of red blood cells diminishes, leading to a drop in RBC count. This condition can be exacerbated if the ulcer is caused by </w:t>
      </w:r>
      <w:r>
        <w:rPr>
          <w:rFonts w:eastAsia="Times New Roman"/>
          <w:i/>
          <w:iCs/>
          <w:color w:val="000000"/>
          <w:sz w:val="24"/>
          <w:szCs w:val="26"/>
        </w:rPr>
        <w:t>Helicobacter pylori</w:t>
      </w:r>
      <w:r>
        <w:rPr>
          <w:rFonts w:eastAsia="Times New Roman"/>
          <w:color w:val="000000"/>
          <w:sz w:val="24"/>
          <w:szCs w:val="26"/>
        </w:rPr>
        <w:t xml:space="preserve"> infection, as this bacterium not only contributes to ulcer format</w:t>
      </w:r>
      <w:r>
        <w:rPr>
          <w:rFonts w:eastAsia="Times New Roman"/>
          <w:color w:val="000000"/>
          <w:sz w:val="24"/>
          <w:szCs w:val="26"/>
        </w:rPr>
        <w:t xml:space="preserve">ion but can also cause gastric bleeding, further depleting the body’s RBC reserves (Zhao </w:t>
      </w:r>
      <w:r>
        <w:rPr>
          <w:rFonts w:eastAsia="Times New Roman"/>
          <w:i/>
          <w:iCs/>
          <w:color w:val="000000"/>
          <w:sz w:val="24"/>
          <w:szCs w:val="26"/>
        </w:rPr>
        <w:t>et al</w:t>
      </w:r>
      <w:r>
        <w:rPr>
          <w:rFonts w:eastAsia="Times New Roman"/>
          <w:color w:val="000000"/>
          <w:sz w:val="24"/>
          <w:szCs w:val="26"/>
        </w:rPr>
        <w:t>., 2018). Blood loss, ulcers can also affect the body's ability to absorb nutrients, including iron, which is vital for the production of hemoglobin and red blood</w:t>
      </w:r>
      <w:r>
        <w:rPr>
          <w:rFonts w:eastAsia="Times New Roman"/>
          <w:color w:val="000000"/>
          <w:sz w:val="24"/>
          <w:szCs w:val="26"/>
        </w:rPr>
        <w:t xml:space="preserve"> cells. This is particularly true in cases where ulcers affect the duodenum or the small intestine, where iron absorption predominantly occurs. (Siddiqui </w:t>
      </w:r>
      <w:r>
        <w:rPr>
          <w:rFonts w:eastAsia="Times New Roman"/>
          <w:i/>
          <w:iCs/>
          <w:color w:val="000000"/>
          <w:sz w:val="24"/>
          <w:szCs w:val="26"/>
        </w:rPr>
        <w:t>et al</w:t>
      </w:r>
      <w:r>
        <w:rPr>
          <w:rFonts w:eastAsia="Times New Roman"/>
          <w:color w:val="000000"/>
          <w:sz w:val="24"/>
          <w:szCs w:val="26"/>
        </w:rPr>
        <w:t>., 2017).</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The RBC count is an essential parameter to monitor in individuals with ulcers, as a low</w:t>
      </w:r>
      <w:r>
        <w:rPr>
          <w:rFonts w:eastAsia="Times New Roman"/>
          <w:color w:val="000000"/>
          <w:sz w:val="24"/>
          <w:szCs w:val="26"/>
        </w:rPr>
        <w:t xml:space="preserve"> RBC count can signal both the presence of chronic blood loss and the body’s struggle to compensate for it. Regular monitoring of RBC levels in ulcer patients helps in assessing the extent of blood loss, the severity of anemia, and the effectiveness of tre</w:t>
      </w:r>
      <w:r>
        <w:rPr>
          <w:rFonts w:eastAsia="Times New Roman"/>
          <w:color w:val="000000"/>
          <w:sz w:val="24"/>
          <w:szCs w:val="26"/>
        </w:rPr>
        <w:t xml:space="preserve">atment strategies, which may include iron supplementation, ulcer healing, or more advanced interventions such as blood transfusions or surgical procedures (Fitzgerald and McCarthy, 2019).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2.10.2 Hemoglobin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Hemoglobin (Hb) is a vital protein found in red </w:t>
      </w:r>
      <w:r>
        <w:rPr>
          <w:rFonts w:eastAsia="Times New Roman"/>
          <w:color w:val="000000"/>
          <w:sz w:val="24"/>
          <w:szCs w:val="26"/>
        </w:rPr>
        <w:t xml:space="preserve">blood cells, responsible for transporting oxygen from the lungs to the tissues and returning carbon dioxide back to the lungs for exhalation. It is composed of heme groups that contain iron, which binds to </w:t>
      </w:r>
      <w:r>
        <w:rPr>
          <w:rFonts w:eastAsia="Times New Roman"/>
          <w:color w:val="000000"/>
          <w:sz w:val="24"/>
          <w:szCs w:val="26"/>
        </w:rPr>
        <w:lastRenderedPageBreak/>
        <w:t xml:space="preserve">oxygen. Hemoglobin levels are a key hematological </w:t>
      </w:r>
      <w:r>
        <w:rPr>
          <w:rFonts w:eastAsia="Times New Roman"/>
          <w:color w:val="000000"/>
          <w:sz w:val="24"/>
          <w:szCs w:val="26"/>
        </w:rPr>
        <w:t>index used to assess an individual’s overall health, with abnormal levels indicating various health conditions, such as anemia, bleeding, or chronic illness. In the context of ulcers, hemoglobin levels are closely related to the severity of blood loss, inf</w:t>
      </w:r>
      <w:r>
        <w:rPr>
          <w:rFonts w:eastAsia="Times New Roman"/>
          <w:color w:val="000000"/>
          <w:sz w:val="24"/>
          <w:szCs w:val="26"/>
        </w:rPr>
        <w:t>lammation, and nutritional status, making it an important marker for diagnosis and treatment monitoring. Peptic ulcers, which are sores that form in the stomach lining or small intestine, can cause chronic bleeding that leads to a gradual decrease in hemog</w:t>
      </w:r>
      <w:r>
        <w:rPr>
          <w:rFonts w:eastAsia="Times New Roman"/>
          <w:color w:val="000000"/>
          <w:sz w:val="24"/>
          <w:szCs w:val="26"/>
        </w:rPr>
        <w:t xml:space="preserve">lobin levels. In patients with active or recurrent ulcers, especially those caused by </w:t>
      </w:r>
      <w:r>
        <w:rPr>
          <w:rFonts w:eastAsia="Times New Roman"/>
          <w:i/>
          <w:iCs/>
          <w:color w:val="000000"/>
          <w:sz w:val="24"/>
          <w:szCs w:val="26"/>
        </w:rPr>
        <w:t>Helicobacter pylori</w:t>
      </w:r>
      <w:r>
        <w:rPr>
          <w:rFonts w:eastAsia="Times New Roman"/>
          <w:color w:val="000000"/>
          <w:sz w:val="24"/>
          <w:szCs w:val="26"/>
        </w:rPr>
        <w:t xml:space="preserve"> infection, the ulceration can lead to small but persistent blood loss over time. This chronic loss of blood reduces the body's supply of red blood cel</w:t>
      </w:r>
      <w:r>
        <w:rPr>
          <w:rFonts w:eastAsia="Times New Roman"/>
          <w:color w:val="000000"/>
          <w:sz w:val="24"/>
          <w:szCs w:val="26"/>
        </w:rPr>
        <w:t xml:space="preserve">ls, thereby lowering hemoglobin levels (Zhao </w:t>
      </w:r>
      <w:r>
        <w:rPr>
          <w:rFonts w:eastAsia="Times New Roman"/>
          <w:i/>
          <w:iCs/>
          <w:color w:val="000000"/>
          <w:sz w:val="24"/>
          <w:szCs w:val="26"/>
        </w:rPr>
        <w:t>et al</w:t>
      </w:r>
      <w:r>
        <w:rPr>
          <w:rFonts w:eastAsia="Times New Roman"/>
          <w:color w:val="000000"/>
          <w:sz w:val="24"/>
          <w:szCs w:val="26"/>
        </w:rPr>
        <w:t xml:space="preserve">., 2018).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Decreased hemoglobin levels in ulcer patients are an important clinical sign of both active ulceration and the body’s reduced capacity to carry oxygen effectively. A low hemoglobin concentration </w:t>
      </w:r>
      <w:r>
        <w:rPr>
          <w:rFonts w:eastAsia="Times New Roman"/>
          <w:color w:val="000000"/>
          <w:sz w:val="24"/>
          <w:szCs w:val="26"/>
        </w:rPr>
        <w:t>can result in symptoms such as fatigue, weakness, dizziness, and pale skin. These symptoms are a direct consequence of the reduced oxygen-carrying capacity of the blood, which can affect organ function and overall health (Fitzgerald and McCarthy, 2019).</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w:t>
      </w:r>
      <w:r>
        <w:rPr>
          <w:b/>
          <w:bCs/>
          <w:color w:val="000000"/>
          <w:szCs w:val="26"/>
        </w:rPr>
        <w:t xml:space="preserve">10.3 Hematocrit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Hematocrit (Hct) is a critical hematological index that measures the proportion of red blood cells (RBCs) in a blood sample. It is typically expressed as a percentage and is an essential indicator of the body’s ability to transport oxygen </w:t>
      </w:r>
      <w:r>
        <w:rPr>
          <w:rFonts w:eastAsia="Times New Roman"/>
          <w:color w:val="000000"/>
          <w:sz w:val="24"/>
          <w:szCs w:val="26"/>
        </w:rPr>
        <w:t xml:space="preserve">via red blood cells. Hematocrit levels are influenced by factors such as hydration status, blood loss, and the </w:t>
      </w:r>
      <w:r>
        <w:rPr>
          <w:rFonts w:eastAsia="Times New Roman"/>
          <w:color w:val="000000"/>
          <w:sz w:val="24"/>
          <w:szCs w:val="26"/>
        </w:rPr>
        <w:lastRenderedPageBreak/>
        <w:t>body's production of red blood cells. A decreased hematocrit level can indicate anemia, dehydration, or significant blood loss, whereas an elevat</w:t>
      </w:r>
      <w:r>
        <w:rPr>
          <w:rFonts w:eastAsia="Times New Roman"/>
          <w:color w:val="000000"/>
          <w:sz w:val="24"/>
          <w:szCs w:val="26"/>
        </w:rPr>
        <w:t>ed hematocrit can suggest conditions like polycythemia or dehydration. In the context of ulcers, hematocrit is especially useful in assessing the degree of blood loss and the impact of gastrointestinal bleeding, which can occur in individuals with peptic u</w:t>
      </w:r>
      <w:r>
        <w:rPr>
          <w:rFonts w:eastAsia="Times New Roman"/>
          <w:color w:val="000000"/>
          <w:sz w:val="24"/>
          <w:szCs w:val="26"/>
        </w:rPr>
        <w:t xml:space="preserve">lcers. Peptic ulcers, which are lesions in the stomach or duodenal lining, often cause blood loss through erosion of blood vessels in the gastrointestinal tract. The bleeding can be either overt (visible to the patient) or occult (hidden), and it may lead </w:t>
      </w:r>
      <w:r>
        <w:rPr>
          <w:rFonts w:eastAsia="Times New Roman"/>
          <w:color w:val="000000"/>
          <w:sz w:val="24"/>
          <w:szCs w:val="26"/>
        </w:rPr>
        <w:t xml:space="preserve">to a gradual reduction in hematocrit levels. In patients with active or untreated ulcers, ongoing blood loss can significantly decrease the number of red blood cells, leading to a reduction in hematocrit. A low hematocrit level reflects a diminished blood </w:t>
      </w:r>
      <w:r>
        <w:rPr>
          <w:rFonts w:eastAsia="Times New Roman"/>
          <w:color w:val="000000"/>
          <w:sz w:val="24"/>
          <w:szCs w:val="26"/>
        </w:rPr>
        <w:t>volume of red blood cells, a condition commonly associated with iron-deficiency anemia due to chronic blood loss (Fitzgerald and McCarthy, 2019).</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2.10.4 White blood cell count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White blood cells (WBCs) are a crucial component of the immune system, playing </w:t>
      </w:r>
      <w:r>
        <w:rPr>
          <w:rFonts w:eastAsia="Times New Roman"/>
          <w:color w:val="000000"/>
          <w:sz w:val="24"/>
          <w:szCs w:val="26"/>
        </w:rPr>
        <w:t>a vital role in defending the body against infections, inflammation, and injury. The white blood cell count is a key hematological index used to assess an individual's immune response. An elevated WBC count is typically associated with infection or inflamm</w:t>
      </w:r>
      <w:r>
        <w:rPr>
          <w:rFonts w:eastAsia="Times New Roman"/>
          <w:color w:val="000000"/>
          <w:sz w:val="24"/>
          <w:szCs w:val="26"/>
        </w:rPr>
        <w:t xml:space="preserve">ation, as the body produces more white blood cells to fight off pathogens or heal damaged tissues.  Peptic ulcers are painful sores that develop on the lining of the stomach or small intestine, often caused by </w:t>
      </w:r>
      <w:r>
        <w:rPr>
          <w:rFonts w:eastAsia="Times New Roman"/>
          <w:i/>
          <w:iCs/>
          <w:color w:val="000000"/>
          <w:sz w:val="24"/>
          <w:szCs w:val="26"/>
        </w:rPr>
        <w:t>Helicobacter pylori</w:t>
      </w:r>
      <w:r>
        <w:rPr>
          <w:rFonts w:eastAsia="Times New Roman"/>
          <w:color w:val="000000"/>
          <w:sz w:val="24"/>
          <w:szCs w:val="26"/>
        </w:rPr>
        <w:t xml:space="preserve"> infection, the long-term u</w:t>
      </w:r>
      <w:r>
        <w:rPr>
          <w:rFonts w:eastAsia="Times New Roman"/>
          <w:color w:val="000000"/>
          <w:sz w:val="24"/>
          <w:szCs w:val="26"/>
        </w:rPr>
        <w:t xml:space="preserve">se of nonsteroidal anti-inflammatory drugs (NSAIDs), or excessive alcohol consumption. </w:t>
      </w:r>
      <w:r>
        <w:rPr>
          <w:rFonts w:eastAsia="Times New Roman"/>
          <w:i/>
          <w:iCs/>
          <w:color w:val="000000"/>
          <w:sz w:val="24"/>
          <w:szCs w:val="26"/>
        </w:rPr>
        <w:t xml:space="preserve">H. </w:t>
      </w:r>
      <w:r>
        <w:rPr>
          <w:rFonts w:eastAsia="Times New Roman"/>
          <w:i/>
          <w:iCs/>
          <w:color w:val="000000"/>
          <w:sz w:val="24"/>
          <w:szCs w:val="26"/>
        </w:rPr>
        <w:lastRenderedPageBreak/>
        <w:t>pylori</w:t>
      </w:r>
      <w:r>
        <w:rPr>
          <w:rFonts w:eastAsia="Times New Roman"/>
          <w:color w:val="000000"/>
          <w:sz w:val="24"/>
          <w:szCs w:val="26"/>
        </w:rPr>
        <w:t xml:space="preserve"> infection, in particular, is a major contributor to the development of gastric and duodenal ulcers. When an ulcer becomes infected or inflamed, the body mounts</w:t>
      </w:r>
      <w:r>
        <w:rPr>
          <w:rFonts w:eastAsia="Times New Roman"/>
          <w:color w:val="000000"/>
          <w:sz w:val="24"/>
          <w:szCs w:val="26"/>
        </w:rPr>
        <w:t xml:space="preserve"> an immune response, which can lead to an increase in the WBC count (Zhao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2.10.5 Platelet count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Platelets, also known as thrombocytes, are essential components of the blood responsible for initiating blood clotting and promoting wound heali</w:t>
      </w:r>
      <w:r>
        <w:rPr>
          <w:rFonts w:eastAsia="Times New Roman"/>
          <w:color w:val="000000"/>
          <w:sz w:val="24"/>
          <w:szCs w:val="26"/>
        </w:rPr>
        <w:t xml:space="preserve">ng. The platelet count is an important hematological index used to evaluate the body’s ability to form blood clots and prevent excessive bleeding. Platelet count may be altered in various conditions, including peptic ulcers, which are lesions that form in </w:t>
      </w:r>
      <w:r>
        <w:rPr>
          <w:rFonts w:eastAsia="Times New Roman"/>
          <w:color w:val="000000"/>
          <w:sz w:val="24"/>
          <w:szCs w:val="26"/>
        </w:rPr>
        <w:t>the lining of the stomach or duodenum. Ulcers can lead to blood loss and influence platelet production and activity, either by increasing platelet count due to inflammation and bleeding or decreasing it due to complications such as disseminated intravascul</w:t>
      </w:r>
      <w:r>
        <w:rPr>
          <w:rFonts w:eastAsia="Times New Roman"/>
          <w:color w:val="000000"/>
          <w:sz w:val="24"/>
          <w:szCs w:val="26"/>
        </w:rPr>
        <w:t>ar coagulation (DIC). In individuals with peptic ulcers, especially those complicated by bleeding, the platelet count may be elevated as a compensatory mechanism to control blood loss. The damage to blood vessels from the ulceration causes platelet aggrega</w:t>
      </w:r>
      <w:r>
        <w:rPr>
          <w:rFonts w:eastAsia="Times New Roman"/>
          <w:color w:val="000000"/>
          <w:sz w:val="24"/>
          <w:szCs w:val="26"/>
        </w:rPr>
        <w:t xml:space="preserve">tion at the site of injury, initiating the clotting process. When an ulcer causes significant bleeding, either overt or occult, the bone marrow may release more platelets into the bloodstream to help mitigate further blood loss (Ali </w:t>
      </w:r>
      <w:r>
        <w:rPr>
          <w:rFonts w:eastAsia="Times New Roman"/>
          <w:i/>
          <w:iCs/>
          <w:color w:val="000000"/>
          <w:sz w:val="24"/>
          <w:szCs w:val="26"/>
        </w:rPr>
        <w:t>et al</w:t>
      </w:r>
      <w:r>
        <w:rPr>
          <w:rFonts w:eastAsia="Times New Roman"/>
          <w:color w:val="000000"/>
          <w:sz w:val="24"/>
          <w:szCs w:val="26"/>
        </w:rPr>
        <w:t xml:space="preserve">., 2018).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2.11 To</w:t>
      </w:r>
      <w:r>
        <w:rPr>
          <w:b/>
          <w:bCs/>
          <w:color w:val="000000"/>
          <w:szCs w:val="26"/>
        </w:rPr>
        <w:t xml:space="preserve">tal protein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Total protein refers to the combined levels of all proteins found in blood plasma, which are vital for cellular structure, enzyme activity, and immune function. In the </w:t>
      </w:r>
      <w:r>
        <w:rPr>
          <w:rFonts w:eastAsia="Times New Roman"/>
          <w:color w:val="000000"/>
          <w:sz w:val="24"/>
          <w:szCs w:val="26"/>
        </w:rPr>
        <w:lastRenderedPageBreak/>
        <w:t>context of liver function, total protein levels are a critical reflection o</w:t>
      </w:r>
      <w:r>
        <w:rPr>
          <w:rFonts w:eastAsia="Times New Roman"/>
          <w:color w:val="000000"/>
          <w:sz w:val="24"/>
          <w:szCs w:val="26"/>
        </w:rPr>
        <w:t>f the liver’s synthetic capacity, as the liver is primarily responsible for producing most of the proteins found in the bloodstream, including albumin and globulins. A decrease in total protein levels can indicate liver damage, impaired synthesis, or malnu</w:t>
      </w:r>
      <w:r>
        <w:rPr>
          <w:rFonts w:eastAsia="Times New Roman"/>
          <w:color w:val="000000"/>
          <w:sz w:val="24"/>
          <w:szCs w:val="26"/>
        </w:rPr>
        <w:t xml:space="preserve">trition (Liverani </w:t>
      </w:r>
      <w:r>
        <w:rPr>
          <w:rFonts w:eastAsia="Times New Roman"/>
          <w:i/>
          <w:iCs/>
          <w:color w:val="000000"/>
          <w:sz w:val="24"/>
          <w:szCs w:val="26"/>
        </w:rPr>
        <w:t>et al</w:t>
      </w:r>
      <w:r>
        <w:rPr>
          <w:rFonts w:eastAsia="Times New Roman"/>
          <w:color w:val="000000"/>
          <w:sz w:val="24"/>
          <w:szCs w:val="26"/>
        </w:rPr>
        <w:t xml:space="preserve">., 2020). The gastroprotective and antioxidant properties of plants like </w:t>
      </w:r>
      <w:r>
        <w:rPr>
          <w:rFonts w:eastAsia="Times New Roman"/>
          <w:i/>
          <w:iCs/>
          <w:color w:val="000000"/>
          <w:sz w:val="24"/>
          <w:szCs w:val="26"/>
        </w:rPr>
        <w:t>Sida acuta</w:t>
      </w:r>
      <w:r>
        <w:rPr>
          <w:rFonts w:eastAsia="Times New Roman"/>
          <w:color w:val="000000"/>
          <w:sz w:val="24"/>
          <w:szCs w:val="26"/>
        </w:rPr>
        <w:t xml:space="preserve"> can help stabilize protein levels by reducing liver damage. Studies have shown that </w:t>
      </w:r>
      <w:r>
        <w:rPr>
          <w:rFonts w:eastAsia="Times New Roman"/>
          <w:i/>
          <w:iCs/>
          <w:color w:val="000000"/>
          <w:sz w:val="24"/>
          <w:szCs w:val="26"/>
        </w:rPr>
        <w:t>Sida acuta</w:t>
      </w:r>
      <w:r>
        <w:rPr>
          <w:rFonts w:eastAsia="Times New Roman"/>
          <w:color w:val="000000"/>
          <w:sz w:val="24"/>
          <w:szCs w:val="26"/>
        </w:rPr>
        <w:t xml:space="preserve"> extracts may increase serum total protein levels in li</w:t>
      </w:r>
      <w:r>
        <w:rPr>
          <w:rFonts w:eastAsia="Times New Roman"/>
          <w:color w:val="000000"/>
          <w:sz w:val="24"/>
          <w:szCs w:val="26"/>
        </w:rPr>
        <w:t xml:space="preserve">ver-damaged animal models, indicating its protective effect on liver function (Sharma </w:t>
      </w:r>
      <w:r>
        <w:rPr>
          <w:rFonts w:eastAsia="Times New Roman"/>
          <w:i/>
          <w:iCs/>
          <w:color w:val="000000"/>
          <w:sz w:val="24"/>
          <w:szCs w:val="26"/>
        </w:rPr>
        <w:t>et al</w:t>
      </w:r>
      <w:r>
        <w:rPr>
          <w:rFonts w:eastAsia="Times New Roman"/>
          <w:color w:val="000000"/>
          <w:sz w:val="24"/>
          <w:szCs w:val="26"/>
        </w:rPr>
        <w:t>., 2020).</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2.11.1 Liver function indices </w:t>
      </w:r>
    </w:p>
    <w:p w:rsidR="005F01BE" w:rsidRDefault="003E2C3A">
      <w:pPr>
        <w:spacing w:after="0" w:line="480" w:lineRule="auto"/>
        <w:ind w:firstLine="360"/>
        <w:jc w:val="both"/>
        <w:rPr>
          <w:rFonts w:eastAsia="Times New Roman"/>
          <w:color w:val="000000"/>
          <w:sz w:val="24"/>
          <w:szCs w:val="26"/>
        </w:rPr>
      </w:pPr>
      <w:r>
        <w:rPr>
          <w:rFonts w:eastAsia="Times New Roman"/>
          <w:color w:val="000000"/>
          <w:sz w:val="24"/>
          <w:szCs w:val="26"/>
        </w:rPr>
        <w:t>Liver function indices are a set of blood tests that assess the health and functionality of the liver. These tests measure t</w:t>
      </w:r>
      <w:r>
        <w:rPr>
          <w:rFonts w:eastAsia="Times New Roman"/>
          <w:color w:val="000000"/>
          <w:sz w:val="24"/>
          <w:szCs w:val="26"/>
        </w:rPr>
        <w:t>he levels of enzymes and proteins produced by the liver, which are released into the bloodstream during liver damage or disease. Some of the key liver function indices include:</w:t>
      </w:r>
    </w:p>
    <w:p w:rsidR="005F01BE" w:rsidRDefault="003E2C3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 xml:space="preserve">Alanine aminotransferase (ALT): An enzyme primarily found in the liver. </w:t>
      </w:r>
      <w:r>
        <w:rPr>
          <w:rFonts w:eastAsia="Times New Roman"/>
          <w:color w:val="000000"/>
          <w:sz w:val="24"/>
          <w:szCs w:val="26"/>
        </w:rPr>
        <w:t>Elevated ALT levels often indicate liver cell damage.</w:t>
      </w:r>
    </w:p>
    <w:p w:rsidR="005F01BE" w:rsidRDefault="003E2C3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Aspartate aminotransferase (AST): Another enzyme found in the liver, elevated levels suggest liver injury or muscle damage.</w:t>
      </w:r>
    </w:p>
    <w:p w:rsidR="005F01BE" w:rsidRDefault="003E2C3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Alkaline phosphatase (ALP): An enzyme related to bile ducts and liver. Increas</w:t>
      </w:r>
      <w:r>
        <w:rPr>
          <w:rFonts w:eastAsia="Times New Roman"/>
          <w:color w:val="000000"/>
          <w:sz w:val="24"/>
          <w:szCs w:val="26"/>
        </w:rPr>
        <w:t>ed levels may point to cholestasis or liver disease.</w:t>
      </w:r>
    </w:p>
    <w:p w:rsidR="005F01BE" w:rsidRDefault="003E2C3A">
      <w:pPr>
        <w:numPr>
          <w:ilvl w:val="0"/>
          <w:numId w:val="11"/>
        </w:numPr>
        <w:spacing w:after="0" w:line="480" w:lineRule="auto"/>
        <w:jc w:val="both"/>
        <w:rPr>
          <w:rFonts w:eastAsia="Times New Roman"/>
          <w:color w:val="000000"/>
          <w:sz w:val="24"/>
          <w:szCs w:val="26"/>
        </w:rPr>
      </w:pPr>
      <w:r>
        <w:rPr>
          <w:rFonts w:eastAsia="Times New Roman"/>
          <w:color w:val="000000"/>
          <w:sz w:val="24"/>
          <w:szCs w:val="26"/>
        </w:rPr>
        <w:lastRenderedPageBreak/>
        <w:t>Total Bilirubin: The liver processes bilirubin, a breakdown product of red blood cells. Elevated bilirubin levels can indicate liver dysfunction or bile duct obstruction.</w:t>
      </w:r>
    </w:p>
    <w:p w:rsidR="005F01BE" w:rsidRDefault="003E2C3A">
      <w:pPr>
        <w:numPr>
          <w:ilvl w:val="0"/>
          <w:numId w:val="11"/>
        </w:numPr>
        <w:spacing w:after="0" w:line="480" w:lineRule="auto"/>
        <w:jc w:val="both"/>
        <w:rPr>
          <w:rFonts w:eastAsia="Times New Roman"/>
          <w:color w:val="000000"/>
          <w:sz w:val="24"/>
          <w:szCs w:val="26"/>
        </w:rPr>
      </w:pPr>
      <w:r>
        <w:rPr>
          <w:rFonts w:eastAsia="Times New Roman"/>
          <w:color w:val="000000"/>
          <w:sz w:val="24"/>
          <w:szCs w:val="26"/>
        </w:rPr>
        <w:t>Albumin: A protein produced by t</w:t>
      </w:r>
      <w:r>
        <w:rPr>
          <w:rFonts w:eastAsia="Times New Roman"/>
          <w:color w:val="000000"/>
          <w:sz w:val="24"/>
          <w:szCs w:val="26"/>
        </w:rPr>
        <w:t>he liver, often used as a marker of liver function. Low albumin levels may indicate chronic liver disease.</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2.11.2 Alanine amino transferase </w:t>
      </w:r>
    </w:p>
    <w:p w:rsidR="005F01BE" w:rsidRDefault="003E2C3A">
      <w:pPr>
        <w:pStyle w:val="NormalWeb"/>
        <w:spacing w:before="0" w:beforeAutospacing="0" w:after="0" w:afterAutospacing="0" w:line="480" w:lineRule="auto"/>
        <w:ind w:firstLine="480"/>
        <w:jc w:val="both"/>
        <w:rPr>
          <w:color w:val="000000"/>
          <w:szCs w:val="26"/>
          <w:shd w:val="clear" w:color="auto" w:fill="FFFFFF"/>
        </w:rPr>
      </w:pPr>
      <w:r>
        <w:rPr>
          <w:color w:val="000000"/>
          <w:szCs w:val="26"/>
          <w:shd w:val="clear" w:color="auto" w:fill="FFFFFF"/>
        </w:rPr>
        <w:t>Aminotransferases (also called transaminases) are ubiquitous pyridoxal-5’-phosphate-dependent enzymes that catalyze</w:t>
      </w:r>
      <w:r>
        <w:rPr>
          <w:color w:val="000000"/>
          <w:szCs w:val="26"/>
          <w:shd w:val="clear" w:color="auto" w:fill="FFFFFF"/>
        </w:rPr>
        <w:t xml:space="preserve"> reversible transfer of amino group from amino acids to α-keto acids. These enzymes play a key role in the metabolism of amino acids in all species (Ndrepepa, 2021).</w:t>
      </w:r>
    </w:p>
    <w:p w:rsidR="005F01BE" w:rsidRDefault="003E2C3A">
      <w:pPr>
        <w:shd w:val="clear" w:color="auto" w:fill="FFFFFF"/>
        <w:spacing w:after="0" w:line="480" w:lineRule="auto"/>
        <w:ind w:firstLine="480"/>
        <w:jc w:val="both"/>
        <w:rPr>
          <w:b/>
          <w:bCs/>
          <w:color w:val="000000"/>
          <w:sz w:val="24"/>
          <w:szCs w:val="26"/>
        </w:rPr>
      </w:pPr>
      <w:r>
        <w:rPr>
          <w:color w:val="000000"/>
          <w:sz w:val="24"/>
          <w:szCs w:val="26"/>
        </w:rPr>
        <w:t>Aspartate aminotransferase (AST, EC 2.6.1.1) and alanine aminotransferase (ALT, EC 2.6.1.2</w:t>
      </w:r>
      <w:r>
        <w:rPr>
          <w:color w:val="000000"/>
          <w:sz w:val="24"/>
          <w:szCs w:val="26"/>
        </w:rPr>
        <w:t>) are enzymes found mainly in the liver, but also found in red blood cells, heart cells, muscle tissue and other organs, such as the pancreas and kidneys (</w:t>
      </w:r>
      <w:r>
        <w:rPr>
          <w:color w:val="000000"/>
          <w:sz w:val="24"/>
          <w:szCs w:val="26"/>
          <w:shd w:val="clear" w:color="auto" w:fill="FFFFFF"/>
        </w:rPr>
        <w:t xml:space="preserve">Mayer </w:t>
      </w:r>
      <w:r>
        <w:rPr>
          <w:i/>
          <w:iCs/>
          <w:color w:val="000000"/>
          <w:sz w:val="24"/>
          <w:szCs w:val="26"/>
          <w:shd w:val="clear" w:color="auto" w:fill="FFFFFF"/>
        </w:rPr>
        <w:t>et al</w:t>
      </w:r>
      <w:r>
        <w:rPr>
          <w:color w:val="000000"/>
          <w:sz w:val="24"/>
          <w:szCs w:val="26"/>
          <w:shd w:val="clear" w:color="auto" w:fill="FFFFFF"/>
        </w:rPr>
        <w:t>., 2005)</w:t>
      </w:r>
      <w:r>
        <w:rPr>
          <w:color w:val="000000"/>
          <w:sz w:val="24"/>
          <w:szCs w:val="26"/>
        </w:rPr>
        <w:t xml:space="preserve">. AST and ALT formerly are called serum glutamic oxaloacetic transaminase (GOT) </w:t>
      </w:r>
      <w:r>
        <w:rPr>
          <w:color w:val="000000"/>
          <w:sz w:val="24"/>
          <w:szCs w:val="26"/>
        </w:rPr>
        <w:t>and serum glutamic pyruvic transaminase (GPT), respectively. AST or ALT levels are a valuable aid primarily in the diagnosis of liver disease. Although not specific for liver disease, it can be used in combination with other enzymes to monitor the course o</w:t>
      </w:r>
      <w:r>
        <w:rPr>
          <w:color w:val="000000"/>
          <w:sz w:val="24"/>
          <w:szCs w:val="26"/>
        </w:rPr>
        <w:t>f various liver disorders</w:t>
      </w:r>
      <w:r>
        <w:rPr>
          <w:color w:val="000000"/>
          <w:sz w:val="24"/>
          <w:szCs w:val="26"/>
          <w:shd w:val="clear" w:color="auto" w:fill="FFFFFF"/>
        </w:rPr>
        <w:t xml:space="preserve"> (Schumann </w:t>
      </w:r>
      <w:r>
        <w:rPr>
          <w:i/>
          <w:iCs/>
          <w:color w:val="000000"/>
          <w:sz w:val="24"/>
          <w:szCs w:val="26"/>
          <w:shd w:val="clear" w:color="auto" w:fill="FFFFFF"/>
        </w:rPr>
        <w:t>et al</w:t>
      </w:r>
      <w:r>
        <w:rPr>
          <w:color w:val="000000"/>
          <w:sz w:val="24"/>
          <w:szCs w:val="26"/>
          <w:shd w:val="clear" w:color="auto" w:fill="FFFFFF"/>
        </w:rPr>
        <w:t>., 2003)</w:t>
      </w:r>
      <w:r>
        <w:rPr>
          <w:color w:val="000000"/>
          <w:sz w:val="24"/>
          <w:szCs w:val="26"/>
        </w:rPr>
        <w:t>.</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2.11.3 Aspartate amino transferase </w:t>
      </w:r>
    </w:p>
    <w:p w:rsidR="005F01BE" w:rsidRDefault="003E2C3A">
      <w:pPr>
        <w:pStyle w:val="NormalWeb"/>
        <w:spacing w:before="0" w:beforeAutospacing="0" w:after="0" w:afterAutospacing="0" w:line="480" w:lineRule="auto"/>
        <w:ind w:firstLine="720"/>
        <w:jc w:val="both"/>
        <w:rPr>
          <w:b/>
          <w:bCs/>
          <w:color w:val="000000"/>
          <w:szCs w:val="26"/>
        </w:rPr>
      </w:pPr>
      <w:r>
        <w:rPr>
          <w:color w:val="000000"/>
          <w:szCs w:val="26"/>
          <w:shd w:val="clear" w:color="auto" w:fill="FFFFFF"/>
        </w:rPr>
        <w:t xml:space="preserve">In humans, AST exists as two genetically and immunologically distinct isoenzymes: cytoplasmic AST (cAST or GOT1) and mitochondrial AST (mAST or </w:t>
      </w:r>
      <w:r>
        <w:rPr>
          <w:color w:val="000000"/>
          <w:szCs w:val="26"/>
          <w:shd w:val="clear" w:color="auto" w:fill="FFFFFF"/>
        </w:rPr>
        <w:lastRenderedPageBreak/>
        <w:t>GOT2). Both isoenzymes ca</w:t>
      </w:r>
      <w:r>
        <w:rPr>
          <w:color w:val="000000"/>
          <w:szCs w:val="26"/>
          <w:shd w:val="clear" w:color="auto" w:fill="FFFFFF"/>
        </w:rPr>
        <w:t>talyze the same reaction albeit with different kinetics, share a sequence homology of ~45% and are thought to have evolved from a common ancestral gene (via gene duplication). The enzyme consists of two identical dimers where each dimer consists of a large</w:t>
      </w:r>
      <w:r>
        <w:rPr>
          <w:color w:val="000000"/>
          <w:szCs w:val="26"/>
          <w:shd w:val="clear" w:color="auto" w:fill="FFFFFF"/>
        </w:rPr>
        <w:t xml:space="preserve"> and a small domain (McGill, 2016). Each monomer of cytoplasmic AST represents a polypeptide chain of 413 amino acid residues with a secondary structure consisting of α-helices and β-strands and a molecular weight of approximately 45 kD. Each dimer has an </w:t>
      </w:r>
      <w:r>
        <w:rPr>
          <w:color w:val="000000"/>
          <w:szCs w:val="26"/>
          <w:shd w:val="clear" w:color="auto" w:fill="FFFFFF"/>
        </w:rPr>
        <w:t>identical binding site for pyridoxal-5'-phosphate which is located in the dimer interface. Pyridoxal-5'-phosphate is stabilized by a number of surrounding amino acid residues (Ndrepepa, 2021).</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2.11.4 Alkaline phosphatase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Alkaline phosphatases [ALP; orthop</w:t>
      </w:r>
      <w:r>
        <w:rPr>
          <w:color w:val="000000"/>
          <w:szCs w:val="26"/>
        </w:rPr>
        <w:t xml:space="preserve">hosphoric monoester phosphohydrolase (alkaline optimum) EC 3.1.3.1] are plasma membrane-bound glycoproteins (Tsai </w:t>
      </w:r>
      <w:r>
        <w:rPr>
          <w:i/>
          <w:iCs/>
          <w:color w:val="000000"/>
          <w:szCs w:val="26"/>
        </w:rPr>
        <w:t>et al</w:t>
      </w:r>
      <w:r>
        <w:rPr>
          <w:color w:val="000000"/>
          <w:szCs w:val="26"/>
        </w:rPr>
        <w:t xml:space="preserve">., 2000). These enzymes are widely distributed in nature, including prokaryotes and higher eukaryotes (Sadeghirishi </w:t>
      </w:r>
      <w:r>
        <w:rPr>
          <w:i/>
          <w:iCs/>
          <w:color w:val="000000"/>
          <w:szCs w:val="26"/>
        </w:rPr>
        <w:t>et al</w:t>
      </w:r>
      <w:r>
        <w:rPr>
          <w:color w:val="000000"/>
          <w:szCs w:val="26"/>
        </w:rPr>
        <w:t>., 2007), with t</w:t>
      </w:r>
      <w:r>
        <w:rPr>
          <w:color w:val="000000"/>
          <w:szCs w:val="26"/>
        </w:rPr>
        <w:t xml:space="preserve">he exception of some higher plants. Alkaline phosphatase forms a large family of dimeric enzymes, usually confined to the cell surface hydrolyzes various monophosphate esters at a high pH optimum with release of inorganic phosphate (Mornet </w:t>
      </w:r>
      <w:r>
        <w:rPr>
          <w:i/>
          <w:iCs/>
          <w:color w:val="000000"/>
          <w:szCs w:val="26"/>
        </w:rPr>
        <w:t>et al</w:t>
      </w:r>
      <w:r>
        <w:rPr>
          <w:color w:val="000000"/>
          <w:szCs w:val="26"/>
        </w:rPr>
        <w:t>., 2001). M</w:t>
      </w:r>
      <w:r>
        <w:rPr>
          <w:color w:val="000000"/>
          <w:szCs w:val="26"/>
        </w:rPr>
        <w:t xml:space="preserve">ammalian alkaline phosphatases (ALPs) are zinccontaining metalloenzymes encoded by a multigene family and function as dimeric molecules (Sharma </w:t>
      </w:r>
      <w:r>
        <w:rPr>
          <w:i/>
          <w:iCs/>
          <w:color w:val="000000"/>
          <w:szCs w:val="26"/>
        </w:rPr>
        <w:t>et al</w:t>
      </w:r>
      <w:r>
        <w:rPr>
          <w:color w:val="000000"/>
          <w:szCs w:val="26"/>
        </w:rPr>
        <w:t>., 2012).</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Alkaline phosphatase (ALP) is an ubiquitous membrane-bound glycoprotein that catalyzes the hydrol</w:t>
      </w:r>
      <w:r>
        <w:rPr>
          <w:color w:val="000000"/>
          <w:szCs w:val="26"/>
        </w:rPr>
        <w:t xml:space="preserve">ysis of phosphate monoesters at basic pH values. Alkaline </w:t>
      </w:r>
      <w:r>
        <w:rPr>
          <w:color w:val="000000"/>
          <w:szCs w:val="26"/>
        </w:rPr>
        <w:lastRenderedPageBreak/>
        <w:t>phosphatase is divided into four isozymes depending upon the site of tissue expression that are Intestinal ALP, Placental ALP, Germ cell ALP and tissue nonspecific alkaline phosphatase or liver/bone</w:t>
      </w:r>
      <w:r>
        <w:rPr>
          <w:color w:val="000000"/>
          <w:szCs w:val="26"/>
        </w:rPr>
        <w:t>/kidney (L/B/K) ALP. The intestinal and placental ALP loci are located near the end of long arm of chromosome 2 and L/B/K ALP is located near the end of the short arm of chromosome 1 (</w:t>
      </w:r>
      <w:r>
        <w:rPr>
          <w:color w:val="000000"/>
          <w:szCs w:val="26"/>
          <w:shd w:val="clear" w:color="auto" w:fill="FFFFFF"/>
        </w:rPr>
        <w:t xml:space="preserve">Sharma </w:t>
      </w:r>
      <w:r>
        <w:rPr>
          <w:i/>
          <w:iCs/>
          <w:color w:val="000000"/>
          <w:szCs w:val="26"/>
          <w:shd w:val="clear" w:color="auto" w:fill="FFFFFF"/>
        </w:rPr>
        <w:t>et al</w:t>
      </w:r>
      <w:r>
        <w:rPr>
          <w:color w:val="000000"/>
          <w:szCs w:val="26"/>
          <w:shd w:val="clear" w:color="auto" w:fill="FFFFFF"/>
        </w:rPr>
        <w:t>., 2014</w:t>
      </w:r>
      <w:r>
        <w:rPr>
          <w:color w:val="000000"/>
          <w:szCs w:val="26"/>
        </w:rPr>
        <w:t>)</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2.11.5 Albumin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Albumin (ALB) is a multifunctional </w:t>
      </w:r>
      <w:r>
        <w:rPr>
          <w:color w:val="000000"/>
          <w:szCs w:val="26"/>
        </w:rPr>
        <w:t xml:space="preserve">protein, which demonstrates numerous physiological functions. The primary role of ALB is to regulate osmotic pressure and distribute fluids between different body compartments. It also takes part in transporting bile pigments, cholesterol, fatty acids and </w:t>
      </w:r>
      <w:r>
        <w:rPr>
          <w:color w:val="000000"/>
          <w:szCs w:val="26"/>
        </w:rPr>
        <w:t>drugs. The latest research shows that plasma ALB is the major extracellular antioxidant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 xml:space="preserve">). Human ALB is composed of 585 amino acids. It shows affinity to bind many types of molecules and ions. Free ferrous and cupric ions are catalyst </w:t>
      </w:r>
      <w:r>
        <w:rPr>
          <w:color w:val="000000"/>
          <w:szCs w:val="26"/>
        </w:rPr>
        <w:t xml:space="preserve">in the Fenton reaction, in which hydroxyl radicals are generated (Plantier </w:t>
      </w:r>
      <w:r>
        <w:rPr>
          <w:i/>
          <w:iCs/>
          <w:color w:val="000000"/>
          <w:szCs w:val="26"/>
        </w:rPr>
        <w:t>et al</w:t>
      </w:r>
      <w:r>
        <w:rPr>
          <w:color w:val="000000"/>
          <w:szCs w:val="26"/>
        </w:rPr>
        <w:t xml:space="preserve">., 2016).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The antioxidant properties of albumin derive also from its indirect effect, associated with binding of bilirubin and unsaturated fatty acids, which prevents oxidatio</w:t>
      </w:r>
      <w:r>
        <w:rPr>
          <w:color w:val="000000"/>
          <w:szCs w:val="26"/>
        </w:rPr>
        <w:t xml:space="preserve">n of these compounds (Roche </w:t>
      </w:r>
      <w:r>
        <w:rPr>
          <w:i/>
          <w:iCs/>
          <w:color w:val="000000"/>
          <w:szCs w:val="26"/>
        </w:rPr>
        <w:t>et al</w:t>
      </w:r>
      <w:r>
        <w:rPr>
          <w:color w:val="000000"/>
          <w:szCs w:val="26"/>
        </w:rPr>
        <w:t>., 2008). The antioxidative function of albumin results from its free radical-trapping capacities and various ligand-binding properties. Both functions are closely related to the ALB structure (</w:t>
      </w:r>
      <w:r>
        <w:rPr>
          <w:color w:val="000000"/>
          <w:szCs w:val="26"/>
          <w:shd w:val="clear" w:color="auto" w:fill="FFFFFF"/>
        </w:rPr>
        <w:t xml:space="preserve">Taverna </w:t>
      </w:r>
      <w:r>
        <w:rPr>
          <w:i/>
          <w:iCs/>
          <w:color w:val="000000"/>
          <w:szCs w:val="26"/>
          <w:shd w:val="clear" w:color="auto" w:fill="FFFFFF"/>
        </w:rPr>
        <w:t>et al</w:t>
      </w:r>
      <w:r>
        <w:rPr>
          <w:color w:val="000000"/>
          <w:szCs w:val="26"/>
          <w:shd w:val="clear" w:color="auto" w:fill="FFFFFF"/>
        </w:rPr>
        <w:t>., 2013</w:t>
      </w:r>
      <w:r>
        <w:rPr>
          <w:color w:val="000000"/>
          <w:szCs w:val="26"/>
        </w:rPr>
        <w:t>).</w:t>
      </w: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2.11</w:t>
      </w:r>
      <w:r>
        <w:rPr>
          <w:b/>
          <w:bCs/>
          <w:color w:val="000000"/>
          <w:szCs w:val="26"/>
        </w:rPr>
        <w:t xml:space="preserve">.6 Bilirubin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Bilirubin (BIL) is a degradation product of hemoglobin and other heme proteins by the mononuclear phagocyte system. After the dissolution of erythrocytes, the heme residue of hemoglobin is enzymatically decomposed to biliverdin by heme oxygenase (HO), and </w:t>
      </w:r>
      <w:r>
        <w:rPr>
          <w:color w:val="000000"/>
          <w:szCs w:val="26"/>
        </w:rPr>
        <w:t xml:space="preserve">subsequently biliverdin is reduced to BIL by biliverdin reductase (BVR). This process is reversible and the oxidation of BIL results in the formation of biliverdin. Indirect (unconjugated) BIL (uBIL) circulates in plasma bound to albumin, from where it is </w:t>
      </w:r>
      <w:r>
        <w:rPr>
          <w:color w:val="000000"/>
          <w:szCs w:val="26"/>
        </w:rPr>
        <w:t>taken up by the liver. In the liver, uBIL is conjugated with glucuronic acid and in this form, it is excreted in bile into the intestine. In some diseases of the liver, the excretion of bile is obstructed and the level of bilirubin in the blood increases (</w:t>
      </w:r>
      <w:r>
        <w:rPr>
          <w:color w:val="000000"/>
          <w:szCs w:val="26"/>
        </w:rPr>
        <w:t xml:space="preserve">Bhutani </w:t>
      </w:r>
      <w:r>
        <w:rPr>
          <w:i/>
          <w:iCs/>
          <w:color w:val="000000"/>
          <w:szCs w:val="26"/>
        </w:rPr>
        <w:t>et al</w:t>
      </w:r>
      <w:r>
        <w:rPr>
          <w:color w:val="000000"/>
          <w:szCs w:val="26"/>
        </w:rPr>
        <w:t xml:space="preserve">., 2016), </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 Antioxidant and lipid peroxidation parameters </w:t>
      </w:r>
    </w:p>
    <w:p w:rsidR="005F01BE" w:rsidRDefault="003E2C3A">
      <w:pPr>
        <w:autoSpaceDE w:val="0"/>
        <w:autoSpaceDN w:val="0"/>
        <w:adjustRightInd w:val="0"/>
        <w:spacing w:after="0" w:line="480" w:lineRule="auto"/>
        <w:ind w:firstLine="720"/>
        <w:jc w:val="both"/>
        <w:rPr>
          <w:color w:val="000000"/>
          <w:sz w:val="24"/>
          <w:szCs w:val="26"/>
        </w:rPr>
      </w:pPr>
      <w:r>
        <w:rPr>
          <w:color w:val="000000"/>
          <w:sz w:val="24"/>
          <w:szCs w:val="26"/>
        </w:rPr>
        <w:t>Antioxidants are a very heterogeneous class of compounds, small molecules and enzymes that share the task of protecting oxidizable molecules or materials from oxidative transformat</w:t>
      </w:r>
      <w:r>
        <w:rPr>
          <w:color w:val="000000"/>
          <w:sz w:val="24"/>
          <w:szCs w:val="26"/>
        </w:rPr>
        <w:t xml:space="preserve">ion. In the biological context, the reference oxidative process is lipid peroxidation (LP); therefore, antioxidants are typically defined and discussed on the basis of their ability to prevent, slow down or block LP (Valgimigli </w:t>
      </w:r>
      <w:r>
        <w:rPr>
          <w:i/>
          <w:iCs/>
          <w:color w:val="000000"/>
          <w:sz w:val="24"/>
          <w:szCs w:val="26"/>
        </w:rPr>
        <w:t>et al</w:t>
      </w:r>
      <w:r>
        <w:rPr>
          <w:color w:val="000000"/>
          <w:sz w:val="24"/>
          <w:szCs w:val="26"/>
        </w:rPr>
        <w:t>., 2012). Based on wher</w:t>
      </w:r>
      <w:r>
        <w:rPr>
          <w:color w:val="000000"/>
          <w:sz w:val="24"/>
          <w:szCs w:val="26"/>
        </w:rPr>
        <w:t>e and how they interfere with the LP radical chain, antioxidants are classified as preventive, if they impair the initiation process, and chain-breaking if they block or slow down the propagation, while a new category, the termination-enhancing antioxidant</w:t>
      </w:r>
      <w:r>
        <w:rPr>
          <w:color w:val="000000"/>
          <w:sz w:val="24"/>
          <w:szCs w:val="26"/>
        </w:rPr>
        <w:t xml:space="preserve">s, was recently introduced by our group, to include those molecules, such as some terpenes and </w:t>
      </w:r>
      <w:r>
        <w:rPr>
          <w:color w:val="000000"/>
          <w:sz w:val="24"/>
          <w:szCs w:val="26"/>
        </w:rPr>
        <w:lastRenderedPageBreak/>
        <w:t>terpenoids from essential oils, which act by favoring the radical-chain termination without actually impairing propagation (Amorati and Valgimigli, 2018).</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2.12.1</w:t>
      </w:r>
      <w:r>
        <w:rPr>
          <w:b/>
          <w:bCs/>
          <w:color w:val="000000"/>
          <w:szCs w:val="26"/>
        </w:rPr>
        <w:t xml:space="preserve"> Superoxide dismutase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Superoxide dismutase (SOD) is among the most potent antioxidants known in nature and is an important constituent of cellular defense against oxidative stress. The enzyme shows several interesting properties like very high catalytic r</w:t>
      </w:r>
      <w:r>
        <w:rPr>
          <w:color w:val="000000"/>
          <w:szCs w:val="26"/>
        </w:rPr>
        <w:t xml:space="preserve">ate of reaction and high stability to physiochemical stress. It has also attracted widespread interest due to its therapeutic potential. Oxidative stress is known to be involved in pathophysiology of several diseases and SOD supplementation has been shown </w:t>
      </w:r>
      <w:r>
        <w:rPr>
          <w:color w:val="000000"/>
          <w:szCs w:val="26"/>
        </w:rPr>
        <w:t>to be beneficial in treatment or prevention of such diseases (</w:t>
      </w:r>
      <w:r>
        <w:rPr>
          <w:color w:val="000000"/>
          <w:szCs w:val="26"/>
          <w:shd w:val="clear" w:color="auto" w:fill="FFFFFF"/>
        </w:rPr>
        <w:t xml:space="preserve">Bafana </w:t>
      </w:r>
      <w:r>
        <w:rPr>
          <w:i/>
          <w:iCs/>
          <w:color w:val="000000"/>
          <w:szCs w:val="26"/>
          <w:shd w:val="clear" w:color="auto" w:fill="FFFFFF"/>
        </w:rPr>
        <w:t>et al</w:t>
      </w:r>
      <w:r>
        <w:rPr>
          <w:color w:val="000000"/>
          <w:szCs w:val="26"/>
          <w:shd w:val="clear" w:color="auto" w:fill="FFFFFF"/>
        </w:rPr>
        <w:t>., 2011)</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SOD is ubiquitous to all forms of life. Four different types of metal centers have been detected in SOD, dividing this family into Cu,Zn-, Fe-, Mn- and Ni-SODs. The evolutio</w:t>
      </w:r>
      <w:r>
        <w:rPr>
          <w:color w:val="000000"/>
          <w:szCs w:val="26"/>
        </w:rPr>
        <w:t>n of SOD and other antioxidant enzymes was probably triggered by production of O2 by photosynthetic organisms about 2 billion years ago. Two major kinds of SOD appeared independently in prokaryotes at that time, Cu,Zn SODs and Fe SODs/Mn SODs. Fe/Mn SODs t</w:t>
      </w:r>
      <w:r>
        <w:rPr>
          <w:color w:val="000000"/>
          <w:szCs w:val="26"/>
        </w:rPr>
        <w:t xml:space="preserve">hen evolved into Fe and Mn SODs by gene duplication. This may be the reason why Fe and Mn SODs are closely related with regard to three-dimensional structure and amino acid sequence. However, their crystal structures and catalytic mechanism are completely </w:t>
      </w:r>
      <w:r>
        <w:rPr>
          <w:color w:val="000000"/>
          <w:szCs w:val="26"/>
        </w:rPr>
        <w:t xml:space="preserve">different as compared to Cu, Zn SOD, supporting the hypothesis of independent evolution (Shin </w:t>
      </w:r>
      <w:r>
        <w:rPr>
          <w:i/>
          <w:iCs/>
          <w:color w:val="000000"/>
          <w:szCs w:val="26"/>
        </w:rPr>
        <w:t>et al</w:t>
      </w:r>
      <w:r>
        <w:rPr>
          <w:color w:val="000000"/>
          <w:szCs w:val="26"/>
        </w:rPr>
        <w:t>., 2009).</w:t>
      </w: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 xml:space="preserve">2.12.2 Catalase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Catalase is a vital antioxidant enzyme present in nearly all aerobic organisms, where it plays a key role in cellular defense aga</w:t>
      </w:r>
      <w:r>
        <w:rPr>
          <w:rFonts w:eastAsia="Times New Roman"/>
          <w:color w:val="000000"/>
          <w:sz w:val="24"/>
          <w:szCs w:val="26"/>
        </w:rPr>
        <w:t>inst oxidative stress. Its primary function is to decompose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 reactive oxygen species (ROS), into water and molecular oxygen, thus preventing the accumulation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xml:space="preserve"> and subsequent oxidative damage (Chelikani, Fita, and Loewen, 2</w:t>
      </w:r>
      <w:r>
        <w:rPr>
          <w:rFonts w:eastAsia="Times New Roman"/>
          <w:color w:val="000000"/>
          <w:sz w:val="24"/>
          <w:szCs w:val="26"/>
        </w:rPr>
        <w:t>004). Hydrogen peroxide is produced as a by-product of various metabolic processes, and if not efficiently removed, it can participate in the Fenton reaction to generate hydroxyl radicals, which are highly reactive and capable of initiating lipid peroxidat</w:t>
      </w:r>
      <w:r>
        <w:rPr>
          <w:rFonts w:eastAsia="Times New Roman"/>
          <w:color w:val="000000"/>
          <w:sz w:val="24"/>
          <w:szCs w:val="26"/>
        </w:rPr>
        <w:t>ion (Halliwell and Gutteridge, 2015).</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Catalase plays a protective role by limiting the availability of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thereby reducing the potential for hydroxyl radical formation and subsequent lipid peroxidation. In tissues with high catalase activity, ROS are mo</w:t>
      </w:r>
      <w:r>
        <w:rPr>
          <w:rFonts w:eastAsia="Times New Roman"/>
          <w:color w:val="000000"/>
          <w:sz w:val="24"/>
          <w:szCs w:val="26"/>
        </w:rPr>
        <w:t xml:space="preserve">re effectively neutralized, resulting in lower levels of lipid peroxidation products. Conversely, a decrease in catalase activity can lead to elevated oxidative stress and increased lipid peroxidation, contributing to the pathogenesis of several diseases, </w:t>
      </w:r>
      <w:r>
        <w:rPr>
          <w:rFonts w:eastAsia="Times New Roman"/>
          <w:color w:val="000000"/>
          <w:sz w:val="24"/>
          <w:szCs w:val="26"/>
        </w:rPr>
        <w:t xml:space="preserve">including neurodegenerative disorders, cardiovascular diseases, diabetes, and cancer (Zhang </w:t>
      </w:r>
      <w:r>
        <w:rPr>
          <w:rFonts w:eastAsia="Times New Roman"/>
          <w:i/>
          <w:iCs/>
          <w:color w:val="000000"/>
          <w:sz w:val="24"/>
          <w:szCs w:val="26"/>
        </w:rPr>
        <w:t>et al</w:t>
      </w:r>
      <w:r>
        <w:rPr>
          <w:rFonts w:eastAsia="Times New Roman"/>
          <w:color w:val="000000"/>
          <w:sz w:val="24"/>
          <w:szCs w:val="26"/>
        </w:rPr>
        <w:t>., 2016).</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2.12.3 Glutathione transferase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 xml:space="preserve">Glutathione (GSH) is a low molecular weight compound composed of three amino acids: glycine, cysteine and glutamic acid. GSH is present in all plant and animal cells. In physiological conditions it is synthesized in many different tissues (Forman </w:t>
      </w:r>
      <w:r>
        <w:rPr>
          <w:i/>
          <w:iCs/>
          <w:color w:val="000000"/>
          <w:szCs w:val="26"/>
        </w:rPr>
        <w:t>et al</w:t>
      </w:r>
      <w:r>
        <w:rPr>
          <w:color w:val="000000"/>
          <w:szCs w:val="26"/>
        </w:rPr>
        <w:t>., 2</w:t>
      </w:r>
      <w:r>
        <w:rPr>
          <w:color w:val="000000"/>
          <w:szCs w:val="26"/>
        </w:rPr>
        <w:t xml:space="preserve">009), but the most intense GSH synthesis occurs in hepatocytes (Lu, 2013). </w:t>
      </w:r>
      <w:r>
        <w:rPr>
          <w:color w:val="000000"/>
          <w:szCs w:val="26"/>
        </w:rPr>
        <w:lastRenderedPageBreak/>
        <w:t>Glutathione in the human body is present in several redox forms, among which the most important are reduced glutathione (GSH) and oxidized glutathione (GSSG). Blood plasma, for exam</w:t>
      </w:r>
      <w:r>
        <w:rPr>
          <w:color w:val="000000"/>
          <w:szCs w:val="26"/>
        </w:rPr>
        <w:t xml:space="preserve">ple, contains only about 20mM of glutathione and the dominant form there is oxidized glutathione (GSSG) (Lushchak </w:t>
      </w:r>
      <w:r>
        <w:rPr>
          <w:i/>
          <w:iCs/>
          <w:color w:val="000000"/>
          <w:szCs w:val="26"/>
        </w:rPr>
        <w:t>et al</w:t>
      </w:r>
      <w:r>
        <w:rPr>
          <w:color w:val="000000"/>
          <w:szCs w:val="26"/>
        </w:rPr>
        <w:t xml:space="preserve">., 2012).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Glutathione transferases (GSTs) are a family of multifunctional enzymes that play a central role in cellular detoxification an</w:t>
      </w:r>
      <w:r>
        <w:rPr>
          <w:rFonts w:eastAsia="Times New Roman"/>
          <w:color w:val="000000"/>
          <w:sz w:val="24"/>
          <w:szCs w:val="26"/>
        </w:rPr>
        <w:t>d antioxidant defense. These enzymes catalyze the conjugation of reduced glutathione (GSH) to a wide range of electrophilic and hydrophobic compounds, including products of oxidative stress such as lipid peroxides, xenobiotics, and environmental toxins (Ha</w:t>
      </w:r>
      <w:r>
        <w:rPr>
          <w:rFonts w:eastAsia="Times New Roman"/>
          <w:color w:val="000000"/>
          <w:sz w:val="24"/>
          <w:szCs w:val="26"/>
        </w:rPr>
        <w:t xml:space="preserve">yes, Flanagan, and Jowsey, 2005). By facilitating the conjugation of GSH, GSTs help increase the solubility of toxic compounds, making them easier to excrete from the cell. This function is crucial for maintaining redox homeostasis and protecting cellular </w:t>
      </w:r>
      <w:r>
        <w:rPr>
          <w:rFonts w:eastAsia="Times New Roman"/>
          <w:color w:val="000000"/>
          <w:sz w:val="24"/>
          <w:szCs w:val="26"/>
        </w:rPr>
        <w:t>macromolecules from damage.</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GST activity is often used as a biomarker of oxidative stress and cellular response to toxic insult. Elevated or suppressed GST activity has been reported in various pathological conditions, including cancer, neurodegenerative d</w:t>
      </w:r>
      <w:r>
        <w:rPr>
          <w:rFonts w:eastAsia="Times New Roman"/>
          <w:color w:val="000000"/>
          <w:sz w:val="24"/>
          <w:szCs w:val="26"/>
        </w:rPr>
        <w:t>iseases, and cardiovascular disorders (Board and Menon, 2013). Moreover, polymorphisms in GST genes can affect individual susceptibility to environmental toxins and disease risk, highlighting their importance in toxicology and pharmacogenomics (Board and M</w:t>
      </w:r>
      <w:r>
        <w:rPr>
          <w:rFonts w:eastAsia="Times New Roman"/>
          <w:color w:val="000000"/>
          <w:sz w:val="24"/>
          <w:szCs w:val="26"/>
        </w:rPr>
        <w:t>enon, 2013).</w:t>
      </w: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5F01BE">
      <w:pPr>
        <w:pStyle w:val="NormalWeb"/>
        <w:spacing w:before="0" w:beforeAutospacing="0" w:after="0" w:afterAutospacing="0" w:line="480" w:lineRule="auto"/>
        <w:jc w:val="both"/>
        <w:rPr>
          <w:b/>
          <w:bCs/>
          <w:color w:val="000000"/>
          <w:szCs w:val="26"/>
        </w:rPr>
      </w:pP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lastRenderedPageBreak/>
        <w:t>2.12.4 Glutathione peroxidase</w:t>
      </w:r>
    </w:p>
    <w:p w:rsidR="005F01BE" w:rsidRDefault="003E2C3A">
      <w:pPr>
        <w:spacing w:after="0" w:line="480" w:lineRule="auto"/>
        <w:jc w:val="both"/>
        <w:rPr>
          <w:rFonts w:eastAsia="Times New Roman"/>
          <w:color w:val="000000"/>
          <w:sz w:val="24"/>
          <w:szCs w:val="26"/>
        </w:rPr>
      </w:pPr>
      <w:r>
        <w:rPr>
          <w:rFonts w:eastAsia="Times New Roman"/>
          <w:b/>
          <w:bCs/>
          <w:color w:val="000000"/>
          <w:sz w:val="24"/>
          <w:szCs w:val="26"/>
        </w:rPr>
        <w:t>Glutathione Peroxidase and Its Role in Antioxidant Defense</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Glutathione peroxidase (GPx) is a family of selenium-dependent antioxidant enzymes that play a critical role in protecting cells from oxidative damage.</w:t>
      </w:r>
      <w:r>
        <w:rPr>
          <w:rFonts w:eastAsia="Times New Roman"/>
          <w:color w:val="000000"/>
          <w:sz w:val="24"/>
          <w:szCs w:val="26"/>
        </w:rPr>
        <w:t xml:space="preserve"> These enzymes catalyze the reduction of hydrogen peroxide (H</w:t>
      </w:r>
      <w:r>
        <w:rPr>
          <w:rFonts w:ascii="Cambria Math" w:eastAsia="Times New Roman" w:hAnsi="Cambria Math" w:cs="Cambria Math"/>
          <w:color w:val="000000"/>
          <w:sz w:val="24"/>
          <w:szCs w:val="26"/>
        </w:rPr>
        <w:t>₂</w:t>
      </w:r>
      <w:r>
        <w:rPr>
          <w:rFonts w:eastAsia="Times New Roman"/>
          <w:color w:val="000000"/>
          <w:sz w:val="24"/>
          <w:szCs w:val="26"/>
        </w:rPr>
        <w:t>O</w:t>
      </w:r>
      <w:r>
        <w:rPr>
          <w:rFonts w:ascii="Cambria Math" w:eastAsia="Times New Roman" w:hAnsi="Cambria Math" w:cs="Cambria Math"/>
          <w:color w:val="000000"/>
          <w:sz w:val="24"/>
          <w:szCs w:val="26"/>
        </w:rPr>
        <w:t>₂</w:t>
      </w:r>
      <w:r>
        <w:rPr>
          <w:rFonts w:eastAsia="Times New Roman"/>
          <w:color w:val="000000"/>
          <w:sz w:val="24"/>
          <w:szCs w:val="26"/>
        </w:rPr>
        <w:t>) and organic hydroperoxides into water and corresponding alcohols using reduced glutathione (GSH) as a substrate, thereby preventing the formation of reactive oxygen species (ROS)-induced dam</w:t>
      </w:r>
      <w:r>
        <w:rPr>
          <w:rFonts w:eastAsia="Times New Roman"/>
          <w:color w:val="000000"/>
          <w:sz w:val="24"/>
          <w:szCs w:val="26"/>
        </w:rPr>
        <w:t xml:space="preserve">age (Brigelius-Flohé and Maiorino, 2013). The general reaction catalyzed by GPx is as follows: </w:t>
      </w:r>
      <w:r>
        <w:rPr>
          <w:rStyle w:val="mord"/>
          <w:color w:val="000000"/>
          <w:sz w:val="24"/>
          <w:szCs w:val="26"/>
        </w:rPr>
        <w:t>2GSH</w:t>
      </w:r>
      <w:r>
        <w:rPr>
          <w:rStyle w:val="mbin"/>
          <w:color w:val="000000"/>
          <w:sz w:val="24"/>
          <w:szCs w:val="26"/>
        </w:rPr>
        <w:t>+</w:t>
      </w:r>
      <w:r>
        <w:rPr>
          <w:rStyle w:val="mord"/>
          <w:color w:val="000000"/>
          <w:sz w:val="24"/>
          <w:szCs w:val="26"/>
        </w:rPr>
        <w:t>H</w:t>
      </w:r>
      <w:r>
        <w:rPr>
          <w:rStyle w:val="mord"/>
          <w:color w:val="000000"/>
          <w:sz w:val="24"/>
          <w:szCs w:val="26"/>
          <w:vertAlign w:val="subscript"/>
        </w:rPr>
        <w:t>2</w:t>
      </w:r>
      <w:r>
        <w:rPr>
          <w:rStyle w:val="vlist-s"/>
          <w:color w:val="000000"/>
          <w:sz w:val="24"/>
          <w:szCs w:val="26"/>
        </w:rPr>
        <w:t>​</w:t>
      </w:r>
      <w:r>
        <w:rPr>
          <w:rStyle w:val="mord"/>
          <w:color w:val="000000"/>
          <w:sz w:val="24"/>
          <w:szCs w:val="26"/>
        </w:rPr>
        <w:t>O</w:t>
      </w:r>
      <w:r>
        <w:rPr>
          <w:rStyle w:val="mord"/>
          <w:color w:val="000000"/>
          <w:sz w:val="24"/>
          <w:szCs w:val="26"/>
          <w:vertAlign w:val="subscript"/>
        </w:rPr>
        <w:t>2</w:t>
      </w:r>
      <w:r>
        <w:rPr>
          <w:rStyle w:val="vlist-s"/>
          <w:color w:val="000000"/>
          <w:sz w:val="24"/>
          <w:szCs w:val="26"/>
        </w:rPr>
        <w:t>​</w:t>
      </w:r>
      <w:r>
        <w:rPr>
          <w:rStyle w:val="mrel"/>
          <w:color w:val="000000"/>
          <w:sz w:val="24"/>
          <w:szCs w:val="26"/>
        </w:rPr>
        <w:t>→</w:t>
      </w:r>
      <w:r>
        <w:rPr>
          <w:rStyle w:val="mord"/>
          <w:color w:val="000000"/>
          <w:sz w:val="24"/>
          <w:szCs w:val="26"/>
        </w:rPr>
        <w:t>GSSG</w:t>
      </w:r>
      <w:r>
        <w:rPr>
          <w:rStyle w:val="mbin"/>
          <w:color w:val="000000"/>
          <w:sz w:val="24"/>
          <w:szCs w:val="26"/>
        </w:rPr>
        <w:t>+</w:t>
      </w:r>
      <w:r>
        <w:rPr>
          <w:rStyle w:val="mord"/>
          <w:color w:val="000000"/>
          <w:sz w:val="24"/>
          <w:szCs w:val="26"/>
        </w:rPr>
        <w:t>2H</w:t>
      </w:r>
      <w:r>
        <w:rPr>
          <w:rStyle w:val="mord"/>
          <w:color w:val="000000"/>
          <w:sz w:val="24"/>
          <w:szCs w:val="26"/>
          <w:vertAlign w:val="subscript"/>
        </w:rPr>
        <w:t>2</w:t>
      </w:r>
      <w:r>
        <w:rPr>
          <w:rStyle w:val="vlist-s"/>
          <w:color w:val="000000"/>
          <w:sz w:val="24"/>
          <w:szCs w:val="26"/>
        </w:rPr>
        <w:t>​</w:t>
      </w:r>
      <w:r>
        <w:rPr>
          <w:rStyle w:val="mord"/>
          <w:color w:val="000000"/>
          <w:sz w:val="24"/>
          <w:szCs w:val="26"/>
        </w:rPr>
        <w:t>O</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This process helps maintain redox balance in cells by detoxifying harmful peroxides and regenerating reduced forms of critical molecules. </w:t>
      </w:r>
      <w:r>
        <w:rPr>
          <w:rFonts w:eastAsia="Times New Roman"/>
          <w:color w:val="000000"/>
          <w:sz w:val="24"/>
          <w:szCs w:val="26"/>
        </w:rPr>
        <w:t>Among the GPx isoforms, GPx1 is the most abundant and ubiquitously expressed in the cytoplasm of nearly all mammalian tissues, while other isoforms such as GPx4 are involved in reducing lipid hydroperoxides within membranes and lipoproteins (Lubos, Loscalz</w:t>
      </w:r>
      <w:r>
        <w:rPr>
          <w:rFonts w:eastAsia="Times New Roman"/>
          <w:color w:val="000000"/>
          <w:sz w:val="24"/>
          <w:szCs w:val="26"/>
        </w:rPr>
        <w:t>o, and Handy, 2011).</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2.12.5 Glutathione reductase </w:t>
      </w:r>
    </w:p>
    <w:p w:rsidR="005F01BE" w:rsidRDefault="003E2C3A">
      <w:pPr>
        <w:spacing w:after="0" w:line="480" w:lineRule="auto"/>
        <w:ind w:firstLine="720"/>
        <w:jc w:val="both"/>
        <w:rPr>
          <w:rFonts w:eastAsia="Times New Roman"/>
          <w:color w:val="000000"/>
          <w:sz w:val="24"/>
          <w:szCs w:val="26"/>
        </w:rPr>
      </w:pPr>
      <w:r>
        <w:rPr>
          <w:rFonts w:eastAsia="Times New Roman"/>
          <w:color w:val="000000"/>
          <w:sz w:val="24"/>
          <w:szCs w:val="26"/>
        </w:rPr>
        <w:t xml:space="preserve">Glutathione reductase (GR) is a flavoprotein enzyme essential for maintaining the cellular redox balance by regenerating reduced glutathione (GSH) from its oxidized form (GSSG). This reaction is vital for </w:t>
      </w:r>
      <w:r>
        <w:rPr>
          <w:rFonts w:eastAsia="Times New Roman"/>
          <w:color w:val="000000"/>
          <w:sz w:val="24"/>
          <w:szCs w:val="26"/>
        </w:rPr>
        <w:t xml:space="preserve">sustaining high intracellular levels of GSH, a major antioxidant that protects cells from oxidative damage by neutralizing reactive oxygen species (ROS) and detoxifying peroxides (Couto </w:t>
      </w:r>
      <w:r>
        <w:rPr>
          <w:rFonts w:eastAsia="Times New Roman"/>
          <w:i/>
          <w:iCs/>
          <w:color w:val="000000"/>
          <w:sz w:val="24"/>
          <w:szCs w:val="26"/>
        </w:rPr>
        <w:t>et al</w:t>
      </w:r>
      <w:r>
        <w:rPr>
          <w:rFonts w:eastAsia="Times New Roman"/>
          <w:color w:val="000000"/>
          <w:sz w:val="24"/>
          <w:szCs w:val="26"/>
        </w:rPr>
        <w:t xml:space="preserve">., 2016). Under conditions of </w:t>
      </w:r>
      <w:r>
        <w:rPr>
          <w:rFonts w:eastAsia="Times New Roman"/>
          <w:color w:val="000000"/>
          <w:sz w:val="24"/>
          <w:szCs w:val="26"/>
        </w:rPr>
        <w:lastRenderedPageBreak/>
        <w:t>oxidative stress, GR activity becom</w:t>
      </w:r>
      <w:r>
        <w:rPr>
          <w:rFonts w:eastAsia="Times New Roman"/>
          <w:color w:val="000000"/>
          <w:sz w:val="24"/>
          <w:szCs w:val="26"/>
        </w:rPr>
        <w:t>es particularly important. Without adequate GR function, GSSG accumulates, depleting GSH levels and impairing the cell’s ability to neutralize peroxides. This dysfunction has been associated with the pathogenesis of various diseases, including cancer, neur</w:t>
      </w:r>
      <w:r>
        <w:rPr>
          <w:rFonts w:eastAsia="Times New Roman"/>
          <w:color w:val="000000"/>
          <w:sz w:val="24"/>
          <w:szCs w:val="26"/>
        </w:rPr>
        <w:t>odegenerative disorders, and cardiovascular diseases (Franco and Cidlowski, 2012).</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2.12.6 Reduced glutathione </w:t>
      </w:r>
    </w:p>
    <w:p w:rsidR="005F01BE" w:rsidRDefault="003E2C3A">
      <w:pPr>
        <w:pStyle w:val="NormalWeb"/>
        <w:spacing w:before="0" w:beforeAutospacing="0" w:after="0" w:afterAutospacing="0" w:line="480" w:lineRule="auto"/>
        <w:ind w:firstLine="720"/>
        <w:jc w:val="both"/>
        <w:rPr>
          <w:color w:val="000000"/>
          <w:szCs w:val="26"/>
        </w:rPr>
      </w:pPr>
      <w:r>
        <w:rPr>
          <w:color w:val="000000"/>
          <w:szCs w:val="26"/>
        </w:rPr>
        <w:t>In typical cells, in normal conditions, the predominant form of glutathione is its reduced form (GSH) in a ratio of 100:1. Under normal condition</w:t>
      </w:r>
      <w:r>
        <w:rPr>
          <w:color w:val="000000"/>
          <w:szCs w:val="26"/>
        </w:rPr>
        <w:t xml:space="preserve">s, for instance, reduced GSH is the most prevalent form of GSH, constituting up to 98% of the total GSH pool. Glutathione molecules can also be bound to proteins (Samuelsson </w:t>
      </w:r>
      <w:r>
        <w:rPr>
          <w:i/>
          <w:iCs/>
          <w:color w:val="000000"/>
          <w:szCs w:val="26"/>
        </w:rPr>
        <w:t>et al</w:t>
      </w:r>
      <w:r>
        <w:rPr>
          <w:color w:val="000000"/>
          <w:szCs w:val="26"/>
        </w:rPr>
        <w:t>., 2011). GSH is a soluble antioxidant, which in high cellular concentrations</w:t>
      </w:r>
      <w:r>
        <w:rPr>
          <w:color w:val="000000"/>
          <w:szCs w:val="26"/>
        </w:rPr>
        <w:t xml:space="preserve"> (1–10 mM) is present in the cytoplasm, mitochondria and nucleus. As an antioxidant, GSH reduces ROS during the enzymatic and non-enzymatic reactions. It regenerates other oxidized small molecule antioxidants, for example vitamin C and vitamin E (Rahman </w:t>
      </w:r>
      <w:r>
        <w:rPr>
          <w:i/>
          <w:iCs/>
          <w:color w:val="000000"/>
          <w:szCs w:val="26"/>
        </w:rPr>
        <w:t>et</w:t>
      </w:r>
      <w:r>
        <w:rPr>
          <w:i/>
          <w:iCs/>
          <w:color w:val="000000"/>
          <w:szCs w:val="26"/>
        </w:rPr>
        <w:t xml:space="preserve"> al</w:t>
      </w:r>
      <w:r>
        <w:rPr>
          <w:color w:val="000000"/>
          <w:szCs w:val="26"/>
        </w:rPr>
        <w:t xml:space="preserve">., 2007), is involved in the repair of protein molecules, nucleic acids and lipids damaged in peroxidation processes, and in the maintenance of sulphydryl groups of protein in the reduced state (Alli </w:t>
      </w:r>
      <w:r>
        <w:rPr>
          <w:i/>
          <w:iCs/>
          <w:color w:val="000000"/>
          <w:szCs w:val="26"/>
        </w:rPr>
        <w:t>et al</w:t>
      </w:r>
      <w:r>
        <w:rPr>
          <w:color w:val="000000"/>
          <w:szCs w:val="26"/>
        </w:rPr>
        <w:t>., 2014).</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2.12.7 Malondialdehyde </w:t>
      </w:r>
    </w:p>
    <w:p w:rsidR="005F01BE" w:rsidRDefault="003E2C3A">
      <w:pPr>
        <w:pStyle w:val="NormalWeb"/>
        <w:spacing w:before="0" w:beforeAutospacing="0" w:after="0" w:afterAutospacing="0" w:line="480" w:lineRule="auto"/>
        <w:ind w:firstLine="720"/>
        <w:jc w:val="both"/>
        <w:rPr>
          <w:color w:val="000000"/>
          <w:szCs w:val="26"/>
        </w:rPr>
      </w:pPr>
      <w:r>
        <w:rPr>
          <w:rStyle w:val="A0"/>
          <w:sz w:val="24"/>
          <w:szCs w:val="26"/>
        </w:rPr>
        <w:t>Lipid peroxida</w:t>
      </w:r>
      <w:r>
        <w:rPr>
          <w:rStyle w:val="A0"/>
          <w:sz w:val="24"/>
          <w:szCs w:val="26"/>
        </w:rPr>
        <w:t>tion is one of known indices of oxidative stress and contributing factor in degenerative diseases,</w:t>
      </w:r>
      <w:r>
        <w:rPr>
          <w:rStyle w:val="A6"/>
          <w:sz w:val="24"/>
          <w:szCs w:val="26"/>
        </w:rPr>
        <w:t xml:space="preserve"> </w:t>
      </w:r>
      <w:r>
        <w:rPr>
          <w:rStyle w:val="A0"/>
          <w:sz w:val="24"/>
          <w:szCs w:val="26"/>
        </w:rPr>
        <w:t>cardiovascular disease, Parkinson’s disease, Alzheimer’s disease,</w:t>
      </w:r>
      <w:r>
        <w:rPr>
          <w:rStyle w:val="A6"/>
          <w:sz w:val="24"/>
          <w:szCs w:val="26"/>
        </w:rPr>
        <w:t xml:space="preserve">4 </w:t>
      </w:r>
      <w:r>
        <w:rPr>
          <w:rStyle w:val="A0"/>
          <w:sz w:val="24"/>
          <w:szCs w:val="26"/>
        </w:rPr>
        <w:t>and psychiatric disorders, including schizophrenia.</w:t>
      </w:r>
      <w:r>
        <w:rPr>
          <w:rStyle w:val="A6"/>
          <w:sz w:val="24"/>
          <w:szCs w:val="26"/>
        </w:rPr>
        <w:t xml:space="preserve"> </w:t>
      </w:r>
      <w:r>
        <w:rPr>
          <w:rStyle w:val="A0"/>
          <w:sz w:val="24"/>
          <w:szCs w:val="26"/>
        </w:rPr>
        <w:t xml:space="preserve">Assesment of primary lipid </w:t>
      </w:r>
      <w:r>
        <w:rPr>
          <w:rStyle w:val="A0"/>
          <w:sz w:val="24"/>
          <w:szCs w:val="26"/>
        </w:rPr>
        <w:lastRenderedPageBreak/>
        <w:t>peroxidatio</w:t>
      </w:r>
      <w:r>
        <w:rPr>
          <w:rStyle w:val="A0"/>
          <w:sz w:val="24"/>
          <w:szCs w:val="26"/>
        </w:rPr>
        <w:t>n products (hydroperoxides) is usually unstable due to its reactive nature.</w:t>
      </w:r>
      <w:r>
        <w:rPr>
          <w:rStyle w:val="A6"/>
          <w:sz w:val="24"/>
          <w:szCs w:val="26"/>
        </w:rPr>
        <w:t xml:space="preserve">6 </w:t>
      </w:r>
      <w:r>
        <w:rPr>
          <w:rStyle w:val="A0"/>
          <w:sz w:val="24"/>
          <w:szCs w:val="26"/>
        </w:rPr>
        <w:t>Therefore, measurement of secondary oxidation products such as malondialdehyde (MDA) is commonly conducted to observe lipid peroxidation (</w:t>
      </w:r>
      <w:r>
        <w:rPr>
          <w:color w:val="000000"/>
          <w:szCs w:val="26"/>
          <w:shd w:val="clear" w:color="auto" w:fill="FFFFFF"/>
        </w:rPr>
        <w:t xml:space="preserve">Fauziah </w:t>
      </w:r>
      <w:r>
        <w:rPr>
          <w:i/>
          <w:iCs/>
          <w:color w:val="000000"/>
          <w:szCs w:val="26"/>
          <w:shd w:val="clear" w:color="auto" w:fill="FFFFFF"/>
        </w:rPr>
        <w:t>et al</w:t>
      </w:r>
      <w:r>
        <w:rPr>
          <w:color w:val="000000"/>
          <w:szCs w:val="26"/>
          <w:shd w:val="clear" w:color="auto" w:fill="FFFFFF"/>
        </w:rPr>
        <w:t>., 2018).</w:t>
      </w:r>
    </w:p>
    <w:p w:rsidR="005F01BE" w:rsidRDefault="003E2C3A">
      <w:pPr>
        <w:pStyle w:val="NormalWeb"/>
        <w:spacing w:before="0" w:beforeAutospacing="0" w:after="0" w:afterAutospacing="0" w:line="480" w:lineRule="auto"/>
        <w:ind w:firstLine="720"/>
        <w:jc w:val="both"/>
        <w:rPr>
          <w:b/>
          <w:bCs/>
          <w:color w:val="000000"/>
          <w:szCs w:val="26"/>
        </w:rPr>
      </w:pPr>
      <w:r>
        <w:rPr>
          <w:color w:val="000000"/>
          <w:szCs w:val="26"/>
        </w:rPr>
        <w:t xml:space="preserve">Malondialdehyde </w:t>
      </w:r>
      <w:r>
        <w:rPr>
          <w:color w:val="000000"/>
          <w:szCs w:val="26"/>
        </w:rPr>
        <w:t>(MDA) is a product of lipid peroxidation that appears to be produced in a relatively constant proportion of the breakdown of polyunsaturated fatty acids. The MDA count is a good indicator of lipid peroxidation especially in vitro (</w:t>
      </w:r>
      <w:r>
        <w:rPr>
          <w:color w:val="000000"/>
          <w:szCs w:val="26"/>
          <w:shd w:val="clear" w:color="auto" w:fill="FFFFFF"/>
        </w:rPr>
        <w:t xml:space="preserve">Yekti, </w:t>
      </w:r>
      <w:r>
        <w:rPr>
          <w:i/>
          <w:iCs/>
          <w:color w:val="000000"/>
          <w:szCs w:val="26"/>
          <w:shd w:val="clear" w:color="auto" w:fill="FFFFFF"/>
        </w:rPr>
        <w:t>et al</w:t>
      </w:r>
      <w:r>
        <w:rPr>
          <w:color w:val="000000"/>
          <w:szCs w:val="26"/>
          <w:shd w:val="clear" w:color="auto" w:fill="FFFFFF"/>
        </w:rPr>
        <w:t>., 2018</w:t>
      </w:r>
      <w:r>
        <w:rPr>
          <w:color w:val="000000"/>
          <w:szCs w:val="26"/>
        </w:rPr>
        <w:t>). The</w:t>
      </w:r>
      <w:r>
        <w:rPr>
          <w:color w:val="000000"/>
          <w:szCs w:val="26"/>
        </w:rPr>
        <w:t xml:space="preserve"> chemical analysis of MDA began by measuring a component called thiobarbituric acidreactive substances (TBARS) to estimate lipid peroxidation with spectrophotometry (Biri </w:t>
      </w:r>
      <w:r>
        <w:rPr>
          <w:i/>
          <w:iCs/>
          <w:color w:val="000000"/>
          <w:szCs w:val="26"/>
        </w:rPr>
        <w:t>et al</w:t>
      </w:r>
      <w:r>
        <w:rPr>
          <w:color w:val="000000"/>
          <w:szCs w:val="26"/>
        </w:rPr>
        <w:t>., 2006).</w:t>
      </w:r>
    </w:p>
    <w:p w:rsidR="005F01BE" w:rsidRDefault="003E2C3A">
      <w:pPr>
        <w:pStyle w:val="NormalWeb"/>
        <w:spacing w:before="0" w:beforeAutospacing="0" w:after="0" w:afterAutospacing="0" w:line="480" w:lineRule="auto"/>
        <w:jc w:val="both"/>
        <w:rPr>
          <w:b/>
          <w:bCs/>
          <w:color w:val="000000"/>
          <w:szCs w:val="26"/>
        </w:rPr>
      </w:pPr>
      <w:r>
        <w:rPr>
          <w:b/>
          <w:bCs/>
          <w:color w:val="000000"/>
          <w:szCs w:val="26"/>
        </w:rPr>
        <w:t xml:space="preserve">2.12.8 Mycloperoxidase </w:t>
      </w:r>
    </w:p>
    <w:p w:rsidR="005F01BE" w:rsidRDefault="003E2C3A">
      <w:pPr>
        <w:spacing w:after="0" w:line="480" w:lineRule="auto"/>
        <w:ind w:firstLine="720"/>
        <w:jc w:val="both"/>
        <w:rPr>
          <w:rFonts w:eastAsia="Times New Roman"/>
          <w:color w:val="000000"/>
          <w:sz w:val="22"/>
          <w:szCs w:val="26"/>
        </w:rPr>
      </w:pPr>
      <w:r>
        <w:rPr>
          <w:rFonts w:eastAsia="Times New Roman"/>
          <w:color w:val="000000"/>
          <w:sz w:val="22"/>
          <w:szCs w:val="26"/>
        </w:rPr>
        <w:t>Myeloperoxidase (MPO) is a heme-containing enz</w:t>
      </w:r>
      <w:r>
        <w:rPr>
          <w:rFonts w:eastAsia="Times New Roman"/>
          <w:color w:val="000000"/>
          <w:sz w:val="22"/>
          <w:szCs w:val="26"/>
        </w:rPr>
        <w:t>yme predominantly found in the azurophilic granules of neutrophils and, to a lesser extent, in monocytes. It plays a crucial role in the innate immune response by catalyzing the formation of hypochlorous acid (HOCl) from hydrogen peroxide (H</w:t>
      </w:r>
      <w:r>
        <w:rPr>
          <w:rFonts w:ascii="Cambria Math" w:eastAsia="Times New Roman" w:hAnsi="Cambria Math" w:cs="Cambria Math"/>
          <w:color w:val="000000"/>
          <w:sz w:val="22"/>
          <w:szCs w:val="26"/>
        </w:rPr>
        <w:t>₂</w:t>
      </w:r>
      <w:r>
        <w:rPr>
          <w:rFonts w:eastAsia="Times New Roman"/>
          <w:color w:val="000000"/>
          <w:sz w:val="22"/>
          <w:szCs w:val="26"/>
        </w:rPr>
        <w:t>O</w:t>
      </w:r>
      <w:r>
        <w:rPr>
          <w:rFonts w:ascii="Cambria Math" w:eastAsia="Times New Roman" w:hAnsi="Cambria Math" w:cs="Cambria Math"/>
          <w:color w:val="000000"/>
          <w:sz w:val="22"/>
          <w:szCs w:val="26"/>
        </w:rPr>
        <w:t>₂</w:t>
      </w:r>
      <w:r>
        <w:rPr>
          <w:rFonts w:eastAsia="Times New Roman"/>
          <w:color w:val="000000"/>
          <w:sz w:val="22"/>
          <w:szCs w:val="26"/>
        </w:rPr>
        <w:t>) and chlori</w:t>
      </w:r>
      <w:r>
        <w:rPr>
          <w:rFonts w:eastAsia="Times New Roman"/>
          <w:color w:val="000000"/>
          <w:sz w:val="22"/>
          <w:szCs w:val="26"/>
        </w:rPr>
        <w:t>de ions (Cl</w:t>
      </w:r>
      <w:r>
        <w:rPr>
          <w:rFonts w:ascii="Cambria Math" w:eastAsia="Times New Roman" w:hAnsi="Cambria Math" w:cs="Cambria Math"/>
          <w:color w:val="000000"/>
          <w:sz w:val="22"/>
          <w:szCs w:val="26"/>
        </w:rPr>
        <w:t>⁻</w:t>
      </w:r>
      <w:r>
        <w:rPr>
          <w:rFonts w:eastAsia="Times New Roman"/>
          <w:color w:val="000000"/>
          <w:sz w:val="22"/>
          <w:szCs w:val="26"/>
        </w:rPr>
        <w:t>) during the respiratory burst of activated phagocytes (Klebanoff, 2005). Hypochlorous acid is a potent antimicrobial agent capable of killing bacteria, viruses, and fungi, thus contributing to host defense. However, excessive or dysregulated M</w:t>
      </w:r>
      <w:r>
        <w:rPr>
          <w:rFonts w:eastAsia="Times New Roman"/>
          <w:color w:val="000000"/>
          <w:sz w:val="22"/>
          <w:szCs w:val="26"/>
        </w:rPr>
        <w:t xml:space="preserve">PO activity can contribute to tissue damage due to the high reactivity of HOCl and other oxidants produced, which can oxidize proteins, lipids, DNA, and other cellular components (Winterbourn </w:t>
      </w:r>
      <w:r>
        <w:rPr>
          <w:rFonts w:eastAsia="Times New Roman"/>
          <w:i/>
          <w:iCs/>
          <w:color w:val="000000"/>
          <w:sz w:val="22"/>
          <w:szCs w:val="26"/>
        </w:rPr>
        <w:t>et al</w:t>
      </w:r>
      <w:r>
        <w:rPr>
          <w:rFonts w:eastAsia="Times New Roman"/>
          <w:color w:val="000000"/>
          <w:sz w:val="22"/>
          <w:szCs w:val="26"/>
        </w:rPr>
        <w:t>., 2016).</w:t>
      </w:r>
    </w:p>
    <w:p w:rsidR="005F01BE" w:rsidRDefault="005F01BE">
      <w:pPr>
        <w:spacing w:after="0" w:line="480" w:lineRule="auto"/>
        <w:ind w:firstLine="720"/>
        <w:jc w:val="both"/>
        <w:rPr>
          <w:rFonts w:eastAsia="Times New Roman"/>
          <w:color w:val="000000"/>
          <w:sz w:val="22"/>
          <w:szCs w:val="26"/>
        </w:rPr>
      </w:pPr>
    </w:p>
    <w:p w:rsidR="005F01BE" w:rsidRDefault="005F01BE">
      <w:pPr>
        <w:spacing w:after="0" w:line="480" w:lineRule="auto"/>
        <w:ind w:firstLine="720"/>
        <w:jc w:val="both"/>
        <w:rPr>
          <w:rFonts w:eastAsia="Times New Roman"/>
          <w:color w:val="000000"/>
          <w:sz w:val="22"/>
          <w:szCs w:val="26"/>
        </w:rPr>
      </w:pPr>
    </w:p>
    <w:p w:rsidR="005F01BE" w:rsidRDefault="005F01BE">
      <w:pPr>
        <w:spacing w:after="0" w:line="480" w:lineRule="auto"/>
        <w:jc w:val="both"/>
        <w:rPr>
          <w:rFonts w:eastAsia="Times New Roman"/>
          <w:color w:val="000000"/>
          <w:sz w:val="22"/>
          <w:szCs w:val="26"/>
        </w:rPr>
      </w:pPr>
    </w:p>
    <w:p w:rsidR="005F01BE" w:rsidRDefault="003E2C3A">
      <w:pPr>
        <w:spacing w:after="0" w:line="480" w:lineRule="auto"/>
        <w:jc w:val="center"/>
        <w:rPr>
          <w:b/>
          <w:bCs/>
          <w:color w:val="000000"/>
          <w:sz w:val="24"/>
          <w:szCs w:val="26"/>
        </w:rPr>
      </w:pPr>
      <w:r>
        <w:rPr>
          <w:b/>
          <w:bCs/>
          <w:color w:val="000000"/>
          <w:sz w:val="24"/>
          <w:szCs w:val="26"/>
        </w:rPr>
        <w:lastRenderedPageBreak/>
        <w:t>CHAPTER THREE</w:t>
      </w:r>
    </w:p>
    <w:p w:rsidR="005F01BE" w:rsidRDefault="003E2C3A">
      <w:pPr>
        <w:spacing w:after="0" w:line="480" w:lineRule="auto"/>
        <w:jc w:val="both"/>
        <w:rPr>
          <w:color w:val="000000"/>
          <w:sz w:val="24"/>
          <w:szCs w:val="26"/>
        </w:rPr>
      </w:pPr>
      <w:r>
        <w:rPr>
          <w:b/>
          <w:bCs/>
          <w:color w:val="000000"/>
          <w:sz w:val="24"/>
          <w:szCs w:val="26"/>
        </w:rPr>
        <w:t xml:space="preserve">3.0 </w:t>
      </w:r>
      <w:r>
        <w:rPr>
          <w:b/>
          <w:bCs/>
          <w:color w:val="000000"/>
          <w:sz w:val="24"/>
          <w:szCs w:val="26"/>
        </w:rPr>
        <w:t xml:space="preserve">                                MATERIALS AND METHODS</w:t>
      </w:r>
      <w:r>
        <w:rPr>
          <w:color w:val="000000"/>
          <w:sz w:val="24"/>
          <w:szCs w:val="26"/>
        </w:rPr>
        <w:t xml:space="preserve"> </w:t>
      </w:r>
    </w:p>
    <w:p w:rsidR="005F01BE" w:rsidRDefault="003E2C3A">
      <w:pPr>
        <w:spacing w:after="0" w:line="480" w:lineRule="auto"/>
        <w:jc w:val="both"/>
        <w:rPr>
          <w:b/>
          <w:bCs/>
          <w:color w:val="000000"/>
          <w:sz w:val="24"/>
          <w:szCs w:val="26"/>
        </w:rPr>
      </w:pPr>
      <w:r>
        <w:rPr>
          <w:b/>
          <w:color w:val="000000"/>
          <w:sz w:val="24"/>
          <w:szCs w:val="26"/>
        </w:rPr>
        <w:t xml:space="preserve">3.1 </w:t>
      </w:r>
      <w:r>
        <w:rPr>
          <w:b/>
          <w:bCs/>
          <w:color w:val="000000"/>
          <w:sz w:val="24"/>
          <w:szCs w:val="26"/>
        </w:rPr>
        <w:t>Plant Materials</w:t>
      </w:r>
    </w:p>
    <w:p w:rsidR="005F01BE" w:rsidRDefault="003E2C3A">
      <w:pPr>
        <w:spacing w:after="0" w:line="480" w:lineRule="auto"/>
        <w:jc w:val="both"/>
        <w:rPr>
          <w:iCs/>
          <w:color w:val="000000"/>
          <w:sz w:val="24"/>
          <w:szCs w:val="26"/>
        </w:rPr>
      </w:pPr>
      <w:r>
        <w:rPr>
          <w:b/>
          <w:bCs/>
          <w:color w:val="000000"/>
          <w:sz w:val="24"/>
          <w:szCs w:val="26"/>
        </w:rPr>
        <w:tab/>
      </w:r>
      <w:r>
        <w:rPr>
          <w:bCs/>
          <w:color w:val="000000"/>
          <w:sz w:val="24"/>
          <w:szCs w:val="26"/>
        </w:rPr>
        <w:t xml:space="preserve">Fresh </w:t>
      </w:r>
      <w:r>
        <w:rPr>
          <w:i/>
          <w:iCs/>
          <w:color w:val="000000"/>
          <w:sz w:val="24"/>
          <w:szCs w:val="26"/>
        </w:rPr>
        <w:t xml:space="preserve">Sida acuta </w:t>
      </w:r>
      <w:r>
        <w:rPr>
          <w:iCs/>
          <w:color w:val="000000"/>
          <w:sz w:val="24"/>
          <w:szCs w:val="26"/>
        </w:rPr>
        <w:t>is collected at Kwara State Polytechnic main campus around the lecture rooms that led to Akuo Village on 12</w:t>
      </w:r>
      <w:r>
        <w:rPr>
          <w:iCs/>
          <w:color w:val="000000"/>
          <w:sz w:val="24"/>
          <w:szCs w:val="26"/>
          <w:vertAlign w:val="superscript"/>
        </w:rPr>
        <w:t>th</w:t>
      </w:r>
      <w:r>
        <w:rPr>
          <w:iCs/>
          <w:color w:val="000000"/>
          <w:sz w:val="24"/>
          <w:szCs w:val="26"/>
        </w:rPr>
        <w:t xml:space="preserve"> of March 2025.</w:t>
      </w:r>
    </w:p>
    <w:p w:rsidR="005F01BE" w:rsidRDefault="003E2C3A">
      <w:pPr>
        <w:spacing w:after="0" w:line="480" w:lineRule="auto"/>
        <w:jc w:val="both"/>
        <w:rPr>
          <w:b/>
          <w:bCs/>
          <w:color w:val="000000"/>
          <w:sz w:val="24"/>
          <w:szCs w:val="26"/>
        </w:rPr>
      </w:pPr>
      <w:r>
        <w:rPr>
          <w:b/>
          <w:bCs/>
          <w:color w:val="000000"/>
          <w:sz w:val="24"/>
          <w:szCs w:val="26"/>
        </w:rPr>
        <w:t xml:space="preserve">3.1.2 Animal Materials </w:t>
      </w:r>
    </w:p>
    <w:p w:rsidR="005F01BE" w:rsidRDefault="003E2C3A">
      <w:pPr>
        <w:spacing w:after="0" w:line="480" w:lineRule="auto"/>
        <w:ind w:firstLine="720"/>
        <w:jc w:val="both"/>
        <w:rPr>
          <w:color w:val="000000"/>
          <w:sz w:val="24"/>
          <w:szCs w:val="26"/>
        </w:rPr>
      </w:pPr>
      <w:r>
        <w:rPr>
          <w:color w:val="000000"/>
          <w:sz w:val="24"/>
          <w:szCs w:val="26"/>
        </w:rPr>
        <w:t xml:space="preserve">52 Wistar </w:t>
      </w:r>
      <w:r>
        <w:rPr>
          <w:iCs/>
          <w:color w:val="000000"/>
          <w:sz w:val="24"/>
          <w:szCs w:val="26"/>
        </w:rPr>
        <w:t>Albi</w:t>
      </w:r>
      <w:r>
        <w:rPr>
          <w:iCs/>
          <w:color w:val="000000"/>
          <w:sz w:val="24"/>
          <w:szCs w:val="26"/>
        </w:rPr>
        <w:t>no rats (</w:t>
      </w:r>
      <w:r>
        <w:rPr>
          <w:i/>
          <w:iCs/>
          <w:color w:val="000000"/>
          <w:sz w:val="24"/>
          <w:szCs w:val="26"/>
        </w:rPr>
        <w:t>Rattus norvegicus</w:t>
      </w:r>
      <w:r>
        <w:rPr>
          <w:iCs/>
          <w:color w:val="000000"/>
          <w:sz w:val="24"/>
          <w:szCs w:val="26"/>
        </w:rPr>
        <w:t>) obtained from the Animal Laboratory House, Kwara State Polytechnic, Ilorin Kwara State, Nigeria.</w:t>
      </w:r>
      <w:r>
        <w:rPr>
          <w:color w:val="000000"/>
          <w:sz w:val="24"/>
          <w:szCs w:val="26"/>
        </w:rPr>
        <w:t xml:space="preserve"> </w:t>
      </w:r>
    </w:p>
    <w:p w:rsidR="005F01BE" w:rsidRDefault="003E2C3A">
      <w:pPr>
        <w:spacing w:after="0" w:line="480" w:lineRule="auto"/>
        <w:jc w:val="both"/>
        <w:rPr>
          <w:b/>
          <w:bCs/>
          <w:color w:val="000000"/>
          <w:sz w:val="24"/>
          <w:szCs w:val="26"/>
        </w:rPr>
      </w:pPr>
      <w:r>
        <w:rPr>
          <w:b/>
          <w:bCs/>
          <w:color w:val="000000"/>
          <w:sz w:val="24"/>
          <w:szCs w:val="26"/>
        </w:rPr>
        <w:t xml:space="preserve">3.1.3 Chemicals and Reagents     </w:t>
      </w:r>
    </w:p>
    <w:p w:rsidR="005F01BE" w:rsidRDefault="003E2C3A">
      <w:pPr>
        <w:spacing w:after="0" w:line="480" w:lineRule="auto"/>
        <w:jc w:val="both"/>
        <w:rPr>
          <w:bCs/>
          <w:color w:val="000000"/>
          <w:sz w:val="24"/>
          <w:szCs w:val="26"/>
        </w:rPr>
      </w:pPr>
      <w:r>
        <w:rPr>
          <w:b/>
          <w:bCs/>
          <w:color w:val="000000"/>
          <w:sz w:val="24"/>
          <w:szCs w:val="26"/>
        </w:rPr>
        <w:tab/>
      </w:r>
      <w:r>
        <w:rPr>
          <w:bCs/>
          <w:color w:val="000000"/>
          <w:sz w:val="24"/>
          <w:szCs w:val="26"/>
        </w:rPr>
        <w:t>The chemicals and reagents used in this study were carefully chosen for their high purity, avai</w:t>
      </w:r>
      <w:r>
        <w:rPr>
          <w:bCs/>
          <w:color w:val="000000"/>
          <w:sz w:val="24"/>
          <w:szCs w:val="26"/>
        </w:rPr>
        <w:t>lability, and suitability for the experimental protocols. All substances were of analytical grade. Below is a detailed list of the chemicals and reagents utilized in this project research:</w:t>
      </w:r>
    </w:p>
    <w:p w:rsidR="005F01BE" w:rsidRDefault="003E2C3A">
      <w:pPr>
        <w:spacing w:after="0" w:line="480" w:lineRule="auto"/>
        <w:jc w:val="both"/>
        <w:rPr>
          <w:color w:val="000000"/>
          <w:sz w:val="24"/>
          <w:szCs w:val="26"/>
        </w:rPr>
      </w:pPr>
      <w:r>
        <w:rPr>
          <w:color w:val="000000"/>
          <w:sz w:val="24"/>
          <w:szCs w:val="26"/>
        </w:rPr>
        <w:t xml:space="preserve">DMSO (Dimethyl sulfoxide) by Thermo Fisher Scientific, </w:t>
      </w:r>
      <w:r>
        <w:rPr>
          <w:color w:val="000000"/>
          <w:sz w:val="24"/>
          <w:szCs w:val="26"/>
        </w:rPr>
        <w:t xml:space="preserve">Indomethacin by  Thermo Fisher Scientific, Omeprazole  by Sigma-Aldrich, </w:t>
      </w:r>
      <w:r>
        <w:rPr>
          <w:rFonts w:eastAsia="Times New Roman"/>
          <w:color w:val="000000"/>
          <w:sz w:val="24"/>
          <w:szCs w:val="26"/>
        </w:rPr>
        <w:t xml:space="preserve">Acetate buffer (300 mM, pH 3.6)  by </w:t>
      </w:r>
      <w:r>
        <w:rPr>
          <w:color w:val="000000"/>
          <w:sz w:val="24"/>
          <w:szCs w:val="26"/>
        </w:rPr>
        <w:t xml:space="preserve">Sigma-Aldrich, </w:t>
      </w:r>
      <w:r>
        <w:rPr>
          <w:rFonts w:eastAsia="Times New Roman"/>
          <w:color w:val="000000"/>
          <w:sz w:val="24"/>
          <w:szCs w:val="26"/>
        </w:rPr>
        <w:t xml:space="preserve">TPTZ solution (10 mM in 40 mM HCl)  by </w:t>
      </w:r>
      <w:r>
        <w:rPr>
          <w:color w:val="000000"/>
          <w:sz w:val="24"/>
          <w:szCs w:val="26"/>
        </w:rPr>
        <w:t xml:space="preserve">Sigma-Aldrich, </w:t>
      </w:r>
      <w:r>
        <w:rPr>
          <w:rFonts w:eastAsia="Times New Roman"/>
          <w:color w:val="000000"/>
          <w:sz w:val="24"/>
          <w:szCs w:val="26"/>
        </w:rPr>
        <w:t>FeCl</w:t>
      </w:r>
      <w:r>
        <w:rPr>
          <w:rFonts w:ascii="Cambria Math" w:eastAsia="Times New Roman" w:hAnsi="Cambria Math" w:cs="Cambria Math"/>
          <w:color w:val="000000"/>
          <w:sz w:val="24"/>
          <w:szCs w:val="26"/>
        </w:rPr>
        <w:t>₃</w:t>
      </w:r>
      <w:r>
        <w:rPr>
          <w:rFonts w:eastAsia="Times New Roman"/>
          <w:color w:val="000000"/>
          <w:sz w:val="24"/>
          <w:szCs w:val="26"/>
        </w:rPr>
        <w:t>·6H</w:t>
      </w:r>
      <w:r>
        <w:rPr>
          <w:rFonts w:ascii="Cambria Math" w:eastAsia="Times New Roman" w:hAnsi="Cambria Math" w:cs="Cambria Math"/>
          <w:color w:val="000000"/>
          <w:sz w:val="24"/>
          <w:szCs w:val="26"/>
        </w:rPr>
        <w:t>₂</w:t>
      </w:r>
      <w:r>
        <w:rPr>
          <w:rFonts w:eastAsia="Times New Roman"/>
          <w:color w:val="000000"/>
          <w:sz w:val="24"/>
          <w:szCs w:val="26"/>
        </w:rPr>
        <w:t xml:space="preserve">O (20 mM)  by </w:t>
      </w:r>
      <w:r>
        <w:rPr>
          <w:color w:val="000000"/>
          <w:sz w:val="24"/>
          <w:szCs w:val="26"/>
        </w:rPr>
        <w:t xml:space="preserve">Sigma-Aldrich, </w:t>
      </w:r>
      <w:r>
        <w:rPr>
          <w:rFonts w:eastAsia="Times New Roman"/>
          <w:color w:val="000000"/>
          <w:sz w:val="24"/>
          <w:szCs w:val="26"/>
        </w:rPr>
        <w:t>FRAP reagent (prepared by mixing acetate</w:t>
      </w:r>
      <w:r>
        <w:rPr>
          <w:rFonts w:eastAsia="Times New Roman"/>
          <w:color w:val="000000"/>
          <w:sz w:val="24"/>
          <w:szCs w:val="26"/>
        </w:rPr>
        <w:t xml:space="preserve"> buffer, TPTZ, and FeCl</w:t>
      </w:r>
      <w:r>
        <w:rPr>
          <w:rFonts w:ascii="Cambria Math" w:eastAsia="Times New Roman" w:hAnsi="Cambria Math" w:cs="Cambria Math"/>
          <w:color w:val="000000"/>
          <w:sz w:val="24"/>
          <w:szCs w:val="26"/>
        </w:rPr>
        <w:t>₃</w:t>
      </w:r>
      <w:r>
        <w:rPr>
          <w:rFonts w:eastAsia="Times New Roman"/>
          <w:color w:val="000000"/>
          <w:sz w:val="24"/>
          <w:szCs w:val="26"/>
        </w:rPr>
        <w:t xml:space="preserve"> in 10:1:1 ratio) by </w:t>
      </w:r>
      <w:r>
        <w:rPr>
          <w:color w:val="000000"/>
          <w:sz w:val="24"/>
          <w:szCs w:val="26"/>
        </w:rPr>
        <w:t xml:space="preserve">Sigma-Aldrich, </w:t>
      </w:r>
      <w:r>
        <w:rPr>
          <w:rFonts w:eastAsia="Times New Roman"/>
          <w:color w:val="000000"/>
          <w:sz w:val="24"/>
          <w:szCs w:val="26"/>
        </w:rPr>
        <w:t xml:space="preserve">ABTS (7 mM) by </w:t>
      </w:r>
      <w:r>
        <w:rPr>
          <w:color w:val="000000"/>
          <w:sz w:val="24"/>
          <w:szCs w:val="26"/>
        </w:rPr>
        <w:t xml:space="preserve">Sigma-Aldrich, </w:t>
      </w:r>
      <w:r>
        <w:rPr>
          <w:rFonts w:eastAsia="Times New Roman"/>
          <w:color w:val="000000"/>
          <w:sz w:val="24"/>
          <w:szCs w:val="26"/>
        </w:rPr>
        <w:t xml:space="preserve">Potassium persulfate (2.45 mM) by </w:t>
      </w:r>
      <w:r>
        <w:rPr>
          <w:color w:val="000000"/>
          <w:sz w:val="24"/>
          <w:szCs w:val="26"/>
        </w:rPr>
        <w:t xml:space="preserve">Fisher Scientific, </w:t>
      </w:r>
      <w:r>
        <w:rPr>
          <w:rFonts w:eastAsia="Times New Roman"/>
          <w:color w:val="000000"/>
          <w:sz w:val="24"/>
          <w:szCs w:val="26"/>
        </w:rPr>
        <w:t xml:space="preserve">DPPH solution (0.1 mM in methanol) by </w:t>
      </w:r>
      <w:r>
        <w:rPr>
          <w:color w:val="000000"/>
          <w:sz w:val="24"/>
          <w:szCs w:val="26"/>
        </w:rPr>
        <w:t xml:space="preserve">Cayman Chemical, </w:t>
      </w:r>
      <w:r>
        <w:rPr>
          <w:rFonts w:eastAsia="Times New Roman"/>
          <w:color w:val="000000"/>
          <w:sz w:val="24"/>
          <w:szCs w:val="26"/>
        </w:rPr>
        <w:t xml:space="preserve">2% Aluminum chloride in methanol by </w:t>
      </w:r>
      <w:r>
        <w:rPr>
          <w:color w:val="000000"/>
          <w:sz w:val="24"/>
          <w:szCs w:val="26"/>
        </w:rPr>
        <w:t xml:space="preserve">Cayman </w:t>
      </w:r>
      <w:r>
        <w:rPr>
          <w:color w:val="000000"/>
          <w:sz w:val="24"/>
          <w:szCs w:val="26"/>
        </w:rPr>
        <w:lastRenderedPageBreak/>
        <w:t xml:space="preserve">Chemical, </w:t>
      </w:r>
      <w:r>
        <w:rPr>
          <w:rFonts w:eastAsia="Times New Roman"/>
          <w:color w:val="000000"/>
          <w:sz w:val="24"/>
          <w:szCs w:val="26"/>
        </w:rPr>
        <w:t>Potas</w:t>
      </w:r>
      <w:r>
        <w:rPr>
          <w:rFonts w:eastAsia="Times New Roman"/>
          <w:color w:val="000000"/>
          <w:sz w:val="24"/>
          <w:szCs w:val="26"/>
        </w:rPr>
        <w:t xml:space="preserve">sium acetate (optional) by </w:t>
      </w:r>
      <w:r>
        <w:rPr>
          <w:color w:val="000000"/>
          <w:sz w:val="24"/>
          <w:szCs w:val="26"/>
        </w:rPr>
        <w:t xml:space="preserve">Fisher Scientific, </w:t>
      </w:r>
      <w:r>
        <w:rPr>
          <w:rFonts w:eastAsia="Times New Roman"/>
          <w:color w:val="000000"/>
          <w:sz w:val="24"/>
          <w:szCs w:val="26"/>
        </w:rPr>
        <w:t xml:space="preserve">Folin–Ciocalteu reagent (diluted 1:10) by </w:t>
      </w:r>
      <w:r>
        <w:rPr>
          <w:color w:val="000000"/>
          <w:sz w:val="24"/>
          <w:szCs w:val="26"/>
        </w:rPr>
        <w:t xml:space="preserve">Thermo Fisher, </w:t>
      </w:r>
      <w:r>
        <w:rPr>
          <w:rFonts w:eastAsia="Times New Roman"/>
          <w:color w:val="000000"/>
          <w:sz w:val="24"/>
          <w:szCs w:val="26"/>
        </w:rPr>
        <w:t xml:space="preserve">Sodium carbonate (7.5%) by </w:t>
      </w:r>
      <w:r>
        <w:rPr>
          <w:color w:val="000000"/>
          <w:sz w:val="24"/>
          <w:szCs w:val="26"/>
        </w:rPr>
        <w:t>Thermo Fisher.</w:t>
      </w:r>
    </w:p>
    <w:p w:rsidR="005F01BE" w:rsidRDefault="003E2C3A">
      <w:pPr>
        <w:spacing w:after="0" w:line="480" w:lineRule="auto"/>
        <w:jc w:val="both"/>
        <w:rPr>
          <w:b/>
          <w:bCs/>
          <w:color w:val="000000"/>
          <w:sz w:val="24"/>
          <w:szCs w:val="26"/>
        </w:rPr>
      </w:pPr>
      <w:r>
        <w:rPr>
          <w:b/>
          <w:bCs/>
          <w:color w:val="000000"/>
          <w:sz w:val="24"/>
          <w:szCs w:val="26"/>
        </w:rPr>
        <w:t xml:space="preserve">3.2 Methods </w:t>
      </w:r>
    </w:p>
    <w:p w:rsidR="005F01BE" w:rsidRDefault="003E2C3A">
      <w:pPr>
        <w:spacing w:after="0" w:line="480" w:lineRule="auto"/>
        <w:jc w:val="both"/>
        <w:rPr>
          <w:b/>
          <w:bCs/>
          <w:color w:val="000000"/>
          <w:sz w:val="24"/>
          <w:szCs w:val="26"/>
        </w:rPr>
      </w:pPr>
      <w:r>
        <w:rPr>
          <w:b/>
          <w:bCs/>
          <w:color w:val="000000"/>
          <w:sz w:val="24"/>
          <w:szCs w:val="26"/>
        </w:rPr>
        <w:t xml:space="preserve">3.2.1 Preparation of Plant Extract </w:t>
      </w:r>
    </w:p>
    <w:p w:rsidR="005F01BE" w:rsidRDefault="003E2C3A">
      <w:pPr>
        <w:spacing w:after="0" w:line="480" w:lineRule="auto"/>
        <w:ind w:firstLine="720"/>
        <w:jc w:val="both"/>
        <w:rPr>
          <w:color w:val="000000"/>
          <w:sz w:val="24"/>
          <w:szCs w:val="26"/>
        </w:rPr>
      </w:pPr>
      <w:r>
        <w:rPr>
          <w:color w:val="000000"/>
          <w:sz w:val="24"/>
          <w:szCs w:val="26"/>
        </w:rPr>
        <w:t xml:space="preserve">Fresh </w:t>
      </w:r>
      <w:r>
        <w:rPr>
          <w:i/>
          <w:color w:val="000000"/>
          <w:sz w:val="24"/>
          <w:szCs w:val="26"/>
        </w:rPr>
        <w:t>Sida Acuta</w:t>
      </w:r>
      <w:r>
        <w:rPr>
          <w:color w:val="000000"/>
          <w:sz w:val="24"/>
          <w:szCs w:val="26"/>
        </w:rPr>
        <w:t xml:space="preserve"> was collected and thoroughly washed, the plan</w:t>
      </w:r>
      <w:r>
        <w:rPr>
          <w:color w:val="000000"/>
          <w:sz w:val="24"/>
          <w:szCs w:val="26"/>
        </w:rPr>
        <w:t xml:space="preserve">t sample was dried at room low temperature for a week to avoid damage of active compounds present in </w:t>
      </w:r>
      <w:r>
        <w:rPr>
          <w:i/>
          <w:color w:val="000000"/>
          <w:sz w:val="24"/>
          <w:szCs w:val="26"/>
        </w:rPr>
        <w:t xml:space="preserve">Sida Acuta. </w:t>
      </w:r>
      <w:r>
        <w:rPr>
          <w:color w:val="000000"/>
          <w:sz w:val="24"/>
          <w:szCs w:val="26"/>
        </w:rPr>
        <w:t xml:space="preserve">500g of dried </w:t>
      </w:r>
      <w:r>
        <w:rPr>
          <w:i/>
          <w:color w:val="000000"/>
          <w:sz w:val="24"/>
          <w:szCs w:val="26"/>
        </w:rPr>
        <w:t>Sida Acuta</w:t>
      </w:r>
      <w:r>
        <w:rPr>
          <w:color w:val="000000"/>
          <w:sz w:val="24"/>
          <w:szCs w:val="26"/>
        </w:rPr>
        <w:t xml:space="preserve"> are blended into a fine powder using blender. The powdered </w:t>
      </w:r>
      <w:r>
        <w:rPr>
          <w:i/>
          <w:color w:val="000000"/>
          <w:sz w:val="24"/>
          <w:szCs w:val="26"/>
        </w:rPr>
        <w:t>Sida Acuta</w:t>
      </w:r>
      <w:r>
        <w:rPr>
          <w:color w:val="000000"/>
          <w:sz w:val="24"/>
          <w:szCs w:val="26"/>
        </w:rPr>
        <w:t xml:space="preserve"> was weighed into a suitable bowl and dissolved w</w:t>
      </w:r>
      <w:r>
        <w:rPr>
          <w:color w:val="000000"/>
          <w:sz w:val="24"/>
          <w:szCs w:val="26"/>
        </w:rPr>
        <w:t xml:space="preserve">ith 2.5mL of ethanol and the powdered </w:t>
      </w:r>
      <w:r>
        <w:rPr>
          <w:i/>
          <w:color w:val="000000"/>
          <w:sz w:val="24"/>
          <w:szCs w:val="26"/>
        </w:rPr>
        <w:t>Sida Acuta</w:t>
      </w:r>
      <w:r>
        <w:rPr>
          <w:color w:val="000000"/>
          <w:sz w:val="24"/>
          <w:szCs w:val="26"/>
        </w:rPr>
        <w:t xml:space="preserve"> was completely submerged in the ethanol. The mixture was macerate for a specific duration of 72 hours and the mixture was filtered using Whatman filter paper to remove the plant material.</w:t>
      </w:r>
    </w:p>
    <w:p w:rsidR="005F01BE" w:rsidRDefault="003E2C3A">
      <w:pPr>
        <w:spacing w:after="0" w:line="480" w:lineRule="auto"/>
        <w:jc w:val="both"/>
        <w:rPr>
          <w:color w:val="000000"/>
          <w:sz w:val="24"/>
          <w:szCs w:val="26"/>
        </w:rPr>
      </w:pPr>
      <w:r>
        <w:rPr>
          <w:color w:val="000000"/>
          <w:sz w:val="24"/>
          <w:szCs w:val="26"/>
        </w:rPr>
        <w:t>500g of blended stu</w:t>
      </w:r>
      <w:r>
        <w:rPr>
          <w:color w:val="000000"/>
          <w:sz w:val="24"/>
          <w:szCs w:val="26"/>
        </w:rPr>
        <w:t>bborn grass was weighed into a bowl and dissolved with 2.5mL of ethanol. The mixture was left for 72 hours, then the solution was filtered and left for concentration</w:t>
      </w:r>
    </w:p>
    <w:p w:rsidR="005F01BE" w:rsidRDefault="003E2C3A">
      <w:pPr>
        <w:spacing w:after="0" w:line="480" w:lineRule="auto"/>
        <w:jc w:val="both"/>
        <w:rPr>
          <w:b/>
          <w:bCs/>
          <w:color w:val="000000"/>
          <w:sz w:val="24"/>
          <w:szCs w:val="26"/>
        </w:rPr>
      </w:pPr>
      <w:r>
        <w:rPr>
          <w:b/>
          <w:bCs/>
          <w:color w:val="000000"/>
          <w:sz w:val="24"/>
          <w:szCs w:val="26"/>
        </w:rPr>
        <w:t xml:space="preserve">3.2.2 Determination of the weight of the Albino Rats </w:t>
      </w:r>
      <w:r>
        <w:rPr>
          <w:color w:val="000000"/>
          <w:sz w:val="24"/>
          <w:szCs w:val="26"/>
        </w:rPr>
        <w:t xml:space="preserve">. </w:t>
      </w:r>
    </w:p>
    <w:p w:rsidR="005F01BE" w:rsidRDefault="003E2C3A">
      <w:pPr>
        <w:pStyle w:val="NormalWeb"/>
        <w:spacing w:line="480" w:lineRule="auto"/>
        <w:ind w:firstLine="720"/>
        <w:jc w:val="both"/>
      </w:pPr>
      <w:r>
        <w:t>We divided fifty-two Wistar albino</w:t>
      </w:r>
      <w:r>
        <w:t xml:space="preserve"> rats into seven groups to investigate the effects of </w:t>
      </w:r>
      <w:r>
        <w:rPr>
          <w:rStyle w:val="Emphasis"/>
        </w:rPr>
        <w:t>Sida Acuta</w:t>
      </w:r>
      <w:r>
        <w:t xml:space="preserve"> on indomethacin-induced ulcerogenic rats. The groups consisted of a normal control group that received no treatment, an indomethacin only group serving as the ulcer control, and five treatmen</w:t>
      </w:r>
      <w:r>
        <w:t xml:space="preserve">t groups administered indomethacin followed by </w:t>
      </w:r>
      <w:r>
        <w:rPr>
          <w:rStyle w:val="Emphasis"/>
        </w:rPr>
        <w:t>Sida Acuta</w:t>
      </w:r>
      <w:r>
        <w:t xml:space="preserve"> extract at doses ranging from 100 to 800 milligrams per kilogram of body weight.</w:t>
      </w:r>
    </w:p>
    <w:p w:rsidR="005F01BE" w:rsidRDefault="003E2C3A">
      <w:pPr>
        <w:pStyle w:val="NormalWeb"/>
        <w:spacing w:line="480" w:lineRule="auto"/>
        <w:ind w:firstLine="720"/>
        <w:jc w:val="both"/>
      </w:pPr>
      <w:r>
        <w:lastRenderedPageBreak/>
        <w:t>We ensured the groups had similar average weights at the start of the experiment to eliminate initial weight disparit</w:t>
      </w:r>
      <w:r>
        <w:t>ies as a confounding factor. we recorded each rat’s weight weekly throughout the study to monitor changes over time and we compared the weights of the different groups over time to analyze differences in weight changes between groups. We recorded the resul</w:t>
      </w:r>
      <w:r>
        <w:t>ts and documented the average weight for each group at various time points to assess the impact of the treatments.</w:t>
      </w:r>
    </w:p>
    <w:p w:rsidR="005F01BE" w:rsidRDefault="003E2C3A">
      <w:pPr>
        <w:spacing w:after="0" w:line="480" w:lineRule="auto"/>
        <w:jc w:val="both"/>
        <w:rPr>
          <w:b/>
          <w:bCs/>
          <w:color w:val="000000"/>
          <w:sz w:val="24"/>
          <w:szCs w:val="26"/>
        </w:rPr>
      </w:pPr>
      <w:r>
        <w:rPr>
          <w:b/>
          <w:bCs/>
          <w:color w:val="000000"/>
          <w:sz w:val="24"/>
          <w:szCs w:val="26"/>
        </w:rPr>
        <w:t xml:space="preserve">3.2.3 Determination of Phytochemicals </w:t>
      </w:r>
    </w:p>
    <w:p w:rsidR="005F01BE" w:rsidRDefault="003E2C3A">
      <w:pPr>
        <w:spacing w:after="0" w:line="480" w:lineRule="auto"/>
        <w:jc w:val="both"/>
        <w:rPr>
          <w:b/>
          <w:bCs/>
          <w:color w:val="000000"/>
          <w:sz w:val="24"/>
          <w:szCs w:val="26"/>
        </w:rPr>
      </w:pPr>
      <w:r>
        <w:rPr>
          <w:b/>
          <w:bCs/>
          <w:color w:val="000000"/>
          <w:sz w:val="24"/>
          <w:szCs w:val="26"/>
        </w:rPr>
        <w:t xml:space="preserve">3.2.3.1 Determination of Saponins </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 xml:space="preserve">Gravimetric Method </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 xml:space="preserve">One gram (1g) of dry extract was weighed and </w:t>
      </w:r>
      <w:r>
        <w:rPr>
          <w:rFonts w:eastAsia="Times New Roman"/>
          <w:color w:val="000000"/>
          <w:sz w:val="24"/>
          <w:szCs w:val="26"/>
        </w:rPr>
        <w:t>boil in 100 mL of 20% ethanol for 30 minutes. Filter and re-extract the residue twice using 20% ethanol. The filtrates were combined and evaporate to dryness. Dry residue in a desiccator and weigh. The weight corresponds to total saponin content.</w:t>
      </w:r>
    </w:p>
    <w:p w:rsidR="005F01BE" w:rsidRDefault="003E2C3A">
      <w:pPr>
        <w:spacing w:after="0" w:line="480" w:lineRule="auto"/>
        <w:jc w:val="both"/>
        <w:rPr>
          <w:b/>
          <w:bCs/>
          <w:color w:val="000000"/>
          <w:sz w:val="24"/>
          <w:szCs w:val="26"/>
        </w:rPr>
      </w:pPr>
      <w:r>
        <w:rPr>
          <w:b/>
          <w:bCs/>
          <w:color w:val="000000"/>
          <w:sz w:val="24"/>
          <w:szCs w:val="26"/>
        </w:rPr>
        <w:t>3.2.3.2 D</w:t>
      </w:r>
      <w:r>
        <w:rPr>
          <w:b/>
          <w:bCs/>
          <w:color w:val="000000"/>
          <w:sz w:val="24"/>
          <w:szCs w:val="26"/>
        </w:rPr>
        <w:t xml:space="preserve">etermination of Tannins </w:t>
      </w:r>
    </w:p>
    <w:p w:rsidR="005F01BE" w:rsidRDefault="003E2C3A">
      <w:pPr>
        <w:spacing w:after="0" w:line="480" w:lineRule="auto"/>
        <w:ind w:firstLine="720"/>
        <w:jc w:val="both"/>
        <w:rPr>
          <w:bCs/>
          <w:color w:val="000000"/>
          <w:sz w:val="24"/>
          <w:szCs w:val="26"/>
        </w:rPr>
      </w:pPr>
      <w:r>
        <w:rPr>
          <w:bCs/>
          <w:color w:val="000000"/>
          <w:sz w:val="24"/>
          <w:szCs w:val="26"/>
        </w:rPr>
        <w:t>The extract (1g) was weighed and boiled in 100 mL of 20% ethanol for 30 minutes. The solution was filtered and the residue was re-extracted twice using 20% ethanol. The filtrates were evaporated to dryness in a desiccator and weigh</w:t>
      </w:r>
      <w:r>
        <w:rPr>
          <w:bCs/>
          <w:color w:val="000000"/>
          <w:sz w:val="24"/>
          <w:szCs w:val="26"/>
        </w:rPr>
        <w:t>ed. The weight is corresponded to Total Saponin content present in the sample. This method is Folin-Denis method.</w:t>
      </w:r>
    </w:p>
    <w:p w:rsidR="005F01BE" w:rsidRDefault="003E2C3A">
      <w:pPr>
        <w:spacing w:after="0" w:line="480" w:lineRule="auto"/>
        <w:jc w:val="both"/>
        <w:rPr>
          <w:b/>
          <w:bCs/>
          <w:color w:val="000000"/>
          <w:sz w:val="24"/>
          <w:szCs w:val="26"/>
        </w:rPr>
      </w:pPr>
      <w:r>
        <w:rPr>
          <w:b/>
          <w:bCs/>
          <w:color w:val="000000"/>
          <w:sz w:val="24"/>
          <w:szCs w:val="26"/>
        </w:rPr>
        <w:lastRenderedPageBreak/>
        <w:t>3.2.3.3 Determination of Flavonoids</w:t>
      </w:r>
    </w:p>
    <w:p w:rsidR="005F01BE" w:rsidRDefault="003E2C3A">
      <w:pPr>
        <w:spacing w:after="0" w:line="480" w:lineRule="auto"/>
        <w:ind w:firstLine="720"/>
        <w:jc w:val="both"/>
        <w:rPr>
          <w:color w:val="000000"/>
          <w:sz w:val="24"/>
          <w:szCs w:val="26"/>
        </w:rPr>
      </w:pPr>
      <w:r>
        <w:rPr>
          <w:color w:val="000000"/>
          <w:sz w:val="24"/>
          <w:szCs w:val="26"/>
        </w:rPr>
        <w:t>The procedure stated that 1 mL of extract should be mixed with 1 mL of 2% AlCl</w:t>
      </w:r>
      <w:r>
        <w:rPr>
          <w:rFonts w:ascii="Cambria Math" w:hAnsi="Cambria Math" w:cs="Cambria Math"/>
          <w:color w:val="000000"/>
          <w:sz w:val="24"/>
          <w:szCs w:val="26"/>
        </w:rPr>
        <w:t>₃</w:t>
      </w:r>
      <w:r>
        <w:rPr>
          <w:color w:val="000000"/>
          <w:sz w:val="24"/>
          <w:szCs w:val="26"/>
        </w:rPr>
        <w:t xml:space="preserve"> in methanol, followed by i</w:t>
      </w:r>
      <w:r>
        <w:rPr>
          <w:color w:val="000000"/>
          <w:sz w:val="24"/>
          <w:szCs w:val="26"/>
        </w:rPr>
        <w:t>ncubation for 10 minutes at room temperature. Absorbance was then to be measured at 415 nm, using a quercetin standard curve for quantification. It was noted that this method is based on the Folin-Ciocalteu Method.</w:t>
      </w:r>
    </w:p>
    <w:p w:rsidR="005F01BE" w:rsidRDefault="003E2C3A">
      <w:pPr>
        <w:spacing w:after="0" w:line="480" w:lineRule="auto"/>
        <w:jc w:val="both"/>
        <w:rPr>
          <w:b/>
          <w:bCs/>
          <w:color w:val="000000"/>
          <w:sz w:val="24"/>
          <w:szCs w:val="26"/>
        </w:rPr>
      </w:pPr>
      <w:r>
        <w:rPr>
          <w:b/>
          <w:bCs/>
          <w:color w:val="000000"/>
          <w:sz w:val="24"/>
          <w:szCs w:val="26"/>
        </w:rPr>
        <w:t>3.2.3.4 Determination of Phenols</w:t>
      </w:r>
    </w:p>
    <w:p w:rsidR="005F01BE" w:rsidRDefault="003E2C3A">
      <w:pPr>
        <w:spacing w:after="160" w:line="480" w:lineRule="auto"/>
        <w:ind w:firstLine="720"/>
        <w:jc w:val="both"/>
        <w:rPr>
          <w:color w:val="000000"/>
          <w:sz w:val="24"/>
        </w:rPr>
      </w:pPr>
      <w:r>
        <w:rPr>
          <w:color w:val="000000"/>
          <w:sz w:val="24"/>
        </w:rPr>
        <w:t>The meth</w:t>
      </w:r>
      <w:r>
        <w:rPr>
          <w:color w:val="000000"/>
          <w:sz w:val="24"/>
        </w:rPr>
        <w:t>od described that 1 mL of the sample was to be mixed with 5 mL of Folin–Ciocalteu reagent diluted at a ratio of 1:10. After 5 minutes, 4 mL of 7.5% sodium carbonate was to be added. The mixture was then incubated for 30 minutes at room temperature, and the</w:t>
      </w:r>
      <w:r>
        <w:rPr>
          <w:color w:val="000000"/>
          <w:sz w:val="24"/>
        </w:rPr>
        <w:t xml:space="preserve"> absorbance was measured at 765 nm. Gallic acid was used as the standard for quantification. It was noted that this procedure followed the Folin-Ciocalteu method.</w:t>
      </w:r>
    </w:p>
    <w:p w:rsidR="005F01BE" w:rsidRDefault="003E2C3A">
      <w:pPr>
        <w:spacing w:after="0" w:line="480" w:lineRule="auto"/>
        <w:jc w:val="both"/>
        <w:rPr>
          <w:b/>
          <w:bCs/>
          <w:color w:val="000000"/>
          <w:sz w:val="24"/>
          <w:szCs w:val="26"/>
        </w:rPr>
      </w:pPr>
      <w:r>
        <w:rPr>
          <w:b/>
          <w:bCs/>
          <w:color w:val="000000"/>
          <w:sz w:val="24"/>
          <w:szCs w:val="26"/>
        </w:rPr>
        <w:t xml:space="preserve">3.2.3.5 Determination of Glucosides </w:t>
      </w:r>
    </w:p>
    <w:p w:rsidR="005F01BE" w:rsidRDefault="003E2C3A">
      <w:pPr>
        <w:spacing w:after="0" w:line="480" w:lineRule="auto"/>
        <w:ind w:firstLine="720"/>
        <w:jc w:val="both"/>
        <w:rPr>
          <w:color w:val="000000"/>
          <w:sz w:val="24"/>
          <w:szCs w:val="26"/>
        </w:rPr>
      </w:pPr>
      <w:r>
        <w:rPr>
          <w:color w:val="000000"/>
          <w:sz w:val="24"/>
          <w:szCs w:val="26"/>
        </w:rPr>
        <w:t>The procedure stated that 2 mL of glacial acetic acid co</w:t>
      </w:r>
      <w:r>
        <w:rPr>
          <w:color w:val="000000"/>
          <w:sz w:val="24"/>
          <w:szCs w:val="26"/>
        </w:rPr>
        <w:t>ntaining a drop of FeCl</w:t>
      </w:r>
      <w:r>
        <w:rPr>
          <w:rFonts w:ascii="Cambria Math" w:hAnsi="Cambria Math" w:cs="Cambria Math"/>
          <w:color w:val="000000"/>
          <w:sz w:val="24"/>
          <w:szCs w:val="26"/>
        </w:rPr>
        <w:t>₃</w:t>
      </w:r>
      <w:r>
        <w:rPr>
          <w:color w:val="000000"/>
          <w:sz w:val="24"/>
          <w:szCs w:val="26"/>
        </w:rPr>
        <w:t xml:space="preserve"> was to be added to 1 mL of the extract. Then, 1 mL of concentrated H</w:t>
      </w:r>
      <w:r>
        <w:rPr>
          <w:rFonts w:ascii="Cambria Math" w:hAnsi="Cambria Math" w:cs="Cambria Math"/>
          <w:color w:val="000000"/>
          <w:sz w:val="24"/>
          <w:szCs w:val="26"/>
        </w:rPr>
        <w:t>₂</w:t>
      </w:r>
      <w:r>
        <w:rPr>
          <w:color w:val="000000"/>
          <w:sz w:val="24"/>
          <w:szCs w:val="26"/>
        </w:rPr>
        <w:t>SO</w:t>
      </w:r>
      <w:r>
        <w:rPr>
          <w:rFonts w:ascii="Cambria Math" w:hAnsi="Cambria Math" w:cs="Cambria Math"/>
          <w:color w:val="000000"/>
          <w:sz w:val="24"/>
          <w:szCs w:val="26"/>
        </w:rPr>
        <w:t>₄</w:t>
      </w:r>
      <w:r>
        <w:rPr>
          <w:color w:val="000000"/>
          <w:sz w:val="24"/>
          <w:szCs w:val="26"/>
        </w:rPr>
        <w:t xml:space="preserve"> was to be carefully added down the side of the test tube. It was noted that the formation of a brown ring at the interface indicated the presence of deoxysuga</w:t>
      </w:r>
      <w:r>
        <w:rPr>
          <w:color w:val="000000"/>
          <w:sz w:val="24"/>
          <w:szCs w:val="26"/>
        </w:rPr>
        <w:t>rs in cardiac glycosides.</w:t>
      </w:r>
    </w:p>
    <w:p w:rsidR="005F01BE" w:rsidRDefault="003E2C3A">
      <w:pPr>
        <w:spacing w:after="0" w:line="480" w:lineRule="auto"/>
        <w:jc w:val="both"/>
        <w:rPr>
          <w:b/>
          <w:bCs/>
          <w:color w:val="000000"/>
          <w:sz w:val="24"/>
          <w:szCs w:val="26"/>
        </w:rPr>
      </w:pPr>
      <w:r>
        <w:rPr>
          <w:b/>
          <w:bCs/>
          <w:color w:val="000000"/>
          <w:sz w:val="24"/>
          <w:szCs w:val="26"/>
        </w:rPr>
        <w:t xml:space="preserve">3.2.4 Proximate analysis </w:t>
      </w:r>
    </w:p>
    <w:p w:rsidR="005F01BE" w:rsidRDefault="003E2C3A">
      <w:pPr>
        <w:spacing w:after="0" w:line="480" w:lineRule="auto"/>
        <w:jc w:val="both"/>
        <w:rPr>
          <w:color w:val="000000"/>
          <w:sz w:val="24"/>
          <w:szCs w:val="26"/>
        </w:rPr>
      </w:pPr>
      <w:r>
        <w:rPr>
          <w:color w:val="000000"/>
          <w:sz w:val="24"/>
          <w:szCs w:val="26"/>
        </w:rPr>
        <w:t>3</w:t>
      </w:r>
      <w:r>
        <w:rPr>
          <w:b/>
          <w:bCs/>
          <w:color w:val="000000"/>
          <w:sz w:val="24"/>
          <w:szCs w:val="26"/>
        </w:rPr>
        <w:t>.2.4.1 Determination of Moisture Content</w:t>
      </w:r>
      <w:r>
        <w:rPr>
          <w:color w:val="000000"/>
          <w:sz w:val="24"/>
          <w:szCs w:val="26"/>
        </w:rPr>
        <w:t xml:space="preserve"> </w:t>
      </w:r>
    </w:p>
    <w:p w:rsidR="005F01BE" w:rsidRDefault="003E2C3A">
      <w:pPr>
        <w:spacing w:after="0" w:line="480" w:lineRule="auto"/>
        <w:jc w:val="both"/>
        <w:rPr>
          <w:color w:val="000000"/>
          <w:sz w:val="24"/>
          <w:szCs w:val="26"/>
        </w:rPr>
      </w:pPr>
      <w:r>
        <w:rPr>
          <w:color w:val="000000"/>
          <w:sz w:val="24"/>
          <w:szCs w:val="26"/>
        </w:rPr>
        <w:t>Moisture is determined by the loss in weight that occurs when a sample is dried to a constant weight in an oven.</w:t>
      </w:r>
    </w:p>
    <w:p w:rsidR="005F01BE" w:rsidRDefault="003E2C3A">
      <w:pPr>
        <w:spacing w:after="0" w:line="480" w:lineRule="auto"/>
        <w:jc w:val="both"/>
        <w:rPr>
          <w:color w:val="000000"/>
          <w:sz w:val="24"/>
          <w:szCs w:val="26"/>
        </w:rPr>
      </w:pPr>
      <w:r>
        <w:rPr>
          <w:color w:val="000000"/>
          <w:sz w:val="24"/>
          <w:szCs w:val="26"/>
        </w:rPr>
        <w:lastRenderedPageBreak/>
        <w:t xml:space="preserve">About 2g of a </w:t>
      </w:r>
      <w:r>
        <w:rPr>
          <w:i/>
          <w:color w:val="000000"/>
          <w:sz w:val="24"/>
          <w:szCs w:val="26"/>
        </w:rPr>
        <w:t>Sida Acuta</w:t>
      </w:r>
      <w:r>
        <w:rPr>
          <w:color w:val="000000"/>
          <w:sz w:val="24"/>
          <w:szCs w:val="26"/>
        </w:rPr>
        <w:t xml:space="preserve"> sample was weighed into a silica dish previously dried and weighed. The sample was then dried in an oven for 65°C for 36 hours, cool in a desiccator and weighed. The drying and weighing continued until a constant weight was achieved.</w:t>
      </w:r>
    </w:p>
    <w:p w:rsidR="005F01BE" w:rsidRDefault="003E2C3A">
      <w:pPr>
        <w:spacing w:after="0" w:line="480" w:lineRule="auto"/>
        <w:jc w:val="both"/>
        <w:rPr>
          <w:rFonts w:eastAsia="SimSun"/>
          <w:color w:val="000000"/>
          <w:sz w:val="24"/>
          <w:szCs w:val="26"/>
          <w:lang w:val="fr-FR"/>
        </w:rPr>
      </w:pPr>
      <w:r>
        <w:rPr>
          <w:rFonts w:eastAsia="SimSun"/>
          <w:color w:val="000000"/>
          <w:sz w:val="24"/>
          <w:szCs w:val="26"/>
          <w:lang w:val="fr-FR"/>
        </w:rPr>
        <w:t xml:space="preserve">%Moisture = </w:t>
      </w:r>
      <m:oMath>
        <m:f>
          <m:fPr>
            <m:ctrlPr>
              <w:rPr>
                <w:rFonts w:ascii="Cambria Math" w:hAnsi="Cambria Math"/>
                <w:i/>
                <w:color w:val="000000"/>
                <w:sz w:val="24"/>
                <w:szCs w:val="26"/>
              </w:rPr>
            </m:ctrlPr>
          </m:fPr>
          <m:num>
            <m:r>
              <m:rPr>
                <m:sty m:val="p"/>
              </m:rPr>
              <w:rPr>
                <w:rFonts w:ascii="Cambria Math" w:hAnsi="Cambria Math"/>
                <w:color w:val="000000"/>
                <w:sz w:val="24"/>
                <w:szCs w:val="26"/>
                <w:lang w:val="fr-FR"/>
              </w:rPr>
              <m:t>Wt of sample + dish before drying- wt of sample+ dish after drying</m:t>
            </m:r>
          </m:num>
          <m:den>
            <m:r>
              <w:rPr>
                <w:rFonts w:ascii="Cambria Math" w:hAnsi="Cambria Math"/>
                <w:color w:val="000000"/>
                <w:sz w:val="24"/>
                <w:szCs w:val="26"/>
              </w:rPr>
              <m:t>Wt</m:t>
            </m:r>
            <m:r>
              <w:rPr>
                <w:rFonts w:ascii="Cambria Math" w:hAnsi="Cambria Math"/>
                <w:color w:val="000000"/>
                <w:sz w:val="24"/>
                <w:szCs w:val="26"/>
                <w:lang w:val="fr-FR"/>
              </w:rPr>
              <m:t xml:space="preserve"> </m:t>
            </m:r>
            <m:r>
              <w:rPr>
                <w:rFonts w:ascii="Cambria Math" w:hAnsi="Cambria Math"/>
                <w:color w:val="000000"/>
                <w:sz w:val="24"/>
                <w:szCs w:val="26"/>
              </w:rPr>
              <m:t>of</m:t>
            </m:r>
            <m:r>
              <w:rPr>
                <w:rFonts w:ascii="Cambria Math" w:hAnsi="Cambria Math"/>
                <w:color w:val="000000"/>
                <w:sz w:val="24"/>
                <w:szCs w:val="26"/>
                <w:lang w:val="fr-FR"/>
              </w:rPr>
              <m:t xml:space="preserve"> </m:t>
            </m:r>
            <m:r>
              <w:rPr>
                <w:rFonts w:ascii="Cambria Math" w:hAnsi="Cambria Math"/>
                <w:color w:val="000000"/>
                <w:sz w:val="24"/>
                <w:szCs w:val="26"/>
              </w:rPr>
              <m:t>sample</m:t>
            </m:r>
            <m:r>
              <w:rPr>
                <w:rFonts w:ascii="Cambria Math" w:hAnsi="Cambria Math"/>
                <w:color w:val="000000"/>
                <w:sz w:val="24"/>
                <w:szCs w:val="26"/>
                <w:lang w:val="fr-FR"/>
              </w:rPr>
              <m:t xml:space="preserve"> </m:t>
            </m:r>
            <m:r>
              <w:rPr>
                <w:rFonts w:ascii="Cambria Math" w:hAnsi="Cambria Math"/>
                <w:color w:val="000000"/>
                <w:sz w:val="24"/>
                <w:szCs w:val="26"/>
              </w:rPr>
              <m:t>taken</m:t>
            </m:r>
            <m:r>
              <w:rPr>
                <w:rFonts w:ascii="Cambria Math" w:hAnsi="Cambria Math"/>
                <w:color w:val="000000"/>
                <w:sz w:val="24"/>
                <w:szCs w:val="26"/>
                <w:lang w:val="fr-FR"/>
              </w:rPr>
              <m:t xml:space="preserve"> </m:t>
            </m:r>
          </m:den>
        </m:f>
      </m:oMath>
      <w:r>
        <w:rPr>
          <w:color w:val="000000"/>
          <w:sz w:val="24"/>
          <w:szCs w:val="26"/>
          <w:lang w:val="fr-FR"/>
        </w:rPr>
        <w:t>x100</w:t>
      </w:r>
    </w:p>
    <w:p w:rsidR="005F01BE" w:rsidRDefault="003E2C3A">
      <w:pPr>
        <w:spacing w:after="0" w:line="480" w:lineRule="auto"/>
        <w:jc w:val="both"/>
        <w:rPr>
          <w:color w:val="000000"/>
          <w:sz w:val="24"/>
          <w:szCs w:val="26"/>
        </w:rPr>
      </w:pPr>
      <w:r>
        <w:rPr>
          <w:color w:val="000000"/>
          <w:sz w:val="24"/>
          <w:szCs w:val="26"/>
        </w:rPr>
        <w:t>Since the water content of feed varied widely, ingredients and feed are usually compared for their nutrient content on moisture free or dry matter (DM)</w:t>
      </w:r>
    </w:p>
    <w:p w:rsidR="005F01BE" w:rsidRDefault="003E2C3A">
      <w:pPr>
        <w:spacing w:after="0" w:line="480" w:lineRule="auto"/>
        <w:jc w:val="both"/>
        <w:rPr>
          <w:color w:val="000000"/>
          <w:sz w:val="24"/>
          <w:szCs w:val="26"/>
        </w:rPr>
      </w:pPr>
      <w:r>
        <w:rPr>
          <w:color w:val="000000"/>
          <w:sz w:val="24"/>
          <w:szCs w:val="26"/>
        </w:rPr>
        <w:t xml:space="preserve">basis. </w:t>
      </w:r>
    </w:p>
    <w:p w:rsidR="005F01BE" w:rsidRDefault="003E2C3A">
      <w:pPr>
        <w:spacing w:after="0" w:line="480" w:lineRule="auto"/>
        <w:jc w:val="both"/>
        <w:rPr>
          <w:color w:val="000000"/>
          <w:sz w:val="24"/>
          <w:szCs w:val="26"/>
        </w:rPr>
      </w:pPr>
      <w:r>
        <w:rPr>
          <w:color w:val="000000"/>
          <w:sz w:val="24"/>
          <w:szCs w:val="26"/>
        </w:rPr>
        <w:t>%DM=100 - %Moisture.</w:t>
      </w:r>
    </w:p>
    <w:p w:rsidR="005F01BE" w:rsidRDefault="003E2C3A">
      <w:pPr>
        <w:spacing w:after="0" w:line="480" w:lineRule="auto"/>
        <w:jc w:val="both"/>
        <w:rPr>
          <w:color w:val="000000"/>
          <w:sz w:val="24"/>
          <w:szCs w:val="26"/>
        </w:rPr>
      </w:pPr>
      <w:r>
        <w:rPr>
          <w:b/>
          <w:bCs/>
          <w:color w:val="000000"/>
          <w:sz w:val="24"/>
          <w:szCs w:val="26"/>
        </w:rPr>
        <w:t xml:space="preserve">3.2.4.2 Determination of crude protein </w:t>
      </w:r>
    </w:p>
    <w:p w:rsidR="005F01BE" w:rsidRDefault="003E2C3A">
      <w:pPr>
        <w:spacing w:after="0" w:line="480" w:lineRule="auto"/>
        <w:jc w:val="both"/>
        <w:rPr>
          <w:color w:val="000000"/>
          <w:sz w:val="24"/>
          <w:szCs w:val="26"/>
        </w:rPr>
      </w:pPr>
      <w:r>
        <w:rPr>
          <w:color w:val="000000"/>
          <w:sz w:val="24"/>
          <w:szCs w:val="26"/>
        </w:rPr>
        <w:t>Crude protein was determined by measuring the nitrogen content of the feed and multiplying it by a factor of 6.25. This factor is based on the fact that most protein contains 16% nitroge</w:t>
      </w:r>
      <w:r>
        <w:rPr>
          <w:color w:val="000000"/>
          <w:sz w:val="24"/>
          <w:szCs w:val="26"/>
        </w:rPr>
        <w:t>n. Crude protein is determined by kjeldahl method. The method involves: Digestion, Distillation and Titration.</w:t>
      </w:r>
    </w:p>
    <w:p w:rsidR="005F01BE" w:rsidRDefault="003E2C3A">
      <w:pPr>
        <w:spacing w:after="0" w:line="480" w:lineRule="auto"/>
        <w:jc w:val="both"/>
        <w:rPr>
          <w:color w:val="000000"/>
          <w:sz w:val="24"/>
          <w:szCs w:val="26"/>
        </w:rPr>
      </w:pPr>
      <w:r>
        <w:rPr>
          <w:b/>
          <w:bCs/>
          <w:color w:val="000000"/>
          <w:sz w:val="24"/>
          <w:szCs w:val="26"/>
        </w:rPr>
        <w:t>Digestion:</w:t>
      </w:r>
      <w:r>
        <w:rPr>
          <w:color w:val="000000"/>
          <w:sz w:val="24"/>
          <w:szCs w:val="26"/>
        </w:rPr>
        <w:t xml:space="preserve"> About 2 g of the sample was weighed into kjeldahl flask and 25 ml of concentrated sulphuric acid, 0.5g of copper sulphate 5 g of sodiu</w:t>
      </w:r>
      <w:r>
        <w:rPr>
          <w:color w:val="000000"/>
          <w:sz w:val="24"/>
          <w:szCs w:val="26"/>
        </w:rPr>
        <w:t xml:space="preserve">m sulphate and a speck of selenium tablet were added. Heat in a fume cupboard was applied slowly at first to prevent undue frothing, digestion continued for 45 minutes until the digester became clear pale green. It was left until completely cooled and 250 </w:t>
      </w:r>
      <w:r>
        <w:rPr>
          <w:color w:val="000000"/>
          <w:sz w:val="24"/>
          <w:szCs w:val="26"/>
        </w:rPr>
        <w:t>ml of distilled water was rapidly added. The digestion flask was rinsed 2-3</w:t>
      </w:r>
    </w:p>
    <w:p w:rsidR="005F01BE" w:rsidRDefault="003E2C3A">
      <w:pPr>
        <w:spacing w:after="0" w:line="480" w:lineRule="auto"/>
        <w:jc w:val="both"/>
        <w:rPr>
          <w:color w:val="000000"/>
          <w:sz w:val="24"/>
          <w:szCs w:val="26"/>
        </w:rPr>
      </w:pPr>
      <w:r>
        <w:rPr>
          <w:color w:val="000000"/>
          <w:sz w:val="24"/>
          <w:szCs w:val="26"/>
        </w:rPr>
        <w:t xml:space="preserve">times and the rinsing was added to the bulk. </w:t>
      </w:r>
    </w:p>
    <w:p w:rsidR="005F01BE" w:rsidRDefault="003E2C3A">
      <w:pPr>
        <w:spacing w:after="0" w:line="480" w:lineRule="auto"/>
        <w:jc w:val="both"/>
        <w:rPr>
          <w:color w:val="000000"/>
          <w:sz w:val="24"/>
          <w:szCs w:val="26"/>
        </w:rPr>
      </w:pPr>
      <w:r>
        <w:rPr>
          <w:b/>
          <w:bCs/>
          <w:color w:val="000000"/>
          <w:sz w:val="24"/>
          <w:szCs w:val="26"/>
        </w:rPr>
        <w:lastRenderedPageBreak/>
        <w:t>Distillation:</w:t>
      </w:r>
      <w:r>
        <w:rPr>
          <w:color w:val="000000"/>
          <w:sz w:val="24"/>
          <w:szCs w:val="26"/>
        </w:rPr>
        <w:t xml:space="preserve"> "Markham distillation apparathus was used for distillation. The distillation apparatus was steamed up and about 10 ml of</w:t>
      </w:r>
      <w:r>
        <w:rPr>
          <w:color w:val="000000"/>
          <w:sz w:val="24"/>
          <w:szCs w:val="26"/>
        </w:rPr>
        <w:t xml:space="preserve"> the digest was added</w:t>
      </w:r>
    </w:p>
    <w:p w:rsidR="005F01BE" w:rsidRDefault="003E2C3A">
      <w:pPr>
        <w:spacing w:after="0" w:line="480" w:lineRule="auto"/>
        <w:jc w:val="both"/>
        <w:rPr>
          <w:color w:val="000000"/>
          <w:sz w:val="24"/>
          <w:szCs w:val="26"/>
        </w:rPr>
      </w:pPr>
      <w:r>
        <w:rPr>
          <w:color w:val="000000"/>
          <w:sz w:val="24"/>
          <w:szCs w:val="26"/>
        </w:rPr>
        <w:t>into, the apparatus via a funnel and allowed to boil. 10 ml of sodium hydroxide was added from the measuring cylinder so that ammonia was not lost. It</w:t>
      </w:r>
    </w:p>
    <w:p w:rsidR="005F01BE" w:rsidRDefault="003E2C3A">
      <w:pPr>
        <w:spacing w:after="0" w:line="480" w:lineRule="auto"/>
        <w:jc w:val="both"/>
        <w:rPr>
          <w:color w:val="000000"/>
          <w:sz w:val="24"/>
          <w:szCs w:val="26"/>
        </w:rPr>
      </w:pPr>
      <w:r>
        <w:rPr>
          <w:color w:val="000000"/>
          <w:sz w:val="24"/>
          <w:szCs w:val="26"/>
        </w:rPr>
        <w:t>was distilled into 50 ml of 2% boric acid containing screened methyl red indicator.</w:t>
      </w:r>
    </w:p>
    <w:p w:rsidR="005F01BE" w:rsidRDefault="003E2C3A">
      <w:pPr>
        <w:spacing w:after="0" w:line="480" w:lineRule="auto"/>
        <w:jc w:val="both"/>
        <w:rPr>
          <w:color w:val="000000"/>
          <w:sz w:val="24"/>
          <w:szCs w:val="26"/>
        </w:rPr>
      </w:pPr>
      <w:r>
        <w:rPr>
          <w:b/>
          <w:bCs/>
          <w:color w:val="000000"/>
          <w:sz w:val="24"/>
          <w:szCs w:val="26"/>
        </w:rPr>
        <w:t>Titration:</w:t>
      </w:r>
      <w:r>
        <w:rPr>
          <w:color w:val="000000"/>
          <w:sz w:val="24"/>
          <w:szCs w:val="26"/>
        </w:rPr>
        <w:t xml:space="preserve"> the alkaline ammonium borate formed was titrated directly with O. IN HCI. The titre value which was the volume of acid used was recorded. The</w:t>
      </w:r>
    </w:p>
    <w:p w:rsidR="005F01BE" w:rsidRDefault="003E2C3A">
      <w:pPr>
        <w:spacing w:after="0" w:line="480" w:lineRule="auto"/>
        <w:jc w:val="both"/>
        <w:rPr>
          <w:color w:val="000000"/>
          <w:sz w:val="24"/>
          <w:szCs w:val="26"/>
        </w:rPr>
      </w:pPr>
      <w:r>
        <w:rPr>
          <w:color w:val="000000"/>
          <w:sz w:val="24"/>
          <w:szCs w:val="26"/>
        </w:rPr>
        <w:t xml:space="preserve">volume of acid used was fitted into the formula which became: </w:t>
      </w:r>
    </w:p>
    <w:p w:rsidR="005F01BE" w:rsidRDefault="003E2C3A">
      <w:pPr>
        <w:spacing w:after="0" w:line="480" w:lineRule="auto"/>
        <w:jc w:val="both"/>
        <w:rPr>
          <w:rFonts w:eastAsia="SimSun"/>
          <w:color w:val="000000"/>
          <w:sz w:val="24"/>
          <w:szCs w:val="26"/>
          <w:lang w:val="fr-FR"/>
        </w:rPr>
      </w:pPr>
      <w:r>
        <w:rPr>
          <w:color w:val="000000"/>
          <w:sz w:val="24"/>
          <w:szCs w:val="26"/>
          <w:lang w:val="fr-FR"/>
        </w:rPr>
        <w:t xml:space="preserve">%N = </w:t>
      </w:r>
      <m:oMath>
        <m:f>
          <m:fPr>
            <m:ctrlPr>
              <w:rPr>
                <w:rFonts w:ascii="Cambria Math" w:hAnsi="Cambria Math"/>
                <w:i/>
                <w:color w:val="000000"/>
                <w:sz w:val="24"/>
                <w:szCs w:val="26"/>
              </w:rPr>
            </m:ctrlPr>
          </m:fPr>
          <m:num>
            <m:r>
              <w:rPr>
                <w:rFonts w:ascii="Cambria Math" w:hAnsi="Cambria Math"/>
                <w:color w:val="000000"/>
                <w:sz w:val="24"/>
                <w:szCs w:val="26"/>
                <w:lang w:val="fr-FR"/>
              </w:rPr>
              <m:t xml:space="preserve">14× </m:t>
            </m:r>
            <m:r>
              <w:rPr>
                <w:rFonts w:ascii="Cambria Math" w:hAnsi="Cambria Math"/>
                <w:color w:val="000000"/>
                <w:sz w:val="24"/>
                <w:szCs w:val="26"/>
              </w:rPr>
              <m:t>VA</m:t>
            </m:r>
            <m:r>
              <w:rPr>
                <w:rFonts w:ascii="Cambria Math" w:hAnsi="Cambria Math"/>
                <w:color w:val="000000"/>
                <w:sz w:val="24"/>
                <w:szCs w:val="26"/>
                <w:lang w:val="fr-FR"/>
              </w:rPr>
              <m:t xml:space="preserve"> ×0.1 ×</m:t>
            </m:r>
            <m:r>
              <w:rPr>
                <w:rFonts w:ascii="Cambria Math" w:hAnsi="Cambria Math"/>
                <w:color w:val="000000"/>
                <w:sz w:val="24"/>
                <w:szCs w:val="26"/>
              </w:rPr>
              <m:t>w</m:t>
            </m:r>
            <m:r>
              <w:rPr>
                <w:rFonts w:ascii="Cambria Math" w:hAnsi="Cambria Math"/>
                <w:color w:val="000000"/>
                <w:sz w:val="24"/>
                <w:szCs w:val="26"/>
                <w:lang w:val="fr-FR"/>
              </w:rPr>
              <m:t xml:space="preserve"> ×100</m:t>
            </m:r>
          </m:num>
          <m:den>
            <m:r>
              <w:rPr>
                <w:rFonts w:ascii="Cambria Math" w:hAnsi="Cambria Math"/>
                <w:color w:val="000000"/>
                <w:sz w:val="24"/>
                <w:szCs w:val="26"/>
                <w:lang w:val="fr-FR"/>
              </w:rPr>
              <m:t>1000 ×100</m:t>
            </m:r>
          </m:den>
        </m:f>
      </m:oMath>
    </w:p>
    <w:p w:rsidR="005F01BE" w:rsidRDefault="003E2C3A">
      <w:pPr>
        <w:spacing w:after="0" w:line="480" w:lineRule="auto"/>
        <w:jc w:val="both"/>
        <w:rPr>
          <w:color w:val="000000"/>
          <w:sz w:val="24"/>
          <w:szCs w:val="26"/>
          <w:lang w:val="fr-FR"/>
        </w:rPr>
      </w:pPr>
      <w:r>
        <w:rPr>
          <w:color w:val="000000"/>
          <w:sz w:val="24"/>
          <w:szCs w:val="26"/>
          <w:lang w:val="fr-FR"/>
        </w:rPr>
        <w:t>%crude protein = %N x 6.25</w:t>
      </w:r>
    </w:p>
    <w:p w:rsidR="005F01BE" w:rsidRDefault="003E2C3A">
      <w:pPr>
        <w:spacing w:after="0" w:line="480" w:lineRule="auto"/>
        <w:jc w:val="both"/>
        <w:rPr>
          <w:b/>
          <w:bCs/>
          <w:color w:val="000000"/>
          <w:sz w:val="24"/>
          <w:szCs w:val="26"/>
        </w:rPr>
      </w:pPr>
      <w:r>
        <w:rPr>
          <w:b/>
          <w:bCs/>
          <w:color w:val="000000"/>
          <w:sz w:val="24"/>
          <w:szCs w:val="26"/>
        </w:rPr>
        <w:t>Where;</w:t>
      </w:r>
    </w:p>
    <w:p w:rsidR="005F01BE" w:rsidRDefault="003E2C3A">
      <w:pPr>
        <w:spacing w:after="0" w:line="480" w:lineRule="auto"/>
        <w:jc w:val="both"/>
        <w:rPr>
          <w:color w:val="000000"/>
          <w:sz w:val="24"/>
          <w:szCs w:val="26"/>
        </w:rPr>
      </w:pPr>
      <w:r>
        <w:rPr>
          <w:color w:val="000000"/>
          <w:sz w:val="24"/>
          <w:szCs w:val="26"/>
        </w:rPr>
        <w:t xml:space="preserve">VA= volume of acid used, </w:t>
      </w:r>
    </w:p>
    <w:p w:rsidR="005F01BE" w:rsidRDefault="003E2C3A">
      <w:pPr>
        <w:spacing w:after="0" w:line="480" w:lineRule="auto"/>
        <w:jc w:val="both"/>
        <w:rPr>
          <w:color w:val="000000"/>
          <w:sz w:val="24"/>
          <w:szCs w:val="26"/>
        </w:rPr>
      </w:pPr>
      <w:r>
        <w:rPr>
          <w:color w:val="000000"/>
          <w:sz w:val="24"/>
          <w:szCs w:val="26"/>
        </w:rPr>
        <w:t>w= weight of sample,</w:t>
      </w:r>
    </w:p>
    <w:p w:rsidR="005F01BE" w:rsidRDefault="003E2C3A">
      <w:pPr>
        <w:spacing w:after="0" w:line="480" w:lineRule="auto"/>
        <w:jc w:val="both"/>
        <w:rPr>
          <w:b/>
          <w:bCs/>
          <w:color w:val="000000"/>
          <w:sz w:val="24"/>
          <w:szCs w:val="26"/>
        </w:rPr>
      </w:pPr>
      <w:r>
        <w:rPr>
          <w:b/>
          <w:bCs/>
          <w:color w:val="000000"/>
          <w:sz w:val="24"/>
          <w:szCs w:val="26"/>
        </w:rPr>
        <w:t>3.2.4.3 Determination of crude ash</w:t>
      </w:r>
    </w:p>
    <w:p w:rsidR="005F01BE" w:rsidRDefault="003E2C3A">
      <w:pPr>
        <w:spacing w:after="0" w:line="480" w:lineRule="auto"/>
        <w:jc w:val="both"/>
        <w:rPr>
          <w:color w:val="000000"/>
          <w:sz w:val="24"/>
          <w:szCs w:val="26"/>
        </w:rPr>
      </w:pPr>
      <w:r>
        <w:rPr>
          <w:color w:val="000000"/>
          <w:sz w:val="24"/>
          <w:szCs w:val="26"/>
        </w:rPr>
        <w:t>Determination of Ash content of the samples: Ash is the inorganic residue obtained by burning off the organic matter of feedstuff at 400-600</w:t>
      </w:r>
      <w:r>
        <w:rPr>
          <w:color w:val="000000"/>
          <w:sz w:val="24"/>
          <w:szCs w:val="26"/>
        </w:rPr>
        <w:t>°C in muffle furnace for 4 hours. 2 g of the sample was weighed into a pre-heated crucible. The crucible was placed into muffle furnace at 400-600°C for 4 hours or until whitish-grey ash was obtained. The crucible was then placed in the desiccator and weig</w:t>
      </w:r>
      <w:r>
        <w:rPr>
          <w:color w:val="000000"/>
          <w:sz w:val="24"/>
          <w:szCs w:val="26"/>
        </w:rPr>
        <w:t>hed.</w:t>
      </w:r>
    </w:p>
    <w:p w:rsidR="005F01BE" w:rsidRDefault="003E2C3A">
      <w:pPr>
        <w:spacing w:after="0" w:line="480" w:lineRule="auto"/>
        <w:jc w:val="both"/>
        <w:rPr>
          <w:rFonts w:eastAsia="SimSun"/>
          <w:color w:val="000000"/>
          <w:sz w:val="24"/>
          <w:szCs w:val="26"/>
        </w:rPr>
      </w:pPr>
      <w:r>
        <w:rPr>
          <w:color w:val="000000"/>
          <w:sz w:val="24"/>
          <w:szCs w:val="26"/>
        </w:rPr>
        <w:t xml:space="preserve">%ASH = </w:t>
      </w:r>
      <m:oMath>
        <m:f>
          <m:fPr>
            <m:ctrlPr>
              <w:rPr>
                <w:rFonts w:ascii="Cambria Math" w:hAnsi="Cambria Math"/>
                <w:i/>
                <w:color w:val="000000"/>
                <w:sz w:val="24"/>
                <w:szCs w:val="26"/>
              </w:rPr>
            </m:ctrlPr>
          </m:fPr>
          <m:num>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m:t>
            </m:r>
            <m:r>
              <w:rPr>
                <w:rFonts w:ascii="Cambria Math" w:hAnsi="Cambria Math"/>
                <w:color w:val="000000"/>
                <w:sz w:val="24"/>
                <w:szCs w:val="26"/>
              </w:rPr>
              <m:t>as</m:t>
            </m:r>
            <m:r>
              <w:rPr>
                <w:rFonts w:ascii="Cambria Math" w:hAnsi="Cambria Math"/>
                <w:color w:val="000000"/>
                <w:sz w:val="24"/>
                <w:szCs w:val="26"/>
              </w:rPr>
              <m:t>h-</m:t>
            </m:r>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crucible</m:t>
            </m:r>
            <m:r>
              <w:rPr>
                <w:rFonts w:ascii="Cambria Math" w:hAnsi="Cambria Math"/>
                <w:color w:val="000000"/>
                <w:sz w:val="24"/>
                <w:szCs w:val="26"/>
              </w:rPr>
              <m:t xml:space="preserve"> </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sample</m:t>
            </m:r>
            <m:r>
              <w:rPr>
                <w:rFonts w:ascii="Cambria Math" w:hAnsi="Cambria Math"/>
                <w:color w:val="000000"/>
                <w:sz w:val="24"/>
                <w:szCs w:val="26"/>
              </w:rPr>
              <m:t xml:space="preserve"> </m:t>
            </m:r>
          </m:den>
        </m:f>
        <m:r>
          <w:rPr>
            <w:rFonts w:ascii="Cambria Math" w:hAnsi="Cambria Math"/>
            <w:color w:val="000000"/>
            <w:sz w:val="24"/>
            <w:szCs w:val="26"/>
          </w:rPr>
          <m:t>×100</m:t>
        </m:r>
      </m:oMath>
    </w:p>
    <w:p w:rsidR="005F01BE" w:rsidRDefault="003E2C3A">
      <w:pPr>
        <w:spacing w:after="0" w:line="480" w:lineRule="auto"/>
        <w:jc w:val="both"/>
        <w:rPr>
          <w:b/>
          <w:bCs/>
          <w:color w:val="000000"/>
          <w:sz w:val="24"/>
          <w:szCs w:val="26"/>
        </w:rPr>
      </w:pPr>
      <w:r>
        <w:rPr>
          <w:b/>
          <w:bCs/>
          <w:color w:val="000000"/>
          <w:sz w:val="24"/>
          <w:szCs w:val="26"/>
        </w:rPr>
        <w:lastRenderedPageBreak/>
        <w:t xml:space="preserve">3.2.4.4 Determination of lipid </w:t>
      </w:r>
    </w:p>
    <w:p w:rsidR="005F01BE" w:rsidRDefault="003E2C3A">
      <w:pPr>
        <w:spacing w:after="0" w:line="480" w:lineRule="auto"/>
        <w:jc w:val="both"/>
        <w:rPr>
          <w:color w:val="000000"/>
          <w:sz w:val="24"/>
          <w:szCs w:val="26"/>
        </w:rPr>
      </w:pPr>
      <w:r>
        <w:rPr>
          <w:color w:val="000000"/>
          <w:sz w:val="24"/>
          <w:szCs w:val="26"/>
        </w:rPr>
        <w:t xml:space="preserve">Determination of Fat content: The ether extract of a </w:t>
      </w:r>
      <w:r>
        <w:rPr>
          <w:i/>
          <w:color w:val="000000"/>
          <w:sz w:val="24"/>
          <w:szCs w:val="26"/>
        </w:rPr>
        <w:t>Sida Acuta</w:t>
      </w:r>
      <w:r>
        <w:rPr>
          <w:color w:val="000000"/>
          <w:sz w:val="24"/>
          <w:szCs w:val="26"/>
        </w:rPr>
        <w:t xml:space="preserve"> represents the fat and oil in the cheese. Soxhlet apparatu</w:t>
      </w:r>
      <w:r>
        <w:rPr>
          <w:color w:val="000000"/>
          <w:sz w:val="24"/>
          <w:szCs w:val="26"/>
        </w:rPr>
        <w:t>s is the equipment used for the determination of ether extract. It consists of 3 major components. An extractor: comprising the thimble which holes the sample, Condenser for cooling and condensing the ether vapor and 250 ml flask. About 150 ml of an anhydr</w:t>
      </w:r>
      <w:r>
        <w:rPr>
          <w:color w:val="000000"/>
          <w:sz w:val="24"/>
          <w:szCs w:val="26"/>
        </w:rPr>
        <w:t>ous diethyl ether (petroleum ether) of boiling point of 40°-60°C was placed in the flask. 2-5 g of the sample was</w:t>
      </w:r>
    </w:p>
    <w:p w:rsidR="005F01BE" w:rsidRDefault="003E2C3A">
      <w:pPr>
        <w:spacing w:after="0" w:line="480" w:lineRule="auto"/>
        <w:jc w:val="both"/>
        <w:rPr>
          <w:color w:val="000000"/>
          <w:sz w:val="24"/>
          <w:szCs w:val="26"/>
        </w:rPr>
      </w:pPr>
      <w:r>
        <w:rPr>
          <w:color w:val="000000"/>
          <w:sz w:val="24"/>
          <w:szCs w:val="26"/>
        </w:rPr>
        <w:t xml:space="preserve">%Ether extract = weighed into a thimble and the thimble was plugged with cotton wool. The thimble with content was placed into the extractor; </w:t>
      </w:r>
      <w:r>
        <w:rPr>
          <w:color w:val="000000"/>
          <w:sz w:val="24"/>
          <w:szCs w:val="26"/>
        </w:rPr>
        <w:t xml:space="preserve">the ether in the flask was then heated. As the ether vapour reached the condenser through the side arm of the extractor, it condensed to liquid form and drop back into the sample in the thimble, the ether soluble substances were dissolved and were carried </w:t>
      </w:r>
      <w:r>
        <w:rPr>
          <w:color w:val="000000"/>
          <w:sz w:val="24"/>
          <w:szCs w:val="26"/>
        </w:rPr>
        <w:t>into solution through the siphon tube back into the flask. The extraction continued for at least 4 hours. The thimble was removed and most of the solvent was distilled from the flask into the extractor. The flask was then disconnected and placed in an oven</w:t>
      </w:r>
      <w:r>
        <w:rPr>
          <w:color w:val="000000"/>
          <w:sz w:val="24"/>
          <w:szCs w:val="26"/>
        </w:rPr>
        <w:t xml:space="preserve"> at 65°C for 4 hours, cooled in a desiccator and weighed. </w:t>
      </w:r>
    </w:p>
    <w:p w:rsidR="005F01BE" w:rsidRDefault="003E2C3A">
      <w:pPr>
        <w:spacing w:after="0" w:line="480" w:lineRule="auto"/>
        <w:jc w:val="both"/>
        <w:rPr>
          <w:rFonts w:eastAsia="SimSun"/>
          <w:color w:val="000000"/>
          <w:sz w:val="24"/>
          <w:szCs w:val="26"/>
        </w:rPr>
      </w:pPr>
      <w:r>
        <w:rPr>
          <w:rFonts w:eastAsia="SimSun"/>
          <w:color w:val="000000"/>
          <w:sz w:val="24"/>
          <w:szCs w:val="26"/>
        </w:rPr>
        <w:t xml:space="preserve">% ether extract </w:t>
      </w:r>
      <m:oMath>
        <m:f>
          <m:fPr>
            <m:ctrlPr>
              <w:rPr>
                <w:rFonts w:ascii="Cambria Math" w:hAnsi="Cambria Math"/>
                <w:i/>
                <w:color w:val="000000"/>
                <w:sz w:val="24"/>
                <w:szCs w:val="26"/>
              </w:rPr>
            </m:ctrlPr>
          </m:fPr>
          <m:num>
            <m:r>
              <m:rPr>
                <m:sty m:val="p"/>
              </m:rPr>
              <w:rPr>
                <w:rFonts w:ascii="Cambria Math" w:hAnsi="Cambria Math"/>
                <w:color w:val="000000"/>
                <w:sz w:val="24"/>
                <w:szCs w:val="26"/>
              </w:rPr>
              <m:t>weight of flask + extract-tare weight of flask</m:t>
            </m:r>
          </m:num>
          <m:den>
            <m:r>
              <w:rPr>
                <w:rFonts w:ascii="Cambria Math" w:hAnsi="Cambria Math"/>
                <w:color w:val="000000"/>
                <w:sz w:val="24"/>
                <w:szCs w:val="26"/>
              </w:rPr>
              <m:t>Wt</m:t>
            </m:r>
            <m:r>
              <w:rPr>
                <w:rFonts w:ascii="Cambria Math" w:hAnsi="Cambria Math"/>
                <w:color w:val="000000"/>
                <w:sz w:val="24"/>
                <w:szCs w:val="26"/>
              </w:rPr>
              <m:t xml:space="preserve"> </m:t>
            </m:r>
            <m:r>
              <w:rPr>
                <w:rFonts w:ascii="Cambria Math" w:hAnsi="Cambria Math"/>
                <w:color w:val="000000"/>
                <w:sz w:val="24"/>
                <w:szCs w:val="26"/>
              </w:rPr>
              <m:t>of</m:t>
            </m:r>
            <m:r>
              <w:rPr>
                <w:rFonts w:ascii="Cambria Math" w:hAnsi="Cambria Math"/>
                <w:color w:val="000000"/>
                <w:sz w:val="24"/>
                <w:szCs w:val="26"/>
              </w:rPr>
              <m:t xml:space="preserve"> </m:t>
            </m:r>
            <m:r>
              <w:rPr>
                <w:rFonts w:ascii="Cambria Math" w:hAnsi="Cambria Math"/>
                <w:color w:val="000000"/>
                <w:sz w:val="24"/>
                <w:szCs w:val="26"/>
              </w:rPr>
              <m:t>sample</m:t>
            </m:r>
          </m:den>
        </m:f>
        <m:r>
          <m:rPr>
            <m:sty m:val="p"/>
          </m:rPr>
          <w:rPr>
            <w:rFonts w:ascii="Cambria Math" w:hAnsi="Cambria Math"/>
            <w:color w:val="000000"/>
            <w:sz w:val="24"/>
            <w:szCs w:val="26"/>
          </w:rPr>
          <m:t xml:space="preserve">x100 </m:t>
        </m:r>
      </m:oMath>
    </w:p>
    <w:p w:rsidR="005F01BE" w:rsidRDefault="003E2C3A">
      <w:pPr>
        <w:spacing w:after="0" w:line="480" w:lineRule="auto"/>
        <w:jc w:val="both"/>
        <w:rPr>
          <w:b/>
          <w:bCs/>
          <w:color w:val="000000"/>
          <w:sz w:val="24"/>
          <w:szCs w:val="26"/>
        </w:rPr>
      </w:pPr>
      <w:r>
        <w:rPr>
          <w:b/>
          <w:bCs/>
          <w:color w:val="000000"/>
          <w:sz w:val="24"/>
          <w:szCs w:val="26"/>
        </w:rPr>
        <w:t xml:space="preserve">3.2.4.5 Determination of Fibre </w:t>
      </w:r>
    </w:p>
    <w:p w:rsidR="005F01BE" w:rsidRDefault="003E2C3A">
      <w:pPr>
        <w:spacing w:after="0" w:line="480" w:lineRule="auto"/>
        <w:jc w:val="both"/>
        <w:rPr>
          <w:color w:val="000000"/>
          <w:sz w:val="24"/>
          <w:szCs w:val="26"/>
        </w:rPr>
      </w:pPr>
      <w:r>
        <w:rPr>
          <w:color w:val="000000"/>
          <w:sz w:val="24"/>
          <w:szCs w:val="26"/>
        </w:rPr>
        <w:t>The organic residue left after sequential extraction ether can be used to determine the crude fibre, however if a fresh sample was used, the fat in it could be extracted by adding petroleum ether, stirred and allowed to settle and decanted. This was done t</w:t>
      </w:r>
      <w:r>
        <w:rPr>
          <w:color w:val="000000"/>
          <w:sz w:val="24"/>
          <w:szCs w:val="26"/>
        </w:rPr>
        <w:t xml:space="preserve">hree times. </w:t>
      </w:r>
      <w:r>
        <w:rPr>
          <w:color w:val="000000"/>
          <w:sz w:val="24"/>
          <w:szCs w:val="26"/>
        </w:rPr>
        <w:lastRenderedPageBreak/>
        <w:t>The fat-free material was then transferred into a flask/beaker and 200 ml of pre-heated 1.25% H</w:t>
      </w:r>
      <w:r>
        <w:rPr>
          <w:color w:val="000000"/>
          <w:sz w:val="24"/>
          <w:szCs w:val="26"/>
          <w:vertAlign w:val="subscript"/>
        </w:rPr>
        <w:t>2</w:t>
      </w:r>
      <w:r>
        <w:rPr>
          <w:color w:val="000000"/>
          <w:sz w:val="24"/>
          <w:szCs w:val="26"/>
        </w:rPr>
        <w:t>SO</w:t>
      </w:r>
      <w:r>
        <w:rPr>
          <w:color w:val="000000"/>
          <w:sz w:val="24"/>
          <w:szCs w:val="26"/>
          <w:vertAlign w:val="subscript"/>
        </w:rPr>
        <w:t>4</w:t>
      </w:r>
      <w:r>
        <w:rPr>
          <w:color w:val="000000"/>
          <w:sz w:val="24"/>
          <w:szCs w:val="26"/>
        </w:rPr>
        <w:t xml:space="preserve"> was added and the solution was gently boiled for about 30 minutes, maintaining constant volume of acid by the addition of hot water. The Buckner</w:t>
      </w:r>
      <w:r>
        <w:rPr>
          <w:color w:val="000000"/>
          <w:sz w:val="24"/>
          <w:szCs w:val="26"/>
        </w:rPr>
        <w:t xml:space="preserve"> flask funnel fitted with Whatman filter was pre-heated by pouring hot water into the funnel. The boiled acid sample mixture was then filtered hot through the funnel under sufficient suction. The residue was then washed several times with boiling water (un</w:t>
      </w:r>
      <w:r>
        <w:rPr>
          <w:color w:val="000000"/>
          <w:sz w:val="24"/>
          <w:szCs w:val="26"/>
        </w:rPr>
        <w:t>til the residue was neutral to litmus paper) and transferred back into the NaOH beaker. Then 200 ml of pre-heated 1.25% NaSO was added and boiled for another 30 minutes.</w:t>
      </w:r>
    </w:p>
    <w:p w:rsidR="005F01BE" w:rsidRDefault="003E2C3A">
      <w:pPr>
        <w:spacing w:after="0" w:line="480" w:lineRule="auto"/>
        <w:jc w:val="both"/>
        <w:rPr>
          <w:color w:val="000000"/>
          <w:sz w:val="24"/>
          <w:szCs w:val="26"/>
        </w:rPr>
      </w:pPr>
      <w:r>
        <w:rPr>
          <w:color w:val="000000"/>
          <w:sz w:val="24"/>
          <w:szCs w:val="26"/>
        </w:rPr>
        <w:t>Filtered under suction and washed thoroughly with hot water and twice with ethanol. Th</w:t>
      </w:r>
      <w:r>
        <w:rPr>
          <w:color w:val="000000"/>
          <w:sz w:val="24"/>
          <w:szCs w:val="26"/>
        </w:rPr>
        <w:t>e residue was dried at 65°C for about 24 hours and weighed. The residue was transferred into a crucible and placed in muffle furnace (400-600°C) and ashed for 4 hours, then cooled in desiccator and weighed.</w:t>
      </w:r>
    </w:p>
    <w:p w:rsidR="005F01BE" w:rsidRDefault="003E2C3A">
      <w:pPr>
        <w:spacing w:after="0" w:line="480" w:lineRule="auto"/>
        <w:jc w:val="both"/>
        <w:rPr>
          <w:b/>
          <w:bCs/>
          <w:color w:val="000000"/>
          <w:sz w:val="24"/>
          <w:szCs w:val="26"/>
        </w:rPr>
      </w:pPr>
      <w:r>
        <w:rPr>
          <w:b/>
          <w:bCs/>
          <w:color w:val="000000"/>
          <w:sz w:val="24"/>
          <w:szCs w:val="26"/>
        </w:rPr>
        <w:t xml:space="preserve">3.2.5 Mineral Analysis </w:t>
      </w:r>
    </w:p>
    <w:p w:rsidR="005F01BE" w:rsidRDefault="003E2C3A">
      <w:pPr>
        <w:spacing w:after="0" w:line="480" w:lineRule="auto"/>
        <w:jc w:val="both"/>
        <w:rPr>
          <w:b/>
          <w:bCs/>
          <w:color w:val="000000"/>
          <w:sz w:val="24"/>
          <w:szCs w:val="26"/>
        </w:rPr>
      </w:pPr>
      <w:r>
        <w:rPr>
          <w:b/>
          <w:bCs/>
          <w:color w:val="000000"/>
          <w:sz w:val="24"/>
          <w:szCs w:val="26"/>
        </w:rPr>
        <w:t>3.2.5.2 Determination of</w:t>
      </w:r>
      <w:r>
        <w:rPr>
          <w:b/>
          <w:bCs/>
          <w:color w:val="000000"/>
          <w:sz w:val="24"/>
          <w:szCs w:val="26"/>
        </w:rPr>
        <w:t xml:space="preserve"> Sodium Content </w:t>
      </w:r>
    </w:p>
    <w:p w:rsidR="005F01BE" w:rsidRDefault="003E2C3A">
      <w:pPr>
        <w:spacing w:after="0" w:line="480" w:lineRule="auto"/>
        <w:jc w:val="both"/>
        <w:rPr>
          <w:color w:val="000000"/>
          <w:sz w:val="24"/>
          <w:szCs w:val="26"/>
        </w:rPr>
      </w:pPr>
      <w:r>
        <w:rPr>
          <w:color w:val="000000"/>
          <w:sz w:val="24"/>
          <w:szCs w:val="26"/>
        </w:rPr>
        <w:t xml:space="preserve">The Procedure described by Tietz (1983) was used to assay for </w:t>
      </w:r>
      <w:r>
        <w:rPr>
          <w:bCs/>
          <w:color w:val="000000"/>
          <w:sz w:val="24"/>
          <w:szCs w:val="26"/>
        </w:rPr>
        <w:t>presence</w:t>
      </w:r>
      <w:r>
        <w:rPr>
          <w:color w:val="000000"/>
          <w:sz w:val="24"/>
          <w:szCs w:val="26"/>
        </w:rPr>
        <w:t xml:space="preserve"> of sodium.</w:t>
      </w:r>
    </w:p>
    <w:p w:rsidR="005F01BE" w:rsidRDefault="003E2C3A">
      <w:pPr>
        <w:spacing w:after="0" w:line="480" w:lineRule="auto"/>
        <w:jc w:val="both"/>
        <w:rPr>
          <w:b/>
          <w:bCs/>
          <w:color w:val="000000"/>
          <w:sz w:val="24"/>
          <w:szCs w:val="26"/>
        </w:rPr>
      </w:pPr>
      <w:r>
        <w:rPr>
          <w:b/>
          <w:bCs/>
          <w:color w:val="000000"/>
          <w:sz w:val="24"/>
          <w:szCs w:val="26"/>
        </w:rPr>
        <w:t>Procedure:</w:t>
      </w:r>
    </w:p>
    <w:p w:rsidR="005F01BE" w:rsidRDefault="003E2C3A">
      <w:pPr>
        <w:spacing w:after="0" w:line="480" w:lineRule="auto"/>
        <w:jc w:val="both"/>
        <w:rPr>
          <w:color w:val="000000"/>
          <w:sz w:val="24"/>
          <w:szCs w:val="26"/>
        </w:rPr>
      </w:pPr>
      <w:r>
        <w:rPr>
          <w:color w:val="000000"/>
          <w:sz w:val="24"/>
          <w:szCs w:val="26"/>
        </w:rPr>
        <w:t>Sodium reagent (1000µl) was added to 10µl of the sample and standard in a test tube. The solution was incubated at 37</w:t>
      </w:r>
      <w:r>
        <w:rPr>
          <w:color w:val="000000"/>
          <w:sz w:val="24"/>
          <w:szCs w:val="26"/>
        </w:rPr>
        <w:t>ᶿ</w:t>
      </w:r>
      <w:r>
        <w:rPr>
          <w:color w:val="000000"/>
          <w:sz w:val="24"/>
          <w:szCs w:val="26"/>
        </w:rPr>
        <w:t xml:space="preserve">C for five (5) minutes. The </w:t>
      </w:r>
      <w:r>
        <w:rPr>
          <w:color w:val="000000"/>
          <w:sz w:val="24"/>
          <w:szCs w:val="26"/>
        </w:rPr>
        <w:t>absorbance value was read at 630 nm.</w:t>
      </w:r>
    </w:p>
    <w:p w:rsidR="005F01BE" w:rsidRDefault="003E2C3A">
      <w:pPr>
        <w:spacing w:before="100" w:beforeAutospacing="1" w:after="0" w:line="480" w:lineRule="auto"/>
        <w:jc w:val="both"/>
        <w:rPr>
          <w:b/>
          <w:color w:val="000000"/>
          <w:sz w:val="24"/>
          <w:szCs w:val="26"/>
        </w:rPr>
      </w:pPr>
      <w:r>
        <w:rPr>
          <w:b/>
          <w:color w:val="000000"/>
          <w:sz w:val="24"/>
          <w:szCs w:val="26"/>
        </w:rPr>
        <w:t>Calculation:</w:t>
      </w:r>
    </w:p>
    <w:p w:rsidR="005F01BE" w:rsidRDefault="003E2C3A">
      <w:pPr>
        <w:spacing w:after="0" w:line="480" w:lineRule="auto"/>
        <w:jc w:val="both"/>
        <w:rPr>
          <w:b/>
          <w:color w:val="000000"/>
          <w:sz w:val="24"/>
          <w:szCs w:val="26"/>
          <w:u w:val="single"/>
        </w:rPr>
      </w:pPr>
      <w:r>
        <w:rPr>
          <w:color w:val="000000"/>
          <w:sz w:val="24"/>
          <w:szCs w:val="26"/>
        </w:rPr>
        <w:lastRenderedPageBreak/>
        <w:t xml:space="preserve">Sodium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5F01BE" w:rsidRDefault="003E2C3A">
      <w:pPr>
        <w:spacing w:after="0" w:line="480" w:lineRule="auto"/>
        <w:ind w:left="4320" w:firstLine="720"/>
        <w:jc w:val="both"/>
        <w:rPr>
          <w:b/>
          <w:color w:val="000000"/>
          <w:sz w:val="24"/>
          <w:szCs w:val="26"/>
          <w:vertAlign w:val="subscript"/>
        </w:rPr>
      </w:pPr>
      <w:r>
        <w:rPr>
          <w:b/>
          <w:color w:val="000000"/>
          <w:sz w:val="24"/>
          <w:szCs w:val="26"/>
        </w:rPr>
        <w:t>A</w:t>
      </w:r>
      <w:r>
        <w:rPr>
          <w:b/>
          <w:color w:val="000000"/>
          <w:sz w:val="24"/>
          <w:szCs w:val="26"/>
          <w:vertAlign w:val="subscript"/>
        </w:rPr>
        <w:t>standard</w:t>
      </w:r>
    </w:p>
    <w:p w:rsidR="005F01BE" w:rsidRDefault="003E2C3A">
      <w:pPr>
        <w:spacing w:after="0" w:line="480" w:lineRule="auto"/>
        <w:jc w:val="both"/>
        <w:rPr>
          <w:color w:val="000000"/>
          <w:sz w:val="24"/>
          <w:szCs w:val="26"/>
        </w:rPr>
      </w:pPr>
      <w:r>
        <w:rPr>
          <w:color w:val="000000"/>
          <w:sz w:val="24"/>
          <w:szCs w:val="26"/>
        </w:rPr>
        <w:t>Note; Sodium reagent contains Tris buffer, proclin 300 and Chromogen.</w:t>
      </w:r>
    </w:p>
    <w:p w:rsidR="005F01BE" w:rsidRDefault="003E2C3A">
      <w:pPr>
        <w:spacing w:after="0" w:line="480" w:lineRule="auto"/>
        <w:jc w:val="both"/>
        <w:rPr>
          <w:b/>
          <w:color w:val="000000"/>
          <w:sz w:val="24"/>
          <w:szCs w:val="26"/>
        </w:rPr>
      </w:pPr>
      <w:r>
        <w:rPr>
          <w:b/>
          <w:color w:val="000000"/>
          <w:sz w:val="24"/>
          <w:szCs w:val="26"/>
        </w:rPr>
        <w:t xml:space="preserve">3.2.5.3 </w:t>
      </w:r>
      <w:r>
        <w:rPr>
          <w:b/>
          <w:bCs/>
          <w:color w:val="000000"/>
          <w:sz w:val="24"/>
          <w:szCs w:val="26"/>
        </w:rPr>
        <w:t xml:space="preserve">Determination of </w:t>
      </w:r>
      <w:r>
        <w:rPr>
          <w:b/>
          <w:color w:val="000000"/>
          <w:sz w:val="24"/>
          <w:szCs w:val="26"/>
        </w:rPr>
        <w:t xml:space="preserve">Potassium </w:t>
      </w:r>
      <w:r>
        <w:rPr>
          <w:b/>
          <w:bCs/>
          <w:color w:val="000000"/>
          <w:sz w:val="24"/>
          <w:szCs w:val="26"/>
        </w:rPr>
        <w:t>Content</w:t>
      </w:r>
      <w:r>
        <w:rPr>
          <w:b/>
          <w:color w:val="000000"/>
          <w:sz w:val="24"/>
          <w:szCs w:val="26"/>
        </w:rPr>
        <w:t xml:space="preserve"> </w:t>
      </w:r>
    </w:p>
    <w:p w:rsidR="005F01BE" w:rsidRDefault="003E2C3A">
      <w:pPr>
        <w:spacing w:after="0" w:line="480" w:lineRule="auto"/>
        <w:jc w:val="both"/>
        <w:rPr>
          <w:color w:val="000000"/>
          <w:sz w:val="24"/>
          <w:szCs w:val="26"/>
        </w:rPr>
      </w:pPr>
      <w:r>
        <w:rPr>
          <w:color w:val="000000"/>
          <w:sz w:val="24"/>
          <w:szCs w:val="26"/>
        </w:rPr>
        <w:t>The method</w:t>
      </w:r>
      <w:r>
        <w:rPr>
          <w:color w:val="000000"/>
          <w:sz w:val="24"/>
          <w:szCs w:val="26"/>
        </w:rPr>
        <w:t xml:space="preserve"> described by Tietz, (1995) was used to assay for the </w:t>
      </w:r>
      <w:r>
        <w:rPr>
          <w:color w:val="000000"/>
          <w:sz w:val="24"/>
          <w:szCs w:val="26"/>
        </w:rPr>
        <w:t>Potassium</w:t>
      </w:r>
      <w:r>
        <w:rPr>
          <w:b/>
          <w:color w:val="000000"/>
          <w:sz w:val="24"/>
          <w:szCs w:val="26"/>
        </w:rPr>
        <w:t xml:space="preserve"> </w:t>
      </w:r>
      <w:r>
        <w:rPr>
          <w:bCs/>
          <w:color w:val="000000"/>
          <w:sz w:val="24"/>
          <w:szCs w:val="26"/>
        </w:rPr>
        <w:t>Content</w:t>
      </w:r>
      <w:r>
        <w:rPr>
          <w:color w:val="000000"/>
          <w:sz w:val="24"/>
          <w:szCs w:val="26"/>
        </w:rPr>
        <w:t>.</w:t>
      </w:r>
    </w:p>
    <w:p w:rsidR="005F01BE" w:rsidRDefault="003E2C3A">
      <w:pPr>
        <w:spacing w:after="0" w:line="480" w:lineRule="auto"/>
        <w:jc w:val="both"/>
        <w:rPr>
          <w:b/>
          <w:color w:val="000000"/>
          <w:sz w:val="24"/>
          <w:szCs w:val="26"/>
        </w:rPr>
      </w:pPr>
      <w:r>
        <w:rPr>
          <w:b/>
          <w:color w:val="000000"/>
          <w:sz w:val="24"/>
          <w:szCs w:val="26"/>
        </w:rPr>
        <w:t>Principle:</w:t>
      </w:r>
    </w:p>
    <w:p w:rsidR="005F01BE" w:rsidRDefault="003E2C3A">
      <w:pPr>
        <w:spacing w:after="0" w:line="480" w:lineRule="auto"/>
        <w:jc w:val="both"/>
        <w:rPr>
          <w:color w:val="000000"/>
          <w:sz w:val="24"/>
          <w:szCs w:val="26"/>
        </w:rPr>
      </w:pPr>
      <w:r>
        <w:rPr>
          <w:color w:val="000000"/>
          <w:sz w:val="24"/>
          <w:szCs w:val="26"/>
        </w:rPr>
        <w:t>Sodium tetraphenylboron reacts with potassium in an alkaline medium to produce a turbid suspension of potassium tetraphenylboron. Thus, the turbidity produced is directly p</w:t>
      </w:r>
      <w:r>
        <w:rPr>
          <w:color w:val="000000"/>
          <w:sz w:val="24"/>
          <w:szCs w:val="26"/>
        </w:rPr>
        <w:t xml:space="preserve">roportional to the concentration of potassium in the serum tested. </w:t>
      </w:r>
    </w:p>
    <w:p w:rsidR="005F01BE" w:rsidRDefault="003E2C3A">
      <w:pPr>
        <w:spacing w:after="0" w:line="480" w:lineRule="auto"/>
        <w:jc w:val="both"/>
        <w:rPr>
          <w:b/>
          <w:color w:val="000000"/>
          <w:sz w:val="24"/>
          <w:szCs w:val="26"/>
        </w:rPr>
      </w:pPr>
      <w:r>
        <w:rPr>
          <w:b/>
          <w:color w:val="000000"/>
          <w:sz w:val="24"/>
          <w:szCs w:val="26"/>
        </w:rPr>
        <w:t>Procedure:</w:t>
      </w:r>
    </w:p>
    <w:p w:rsidR="005F01BE" w:rsidRDefault="003E2C3A">
      <w:pPr>
        <w:spacing w:before="240" w:after="0" w:line="480" w:lineRule="auto"/>
        <w:jc w:val="both"/>
        <w:rPr>
          <w:color w:val="000000"/>
          <w:sz w:val="24"/>
          <w:szCs w:val="26"/>
        </w:rPr>
      </w:pPr>
      <w:r>
        <w:rPr>
          <w:color w:val="000000"/>
          <w:sz w:val="24"/>
          <w:szCs w:val="26"/>
        </w:rPr>
        <w:t>Sodium tetraphenylboron (1.0 ml) reagent was added to 10µl of sample and standard in a test tube. The mixture was then incubated for five (5) minutes at 37</w:t>
      </w:r>
      <w:r>
        <w:rPr>
          <w:color w:val="000000"/>
          <w:sz w:val="24"/>
          <w:szCs w:val="26"/>
        </w:rPr>
        <w:t>ᶿ</w:t>
      </w:r>
      <w:r>
        <w:rPr>
          <w:color w:val="000000"/>
          <w:sz w:val="24"/>
          <w:szCs w:val="26"/>
        </w:rPr>
        <w:t>C. The absorbance val</w:t>
      </w:r>
      <w:r>
        <w:rPr>
          <w:color w:val="000000"/>
          <w:sz w:val="24"/>
          <w:szCs w:val="26"/>
        </w:rPr>
        <w:t>ue was taken at 578 nm.</w:t>
      </w:r>
    </w:p>
    <w:p w:rsidR="005F01BE" w:rsidRDefault="003E2C3A">
      <w:pPr>
        <w:spacing w:after="0" w:line="480" w:lineRule="auto"/>
        <w:jc w:val="both"/>
        <w:rPr>
          <w:color w:val="000000"/>
          <w:sz w:val="24"/>
          <w:szCs w:val="26"/>
        </w:rPr>
      </w:pPr>
      <w:r>
        <w:rPr>
          <w:color w:val="000000"/>
          <w:sz w:val="24"/>
          <w:szCs w:val="26"/>
        </w:rPr>
        <w:t>NB;Tetraphenylboron reagent contains 0.6 mol/L NaOH and 250 mmol/L sodium tetraphenylboron.</w:t>
      </w:r>
    </w:p>
    <w:p w:rsidR="005F01BE" w:rsidRDefault="003E2C3A">
      <w:pPr>
        <w:spacing w:after="0" w:line="480" w:lineRule="auto"/>
        <w:jc w:val="both"/>
        <w:rPr>
          <w:b/>
          <w:bCs/>
          <w:color w:val="000000"/>
          <w:sz w:val="24"/>
          <w:szCs w:val="26"/>
        </w:rPr>
      </w:pPr>
      <w:r>
        <w:rPr>
          <w:b/>
          <w:bCs/>
          <w:color w:val="000000"/>
          <w:sz w:val="24"/>
          <w:szCs w:val="26"/>
        </w:rPr>
        <w:t>Calculation:</w:t>
      </w:r>
    </w:p>
    <w:p w:rsidR="005F01BE" w:rsidRDefault="003E2C3A">
      <w:pPr>
        <w:spacing w:after="0" w:line="480" w:lineRule="auto"/>
        <w:jc w:val="both"/>
        <w:rPr>
          <w:b/>
          <w:color w:val="000000"/>
          <w:sz w:val="24"/>
          <w:szCs w:val="26"/>
        </w:rPr>
      </w:pPr>
      <w:r>
        <w:rPr>
          <w:color w:val="000000"/>
          <w:sz w:val="24"/>
          <w:szCs w:val="26"/>
        </w:rPr>
        <w:t xml:space="preserve">Potassium ion concentration (mmol/L) = </w:t>
      </w:r>
      <w:r>
        <w:rPr>
          <w:b/>
          <w:color w:val="000000"/>
          <w:sz w:val="24"/>
          <w:szCs w:val="26"/>
          <w:u w:val="single"/>
        </w:rPr>
        <w:t>A</w:t>
      </w:r>
      <w:r>
        <w:rPr>
          <w:b/>
          <w:color w:val="000000"/>
          <w:sz w:val="24"/>
          <w:szCs w:val="26"/>
          <w:u w:val="single"/>
          <w:vertAlign w:val="subscript"/>
        </w:rPr>
        <w:t>sample</w:t>
      </w:r>
      <w:r>
        <w:rPr>
          <w:b/>
          <w:color w:val="000000"/>
          <w:sz w:val="24"/>
          <w:szCs w:val="26"/>
          <w:u w:val="single"/>
        </w:rPr>
        <w:t xml:space="preserve"> × Concentration of standard</w:t>
      </w:r>
    </w:p>
    <w:p w:rsidR="005F01BE" w:rsidRDefault="003E2C3A">
      <w:pPr>
        <w:spacing w:after="0" w:line="480" w:lineRule="auto"/>
        <w:ind w:left="4320" w:firstLine="720"/>
        <w:jc w:val="both"/>
        <w:rPr>
          <w:b/>
          <w:color w:val="000000"/>
          <w:sz w:val="24"/>
          <w:szCs w:val="26"/>
        </w:rPr>
      </w:pPr>
      <w:r>
        <w:rPr>
          <w:b/>
          <w:color w:val="000000"/>
          <w:sz w:val="24"/>
          <w:szCs w:val="26"/>
        </w:rPr>
        <w:t>A</w:t>
      </w:r>
      <w:r>
        <w:rPr>
          <w:b/>
          <w:color w:val="000000"/>
          <w:sz w:val="24"/>
          <w:szCs w:val="26"/>
          <w:vertAlign w:val="subscript"/>
        </w:rPr>
        <w:t>standard</w:t>
      </w:r>
    </w:p>
    <w:p w:rsidR="005F01BE" w:rsidRDefault="005F01BE">
      <w:pPr>
        <w:spacing w:after="0" w:line="480" w:lineRule="auto"/>
        <w:jc w:val="both"/>
        <w:rPr>
          <w:b/>
          <w:bCs/>
          <w:color w:val="000000"/>
          <w:sz w:val="24"/>
          <w:szCs w:val="26"/>
        </w:rPr>
      </w:pP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lastRenderedPageBreak/>
        <w:t xml:space="preserve">3.2.5.3 Determination of Phosphorus </w:t>
      </w:r>
      <w:r>
        <w:rPr>
          <w:b/>
          <w:bCs/>
          <w:color w:val="000000"/>
          <w:sz w:val="24"/>
          <w:szCs w:val="26"/>
        </w:rPr>
        <w:t>Content</w:t>
      </w:r>
    </w:p>
    <w:p w:rsidR="005F01BE" w:rsidRDefault="003E2C3A">
      <w:pPr>
        <w:spacing w:line="480" w:lineRule="auto"/>
        <w:ind w:firstLine="360"/>
        <w:jc w:val="both"/>
        <w:rPr>
          <w:sz w:val="24"/>
          <w:szCs w:val="26"/>
        </w:rPr>
      </w:pPr>
      <w:r>
        <w:rPr>
          <w:sz w:val="24"/>
          <w:szCs w:val="26"/>
        </w:rPr>
        <w:t xml:space="preserve">The powder </w:t>
      </w:r>
      <w:r>
        <w:rPr>
          <w:i/>
          <w:sz w:val="24"/>
          <w:szCs w:val="26"/>
        </w:rPr>
        <w:t>sida acuta</w:t>
      </w:r>
      <w:r>
        <w:rPr>
          <w:sz w:val="24"/>
          <w:szCs w:val="26"/>
        </w:rPr>
        <w:t xml:space="preserve"> is mix with solution </w:t>
      </w:r>
      <w:r>
        <w:rPr>
          <w:rStyle w:val="Strong"/>
          <w:b w:val="0"/>
          <w:sz w:val="24"/>
          <w:szCs w:val="26"/>
        </w:rPr>
        <w:t>hydrogen peroxide (H</w:t>
      </w:r>
      <w:r>
        <w:rPr>
          <w:rStyle w:val="Strong"/>
          <w:rFonts w:ascii="Cambria Math" w:hAnsi="Cambria Math" w:cs="Cambria Math"/>
          <w:b w:val="0"/>
          <w:sz w:val="24"/>
          <w:szCs w:val="26"/>
        </w:rPr>
        <w:t>₂</w:t>
      </w:r>
      <w:r>
        <w:rPr>
          <w:rStyle w:val="Strong"/>
          <w:b w:val="0"/>
          <w:sz w:val="24"/>
          <w:szCs w:val="26"/>
        </w:rPr>
        <w:t>O</w:t>
      </w:r>
      <w:r>
        <w:rPr>
          <w:rStyle w:val="Strong"/>
          <w:rFonts w:ascii="Cambria Math" w:hAnsi="Cambria Math" w:cs="Cambria Math"/>
          <w:b w:val="0"/>
          <w:sz w:val="24"/>
          <w:szCs w:val="26"/>
        </w:rPr>
        <w:t>₂</w:t>
      </w:r>
      <w:r>
        <w:rPr>
          <w:rStyle w:val="Strong"/>
          <w:b w:val="0"/>
          <w:sz w:val="24"/>
          <w:szCs w:val="26"/>
        </w:rPr>
        <w:t>)</w:t>
      </w:r>
      <w:r>
        <w:rPr>
          <w:sz w:val="24"/>
          <w:szCs w:val="26"/>
        </w:rPr>
        <w:t xml:space="preserve"> The phosphorus concentration is determined by comparing the absorbance with a </w:t>
      </w:r>
      <w:r>
        <w:rPr>
          <w:rStyle w:val="Strong"/>
          <w:b w:val="0"/>
          <w:sz w:val="24"/>
          <w:szCs w:val="26"/>
        </w:rPr>
        <w:t>standard calibration curve</w:t>
      </w:r>
      <w:r>
        <w:rPr>
          <w:sz w:val="24"/>
          <w:szCs w:val="26"/>
        </w:rPr>
        <w:t xml:space="preserve"> prepared using known concentrations of </w:t>
      </w:r>
      <w:r>
        <w:rPr>
          <w:rStyle w:val="Strong"/>
          <w:b w:val="0"/>
          <w:sz w:val="24"/>
          <w:szCs w:val="26"/>
        </w:rPr>
        <w:t>KH</w:t>
      </w:r>
      <w:r>
        <w:rPr>
          <w:rStyle w:val="Strong"/>
          <w:rFonts w:ascii="Cambria Math" w:hAnsi="Cambria Math" w:cs="Cambria Math"/>
          <w:b w:val="0"/>
          <w:sz w:val="24"/>
          <w:szCs w:val="26"/>
        </w:rPr>
        <w:t>₂</w:t>
      </w:r>
      <w:r>
        <w:rPr>
          <w:rStyle w:val="Strong"/>
          <w:b w:val="0"/>
          <w:sz w:val="24"/>
          <w:szCs w:val="26"/>
        </w:rPr>
        <w:t>PO</w:t>
      </w:r>
      <w:r>
        <w:rPr>
          <w:rStyle w:val="Strong"/>
          <w:rFonts w:ascii="Cambria Math" w:hAnsi="Cambria Math" w:cs="Cambria Math"/>
          <w:b w:val="0"/>
          <w:sz w:val="24"/>
          <w:szCs w:val="26"/>
        </w:rPr>
        <w:t>₄.</w:t>
      </w:r>
    </w:p>
    <w:p w:rsidR="005F01BE" w:rsidRDefault="003E2C3A">
      <w:pPr>
        <w:spacing w:after="0" w:line="480" w:lineRule="auto"/>
        <w:jc w:val="both"/>
        <w:rPr>
          <w:b/>
          <w:bCs/>
          <w:color w:val="000000"/>
          <w:sz w:val="24"/>
          <w:szCs w:val="26"/>
        </w:rPr>
      </w:pPr>
      <w:r>
        <w:rPr>
          <w:b/>
          <w:bCs/>
          <w:color w:val="000000"/>
          <w:sz w:val="24"/>
          <w:szCs w:val="26"/>
        </w:rPr>
        <w:t>3.2.5.4 Determination of I</w:t>
      </w:r>
      <w:r>
        <w:rPr>
          <w:b/>
          <w:bCs/>
          <w:color w:val="000000"/>
          <w:sz w:val="24"/>
          <w:szCs w:val="26"/>
        </w:rPr>
        <w:t>ron Content</w:t>
      </w:r>
    </w:p>
    <w:p w:rsidR="005F01BE" w:rsidRDefault="003E2C3A">
      <w:pPr>
        <w:spacing w:after="0" w:line="480" w:lineRule="auto"/>
        <w:jc w:val="both"/>
        <w:rPr>
          <w:bCs/>
          <w:color w:val="000000"/>
          <w:sz w:val="24"/>
          <w:szCs w:val="26"/>
        </w:rPr>
      </w:pPr>
      <w:r>
        <w:rPr>
          <w:bCs/>
          <w:color w:val="000000"/>
          <w:sz w:val="24"/>
          <w:szCs w:val="26"/>
        </w:rPr>
        <w:t>Iron (Fe)</w:t>
      </w:r>
    </w:p>
    <w:p w:rsidR="005F01BE" w:rsidRDefault="003E2C3A">
      <w:pPr>
        <w:spacing w:after="0" w:line="480" w:lineRule="auto"/>
        <w:jc w:val="both"/>
        <w:rPr>
          <w:color w:val="000000"/>
          <w:sz w:val="24"/>
          <w:szCs w:val="26"/>
        </w:rPr>
      </w:pPr>
      <w:r>
        <w:rPr>
          <w:color w:val="000000"/>
          <w:sz w:val="24"/>
          <w:szCs w:val="26"/>
        </w:rPr>
        <w:t xml:space="preserve">The method described by Tietz, (1995) was used to assay for </w:t>
      </w:r>
      <w:r>
        <w:rPr>
          <w:bCs/>
          <w:color w:val="000000"/>
          <w:sz w:val="24"/>
          <w:szCs w:val="26"/>
        </w:rPr>
        <w:t>iron Content</w:t>
      </w:r>
      <w:r>
        <w:rPr>
          <w:color w:val="000000"/>
          <w:sz w:val="24"/>
          <w:szCs w:val="26"/>
        </w:rPr>
        <w:t>.</w:t>
      </w:r>
    </w:p>
    <w:p w:rsidR="005F01BE" w:rsidRDefault="003E2C3A">
      <w:pPr>
        <w:spacing w:after="0" w:line="480" w:lineRule="auto"/>
        <w:jc w:val="both"/>
        <w:rPr>
          <w:b/>
          <w:color w:val="000000"/>
          <w:sz w:val="24"/>
          <w:szCs w:val="26"/>
        </w:rPr>
      </w:pPr>
      <w:r>
        <w:rPr>
          <w:b/>
          <w:color w:val="000000"/>
          <w:sz w:val="24"/>
          <w:szCs w:val="26"/>
        </w:rPr>
        <w:t>Principle</w:t>
      </w:r>
    </w:p>
    <w:p w:rsidR="005F01BE" w:rsidRDefault="003E2C3A">
      <w:pPr>
        <w:spacing w:after="0" w:line="480" w:lineRule="auto"/>
        <w:jc w:val="both"/>
        <w:rPr>
          <w:color w:val="000000"/>
          <w:sz w:val="24"/>
          <w:szCs w:val="26"/>
        </w:rPr>
      </w:pPr>
      <w:r>
        <w:rPr>
          <w:color w:val="000000"/>
          <w:sz w:val="24"/>
          <w:szCs w:val="26"/>
        </w:rPr>
        <w:t xml:space="preserve">Ferric iron is dissociated from its carrier protein transferrin in an acid medium and simultaneously reduced to the ferrous iron. The ferrous iron is </w:t>
      </w:r>
      <w:r>
        <w:rPr>
          <w:color w:val="000000"/>
          <w:sz w:val="24"/>
          <w:szCs w:val="26"/>
        </w:rPr>
        <w:t>then complexed with the chromogen to produce a blue chromophore. In the measurement of unsaturated iron binding capacity (UIBC) a known amount of ferrous iron is added in excess to the serum at alkaline Ph. This saturates the UIBC sites on the transferrin.</w:t>
      </w:r>
      <w:r>
        <w:rPr>
          <w:color w:val="000000"/>
          <w:sz w:val="24"/>
          <w:szCs w:val="26"/>
        </w:rPr>
        <w:t xml:space="preserve"> The amount of free iron is then measured and subtracted from the total amount added to calculate the UIBC.</w:t>
      </w:r>
    </w:p>
    <w:p w:rsidR="005F01BE" w:rsidRDefault="003E2C3A">
      <w:pPr>
        <w:spacing w:after="0" w:line="480" w:lineRule="auto"/>
        <w:jc w:val="both"/>
        <w:rPr>
          <w:color w:val="000000"/>
          <w:sz w:val="24"/>
          <w:szCs w:val="26"/>
        </w:rPr>
      </w:pPr>
      <w:r>
        <w:rPr>
          <w:b/>
          <w:color w:val="000000"/>
          <w:sz w:val="24"/>
          <w:szCs w:val="26"/>
        </w:rPr>
        <w:t>Proceedure</w:t>
      </w:r>
    </w:p>
    <w:p w:rsidR="005F01BE" w:rsidRDefault="003E2C3A">
      <w:pPr>
        <w:spacing w:after="0" w:line="480" w:lineRule="auto"/>
        <w:jc w:val="both"/>
        <w:rPr>
          <w:color w:val="000000"/>
          <w:sz w:val="24"/>
          <w:szCs w:val="26"/>
        </w:rPr>
      </w:pPr>
      <w:r>
        <w:rPr>
          <w:color w:val="000000"/>
          <w:sz w:val="24"/>
          <w:szCs w:val="26"/>
        </w:rPr>
        <w:t>Sample and standard (0.5ml) was dispensed into a test tube, 2 ml buffer, 0.1 ml of reductant and 0.5 ml of iron-free water was subsequent</w:t>
      </w:r>
      <w:r>
        <w:rPr>
          <w:color w:val="000000"/>
          <w:sz w:val="24"/>
          <w:szCs w:val="26"/>
        </w:rPr>
        <w:t>ly added to it. The initial absorbance was immediately taken after which the 0.1 ml of chromogen was added to the mixture. The mixture was then incubated for 5 minutes at 37</w:t>
      </w:r>
      <w:r>
        <w:rPr>
          <w:color w:val="000000"/>
          <w:sz w:val="24"/>
          <w:szCs w:val="26"/>
        </w:rPr>
        <w:t>ᶿ</w:t>
      </w:r>
      <w:r>
        <w:rPr>
          <w:color w:val="000000"/>
          <w:sz w:val="24"/>
          <w:szCs w:val="26"/>
        </w:rPr>
        <w:t>C after which the final absorbance value was taken. The absorbance values were rea</w:t>
      </w:r>
      <w:r>
        <w:rPr>
          <w:color w:val="000000"/>
          <w:sz w:val="24"/>
          <w:szCs w:val="26"/>
        </w:rPr>
        <w:t>d at 590 nm.</w:t>
      </w:r>
    </w:p>
    <w:p w:rsidR="005F01BE" w:rsidRDefault="003E2C3A">
      <w:pPr>
        <w:spacing w:after="0" w:line="480" w:lineRule="auto"/>
        <w:jc w:val="both"/>
        <w:rPr>
          <w:b/>
          <w:color w:val="000000"/>
          <w:sz w:val="24"/>
          <w:szCs w:val="26"/>
        </w:rPr>
      </w:pPr>
      <w:r>
        <w:rPr>
          <w:b/>
          <w:color w:val="000000"/>
          <w:sz w:val="24"/>
          <w:szCs w:val="26"/>
        </w:rPr>
        <w:lastRenderedPageBreak/>
        <w:t>Calculation</w:t>
      </w:r>
    </w:p>
    <w:p w:rsidR="005F01BE" w:rsidRDefault="003E2C3A">
      <w:pPr>
        <w:spacing w:after="0" w:line="480" w:lineRule="auto"/>
        <w:jc w:val="both"/>
        <w:rPr>
          <w:color w:val="000000"/>
          <w:sz w:val="24"/>
          <w:szCs w:val="26"/>
        </w:rPr>
      </w:pPr>
      <w:r>
        <w:rPr>
          <w:color w:val="000000"/>
          <w:sz w:val="24"/>
          <w:szCs w:val="26"/>
        </w:rPr>
        <w:t>Fe=</w:t>
      </w:r>
      <w:r>
        <w:rPr>
          <w:color w:val="000000"/>
          <w:sz w:val="24"/>
          <w:szCs w:val="26"/>
          <w:u w:val="single"/>
        </w:rPr>
        <w:t>Abs Sample</w:t>
      </w:r>
      <w:r>
        <w:rPr>
          <w:color w:val="000000"/>
          <w:sz w:val="24"/>
          <w:szCs w:val="26"/>
        </w:rPr>
        <w:t xml:space="preserve">  × Concentration Cal/std</w:t>
      </w:r>
    </w:p>
    <w:p w:rsidR="005F01BE" w:rsidRDefault="003E2C3A">
      <w:pPr>
        <w:spacing w:after="0" w:line="480" w:lineRule="auto"/>
        <w:jc w:val="both"/>
        <w:rPr>
          <w:color w:val="000000"/>
          <w:sz w:val="24"/>
          <w:szCs w:val="26"/>
        </w:rPr>
      </w:pPr>
      <w:r>
        <w:rPr>
          <w:color w:val="000000"/>
          <w:sz w:val="24"/>
          <w:szCs w:val="26"/>
        </w:rPr>
        <w:t xml:space="preserve">       Abs Standard</w:t>
      </w:r>
    </w:p>
    <w:p w:rsidR="005F01BE" w:rsidRDefault="003E2C3A">
      <w:pPr>
        <w:spacing w:after="0" w:line="480" w:lineRule="auto"/>
        <w:jc w:val="both"/>
        <w:rPr>
          <w:b/>
          <w:bCs/>
          <w:color w:val="000000"/>
          <w:sz w:val="24"/>
          <w:szCs w:val="26"/>
        </w:rPr>
      </w:pPr>
      <w:r>
        <w:rPr>
          <w:b/>
          <w:bCs/>
          <w:color w:val="000000"/>
          <w:sz w:val="24"/>
          <w:szCs w:val="26"/>
        </w:rPr>
        <w:t>3.2.5.5 Determination of Copper Contents</w:t>
      </w:r>
    </w:p>
    <w:p w:rsidR="005F01BE" w:rsidRDefault="003E2C3A">
      <w:pPr>
        <w:spacing w:after="0" w:line="480" w:lineRule="auto"/>
        <w:jc w:val="both"/>
        <w:rPr>
          <w:bCs/>
          <w:color w:val="000000"/>
          <w:sz w:val="24"/>
          <w:szCs w:val="26"/>
        </w:rPr>
      </w:pPr>
      <w:r>
        <w:rPr>
          <w:bCs/>
          <w:color w:val="000000"/>
          <w:sz w:val="24"/>
          <w:szCs w:val="26"/>
        </w:rPr>
        <w:t>Copper (Cu)</w:t>
      </w:r>
    </w:p>
    <w:p w:rsidR="005F01BE" w:rsidRDefault="003E2C3A">
      <w:pPr>
        <w:spacing w:after="0" w:line="480" w:lineRule="auto"/>
        <w:jc w:val="both"/>
        <w:rPr>
          <w:color w:val="000000"/>
          <w:sz w:val="24"/>
          <w:szCs w:val="26"/>
        </w:rPr>
      </w:pPr>
      <w:r>
        <w:rPr>
          <w:color w:val="000000"/>
          <w:sz w:val="24"/>
          <w:szCs w:val="26"/>
        </w:rPr>
        <w:t xml:space="preserve">The method described by Kasper </w:t>
      </w:r>
      <w:r>
        <w:rPr>
          <w:i/>
          <w:color w:val="000000"/>
          <w:sz w:val="24"/>
          <w:szCs w:val="26"/>
        </w:rPr>
        <w:t>et al,</w:t>
      </w:r>
      <w:r>
        <w:rPr>
          <w:color w:val="000000"/>
          <w:sz w:val="24"/>
          <w:szCs w:val="26"/>
        </w:rPr>
        <w:t xml:space="preserve"> (2012) was used to assayed for the presence of Copper.</w:t>
      </w:r>
    </w:p>
    <w:p w:rsidR="005F01BE" w:rsidRDefault="003E2C3A">
      <w:pPr>
        <w:spacing w:after="0" w:line="480" w:lineRule="auto"/>
        <w:jc w:val="both"/>
        <w:rPr>
          <w:b/>
          <w:bCs/>
          <w:color w:val="000000"/>
          <w:sz w:val="24"/>
          <w:szCs w:val="26"/>
        </w:rPr>
      </w:pPr>
      <w:r>
        <w:rPr>
          <w:b/>
          <w:bCs/>
          <w:color w:val="000000"/>
          <w:sz w:val="24"/>
          <w:szCs w:val="26"/>
        </w:rPr>
        <w:t>Principle</w:t>
      </w:r>
    </w:p>
    <w:p w:rsidR="005F01BE" w:rsidRDefault="003E2C3A">
      <w:pPr>
        <w:spacing w:after="0" w:line="480" w:lineRule="auto"/>
        <w:jc w:val="both"/>
        <w:rPr>
          <w:color w:val="000000"/>
          <w:sz w:val="24"/>
          <w:szCs w:val="26"/>
        </w:rPr>
      </w:pPr>
      <w:r>
        <w:rPr>
          <w:color w:val="000000"/>
          <w:sz w:val="24"/>
          <w:szCs w:val="26"/>
        </w:rPr>
        <w:t xml:space="preserve">At pH 4.7 (acid </w:t>
      </w:r>
      <w:r>
        <w:rPr>
          <w:color w:val="000000"/>
          <w:sz w:val="24"/>
          <w:szCs w:val="26"/>
        </w:rPr>
        <w:t>buffer), copper, which is bound to ceruloplasmin is released by a reducing agent. It then react with a specific colour reagent, 3.5-Di-Br-PAESA, to form a stable, colored chelate. The intensity of the colour, photometrically measurable at 570 nm, is direct</w:t>
      </w:r>
      <w:r>
        <w:rPr>
          <w:color w:val="000000"/>
          <w:sz w:val="24"/>
          <w:szCs w:val="26"/>
        </w:rPr>
        <w:t>ly proportional to the amount of copper present in the sample.</w:t>
      </w:r>
    </w:p>
    <w:p w:rsidR="005F01BE" w:rsidRDefault="003E2C3A">
      <w:pPr>
        <w:spacing w:after="0" w:line="480" w:lineRule="auto"/>
        <w:jc w:val="both"/>
        <w:rPr>
          <w:b/>
          <w:bCs/>
          <w:color w:val="000000"/>
          <w:sz w:val="24"/>
          <w:szCs w:val="26"/>
        </w:rPr>
      </w:pPr>
      <w:r>
        <w:rPr>
          <w:b/>
          <w:bCs/>
          <w:color w:val="000000"/>
          <w:sz w:val="24"/>
          <w:szCs w:val="26"/>
        </w:rPr>
        <w:t xml:space="preserve">Procedure </w:t>
      </w:r>
    </w:p>
    <w:p w:rsidR="005F01BE" w:rsidRDefault="003E2C3A">
      <w:pPr>
        <w:spacing w:after="0" w:line="480" w:lineRule="auto"/>
        <w:jc w:val="both"/>
        <w:rPr>
          <w:color w:val="000000"/>
          <w:sz w:val="24"/>
          <w:szCs w:val="26"/>
        </w:rPr>
      </w:pPr>
      <w:r>
        <w:rPr>
          <w:color w:val="000000"/>
          <w:sz w:val="24"/>
          <w:szCs w:val="26"/>
        </w:rPr>
        <w:t>Working reagent (1000µl) was added to 50µl of the sample and standard in a cuvette. The mixture was incubated for 5minutes at 37</w:t>
      </w:r>
      <w:r>
        <w:rPr>
          <w:color w:val="000000"/>
          <w:sz w:val="24"/>
          <w:szCs w:val="26"/>
        </w:rPr>
        <w:t>ᶿ</w:t>
      </w:r>
      <w:r>
        <w:rPr>
          <w:color w:val="000000"/>
          <w:sz w:val="24"/>
          <w:szCs w:val="26"/>
        </w:rPr>
        <w:t>C. The absorbance value was immediately taken after t</w:t>
      </w:r>
      <w:r>
        <w:rPr>
          <w:color w:val="000000"/>
          <w:sz w:val="24"/>
          <w:szCs w:val="26"/>
        </w:rPr>
        <w:t>he incubation at 570nm.</w:t>
      </w:r>
    </w:p>
    <w:p w:rsidR="005F01BE" w:rsidRDefault="003E2C3A">
      <w:pPr>
        <w:spacing w:after="0" w:line="480" w:lineRule="auto"/>
        <w:jc w:val="both"/>
        <w:rPr>
          <w:color w:val="000000"/>
          <w:sz w:val="24"/>
          <w:szCs w:val="26"/>
        </w:rPr>
      </w:pPr>
      <w:r>
        <w:rPr>
          <w:color w:val="000000"/>
          <w:sz w:val="24"/>
          <w:szCs w:val="26"/>
        </w:rPr>
        <w:t>Calculation</w:t>
      </w:r>
    </w:p>
    <w:p w:rsidR="005F01BE" w:rsidRDefault="003E2C3A">
      <w:pPr>
        <w:spacing w:after="0" w:line="480" w:lineRule="auto"/>
        <w:jc w:val="both"/>
        <w:rPr>
          <w:color w:val="000000"/>
          <w:sz w:val="24"/>
          <w:szCs w:val="26"/>
        </w:rPr>
      </w:pPr>
      <w:r>
        <w:rPr>
          <w:color w:val="000000"/>
          <w:sz w:val="24"/>
          <w:szCs w:val="26"/>
        </w:rPr>
        <w:t>Cu=</w:t>
      </w:r>
      <w:r>
        <w:rPr>
          <w:color w:val="000000"/>
          <w:sz w:val="24"/>
          <w:szCs w:val="26"/>
          <w:u w:val="single"/>
        </w:rPr>
        <w:t>Abs Sample</w:t>
      </w:r>
      <w:r>
        <w:rPr>
          <w:color w:val="000000"/>
          <w:sz w:val="24"/>
          <w:szCs w:val="26"/>
        </w:rPr>
        <w:t xml:space="preserve">  × Concentration Cal/std</w:t>
      </w:r>
    </w:p>
    <w:p w:rsidR="005F01BE" w:rsidRDefault="003E2C3A">
      <w:pPr>
        <w:spacing w:after="0" w:line="480" w:lineRule="auto"/>
        <w:jc w:val="both"/>
        <w:rPr>
          <w:color w:val="000000"/>
          <w:sz w:val="24"/>
          <w:szCs w:val="26"/>
        </w:rPr>
      </w:pPr>
      <w:r>
        <w:rPr>
          <w:color w:val="000000"/>
          <w:sz w:val="24"/>
          <w:szCs w:val="26"/>
        </w:rPr>
        <w:t xml:space="preserve">       Abs Standard</w:t>
      </w:r>
    </w:p>
    <w:p w:rsidR="005F01BE" w:rsidRDefault="003E2C3A">
      <w:pPr>
        <w:spacing w:after="0" w:line="480" w:lineRule="auto"/>
        <w:jc w:val="both"/>
        <w:rPr>
          <w:color w:val="000000"/>
          <w:sz w:val="24"/>
          <w:szCs w:val="26"/>
        </w:rPr>
      </w:pPr>
      <w:r>
        <w:rPr>
          <w:color w:val="000000"/>
          <w:sz w:val="24"/>
          <w:szCs w:val="26"/>
        </w:rPr>
        <w:t>Conversion factor: Copper [µg/dl] ×0.1573=Copper [µmol/l]</w:t>
      </w: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lastRenderedPageBreak/>
        <w:t xml:space="preserve">3.2.6 Determination of Antioxidant properties </w:t>
      </w:r>
    </w:p>
    <w:p w:rsidR="005F01BE" w:rsidRDefault="003E2C3A">
      <w:pPr>
        <w:spacing w:after="0" w:line="480" w:lineRule="auto"/>
        <w:jc w:val="both"/>
        <w:rPr>
          <w:b/>
          <w:bCs/>
          <w:color w:val="000000"/>
          <w:sz w:val="24"/>
          <w:szCs w:val="26"/>
        </w:rPr>
      </w:pPr>
      <w:r>
        <w:rPr>
          <w:b/>
          <w:bCs/>
          <w:color w:val="000000"/>
          <w:sz w:val="24"/>
          <w:szCs w:val="26"/>
        </w:rPr>
        <w:t xml:space="preserve">3.2.6.1 Determination of </w:t>
      </w:r>
      <w:r>
        <w:rPr>
          <w:b/>
          <w:sz w:val="26"/>
        </w:rPr>
        <w:t xml:space="preserve">Ferric Reducing Antioxidant </w:t>
      </w:r>
      <w:r>
        <w:rPr>
          <w:b/>
          <w:sz w:val="26"/>
        </w:rPr>
        <w:t>Power</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This method evaluates the antioxidant effect of a substance in reducing Fe³</w:t>
      </w:r>
      <w:r>
        <w:rPr>
          <w:rFonts w:ascii="Cambria Math" w:eastAsia="Times New Roman" w:hAnsi="Cambria Math" w:cs="Cambria Math"/>
          <w:color w:val="000000"/>
          <w:sz w:val="24"/>
          <w:szCs w:val="26"/>
        </w:rPr>
        <w:t>⁺</w:t>
      </w:r>
      <w:r>
        <w:rPr>
          <w:rFonts w:eastAsia="Times New Roman"/>
          <w:color w:val="000000"/>
          <w:sz w:val="24"/>
          <w:szCs w:val="26"/>
        </w:rPr>
        <w:t xml:space="preserve"> to Fe²</w:t>
      </w:r>
      <w:r>
        <w:rPr>
          <w:rFonts w:ascii="Cambria Math" w:eastAsia="Times New Roman" w:hAnsi="Cambria Math" w:cs="Cambria Math"/>
          <w:color w:val="000000"/>
          <w:sz w:val="24"/>
          <w:szCs w:val="26"/>
        </w:rPr>
        <w:t>⁺</w:t>
      </w:r>
      <w:r>
        <w:rPr>
          <w:rFonts w:eastAsia="Times New Roman"/>
          <w:color w:val="000000"/>
          <w:sz w:val="24"/>
          <w:szCs w:val="26"/>
        </w:rPr>
        <w:t xml:space="preserve"> in the presence of TPTZ (2,4,6-tripyridyl-s-triazine), forming a blue complex measurable at 593 nm.</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5F01BE" w:rsidRDefault="003E2C3A">
      <w:pPr>
        <w:spacing w:after="0" w:line="480" w:lineRule="auto"/>
        <w:ind w:firstLine="720"/>
        <w:jc w:val="both"/>
        <w:rPr>
          <w:color w:val="000000"/>
          <w:sz w:val="24"/>
          <w:szCs w:val="26"/>
        </w:rPr>
      </w:pPr>
      <w:r>
        <w:rPr>
          <w:color w:val="000000"/>
          <w:sz w:val="24"/>
          <w:szCs w:val="26"/>
        </w:rPr>
        <w:t xml:space="preserve">The procedure indicated that 100 µL of plant extract </w:t>
      </w:r>
      <w:r>
        <w:rPr>
          <w:color w:val="000000"/>
          <w:sz w:val="24"/>
          <w:szCs w:val="26"/>
        </w:rPr>
        <w:t>was to be added to 3 mL of freshly prepared FRAP reagent. The mixture was then incubated at 37°C for 4 to 6 minutes. Absorbance was measured at 593 nm using a spectrophotometer. It was stated that FeSO</w:t>
      </w:r>
      <w:r>
        <w:rPr>
          <w:rFonts w:ascii="Cambria Math" w:hAnsi="Cambria Math" w:cs="Cambria Math"/>
          <w:color w:val="000000"/>
          <w:sz w:val="24"/>
          <w:szCs w:val="26"/>
        </w:rPr>
        <w:t>₄</w:t>
      </w:r>
      <w:r>
        <w:rPr>
          <w:color w:val="000000"/>
          <w:sz w:val="24"/>
          <w:szCs w:val="26"/>
        </w:rPr>
        <w:t xml:space="preserve"> was used as a standard for calibration, and the resul</w:t>
      </w:r>
      <w:r>
        <w:rPr>
          <w:color w:val="000000"/>
          <w:sz w:val="24"/>
          <w:szCs w:val="26"/>
        </w:rPr>
        <w:t>ts were expressed as µmol Fe²</w:t>
      </w:r>
      <w:r>
        <w:rPr>
          <w:rFonts w:ascii="Cambria Math" w:hAnsi="Cambria Math" w:cs="Cambria Math"/>
          <w:color w:val="000000"/>
          <w:sz w:val="24"/>
          <w:szCs w:val="26"/>
        </w:rPr>
        <w:t>⁺</w:t>
      </w:r>
      <w:r>
        <w:rPr>
          <w:color w:val="000000"/>
          <w:sz w:val="24"/>
          <w:szCs w:val="26"/>
        </w:rPr>
        <w:t xml:space="preserve"> equivalents.</w:t>
      </w:r>
    </w:p>
    <w:p w:rsidR="005F01BE" w:rsidRDefault="003E2C3A">
      <w:pPr>
        <w:spacing w:after="0" w:line="480" w:lineRule="auto"/>
        <w:jc w:val="both"/>
        <w:rPr>
          <w:b/>
          <w:bCs/>
          <w:color w:val="000000"/>
          <w:sz w:val="22"/>
          <w:szCs w:val="26"/>
        </w:rPr>
      </w:pPr>
      <w:r>
        <w:rPr>
          <w:b/>
          <w:bCs/>
          <w:color w:val="000000"/>
          <w:sz w:val="24"/>
          <w:szCs w:val="26"/>
        </w:rPr>
        <w:t xml:space="preserve">3.2.6.2 </w:t>
      </w:r>
      <w:r>
        <w:rPr>
          <w:b/>
          <w:bCs/>
          <w:color w:val="000000"/>
          <w:sz w:val="22"/>
          <w:szCs w:val="26"/>
        </w:rPr>
        <w:t xml:space="preserve">Determination of </w:t>
      </w:r>
      <w:r>
        <w:rPr>
          <w:b/>
          <w:sz w:val="24"/>
        </w:rPr>
        <w:t>2,2'-Azino-bis(3-ethylbenzothiazoline-6-sulfonic acid)</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ABTS is oxidized to its radical cation (ABTS</w:t>
      </w:r>
      <w:r>
        <w:rPr>
          <w:rFonts w:ascii="Cambria Math" w:eastAsia="Times New Roman" w:hAnsi="Cambria Math" w:cs="Cambria Math"/>
          <w:color w:val="000000"/>
          <w:sz w:val="24"/>
          <w:szCs w:val="26"/>
        </w:rPr>
        <w:t>⁺</w:t>
      </w:r>
      <w:r>
        <w:rPr>
          <w:rFonts w:eastAsia="Times New Roman"/>
          <w:color w:val="000000"/>
          <w:sz w:val="24"/>
          <w:szCs w:val="26"/>
        </w:rPr>
        <w:t>•), which is blue-green and absorbs at 734 nm. Antioxidants reduce the ABTS</w:t>
      </w:r>
      <w:r>
        <w:rPr>
          <w:rFonts w:ascii="Cambria Math" w:eastAsia="Times New Roman" w:hAnsi="Cambria Math" w:cs="Cambria Math"/>
          <w:color w:val="000000"/>
          <w:sz w:val="24"/>
          <w:szCs w:val="26"/>
        </w:rPr>
        <w:t>⁺</w:t>
      </w:r>
      <w:r>
        <w:rPr>
          <w:rFonts w:eastAsia="Times New Roman"/>
          <w:color w:val="000000"/>
          <w:sz w:val="24"/>
          <w:szCs w:val="26"/>
        </w:rPr>
        <w:t xml:space="preserve">•, leading </w:t>
      </w:r>
      <w:r>
        <w:rPr>
          <w:rFonts w:eastAsia="Times New Roman"/>
          <w:color w:val="000000"/>
          <w:sz w:val="24"/>
          <w:szCs w:val="26"/>
        </w:rPr>
        <w:t>to decolorization.</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5F01BE" w:rsidRDefault="003E2C3A">
      <w:pPr>
        <w:spacing w:after="0" w:line="480" w:lineRule="auto"/>
        <w:jc w:val="both"/>
        <w:rPr>
          <w:color w:val="000000"/>
          <w:sz w:val="24"/>
          <w:szCs w:val="26"/>
        </w:rPr>
      </w:pPr>
      <w:r>
        <w:rPr>
          <w:color w:val="000000"/>
          <w:sz w:val="24"/>
          <w:szCs w:val="26"/>
        </w:rPr>
        <w:t>The method stated that ABTS</w:t>
      </w:r>
      <w:r>
        <w:rPr>
          <w:rFonts w:ascii="Cambria Math" w:hAnsi="Cambria Math" w:cs="Cambria Math"/>
          <w:color w:val="000000"/>
          <w:sz w:val="24"/>
          <w:szCs w:val="26"/>
        </w:rPr>
        <w:t>⁺</w:t>
      </w:r>
      <w:r>
        <w:rPr>
          <w:color w:val="000000"/>
          <w:sz w:val="24"/>
          <w:szCs w:val="26"/>
        </w:rPr>
        <w:t xml:space="preserve"> was prepared by mixing ABTS with potassium persulfate and incubating the mixture in the dark for 12 to 16 hours. The resulting ABTS</w:t>
      </w:r>
      <w:r>
        <w:rPr>
          <w:rFonts w:ascii="Cambria Math" w:hAnsi="Cambria Math" w:cs="Cambria Math"/>
          <w:color w:val="000000"/>
          <w:sz w:val="24"/>
          <w:szCs w:val="26"/>
        </w:rPr>
        <w:t>⁺</w:t>
      </w:r>
      <w:r>
        <w:rPr>
          <w:color w:val="000000"/>
          <w:sz w:val="24"/>
          <w:szCs w:val="26"/>
        </w:rPr>
        <w:t xml:space="preserve"> solution was then diluted with ethanol to an absorbance of appro</w:t>
      </w:r>
      <w:r>
        <w:rPr>
          <w:color w:val="000000"/>
          <w:sz w:val="24"/>
          <w:szCs w:val="26"/>
        </w:rPr>
        <w:t>ximately 0.700 at 734 nm. Afterward, 100 µL of the extract was added to 3.9 mL of the diluted ABTS</w:t>
      </w:r>
      <w:r>
        <w:rPr>
          <w:rFonts w:ascii="Cambria Math" w:hAnsi="Cambria Math" w:cs="Cambria Math"/>
          <w:color w:val="000000"/>
          <w:sz w:val="24"/>
          <w:szCs w:val="26"/>
        </w:rPr>
        <w:t>⁺</w:t>
      </w:r>
      <w:r>
        <w:rPr>
          <w:color w:val="000000"/>
          <w:sz w:val="24"/>
          <w:szCs w:val="26"/>
        </w:rPr>
        <w:t xml:space="preserve"> solution. </w:t>
      </w:r>
      <w:r>
        <w:rPr>
          <w:color w:val="000000"/>
          <w:sz w:val="24"/>
          <w:szCs w:val="26"/>
        </w:rPr>
        <w:lastRenderedPageBreak/>
        <w:t>Absorbance was measured at 734 nm after 6 minutes. It was noted that the results were compared with a Trolox standard and expressed as µmol Trolox</w:t>
      </w:r>
      <w:r>
        <w:rPr>
          <w:color w:val="000000"/>
          <w:sz w:val="24"/>
          <w:szCs w:val="26"/>
        </w:rPr>
        <w:t xml:space="preserve"> equivalents.</w:t>
      </w:r>
    </w:p>
    <w:p w:rsidR="005F01BE" w:rsidRDefault="005F01BE">
      <w:pPr>
        <w:spacing w:after="0" w:line="480" w:lineRule="auto"/>
        <w:jc w:val="both"/>
        <w:rPr>
          <w:b/>
          <w:bCs/>
          <w:color w:val="000000"/>
          <w:sz w:val="24"/>
          <w:szCs w:val="26"/>
        </w:rPr>
      </w:pPr>
    </w:p>
    <w:p w:rsidR="005F01BE" w:rsidRDefault="003E2C3A">
      <w:pPr>
        <w:spacing w:after="0" w:line="480" w:lineRule="auto"/>
        <w:jc w:val="both"/>
        <w:rPr>
          <w:b/>
          <w:bCs/>
          <w:color w:val="000000"/>
          <w:sz w:val="24"/>
          <w:szCs w:val="26"/>
        </w:rPr>
      </w:pPr>
      <w:r>
        <w:rPr>
          <w:b/>
          <w:bCs/>
          <w:color w:val="000000"/>
          <w:sz w:val="24"/>
          <w:szCs w:val="26"/>
        </w:rPr>
        <w:t xml:space="preserve">3.2.6.3 Determination of </w:t>
      </w:r>
      <w:r>
        <w:rPr>
          <w:b/>
          <w:sz w:val="26"/>
        </w:rPr>
        <w:t>2,2-Diphenyl-1-picrylhydrazyl</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DPPH is a stable free radical that changes color (deep violet to yellow) upon reduction by an antioxidant.</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5F01BE" w:rsidRDefault="003E2C3A">
      <w:pPr>
        <w:spacing w:before="100" w:beforeAutospacing="1" w:after="0" w:line="480" w:lineRule="auto"/>
        <w:ind w:firstLine="720"/>
        <w:jc w:val="both"/>
        <w:rPr>
          <w:color w:val="000000"/>
          <w:sz w:val="24"/>
          <w:szCs w:val="26"/>
        </w:rPr>
      </w:pPr>
      <w:r>
        <w:rPr>
          <w:color w:val="000000"/>
          <w:sz w:val="24"/>
          <w:szCs w:val="26"/>
        </w:rPr>
        <w:t>The procedure stated that 1 mL of DPPH solution was to be</w:t>
      </w:r>
      <w:r>
        <w:rPr>
          <w:color w:val="000000"/>
          <w:sz w:val="24"/>
          <w:szCs w:val="26"/>
        </w:rPr>
        <w:t xml:space="preserve"> mixed with 1 mL of the extract and incubated in the dark for 30 minutes at room temperature. Absorbance was then measured at 517 nm.</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Calculate percentage inhibition using:</w:t>
      </w:r>
    </w:p>
    <w:p w:rsidR="005F01BE" w:rsidRDefault="003E2C3A">
      <w:pPr>
        <w:spacing w:before="100" w:beforeAutospacing="1" w:after="0" w:line="480" w:lineRule="auto"/>
        <w:ind w:left="1080"/>
        <w:jc w:val="both"/>
        <w:rPr>
          <w:rFonts w:eastAsia="Times New Roman"/>
          <w:color w:val="000000"/>
          <w:sz w:val="24"/>
          <w:szCs w:val="26"/>
        </w:rPr>
      </w:pPr>
      <w:r>
        <w:rPr>
          <w:noProof/>
          <w:color w:val="000000"/>
          <w:sz w:val="24"/>
          <w:szCs w:val="26"/>
        </w:rPr>
        <w:drawing>
          <wp:inline distT="0" distB="0" distL="0" distR="0">
            <wp:extent cx="2724530" cy="590632"/>
            <wp:effectExtent l="0" t="0" r="0" b="0"/>
            <wp:docPr id="10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1"/>
                    <pic:cNvPicPr/>
                  </pic:nvPicPr>
                  <pic:blipFill>
                    <a:blip r:embed="rId31" cstate="print"/>
                    <a:srcRect/>
                    <a:stretch/>
                  </pic:blipFill>
                  <pic:spPr>
                    <a:xfrm>
                      <a:off x="0" y="0"/>
                      <a:ext cx="2724530" cy="590632"/>
                    </a:xfrm>
                    <a:prstGeom prst="rect">
                      <a:avLst/>
                    </a:prstGeom>
                  </pic:spPr>
                </pic:pic>
              </a:graphicData>
            </a:graphic>
          </wp:inline>
        </w:drawing>
      </w:r>
      <w:r>
        <w:rPr>
          <w:rFonts w:eastAsia="Times New Roman"/>
          <w:color w:val="000000"/>
          <w:sz w:val="24"/>
          <w:szCs w:val="26"/>
        </w:rPr>
        <w:t>.</w:t>
      </w:r>
    </w:p>
    <w:p w:rsidR="005F01BE" w:rsidRDefault="003E2C3A">
      <w:pPr>
        <w:spacing w:before="100" w:beforeAutospacing="1" w:after="0" w:line="480" w:lineRule="auto"/>
        <w:ind w:left="1080"/>
        <w:jc w:val="both"/>
        <w:rPr>
          <w:rFonts w:eastAsia="Times New Roman"/>
          <w:color w:val="000000"/>
          <w:sz w:val="24"/>
          <w:szCs w:val="26"/>
        </w:rPr>
      </w:pPr>
      <w:r>
        <w:rPr>
          <w:color w:val="000000"/>
          <w:sz w:val="24"/>
          <w:szCs w:val="26"/>
        </w:rPr>
        <w:t xml:space="preserve">where </w:t>
      </w:r>
      <w:r>
        <w:rPr>
          <w:rStyle w:val="katex-mathml"/>
          <w:color w:val="000000"/>
          <w:sz w:val="24"/>
          <w:szCs w:val="26"/>
        </w:rPr>
        <w:t>A</w:t>
      </w:r>
      <w:r>
        <w:rPr>
          <w:rStyle w:val="katex-mathml"/>
          <w:color w:val="000000"/>
          <w:sz w:val="24"/>
          <w:szCs w:val="26"/>
          <w:vertAlign w:val="subscript"/>
        </w:rPr>
        <w:t>0</w:t>
      </w:r>
      <w:r>
        <w:rPr>
          <w:color w:val="000000"/>
          <w:sz w:val="24"/>
          <w:szCs w:val="26"/>
        </w:rPr>
        <w:t xml:space="preserve">= control absorbance, </w:t>
      </w:r>
      <w:r>
        <w:rPr>
          <w:rStyle w:val="katex-mathml"/>
          <w:color w:val="000000"/>
          <w:sz w:val="24"/>
          <w:szCs w:val="26"/>
        </w:rPr>
        <w:t>A</w:t>
      </w:r>
      <w:r>
        <w:rPr>
          <w:rStyle w:val="katex-mathml"/>
          <w:color w:val="000000"/>
          <w:sz w:val="24"/>
          <w:szCs w:val="26"/>
          <w:vertAlign w:val="subscript"/>
        </w:rPr>
        <w:t>1</w:t>
      </w:r>
      <w:r>
        <w:rPr>
          <w:color w:val="000000"/>
          <w:sz w:val="24"/>
          <w:szCs w:val="26"/>
        </w:rPr>
        <w:t>= sample absorbance.</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Express results as IC</w:t>
      </w:r>
      <w:r>
        <w:rPr>
          <w:rFonts w:ascii="Cambria Math" w:eastAsia="Times New Roman" w:hAnsi="Cambria Math" w:cs="Cambria Math"/>
          <w:color w:val="000000"/>
          <w:sz w:val="24"/>
          <w:szCs w:val="26"/>
        </w:rPr>
        <w:t>₅₀</w:t>
      </w:r>
      <w:r>
        <w:rPr>
          <w:rFonts w:eastAsia="Times New Roman"/>
          <w:color w:val="000000"/>
          <w:sz w:val="24"/>
          <w:szCs w:val="26"/>
        </w:rPr>
        <w:t xml:space="preserve"> or </w:t>
      </w:r>
      <w:r>
        <w:rPr>
          <w:rFonts w:eastAsia="Times New Roman"/>
          <w:color w:val="000000"/>
          <w:sz w:val="24"/>
          <w:szCs w:val="26"/>
        </w:rPr>
        <w:t>µmol Trolox equivalents.</w:t>
      </w:r>
    </w:p>
    <w:p w:rsidR="005F01BE" w:rsidRDefault="003E2C3A">
      <w:pPr>
        <w:spacing w:after="0" w:line="480" w:lineRule="auto"/>
        <w:jc w:val="both"/>
        <w:rPr>
          <w:b/>
          <w:bCs/>
          <w:color w:val="000000"/>
          <w:sz w:val="24"/>
          <w:szCs w:val="26"/>
        </w:rPr>
      </w:pPr>
      <w:r>
        <w:rPr>
          <w:b/>
          <w:bCs/>
          <w:color w:val="000000"/>
          <w:sz w:val="24"/>
          <w:szCs w:val="26"/>
        </w:rPr>
        <w:lastRenderedPageBreak/>
        <w:t xml:space="preserve">3.2.6.4 Determination of </w:t>
      </w:r>
      <w:r>
        <w:rPr>
          <w:b/>
          <w:sz w:val="26"/>
        </w:rPr>
        <w:t>Total Flavonoid Content</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Flavonoids react with aluminum chloride to form a yellow complex, measurable at 415 nm.</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5F01BE" w:rsidRDefault="003E2C3A">
      <w:pPr>
        <w:spacing w:after="0" w:line="480" w:lineRule="auto"/>
        <w:ind w:firstLine="720"/>
        <w:jc w:val="both"/>
        <w:rPr>
          <w:color w:val="000000"/>
          <w:sz w:val="24"/>
          <w:szCs w:val="26"/>
        </w:rPr>
      </w:pPr>
      <w:r>
        <w:rPr>
          <w:color w:val="000000"/>
          <w:sz w:val="24"/>
          <w:szCs w:val="26"/>
        </w:rPr>
        <w:t xml:space="preserve">The procedure indicated that 0.5 mL of the extract was to be mixed with </w:t>
      </w:r>
      <w:r>
        <w:rPr>
          <w:color w:val="000000"/>
          <w:sz w:val="24"/>
          <w:szCs w:val="26"/>
        </w:rPr>
        <w:t>0.5 mL of 2% AlCl</w:t>
      </w:r>
      <w:r>
        <w:rPr>
          <w:rFonts w:ascii="Cambria Math" w:hAnsi="Cambria Math" w:cs="Cambria Math"/>
          <w:color w:val="000000"/>
          <w:sz w:val="24"/>
          <w:szCs w:val="26"/>
        </w:rPr>
        <w:t>₃</w:t>
      </w:r>
      <w:r>
        <w:rPr>
          <w:color w:val="000000"/>
          <w:sz w:val="24"/>
          <w:szCs w:val="26"/>
        </w:rPr>
        <w:t xml:space="preserve"> and incubated for 30 minutes at room temperature. Absorbance was then measured at 415 nm. It was noted that quercetin was used as the standard, and the results were expressed in mg quercetin equivalents (QE) per gram of extract.</w:t>
      </w:r>
    </w:p>
    <w:p w:rsidR="005F01BE" w:rsidRDefault="003E2C3A">
      <w:pPr>
        <w:spacing w:after="0" w:line="480" w:lineRule="auto"/>
        <w:jc w:val="both"/>
        <w:rPr>
          <w:b/>
          <w:bCs/>
          <w:color w:val="000000"/>
          <w:sz w:val="24"/>
          <w:szCs w:val="26"/>
        </w:rPr>
      </w:pPr>
      <w:r>
        <w:rPr>
          <w:b/>
          <w:bCs/>
          <w:color w:val="000000"/>
          <w:sz w:val="24"/>
          <w:szCs w:val="26"/>
        </w:rPr>
        <w:t xml:space="preserve">3.2.6.5 </w:t>
      </w:r>
      <w:r>
        <w:rPr>
          <w:b/>
          <w:bCs/>
          <w:color w:val="000000"/>
          <w:sz w:val="24"/>
          <w:szCs w:val="26"/>
        </w:rPr>
        <w:t xml:space="preserve">Determination of </w:t>
      </w:r>
      <w:r>
        <w:rPr>
          <w:b/>
          <w:sz w:val="26"/>
        </w:rPr>
        <w:t>Total Phenolic Content</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Principle:</w:t>
      </w:r>
    </w:p>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The Folin–Ciocalteu reagent reacts with phenolics to produce a blue complex detectable at 765 nm.</w:t>
      </w:r>
    </w:p>
    <w:p w:rsidR="005F01BE" w:rsidRDefault="003E2C3A">
      <w:pPr>
        <w:spacing w:before="100" w:beforeAutospacing="1" w:after="0" w:line="480" w:lineRule="auto"/>
        <w:jc w:val="both"/>
        <w:outlineLvl w:val="3"/>
        <w:rPr>
          <w:rFonts w:eastAsia="Times New Roman"/>
          <w:b/>
          <w:bCs/>
          <w:color w:val="000000"/>
          <w:sz w:val="24"/>
          <w:szCs w:val="26"/>
        </w:rPr>
      </w:pPr>
      <w:r>
        <w:rPr>
          <w:rFonts w:eastAsia="Times New Roman"/>
          <w:b/>
          <w:bCs/>
          <w:color w:val="000000"/>
          <w:sz w:val="24"/>
          <w:szCs w:val="26"/>
        </w:rPr>
        <w:t>Procedure:</w:t>
      </w:r>
    </w:p>
    <w:p w:rsidR="005F01BE" w:rsidRDefault="003E2C3A">
      <w:pPr>
        <w:spacing w:after="0" w:line="480" w:lineRule="auto"/>
        <w:ind w:firstLine="720"/>
        <w:jc w:val="both"/>
        <w:rPr>
          <w:color w:val="000000"/>
          <w:sz w:val="24"/>
          <w:szCs w:val="26"/>
        </w:rPr>
      </w:pPr>
      <w:r>
        <w:rPr>
          <w:color w:val="000000"/>
          <w:sz w:val="24"/>
          <w:szCs w:val="26"/>
        </w:rPr>
        <w:t>The procedure stated that 0.5 mL of the sample was to be mixed with 2.5 mL of Folin–Ciocalteu re</w:t>
      </w:r>
      <w:r>
        <w:rPr>
          <w:color w:val="000000"/>
          <w:sz w:val="24"/>
          <w:szCs w:val="26"/>
        </w:rPr>
        <w:t xml:space="preserve">agent. After 5 minutes, 2 mL of sodium carbonate was to be added. The mixture was then incubated for 30 minutes at room temperature, after which absorbance was measured at 765 nm. It was noted that gallic acid was used as the </w:t>
      </w:r>
      <w:r>
        <w:rPr>
          <w:color w:val="000000"/>
          <w:sz w:val="24"/>
          <w:szCs w:val="26"/>
        </w:rPr>
        <w:lastRenderedPageBreak/>
        <w:t>standard, and the results were</w:t>
      </w:r>
      <w:r>
        <w:rPr>
          <w:color w:val="000000"/>
          <w:sz w:val="24"/>
          <w:szCs w:val="26"/>
        </w:rPr>
        <w:t xml:space="preserve"> expressed as mg gallic acid equivalents (GAE) per gram of extract.</w:t>
      </w:r>
    </w:p>
    <w:p w:rsidR="005F01BE" w:rsidRDefault="003E2C3A">
      <w:pPr>
        <w:spacing w:after="0" w:line="480" w:lineRule="auto"/>
        <w:jc w:val="both"/>
        <w:rPr>
          <w:b/>
          <w:bCs/>
          <w:color w:val="000000"/>
          <w:sz w:val="24"/>
          <w:szCs w:val="26"/>
        </w:rPr>
      </w:pPr>
      <w:r>
        <w:rPr>
          <w:b/>
          <w:bCs/>
          <w:color w:val="000000"/>
          <w:sz w:val="24"/>
          <w:szCs w:val="26"/>
        </w:rPr>
        <w:t xml:space="preserve">3.3 Experimental design </w:t>
      </w:r>
    </w:p>
    <w:p w:rsidR="005F01BE" w:rsidRDefault="003E2C3A">
      <w:pPr>
        <w:spacing w:after="0" w:line="480" w:lineRule="auto"/>
        <w:ind w:firstLine="720"/>
        <w:jc w:val="both"/>
        <w:rPr>
          <w:iCs/>
          <w:color w:val="000000"/>
          <w:sz w:val="24"/>
          <w:szCs w:val="26"/>
        </w:rPr>
      </w:pPr>
      <w:r>
        <w:rPr>
          <w:iCs/>
          <w:color w:val="000000"/>
          <w:sz w:val="24"/>
          <w:szCs w:val="26"/>
        </w:rPr>
        <w:t>The study included 52 white Albino rats (</w:t>
      </w:r>
      <w:r>
        <w:rPr>
          <w:i/>
          <w:iCs/>
          <w:color w:val="000000"/>
          <w:sz w:val="24"/>
          <w:szCs w:val="26"/>
        </w:rPr>
        <w:t>Rattus norvegicus</w:t>
      </w:r>
      <w:r>
        <w:rPr>
          <w:iCs/>
          <w:color w:val="000000"/>
          <w:sz w:val="24"/>
          <w:szCs w:val="26"/>
        </w:rPr>
        <w:t xml:space="preserve">) of the Wistar breed, clinically healthy, females, weighed an average of 169 g obtained from the Animal </w:t>
      </w:r>
      <w:r>
        <w:rPr>
          <w:iCs/>
          <w:color w:val="000000"/>
          <w:sz w:val="24"/>
          <w:szCs w:val="26"/>
        </w:rPr>
        <w:t>House, Kwara State Polytechnic, Ilorin Kwara State, Nigeria. On the first day of the study, the subjects were randomly assigned to 7 homogeneous groups, 8 individuals each.</w:t>
      </w:r>
    </w:p>
    <w:p w:rsidR="005F01BE" w:rsidRDefault="003E2C3A">
      <w:pPr>
        <w:spacing w:after="0" w:line="480" w:lineRule="auto"/>
        <w:jc w:val="both"/>
        <w:rPr>
          <w:iCs/>
          <w:color w:val="000000"/>
          <w:sz w:val="24"/>
          <w:szCs w:val="26"/>
        </w:rPr>
      </w:pPr>
      <w:r>
        <w:rPr>
          <w:iCs/>
          <w:color w:val="000000"/>
          <w:sz w:val="24"/>
          <w:szCs w:val="26"/>
        </w:rPr>
        <w:t>The animals were hosted in the institutional biobase, in favourable conditions, ada</w:t>
      </w:r>
      <w:r>
        <w:rPr>
          <w:iCs/>
          <w:color w:val="000000"/>
          <w:sz w:val="24"/>
          <w:szCs w:val="26"/>
        </w:rPr>
        <w:t>pted to their physiological needs. The environment was strictly controlled to avoid any external influence on the host. Experienced staff performed the care of the animals. The procedures were reduced to the minimum necessary to fulfil the purpose of the e</w:t>
      </w:r>
      <w:r>
        <w:rPr>
          <w:iCs/>
          <w:color w:val="000000"/>
          <w:sz w:val="24"/>
          <w:szCs w:val="26"/>
        </w:rPr>
        <w:t>xperiment.</w:t>
      </w:r>
    </w:p>
    <w:p w:rsidR="005F01BE" w:rsidRDefault="003E2C3A">
      <w:pPr>
        <w:spacing w:after="0" w:line="480" w:lineRule="auto"/>
        <w:rPr>
          <w:color w:val="000000"/>
          <w:sz w:val="24"/>
          <w:szCs w:val="26"/>
        </w:rPr>
      </w:pPr>
      <w:r>
        <w:rPr>
          <w:b/>
          <w:color w:val="000000"/>
          <w:sz w:val="24"/>
          <w:szCs w:val="26"/>
        </w:rPr>
        <w:t>Table 4: Group of experimental animals according to treatment method</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584"/>
      </w:tblGrid>
      <w:tr w:rsidR="005F01BE">
        <w:trPr>
          <w:trHeight w:val="642"/>
        </w:trPr>
        <w:tc>
          <w:tcPr>
            <w:tcW w:w="2356" w:type="dxa"/>
            <w:tcBorders>
              <w:top w:val="single" w:sz="4" w:space="0" w:color="auto"/>
              <w:bottom w:val="single" w:sz="4" w:space="0" w:color="auto"/>
            </w:tcBorders>
            <w:hideMark/>
          </w:tcPr>
          <w:p w:rsidR="005F01BE" w:rsidRDefault="003E2C3A">
            <w:pPr>
              <w:spacing w:line="480" w:lineRule="auto"/>
              <w:rPr>
                <w:b/>
                <w:bCs/>
                <w:color w:val="000000"/>
                <w:sz w:val="24"/>
                <w:szCs w:val="26"/>
              </w:rPr>
            </w:pPr>
            <w:r>
              <w:rPr>
                <w:b/>
                <w:bCs/>
                <w:color w:val="000000"/>
                <w:sz w:val="24"/>
                <w:szCs w:val="26"/>
              </w:rPr>
              <w:t>Group</w:t>
            </w:r>
          </w:p>
        </w:tc>
        <w:tc>
          <w:tcPr>
            <w:tcW w:w="3584" w:type="dxa"/>
            <w:tcBorders>
              <w:top w:val="single" w:sz="4" w:space="0" w:color="auto"/>
              <w:bottom w:val="single" w:sz="4" w:space="0" w:color="auto"/>
            </w:tcBorders>
          </w:tcPr>
          <w:p w:rsidR="005F01BE" w:rsidRDefault="003E2C3A">
            <w:pPr>
              <w:spacing w:line="480" w:lineRule="auto"/>
              <w:rPr>
                <w:b/>
                <w:bCs/>
                <w:color w:val="000000"/>
                <w:sz w:val="24"/>
                <w:szCs w:val="26"/>
              </w:rPr>
            </w:pPr>
            <w:r>
              <w:rPr>
                <w:b/>
                <w:bCs/>
                <w:color w:val="000000"/>
                <w:sz w:val="24"/>
                <w:szCs w:val="26"/>
              </w:rPr>
              <w:t>Treatment</w:t>
            </w:r>
          </w:p>
        </w:tc>
      </w:tr>
      <w:tr w:rsidR="005F01BE">
        <w:trPr>
          <w:trHeight w:val="626"/>
        </w:trPr>
        <w:tc>
          <w:tcPr>
            <w:tcW w:w="2356" w:type="dxa"/>
            <w:tcBorders>
              <w:top w:val="single" w:sz="4" w:space="0" w:color="auto"/>
            </w:tcBorders>
            <w:hideMark/>
          </w:tcPr>
          <w:p w:rsidR="005F01BE" w:rsidRDefault="003E2C3A">
            <w:pPr>
              <w:spacing w:line="480" w:lineRule="auto"/>
              <w:rPr>
                <w:color w:val="000000"/>
                <w:sz w:val="24"/>
                <w:szCs w:val="26"/>
              </w:rPr>
            </w:pPr>
            <w:r>
              <w:rPr>
                <w:color w:val="000000"/>
                <w:sz w:val="24"/>
                <w:szCs w:val="26"/>
              </w:rPr>
              <w:t>Group 1</w:t>
            </w:r>
          </w:p>
        </w:tc>
        <w:tc>
          <w:tcPr>
            <w:tcW w:w="3584" w:type="dxa"/>
            <w:tcBorders>
              <w:top w:val="single" w:sz="4" w:space="0" w:color="auto"/>
            </w:tcBorders>
          </w:tcPr>
          <w:p w:rsidR="005F01BE" w:rsidRDefault="003E2C3A">
            <w:pPr>
              <w:spacing w:line="480" w:lineRule="auto"/>
              <w:rPr>
                <w:color w:val="000000"/>
                <w:sz w:val="24"/>
                <w:szCs w:val="26"/>
              </w:rPr>
            </w:pPr>
            <w:r>
              <w:rPr>
                <w:color w:val="000000"/>
                <w:sz w:val="24"/>
                <w:szCs w:val="26"/>
              </w:rPr>
              <w:t>Control vector group</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t>Group 2</w:t>
            </w:r>
          </w:p>
        </w:tc>
        <w:tc>
          <w:tcPr>
            <w:tcW w:w="3584" w:type="dxa"/>
          </w:tcPr>
          <w:p w:rsidR="005F01BE" w:rsidRDefault="003E2C3A">
            <w:pPr>
              <w:spacing w:line="480" w:lineRule="auto"/>
              <w:rPr>
                <w:color w:val="000000"/>
                <w:sz w:val="24"/>
                <w:szCs w:val="26"/>
              </w:rPr>
            </w:pPr>
            <w:r>
              <w:rPr>
                <w:color w:val="000000"/>
                <w:sz w:val="24"/>
                <w:szCs w:val="26"/>
              </w:rPr>
              <w:t>Untreated group</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t>Group 3</w:t>
            </w:r>
          </w:p>
        </w:tc>
        <w:tc>
          <w:tcPr>
            <w:tcW w:w="3584" w:type="dxa"/>
          </w:tcPr>
          <w:p w:rsidR="005F01BE" w:rsidRDefault="003E2C3A">
            <w:pPr>
              <w:spacing w:line="480" w:lineRule="auto"/>
              <w:rPr>
                <w:color w:val="000000"/>
                <w:sz w:val="24"/>
                <w:szCs w:val="26"/>
              </w:rPr>
            </w:pPr>
            <w:r>
              <w:rPr>
                <w:color w:val="000000"/>
                <w:sz w:val="24"/>
                <w:szCs w:val="26"/>
              </w:rPr>
              <w:t>Treated with standard drug</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t>Group 4</w:t>
            </w:r>
          </w:p>
        </w:tc>
        <w:tc>
          <w:tcPr>
            <w:tcW w:w="3584" w:type="dxa"/>
          </w:tcPr>
          <w:p w:rsidR="005F01BE" w:rsidRDefault="003E2C3A">
            <w:pPr>
              <w:spacing w:line="480" w:lineRule="auto"/>
              <w:rPr>
                <w:color w:val="000000"/>
                <w:sz w:val="24"/>
                <w:szCs w:val="26"/>
              </w:rPr>
            </w:pPr>
            <w:r>
              <w:rPr>
                <w:iCs/>
                <w:color w:val="000000"/>
                <w:sz w:val="24"/>
                <w:szCs w:val="26"/>
              </w:rPr>
              <w:t>100 mg / kg of the extract</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t>Group 5</w:t>
            </w:r>
          </w:p>
        </w:tc>
        <w:tc>
          <w:tcPr>
            <w:tcW w:w="3584" w:type="dxa"/>
          </w:tcPr>
          <w:p w:rsidR="005F01BE" w:rsidRDefault="003E2C3A">
            <w:pPr>
              <w:spacing w:line="480" w:lineRule="auto"/>
              <w:rPr>
                <w:color w:val="000000"/>
                <w:sz w:val="24"/>
                <w:szCs w:val="26"/>
              </w:rPr>
            </w:pPr>
            <w:r>
              <w:rPr>
                <w:iCs/>
                <w:color w:val="000000"/>
                <w:sz w:val="24"/>
                <w:szCs w:val="26"/>
              </w:rPr>
              <w:t>200 mg / kg</w:t>
            </w:r>
            <w:r>
              <w:rPr>
                <w:iCs/>
                <w:color w:val="000000"/>
                <w:sz w:val="24"/>
                <w:szCs w:val="26"/>
              </w:rPr>
              <w:t xml:space="preserve"> of the extract</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lastRenderedPageBreak/>
              <w:t>Group 6</w:t>
            </w:r>
          </w:p>
        </w:tc>
        <w:tc>
          <w:tcPr>
            <w:tcW w:w="3584" w:type="dxa"/>
          </w:tcPr>
          <w:p w:rsidR="005F01BE" w:rsidRDefault="003E2C3A">
            <w:pPr>
              <w:spacing w:line="480" w:lineRule="auto"/>
              <w:rPr>
                <w:color w:val="000000"/>
                <w:sz w:val="24"/>
                <w:szCs w:val="26"/>
              </w:rPr>
            </w:pPr>
            <w:r>
              <w:rPr>
                <w:iCs/>
                <w:color w:val="000000"/>
                <w:sz w:val="24"/>
                <w:szCs w:val="26"/>
              </w:rPr>
              <w:t>400 mg / kg of the extract</w:t>
            </w:r>
          </w:p>
        </w:tc>
      </w:tr>
      <w:tr w:rsidR="005F01BE">
        <w:trPr>
          <w:trHeight w:val="642"/>
        </w:trPr>
        <w:tc>
          <w:tcPr>
            <w:tcW w:w="2356" w:type="dxa"/>
            <w:hideMark/>
          </w:tcPr>
          <w:p w:rsidR="005F01BE" w:rsidRDefault="003E2C3A">
            <w:pPr>
              <w:spacing w:line="480" w:lineRule="auto"/>
              <w:rPr>
                <w:color w:val="000000"/>
                <w:sz w:val="24"/>
                <w:szCs w:val="26"/>
              </w:rPr>
            </w:pPr>
            <w:r>
              <w:rPr>
                <w:color w:val="000000"/>
                <w:sz w:val="24"/>
                <w:szCs w:val="26"/>
              </w:rPr>
              <w:t>Group 7</w:t>
            </w:r>
          </w:p>
        </w:tc>
        <w:tc>
          <w:tcPr>
            <w:tcW w:w="3584" w:type="dxa"/>
          </w:tcPr>
          <w:p w:rsidR="005F01BE" w:rsidRDefault="003E2C3A">
            <w:pPr>
              <w:spacing w:line="480" w:lineRule="auto"/>
              <w:rPr>
                <w:color w:val="000000"/>
                <w:sz w:val="24"/>
                <w:szCs w:val="26"/>
              </w:rPr>
            </w:pPr>
            <w:r>
              <w:rPr>
                <w:iCs/>
                <w:color w:val="000000"/>
                <w:sz w:val="24"/>
                <w:szCs w:val="26"/>
              </w:rPr>
              <w:t>800 mg / kg of the extract</w:t>
            </w:r>
          </w:p>
        </w:tc>
      </w:tr>
    </w:tbl>
    <w:p w:rsidR="005F01BE" w:rsidRDefault="003E2C3A">
      <w:pPr>
        <w:spacing w:before="100" w:beforeAutospacing="1" w:after="0" w:line="480" w:lineRule="auto"/>
        <w:jc w:val="both"/>
        <w:rPr>
          <w:rFonts w:eastAsia="Times New Roman"/>
          <w:b/>
          <w:color w:val="000000"/>
          <w:sz w:val="24"/>
          <w:szCs w:val="26"/>
        </w:rPr>
      </w:pPr>
      <w:r>
        <w:rPr>
          <w:rFonts w:eastAsia="Times New Roman"/>
          <w:b/>
          <w:color w:val="000000"/>
          <w:sz w:val="24"/>
          <w:szCs w:val="26"/>
        </w:rPr>
        <w:t>3.4 Determination of Ulcerated Albino Rats</w:t>
      </w:r>
    </w:p>
    <w:p w:rsidR="005F01BE" w:rsidRDefault="003E2C3A">
      <w:pPr>
        <w:spacing w:before="100" w:beforeAutospacing="1" w:after="100" w:afterAutospacing="1" w:line="480" w:lineRule="auto"/>
        <w:ind w:firstLine="720"/>
        <w:jc w:val="both"/>
        <w:rPr>
          <w:rFonts w:eastAsia="Times New Roman"/>
          <w:sz w:val="24"/>
          <w:szCs w:val="24"/>
        </w:rPr>
      </w:pPr>
      <w:r>
        <w:rPr>
          <w:rFonts w:eastAsia="Times New Roman"/>
          <w:sz w:val="24"/>
          <w:szCs w:val="24"/>
        </w:rPr>
        <w:t>We used adult Wistar albino rats, each weighing between 150 to 200 grams. Before starting, we let them get used to their new</w:t>
      </w:r>
      <w:r>
        <w:rPr>
          <w:rFonts w:eastAsia="Times New Roman"/>
          <w:sz w:val="24"/>
          <w:szCs w:val="24"/>
        </w:rPr>
        <w:t xml:space="preserve"> home for about a week (7 days) so they wouldn’t be stressed during the experiment. All the rats were fasted for 24 hours before we started, but they still had access to water so they didn’t dehydrate. We divided the rats into 7 groups:</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1: Normal con</w:t>
      </w:r>
      <w:r>
        <w:rPr>
          <w:rFonts w:eastAsia="Times New Roman"/>
          <w:sz w:val="24"/>
          <w:szCs w:val="24"/>
        </w:rPr>
        <w:t>trol, no ulcer, no treatment.</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2: Ulcer control, we gave them ulcers but didn’t treat them.</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3: Ulcer,  treatment with a standard anti-ulcer drug (Omeprazole).</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4: Ulcer, treated with 100 mg/kg of the plant extract.</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5: Ulcer, treated w</w:t>
      </w:r>
      <w:r>
        <w:rPr>
          <w:rFonts w:eastAsia="Times New Roman"/>
          <w:sz w:val="24"/>
          <w:szCs w:val="24"/>
        </w:rPr>
        <w:t>ith 200 mg/kg of the extract.</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Group 6: Ulcer, treated with 400 mg/kg of the extract.</w:t>
      </w:r>
    </w:p>
    <w:p w:rsidR="005F01BE" w:rsidRDefault="003E2C3A">
      <w:pPr>
        <w:spacing w:before="100" w:beforeAutospacing="1" w:after="100" w:afterAutospacing="1" w:line="480" w:lineRule="auto"/>
        <w:jc w:val="both"/>
        <w:rPr>
          <w:rFonts w:eastAsia="Times New Roman"/>
          <w:sz w:val="24"/>
          <w:szCs w:val="24"/>
        </w:rPr>
      </w:pPr>
      <w:r>
        <w:rPr>
          <w:rFonts w:eastAsia="Times New Roman"/>
          <w:sz w:val="24"/>
          <w:szCs w:val="24"/>
        </w:rPr>
        <w:t xml:space="preserve">Group 7: Ulcer, treated with 800 mg/kg of the extract. </w:t>
      </w:r>
    </w:p>
    <w:p w:rsidR="005F01BE" w:rsidRDefault="003E2C3A">
      <w:pPr>
        <w:spacing w:line="480" w:lineRule="auto"/>
        <w:ind w:firstLine="720"/>
        <w:jc w:val="both"/>
        <w:rPr>
          <w:rFonts w:eastAsia="Times New Roman"/>
          <w:sz w:val="24"/>
          <w:szCs w:val="24"/>
        </w:rPr>
      </w:pPr>
      <w:r>
        <w:rPr>
          <w:rFonts w:eastAsia="Times New Roman"/>
          <w:sz w:val="24"/>
          <w:szCs w:val="24"/>
        </w:rPr>
        <w:lastRenderedPageBreak/>
        <w:t xml:space="preserve">Preparing the Indomethacin Solution: We measured out the indomethacin, then mixed it into 54 ml of distilled water </w:t>
      </w:r>
      <w:r>
        <w:rPr>
          <w:rFonts w:eastAsia="Times New Roman"/>
          <w:sz w:val="24"/>
          <w:szCs w:val="24"/>
        </w:rPr>
        <w:t>along with 2 ml of DMSO (dimethyl sulfoxide) to help it dissolve properly. For the extracts (Groups 4–7), each dose (100–800 mg/kg) was mixed with 2 ml of DMSO and 18 ml of distilled water to make the treatment solutions. We gave 1 ml of the indomethacin s</w:t>
      </w:r>
      <w:r>
        <w:rPr>
          <w:rFonts w:eastAsia="Times New Roman"/>
          <w:sz w:val="24"/>
          <w:szCs w:val="24"/>
        </w:rPr>
        <w:t xml:space="preserve">olution to each rat (except Group 1) to cause ulcers in their stomach lining and after 30 minutes we gave each group their treatment  1ml of the treatment Group 3 for the standard drug and 4-7 the extraction solution prepared for each group which was done </w:t>
      </w:r>
      <w:r>
        <w:rPr>
          <w:rFonts w:eastAsia="Times New Roman"/>
          <w:sz w:val="24"/>
          <w:szCs w:val="24"/>
        </w:rPr>
        <w:t>7 days. Once the experiment was done 7 days, we humanely euthanized the rats, Then we opened their stomachs along the greater curvature, rinsed everything with saline, and checked for ulcers.</w:t>
      </w:r>
    </w:p>
    <w:p w:rsidR="005F01BE" w:rsidRDefault="003E2C3A">
      <w:pPr>
        <w:spacing w:line="480" w:lineRule="auto"/>
        <w:jc w:val="both"/>
        <w:rPr>
          <w:b/>
          <w:sz w:val="24"/>
          <w:szCs w:val="26"/>
        </w:rPr>
      </w:pPr>
      <w:r>
        <w:rPr>
          <w:b/>
          <w:sz w:val="24"/>
          <w:szCs w:val="26"/>
        </w:rPr>
        <w:t xml:space="preserve">3.5 Hematological of Albino Rats </w:t>
      </w:r>
    </w:p>
    <w:p w:rsidR="005F01BE" w:rsidRDefault="003E2C3A">
      <w:pPr>
        <w:pStyle w:val="NormalWeb"/>
        <w:spacing w:line="360" w:lineRule="auto"/>
        <w:ind w:firstLine="720"/>
        <w:jc w:val="both"/>
      </w:pPr>
      <w:r>
        <w:t>Blood collection was said to h</w:t>
      </w:r>
      <w:r>
        <w:t>ave been carried out after the completion of the experimental treatment period, typically after 14 days. According to the procedures followed, blood was collected using the retro-orbital puncture technique under light anesthesia. A volume of 1 to 2 millili</w:t>
      </w:r>
      <w:r>
        <w:t>ters of blood was collected from each rat into EDTA-containing tubes, which were designated for hematological analysis.</w:t>
      </w:r>
    </w:p>
    <w:p w:rsidR="005F01BE" w:rsidRDefault="003E2C3A">
      <w:pPr>
        <w:pStyle w:val="NormalWeb"/>
        <w:spacing w:line="360" w:lineRule="auto"/>
        <w:ind w:firstLine="720"/>
        <w:jc w:val="both"/>
      </w:pPr>
      <w:r>
        <w:t>The researchers confirmed that ethical approval was obtained from the Institutional Animal Ethics Committee (IAEC) or its equivalent. Al</w:t>
      </w:r>
      <w:r>
        <w:t>l experimental procedures adhered strictly to institutional and international guidelines for the humane treatment and care of laboratory animals.</w:t>
      </w:r>
    </w:p>
    <w:p w:rsidR="005F01BE" w:rsidRDefault="005F01BE">
      <w:pPr>
        <w:spacing w:before="100" w:beforeAutospacing="1" w:after="0" w:line="480" w:lineRule="auto"/>
        <w:rPr>
          <w:rFonts w:eastAsia="Times New Roman"/>
          <w:b/>
          <w:bCs/>
          <w:color w:val="000000"/>
          <w:sz w:val="24"/>
          <w:szCs w:val="26"/>
        </w:rPr>
      </w:pPr>
    </w:p>
    <w:p w:rsidR="005F01BE" w:rsidRDefault="003E2C3A">
      <w:pPr>
        <w:spacing w:before="100" w:beforeAutospacing="1" w:after="0" w:line="480" w:lineRule="auto"/>
        <w:jc w:val="center"/>
        <w:rPr>
          <w:rFonts w:eastAsia="Times New Roman"/>
          <w:b/>
          <w:bCs/>
          <w:color w:val="000000"/>
          <w:sz w:val="24"/>
          <w:szCs w:val="26"/>
        </w:rPr>
      </w:pPr>
      <w:r>
        <w:rPr>
          <w:rFonts w:eastAsia="Times New Roman"/>
          <w:b/>
          <w:bCs/>
          <w:color w:val="000000"/>
          <w:sz w:val="24"/>
          <w:szCs w:val="26"/>
        </w:rPr>
        <w:lastRenderedPageBreak/>
        <w:t>CHAPTER FOUR</w:t>
      </w:r>
    </w:p>
    <w:p w:rsidR="005F01BE" w:rsidRDefault="003E2C3A">
      <w:pPr>
        <w:spacing w:before="100" w:beforeAutospacing="1" w:after="0" w:line="480" w:lineRule="auto"/>
        <w:rPr>
          <w:rFonts w:eastAsia="Times New Roman"/>
          <w:b/>
          <w:bCs/>
          <w:color w:val="000000"/>
          <w:sz w:val="24"/>
          <w:szCs w:val="26"/>
        </w:rPr>
      </w:pPr>
      <w:r>
        <w:rPr>
          <w:rFonts w:eastAsia="Times New Roman"/>
          <w:b/>
          <w:bCs/>
          <w:color w:val="000000"/>
          <w:sz w:val="24"/>
          <w:szCs w:val="26"/>
        </w:rPr>
        <w:t>4.0     RESULTS</w:t>
      </w:r>
    </w:p>
    <w:p w:rsidR="005F01BE" w:rsidRDefault="003E2C3A">
      <w:pPr>
        <w:pStyle w:val="Default"/>
        <w:tabs>
          <w:tab w:val="left" w:pos="8100"/>
        </w:tabs>
        <w:spacing w:line="480" w:lineRule="auto"/>
        <w:jc w:val="both"/>
        <w:rPr>
          <w:szCs w:val="26"/>
        </w:rPr>
      </w:pPr>
      <w:r>
        <w:rPr>
          <w:b/>
          <w:bCs/>
          <w:szCs w:val="26"/>
        </w:rPr>
        <w:t xml:space="preserve">4.1 Body Weight Gain in Experimental Animals </w:t>
      </w:r>
    </w:p>
    <w:p w:rsidR="005F01BE" w:rsidRDefault="003E2C3A">
      <w:pPr>
        <w:spacing w:before="100" w:beforeAutospacing="1" w:after="0" w:line="480" w:lineRule="auto"/>
        <w:ind w:firstLine="720"/>
        <w:jc w:val="both"/>
        <w:rPr>
          <w:rFonts w:eastAsia="Times New Roman"/>
          <w:b/>
          <w:bCs/>
          <w:color w:val="000000"/>
          <w:sz w:val="24"/>
          <w:szCs w:val="26"/>
        </w:rPr>
      </w:pPr>
      <w:r>
        <w:rPr>
          <w:color w:val="000000"/>
          <w:sz w:val="24"/>
          <w:szCs w:val="26"/>
        </w:rPr>
        <w:t xml:space="preserve">The initial and final average </w:t>
      </w:r>
      <w:r>
        <w:rPr>
          <w:color w:val="000000"/>
          <w:sz w:val="24"/>
          <w:szCs w:val="26"/>
        </w:rPr>
        <w:t>weights of the experimental groups are presented in Table 4.1. All groups showed an increase in body weight over the experimental period, except Group 3, which recorded a slight reduction. Group 1 had the highest increase in average weight, rising from 131</w:t>
      </w:r>
      <w:r>
        <w:rPr>
          <w:color w:val="000000"/>
          <w:sz w:val="24"/>
          <w:szCs w:val="26"/>
        </w:rPr>
        <w:t>.25 g to 153 g. Group 6 and Group 4 also recorded appreciable weight gains, from 121.5 g to 136.75 g, and from 110.63 g to 124 g, respectively. Group 7 maintained relatively stable weight, with a minimal decrease from 144.63 g to 143.5 g. Data for the init</w:t>
      </w:r>
      <w:r>
        <w:rPr>
          <w:color w:val="000000"/>
          <w:sz w:val="24"/>
          <w:szCs w:val="26"/>
        </w:rPr>
        <w:t>ial weight of Group 5 was not recorded, but the final average weight was 128.38 g.</w:t>
      </w:r>
    </w:p>
    <w:p w:rsidR="005F01BE" w:rsidRDefault="003E2C3A">
      <w:pPr>
        <w:spacing w:before="100" w:beforeAutospacing="1" w:after="0" w:line="360" w:lineRule="auto"/>
        <w:rPr>
          <w:rFonts w:eastAsia="Times New Roman"/>
          <w:b/>
          <w:bCs/>
          <w:color w:val="000000"/>
          <w:sz w:val="22"/>
          <w:szCs w:val="24"/>
        </w:rPr>
      </w:pPr>
      <w:r>
        <w:rPr>
          <w:b/>
          <w:bCs/>
          <w:color w:val="000000"/>
          <w:sz w:val="22"/>
          <w:szCs w:val="24"/>
        </w:rPr>
        <w:t>Table 4.1: Weight gain by the experimental animals during the treatment (14 days)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2502"/>
        <w:gridCol w:w="2324"/>
      </w:tblGrid>
      <w:tr w:rsidR="005F01BE">
        <w:trPr>
          <w:trHeight w:val="597"/>
        </w:trPr>
        <w:tc>
          <w:tcPr>
            <w:tcW w:w="2218" w:type="dxa"/>
            <w:tcBorders>
              <w:top w:val="single" w:sz="4" w:space="0" w:color="auto"/>
              <w:bottom w:val="single" w:sz="4" w:space="0" w:color="auto"/>
            </w:tcBorders>
            <w:hideMark/>
          </w:tcPr>
          <w:p w:rsidR="005F01BE" w:rsidRDefault="003E2C3A">
            <w:pPr>
              <w:spacing w:line="360" w:lineRule="auto"/>
              <w:rPr>
                <w:b/>
                <w:bCs/>
                <w:color w:val="000000"/>
                <w:sz w:val="22"/>
                <w:szCs w:val="24"/>
              </w:rPr>
            </w:pPr>
            <w:r>
              <w:rPr>
                <w:b/>
                <w:bCs/>
                <w:color w:val="000000"/>
                <w:sz w:val="22"/>
                <w:szCs w:val="24"/>
              </w:rPr>
              <w:t>Group</w:t>
            </w:r>
          </w:p>
        </w:tc>
        <w:tc>
          <w:tcPr>
            <w:tcW w:w="2502" w:type="dxa"/>
            <w:tcBorders>
              <w:top w:val="single" w:sz="4" w:space="0" w:color="auto"/>
              <w:bottom w:val="single" w:sz="4" w:space="0" w:color="auto"/>
            </w:tcBorders>
            <w:hideMark/>
          </w:tcPr>
          <w:p w:rsidR="005F01BE" w:rsidRDefault="003E2C3A">
            <w:pPr>
              <w:spacing w:line="360" w:lineRule="auto"/>
              <w:rPr>
                <w:b/>
                <w:bCs/>
                <w:color w:val="000000"/>
                <w:sz w:val="22"/>
                <w:szCs w:val="24"/>
              </w:rPr>
            </w:pPr>
            <w:r>
              <w:rPr>
                <w:b/>
                <w:bCs/>
                <w:color w:val="000000"/>
                <w:sz w:val="22"/>
                <w:szCs w:val="24"/>
              </w:rPr>
              <w:t>Initial Average Weight</w:t>
            </w:r>
          </w:p>
        </w:tc>
        <w:tc>
          <w:tcPr>
            <w:tcW w:w="2324" w:type="dxa"/>
            <w:tcBorders>
              <w:top w:val="single" w:sz="4" w:space="0" w:color="auto"/>
              <w:bottom w:val="single" w:sz="4" w:space="0" w:color="auto"/>
            </w:tcBorders>
            <w:hideMark/>
          </w:tcPr>
          <w:p w:rsidR="005F01BE" w:rsidRDefault="003E2C3A">
            <w:pPr>
              <w:spacing w:line="360" w:lineRule="auto"/>
              <w:rPr>
                <w:b/>
                <w:bCs/>
                <w:color w:val="000000"/>
                <w:sz w:val="22"/>
                <w:szCs w:val="24"/>
              </w:rPr>
            </w:pPr>
            <w:r>
              <w:rPr>
                <w:b/>
                <w:bCs/>
                <w:color w:val="000000"/>
                <w:sz w:val="22"/>
                <w:szCs w:val="24"/>
              </w:rPr>
              <w:t>Final Average Weight</w:t>
            </w:r>
          </w:p>
        </w:tc>
      </w:tr>
      <w:tr w:rsidR="005F01BE">
        <w:trPr>
          <w:trHeight w:val="582"/>
        </w:trPr>
        <w:tc>
          <w:tcPr>
            <w:tcW w:w="2218" w:type="dxa"/>
            <w:tcBorders>
              <w:top w:val="single" w:sz="4" w:space="0" w:color="auto"/>
            </w:tcBorders>
            <w:hideMark/>
          </w:tcPr>
          <w:p w:rsidR="005F01BE" w:rsidRDefault="003E2C3A">
            <w:pPr>
              <w:spacing w:line="360" w:lineRule="auto"/>
              <w:rPr>
                <w:color w:val="000000"/>
                <w:sz w:val="22"/>
                <w:szCs w:val="24"/>
              </w:rPr>
            </w:pPr>
            <w:r>
              <w:rPr>
                <w:color w:val="000000"/>
                <w:sz w:val="22"/>
                <w:szCs w:val="24"/>
              </w:rPr>
              <w:t>Group 1</w:t>
            </w:r>
          </w:p>
        </w:tc>
        <w:tc>
          <w:tcPr>
            <w:tcW w:w="2502" w:type="dxa"/>
            <w:tcBorders>
              <w:top w:val="single" w:sz="4" w:space="0" w:color="auto"/>
            </w:tcBorders>
            <w:hideMark/>
          </w:tcPr>
          <w:p w:rsidR="005F01BE" w:rsidRDefault="003E2C3A">
            <w:pPr>
              <w:spacing w:line="360" w:lineRule="auto"/>
              <w:rPr>
                <w:color w:val="000000"/>
                <w:sz w:val="22"/>
                <w:szCs w:val="24"/>
              </w:rPr>
            </w:pPr>
            <w:r>
              <w:rPr>
                <w:color w:val="000000"/>
                <w:sz w:val="22"/>
                <w:szCs w:val="24"/>
              </w:rPr>
              <w:t>131.25</w:t>
            </w:r>
          </w:p>
        </w:tc>
        <w:tc>
          <w:tcPr>
            <w:tcW w:w="2324" w:type="dxa"/>
            <w:tcBorders>
              <w:top w:val="single" w:sz="4" w:space="0" w:color="auto"/>
            </w:tcBorders>
            <w:hideMark/>
          </w:tcPr>
          <w:p w:rsidR="005F01BE" w:rsidRDefault="003E2C3A">
            <w:pPr>
              <w:spacing w:line="360" w:lineRule="auto"/>
              <w:rPr>
                <w:color w:val="000000"/>
                <w:sz w:val="22"/>
                <w:szCs w:val="24"/>
              </w:rPr>
            </w:pPr>
            <w:r>
              <w:rPr>
                <w:color w:val="000000"/>
                <w:sz w:val="22"/>
                <w:szCs w:val="24"/>
              </w:rPr>
              <w:t>153</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t>Group 2</w:t>
            </w:r>
          </w:p>
        </w:tc>
        <w:tc>
          <w:tcPr>
            <w:tcW w:w="2502" w:type="dxa"/>
            <w:hideMark/>
          </w:tcPr>
          <w:p w:rsidR="005F01BE" w:rsidRDefault="003E2C3A">
            <w:pPr>
              <w:spacing w:line="360" w:lineRule="auto"/>
              <w:rPr>
                <w:color w:val="000000"/>
                <w:sz w:val="22"/>
                <w:szCs w:val="24"/>
              </w:rPr>
            </w:pPr>
            <w:r>
              <w:rPr>
                <w:color w:val="000000"/>
                <w:sz w:val="22"/>
                <w:szCs w:val="24"/>
              </w:rPr>
              <w:t>105.38</w:t>
            </w:r>
          </w:p>
        </w:tc>
        <w:tc>
          <w:tcPr>
            <w:tcW w:w="2324" w:type="dxa"/>
            <w:hideMark/>
          </w:tcPr>
          <w:p w:rsidR="005F01BE" w:rsidRDefault="003E2C3A">
            <w:pPr>
              <w:spacing w:line="360" w:lineRule="auto"/>
              <w:rPr>
                <w:color w:val="000000"/>
                <w:sz w:val="22"/>
                <w:szCs w:val="24"/>
              </w:rPr>
            </w:pPr>
            <w:r>
              <w:rPr>
                <w:color w:val="000000"/>
                <w:sz w:val="22"/>
                <w:szCs w:val="24"/>
              </w:rPr>
              <w:t>120.5</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t>Group 3</w:t>
            </w:r>
          </w:p>
        </w:tc>
        <w:tc>
          <w:tcPr>
            <w:tcW w:w="2502" w:type="dxa"/>
            <w:hideMark/>
          </w:tcPr>
          <w:p w:rsidR="005F01BE" w:rsidRDefault="003E2C3A">
            <w:pPr>
              <w:spacing w:line="360" w:lineRule="auto"/>
              <w:rPr>
                <w:color w:val="000000"/>
                <w:sz w:val="22"/>
                <w:szCs w:val="24"/>
              </w:rPr>
            </w:pPr>
            <w:r>
              <w:rPr>
                <w:color w:val="000000"/>
                <w:sz w:val="22"/>
                <w:szCs w:val="24"/>
              </w:rPr>
              <w:t>115.63</w:t>
            </w:r>
          </w:p>
        </w:tc>
        <w:tc>
          <w:tcPr>
            <w:tcW w:w="2324" w:type="dxa"/>
            <w:hideMark/>
          </w:tcPr>
          <w:p w:rsidR="005F01BE" w:rsidRDefault="003E2C3A">
            <w:pPr>
              <w:spacing w:line="360" w:lineRule="auto"/>
              <w:rPr>
                <w:color w:val="000000"/>
                <w:sz w:val="22"/>
                <w:szCs w:val="24"/>
              </w:rPr>
            </w:pPr>
            <w:r>
              <w:rPr>
                <w:color w:val="000000"/>
                <w:sz w:val="22"/>
                <w:szCs w:val="24"/>
              </w:rPr>
              <w:t>114.5</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t>Group 4</w:t>
            </w:r>
          </w:p>
        </w:tc>
        <w:tc>
          <w:tcPr>
            <w:tcW w:w="2502" w:type="dxa"/>
            <w:hideMark/>
          </w:tcPr>
          <w:p w:rsidR="005F01BE" w:rsidRDefault="003E2C3A">
            <w:pPr>
              <w:spacing w:line="360" w:lineRule="auto"/>
              <w:rPr>
                <w:color w:val="000000"/>
                <w:sz w:val="22"/>
                <w:szCs w:val="24"/>
              </w:rPr>
            </w:pPr>
            <w:r>
              <w:rPr>
                <w:color w:val="000000"/>
                <w:sz w:val="22"/>
                <w:szCs w:val="24"/>
              </w:rPr>
              <w:t>110.63</w:t>
            </w:r>
          </w:p>
        </w:tc>
        <w:tc>
          <w:tcPr>
            <w:tcW w:w="2324" w:type="dxa"/>
            <w:hideMark/>
          </w:tcPr>
          <w:p w:rsidR="005F01BE" w:rsidRDefault="003E2C3A">
            <w:pPr>
              <w:spacing w:line="360" w:lineRule="auto"/>
              <w:rPr>
                <w:color w:val="000000"/>
                <w:sz w:val="22"/>
                <w:szCs w:val="24"/>
              </w:rPr>
            </w:pPr>
            <w:r>
              <w:rPr>
                <w:color w:val="000000"/>
                <w:sz w:val="22"/>
                <w:szCs w:val="24"/>
              </w:rPr>
              <w:t>124</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t>Group 5</w:t>
            </w:r>
          </w:p>
        </w:tc>
        <w:tc>
          <w:tcPr>
            <w:tcW w:w="2502" w:type="dxa"/>
          </w:tcPr>
          <w:p w:rsidR="005F01BE" w:rsidRDefault="003E2C3A">
            <w:pPr>
              <w:spacing w:line="360" w:lineRule="auto"/>
              <w:rPr>
                <w:color w:val="000000"/>
                <w:sz w:val="22"/>
                <w:szCs w:val="24"/>
              </w:rPr>
            </w:pPr>
            <w:r>
              <w:rPr>
                <w:color w:val="000000"/>
                <w:sz w:val="22"/>
                <w:szCs w:val="24"/>
              </w:rPr>
              <w:t>_____</w:t>
            </w:r>
          </w:p>
        </w:tc>
        <w:tc>
          <w:tcPr>
            <w:tcW w:w="2324" w:type="dxa"/>
            <w:hideMark/>
          </w:tcPr>
          <w:p w:rsidR="005F01BE" w:rsidRDefault="003E2C3A">
            <w:pPr>
              <w:spacing w:line="360" w:lineRule="auto"/>
              <w:rPr>
                <w:color w:val="000000"/>
                <w:sz w:val="22"/>
                <w:szCs w:val="24"/>
              </w:rPr>
            </w:pPr>
            <w:r>
              <w:rPr>
                <w:color w:val="000000"/>
                <w:sz w:val="22"/>
                <w:szCs w:val="24"/>
              </w:rPr>
              <w:t>128.38</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t>Group 6</w:t>
            </w:r>
          </w:p>
        </w:tc>
        <w:tc>
          <w:tcPr>
            <w:tcW w:w="2502" w:type="dxa"/>
            <w:hideMark/>
          </w:tcPr>
          <w:p w:rsidR="005F01BE" w:rsidRDefault="003E2C3A">
            <w:pPr>
              <w:spacing w:line="360" w:lineRule="auto"/>
              <w:rPr>
                <w:color w:val="000000"/>
                <w:sz w:val="22"/>
                <w:szCs w:val="24"/>
              </w:rPr>
            </w:pPr>
            <w:r>
              <w:rPr>
                <w:color w:val="000000"/>
                <w:sz w:val="22"/>
                <w:szCs w:val="24"/>
              </w:rPr>
              <w:t>121.5</w:t>
            </w:r>
          </w:p>
        </w:tc>
        <w:tc>
          <w:tcPr>
            <w:tcW w:w="2324" w:type="dxa"/>
            <w:hideMark/>
          </w:tcPr>
          <w:p w:rsidR="005F01BE" w:rsidRDefault="003E2C3A">
            <w:pPr>
              <w:spacing w:line="360" w:lineRule="auto"/>
              <w:rPr>
                <w:color w:val="000000"/>
                <w:sz w:val="22"/>
                <w:szCs w:val="24"/>
              </w:rPr>
            </w:pPr>
            <w:r>
              <w:rPr>
                <w:color w:val="000000"/>
                <w:sz w:val="22"/>
                <w:szCs w:val="24"/>
              </w:rPr>
              <w:t>136.75</w:t>
            </w:r>
          </w:p>
        </w:tc>
      </w:tr>
      <w:tr w:rsidR="005F01BE">
        <w:trPr>
          <w:trHeight w:val="597"/>
        </w:trPr>
        <w:tc>
          <w:tcPr>
            <w:tcW w:w="2218" w:type="dxa"/>
            <w:hideMark/>
          </w:tcPr>
          <w:p w:rsidR="005F01BE" w:rsidRDefault="003E2C3A">
            <w:pPr>
              <w:spacing w:line="360" w:lineRule="auto"/>
              <w:rPr>
                <w:color w:val="000000"/>
                <w:sz w:val="22"/>
                <w:szCs w:val="24"/>
              </w:rPr>
            </w:pPr>
            <w:r>
              <w:rPr>
                <w:color w:val="000000"/>
                <w:sz w:val="22"/>
                <w:szCs w:val="24"/>
              </w:rPr>
              <w:lastRenderedPageBreak/>
              <w:t>Group 7</w:t>
            </w:r>
          </w:p>
        </w:tc>
        <w:tc>
          <w:tcPr>
            <w:tcW w:w="2502" w:type="dxa"/>
            <w:hideMark/>
          </w:tcPr>
          <w:p w:rsidR="005F01BE" w:rsidRDefault="003E2C3A">
            <w:pPr>
              <w:spacing w:line="360" w:lineRule="auto"/>
              <w:rPr>
                <w:color w:val="000000"/>
                <w:sz w:val="22"/>
                <w:szCs w:val="24"/>
              </w:rPr>
            </w:pPr>
            <w:r>
              <w:rPr>
                <w:color w:val="000000"/>
                <w:sz w:val="22"/>
                <w:szCs w:val="24"/>
              </w:rPr>
              <w:t>144.63</w:t>
            </w:r>
          </w:p>
        </w:tc>
        <w:tc>
          <w:tcPr>
            <w:tcW w:w="2324" w:type="dxa"/>
            <w:hideMark/>
          </w:tcPr>
          <w:p w:rsidR="005F01BE" w:rsidRDefault="003E2C3A">
            <w:pPr>
              <w:spacing w:line="360" w:lineRule="auto"/>
              <w:rPr>
                <w:color w:val="000000"/>
                <w:sz w:val="22"/>
                <w:szCs w:val="24"/>
              </w:rPr>
            </w:pPr>
            <w:r>
              <w:rPr>
                <w:color w:val="000000"/>
                <w:sz w:val="22"/>
                <w:szCs w:val="24"/>
              </w:rPr>
              <w:t>143.5</w:t>
            </w:r>
          </w:p>
        </w:tc>
      </w:tr>
    </w:tbl>
    <w:p w:rsidR="005F01BE" w:rsidRDefault="003E2C3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4.2: Phytochemical Present in the Sample </w:t>
      </w:r>
    </w:p>
    <w:p w:rsidR="005F01BE" w:rsidRDefault="003E2C3A">
      <w:pPr>
        <w:spacing w:before="100" w:beforeAutospacing="1" w:after="0" w:line="480" w:lineRule="auto"/>
        <w:ind w:firstLine="720"/>
        <w:jc w:val="both"/>
        <w:rPr>
          <w:color w:val="000000"/>
          <w:sz w:val="24"/>
          <w:szCs w:val="26"/>
        </w:rPr>
      </w:pPr>
      <w:r>
        <w:rPr>
          <w:rStyle w:val="Strong"/>
          <w:b w:val="0"/>
          <w:bCs w:val="0"/>
          <w:color w:val="000000"/>
          <w:sz w:val="24"/>
          <w:szCs w:val="26"/>
        </w:rPr>
        <w:t>Table 4.2</w:t>
      </w:r>
      <w:r>
        <w:rPr>
          <w:color w:val="000000"/>
          <w:sz w:val="24"/>
          <w:szCs w:val="26"/>
        </w:rPr>
        <w:t xml:space="preserve"> presents the results of the phytochemical analysis of the sample, highlighting the presence or absence of several bioactive compounds with potential therapeutic benefits. The sample contains phenols, saponins, tannins, alkaloids, triterpenoids,. </w:t>
      </w:r>
    </w:p>
    <w:p w:rsidR="005F01BE" w:rsidRDefault="003E2C3A">
      <w:pPr>
        <w:spacing w:before="100" w:beforeAutospacing="1" w:after="0" w:line="480" w:lineRule="auto"/>
        <w:jc w:val="both"/>
        <w:rPr>
          <w:b/>
          <w:color w:val="000000"/>
          <w:sz w:val="24"/>
          <w:szCs w:val="26"/>
        </w:rPr>
      </w:pPr>
      <w:r>
        <w:rPr>
          <w:b/>
          <w:color w:val="000000"/>
          <w:sz w:val="24"/>
          <w:szCs w:val="26"/>
        </w:rPr>
        <w:t>Table 4.</w:t>
      </w:r>
      <w:r>
        <w:rPr>
          <w:b/>
          <w:color w:val="000000"/>
          <w:sz w:val="24"/>
          <w:szCs w:val="26"/>
        </w:rPr>
        <w:t xml:space="preserve">2:  Phytochemical present in </w:t>
      </w:r>
      <w:r>
        <w:rPr>
          <w:b/>
          <w:i/>
          <w:color w:val="000000"/>
          <w:sz w:val="24"/>
          <w:szCs w:val="26"/>
        </w:rPr>
        <w:t>Sida Acuta</w:t>
      </w:r>
    </w:p>
    <w:p w:rsidR="005F01BE" w:rsidRDefault="003E2C3A">
      <w:pPr>
        <w:pBdr>
          <w:top w:val="single" w:sz="4" w:space="1" w:color="auto"/>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 xml:space="preserve">Sample Code      Saponin       Tannins       Flavonoid        Phenol      Glycosides </w:t>
      </w:r>
    </w:p>
    <w:p w:rsidR="005F01BE" w:rsidRDefault="003E2C3A">
      <w:pPr>
        <w:pBdr>
          <w:bottom w:val="single" w:sz="4" w:space="1" w:color="auto"/>
        </w:pBdr>
        <w:spacing w:before="100" w:beforeAutospacing="1" w:after="0" w:line="480" w:lineRule="auto"/>
        <w:rPr>
          <w:rFonts w:eastAsia="Times New Roman"/>
          <w:b/>
          <w:bCs/>
          <w:color w:val="000000"/>
          <w:sz w:val="24"/>
          <w:szCs w:val="26"/>
        </w:rPr>
      </w:pPr>
      <w:r>
        <w:rPr>
          <w:rFonts w:eastAsia="Times New Roman"/>
          <w:b/>
          <w:bCs/>
          <w:color w:val="000000"/>
          <w:sz w:val="24"/>
          <w:szCs w:val="26"/>
        </w:rPr>
        <w:t>A</w:t>
      </w:r>
      <w:r>
        <w:rPr>
          <w:rFonts w:eastAsia="Times New Roman"/>
          <w:b/>
          <w:bCs/>
          <w:color w:val="000000"/>
          <w:sz w:val="24"/>
          <w:szCs w:val="26"/>
          <w:vertAlign w:val="subscript"/>
        </w:rPr>
        <w:t xml:space="preserve">1 </w:t>
      </w:r>
      <w:r>
        <w:rPr>
          <w:rFonts w:eastAsia="Times New Roman"/>
          <w:b/>
          <w:bCs/>
          <w:color w:val="000000"/>
          <w:sz w:val="24"/>
          <w:szCs w:val="26"/>
        </w:rPr>
        <w:t xml:space="preserve">    </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color w:val="000000"/>
          <w:sz w:val="26"/>
        </w:rPr>
        <w:t xml:space="preserve">+   </w:t>
      </w:r>
      <w:r>
        <w:rPr>
          <w:color w:val="000000"/>
          <w:sz w:val="26"/>
        </w:rPr>
        <w:tab/>
      </w:r>
      <w:r>
        <w:rPr>
          <w:color w:val="000000"/>
          <w:sz w:val="26"/>
        </w:rPr>
        <w:tab/>
        <w:t>+</w:t>
      </w:r>
      <w:r>
        <w:rPr>
          <w:color w:val="000000"/>
          <w:sz w:val="26"/>
        </w:rPr>
        <w:tab/>
      </w:r>
      <w:r>
        <w:rPr>
          <w:color w:val="000000"/>
          <w:sz w:val="26"/>
        </w:rPr>
        <w:tab/>
        <w:t>+</w:t>
      </w:r>
      <w:r>
        <w:rPr>
          <w:color w:val="000000"/>
          <w:sz w:val="26"/>
        </w:rPr>
        <w:tab/>
      </w:r>
      <w:r>
        <w:rPr>
          <w:color w:val="000000"/>
          <w:sz w:val="26"/>
        </w:rPr>
        <w:tab/>
        <w:t xml:space="preserve"> +</w:t>
      </w:r>
      <w:r>
        <w:rPr>
          <w:color w:val="000000"/>
          <w:sz w:val="26"/>
        </w:rPr>
        <w:tab/>
      </w:r>
      <w:r>
        <w:rPr>
          <w:color w:val="000000"/>
          <w:sz w:val="26"/>
        </w:rPr>
        <w:tab/>
        <w:t>+</w:t>
      </w:r>
    </w:p>
    <w:p w:rsidR="005F01BE" w:rsidRDefault="003E2C3A">
      <w:pPr>
        <w:spacing w:before="100" w:beforeAutospacing="1" w:after="0" w:line="480" w:lineRule="auto"/>
        <w:jc w:val="both"/>
        <w:rPr>
          <w:rFonts w:eastAsia="Times New Roman"/>
          <w:b/>
          <w:color w:val="000000"/>
          <w:sz w:val="24"/>
          <w:szCs w:val="26"/>
          <w:lang w:eastAsia="en-GB"/>
        </w:rPr>
      </w:pPr>
      <w:r>
        <w:rPr>
          <w:rFonts w:eastAsia="Times New Roman"/>
          <w:b/>
          <w:color w:val="000000"/>
          <w:sz w:val="24"/>
          <w:szCs w:val="26"/>
          <w:lang w:eastAsia="en-GB"/>
        </w:rPr>
        <w:t xml:space="preserve"> </w:t>
      </w:r>
      <w:r>
        <w:rPr>
          <w:b/>
          <w:color w:val="000000"/>
          <w:sz w:val="24"/>
          <w:szCs w:val="26"/>
        </w:rPr>
        <w:t xml:space="preserve">+ </w:t>
      </w:r>
      <w:r>
        <w:rPr>
          <w:rFonts w:eastAsia="Times New Roman"/>
          <w:b/>
          <w:color w:val="000000"/>
          <w:sz w:val="24"/>
          <w:szCs w:val="26"/>
          <w:lang w:eastAsia="en-GB"/>
        </w:rPr>
        <w:t>= Present, - = Absent.</w:t>
      </w: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3E2C3A">
      <w:pPr>
        <w:spacing w:after="0" w:line="240" w:lineRule="auto"/>
        <w:jc w:val="both"/>
        <w:rPr>
          <w:rFonts w:eastAsia="Times New Roman"/>
          <w:b/>
          <w:bCs/>
          <w:color w:val="000000"/>
          <w:sz w:val="24"/>
          <w:szCs w:val="26"/>
        </w:rPr>
      </w:pPr>
      <w:r>
        <w:rPr>
          <w:rFonts w:eastAsia="Times New Roman"/>
          <w:b/>
          <w:bCs/>
          <w:color w:val="000000"/>
          <w:sz w:val="24"/>
          <w:szCs w:val="26"/>
        </w:rPr>
        <w:lastRenderedPageBreak/>
        <w:t>Total Tannin Result Using Uv Spectrophotometer</w:t>
      </w:r>
    </w:p>
    <w:p w:rsidR="005F01BE" w:rsidRDefault="003E2C3A">
      <w:pPr>
        <w:pStyle w:val="NormalWeb"/>
        <w:spacing w:line="480" w:lineRule="auto"/>
        <w:jc w:val="both"/>
        <w:rPr>
          <w:color w:val="000000"/>
          <w:szCs w:val="26"/>
        </w:rPr>
      </w:pPr>
      <w:r>
        <w:rPr>
          <w:noProof/>
          <w:color w:val="000000"/>
          <w:sz w:val="22"/>
        </w:rPr>
        <w:drawing>
          <wp:inline distT="0" distB="0" distL="114300" distR="114300">
            <wp:extent cx="5314950" cy="3476625"/>
            <wp:effectExtent l="0" t="0" r="0" b="0"/>
            <wp:docPr id="104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F01BE" w:rsidRDefault="003E2C3A">
      <w:pPr>
        <w:pStyle w:val="NormalWeb"/>
        <w:pBdr>
          <w:top w:val="single" w:sz="4" w:space="1" w:color="auto"/>
          <w:bottom w:val="single" w:sz="4" w:space="1" w:color="auto"/>
        </w:pBdr>
        <w:spacing w:line="480" w:lineRule="auto"/>
        <w:jc w:val="both"/>
        <w:rPr>
          <w:color w:val="000000"/>
          <w:szCs w:val="26"/>
        </w:rPr>
      </w:pPr>
      <w:r>
        <w:rPr>
          <w:b/>
          <w:bCs/>
          <w:color w:val="000000"/>
          <w:szCs w:val="26"/>
        </w:rPr>
        <w:t>Conc(ppm)</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rFonts w:ascii="Calibri" w:hAnsi="Calibri" w:cs="Calibri"/>
          <w:b/>
          <w:bCs/>
          <w:color w:val="000000"/>
          <w:sz w:val="22"/>
        </w:rPr>
        <w:t>ABS(nm)</w:t>
      </w:r>
    </w:p>
    <w:p w:rsidR="005F01BE" w:rsidRDefault="003E2C3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1</w:t>
      </w:r>
    </w:p>
    <w:p w:rsidR="005F01BE" w:rsidRDefault="003E2C3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2</w:t>
      </w:r>
    </w:p>
    <w:p w:rsidR="005F01BE" w:rsidRDefault="003E2C3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3</w:t>
      </w:r>
    </w:p>
    <w:p w:rsidR="005F01BE" w:rsidRDefault="003E2C3A">
      <w:pPr>
        <w:rPr>
          <w:color w:val="000000"/>
          <w:sz w:val="26"/>
        </w:rPr>
      </w:pP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r>
      <w:r>
        <w:rPr>
          <w:color w:val="000000"/>
          <w:sz w:val="26"/>
        </w:rPr>
        <w:tab/>
        <w:t>4</w:t>
      </w:r>
    </w:p>
    <w:p w:rsidR="005F01BE" w:rsidRDefault="003E2C3A">
      <w:pPr>
        <w:pBdr>
          <w:bottom w:val="single" w:sz="4" w:space="1" w:color="auto"/>
        </w:pBdr>
        <w:rPr>
          <w:rFonts w:eastAsia="Times New Roman"/>
          <w:b/>
          <w:bCs/>
          <w:color w:val="000000"/>
          <w:sz w:val="24"/>
          <w:szCs w:val="26"/>
        </w:rPr>
      </w:pPr>
      <w:r>
        <w:rPr>
          <w:rFonts w:eastAsia="Times New Roman"/>
          <w:b/>
          <w:bCs/>
          <w:color w:val="000000"/>
          <w:sz w:val="24"/>
          <w:szCs w:val="26"/>
        </w:rPr>
        <w:t>Sample</w:t>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eastAsia="Times New Roman"/>
          <w:b/>
          <w:bCs/>
          <w:color w:val="000000"/>
          <w:sz w:val="24"/>
          <w:szCs w:val="26"/>
        </w:rPr>
        <w:tab/>
      </w:r>
      <w:r>
        <w:rPr>
          <w:rFonts w:ascii="Calibri" w:eastAsia="Times New Roman" w:hAnsi="Calibri" w:cs="Calibri"/>
          <w:b/>
          <w:bCs/>
          <w:color w:val="000000"/>
          <w:sz w:val="26"/>
        </w:rPr>
        <w:t>ABS</w:t>
      </w:r>
    </w:p>
    <w:p w:rsidR="005F01BE" w:rsidRDefault="003E2C3A">
      <w:pPr>
        <w:pBdr>
          <w:bottom w:val="single" w:sz="4" w:space="1" w:color="auto"/>
        </w:pBdr>
        <w:rPr>
          <w:rFonts w:ascii="Calibri" w:eastAsia="Times New Roman" w:hAnsi="Calibri" w:cs="Calibri"/>
          <w:color w:val="000000"/>
          <w:sz w:val="26"/>
        </w:rPr>
      </w:pPr>
      <w:r>
        <w:rPr>
          <w:rFonts w:eastAsia="Times New Roman"/>
          <w:color w:val="000000"/>
          <w:sz w:val="24"/>
          <w:szCs w:val="26"/>
        </w:rPr>
        <w:t>EX TAIL LIVER</w:t>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eastAsia="Times New Roman"/>
          <w:color w:val="000000"/>
          <w:sz w:val="24"/>
          <w:szCs w:val="26"/>
        </w:rPr>
        <w:tab/>
      </w:r>
      <w:r>
        <w:rPr>
          <w:rFonts w:ascii="Calibri" w:eastAsia="Times New Roman" w:hAnsi="Calibri" w:cs="Calibri"/>
          <w:color w:val="000000"/>
          <w:sz w:val="26"/>
        </w:rPr>
        <w:t>0.9116, 0.9113, 0.9113</w:t>
      </w:r>
    </w:p>
    <w:p w:rsidR="005F01BE" w:rsidRDefault="003E2C3A">
      <w:pPr>
        <w:pBdr>
          <w:bottom w:val="single" w:sz="4" w:space="1" w:color="auto"/>
        </w:pBdr>
        <w:rPr>
          <w:rFonts w:ascii="Calibri" w:eastAsia="Times New Roman" w:hAnsi="Calibri" w:cs="Calibri"/>
          <w:color w:val="000000"/>
          <w:sz w:val="26"/>
        </w:rPr>
      </w:pPr>
      <w:r>
        <w:rPr>
          <w:rFonts w:ascii="Calibri" w:eastAsia="Times New Roman" w:hAnsi="Calibri" w:cs="Calibri"/>
          <w:color w:val="000000"/>
          <w:sz w:val="26"/>
        </w:rPr>
        <w:t>Group 1</w:t>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r>
      <w:r>
        <w:rPr>
          <w:rFonts w:ascii="Calibri" w:eastAsia="Times New Roman" w:hAnsi="Calibri" w:cs="Calibri"/>
          <w:color w:val="000000"/>
          <w:sz w:val="26"/>
        </w:rPr>
        <w:tab/>
        <w:t>1.3847, 1.3845, 1.3843</w:t>
      </w:r>
    </w:p>
    <w:p w:rsidR="005F01BE" w:rsidRDefault="003E2C3A">
      <w:pPr>
        <w:spacing w:before="100" w:beforeAutospacing="1" w:after="0" w:line="480" w:lineRule="auto"/>
        <w:jc w:val="both"/>
        <w:rPr>
          <w:color w:val="000000"/>
          <w:sz w:val="24"/>
          <w:szCs w:val="26"/>
        </w:rPr>
      </w:pPr>
      <w:r>
        <w:rPr>
          <w:rFonts w:eastAsia="Times New Roman"/>
          <w:b/>
          <w:bCs/>
          <w:color w:val="000000"/>
          <w:sz w:val="24"/>
          <w:szCs w:val="26"/>
        </w:rPr>
        <w:lastRenderedPageBreak/>
        <w:t xml:space="preserve">4.3. Proximate Composition of </w:t>
      </w:r>
      <w:r>
        <w:rPr>
          <w:rFonts w:eastAsia="Times New Roman"/>
          <w:b/>
          <w:bCs/>
          <w:i/>
          <w:color w:val="000000"/>
          <w:sz w:val="24"/>
          <w:szCs w:val="26"/>
        </w:rPr>
        <w:t>Sida Acuta</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proximate composition of the two samples was analyzed in table 4.3 to determine their nutritional quality. The key components analyzed include crude protein, crude lipid, moisture content, total ash, crude fibre, and carbohydrate content. Crude Protein</w:t>
      </w:r>
      <w:r>
        <w:rPr>
          <w:rFonts w:eastAsia="Times New Roman"/>
          <w:color w:val="000000"/>
          <w:sz w:val="24"/>
          <w:szCs w:val="26"/>
        </w:rPr>
        <w:t xml:space="preserve"> Content: The crude protein content of both samples is relatively high, This suggests that both samples can serve as good sources of protein. However, which may make it more suitable for applications where protein content is a critical factor, such as in a</w:t>
      </w:r>
      <w:r>
        <w:rPr>
          <w:rFonts w:eastAsia="Times New Roman"/>
          <w:color w:val="000000"/>
          <w:sz w:val="24"/>
          <w:szCs w:val="26"/>
        </w:rPr>
        <w:t>nimal feeds or human diets requiring higher nitrogen intake.</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Crude Lipid Content: The lipid content, which is important for providing energy and essential fatty acids, was 7.14%. The higher energy density due to its higher fat content. Sample have relative</w:t>
      </w:r>
      <w:r>
        <w:rPr>
          <w:rFonts w:eastAsia="Times New Roman"/>
          <w:color w:val="000000"/>
          <w:sz w:val="24"/>
          <w:szCs w:val="26"/>
        </w:rPr>
        <w:t>ly low lipid contents, suggesting that they are not overly rich in fats, which could be desirable depending on the intended use.</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Moisture Content: Moisture content in both samples is low, which is ideal for preserving the quality and shelf life of the samp</w:t>
      </w:r>
      <w:r>
        <w:rPr>
          <w:rFonts w:eastAsia="Times New Roman"/>
          <w:color w:val="000000"/>
          <w:sz w:val="24"/>
          <w:szCs w:val="26"/>
        </w:rPr>
        <w:t xml:space="preserve">les. the higher moisture content in </w:t>
      </w:r>
      <w:r>
        <w:rPr>
          <w:rFonts w:eastAsia="Times New Roman"/>
          <w:i/>
          <w:color w:val="000000"/>
          <w:sz w:val="24"/>
          <w:szCs w:val="26"/>
        </w:rPr>
        <w:t>Sida acuta</w:t>
      </w:r>
      <w:r>
        <w:rPr>
          <w:rFonts w:eastAsia="Times New Roman"/>
          <w:color w:val="000000"/>
          <w:sz w:val="24"/>
          <w:szCs w:val="26"/>
        </w:rPr>
        <w:t xml:space="preserve"> may slightly reduce its shelf life, although both values are within a similar range that would not significantly impact preservation.</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Total Ash Content: of sample show similar moderate ash contents, This indic</w:t>
      </w:r>
      <w:r>
        <w:rPr>
          <w:rFonts w:eastAsia="Times New Roman"/>
          <w:color w:val="000000"/>
          <w:sz w:val="24"/>
          <w:szCs w:val="26"/>
        </w:rPr>
        <w:t xml:space="preserve">ates that the inorganic mineral content in the sample. </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lastRenderedPageBreak/>
        <w:t>Crude Fibre Content: Crude fibre, which plays a crucial role in digestion and overall gastrointestinal health, was found to be significantly higher, which contained 27.52%. The higher fibre content in</w:t>
      </w:r>
      <w:r>
        <w:rPr>
          <w:rFonts w:eastAsia="Times New Roman"/>
          <w:color w:val="000000"/>
          <w:sz w:val="24"/>
          <w:szCs w:val="26"/>
        </w:rPr>
        <w:t xml:space="preserve"> </w:t>
      </w:r>
      <w:r>
        <w:rPr>
          <w:rFonts w:eastAsia="Times New Roman"/>
          <w:i/>
          <w:color w:val="000000"/>
          <w:sz w:val="24"/>
          <w:szCs w:val="26"/>
        </w:rPr>
        <w:t>Sida acuta</w:t>
      </w:r>
      <w:r>
        <w:rPr>
          <w:rFonts w:eastAsia="Times New Roman"/>
          <w:color w:val="000000"/>
          <w:sz w:val="24"/>
          <w:szCs w:val="26"/>
        </w:rPr>
        <w:t xml:space="preserve"> suggests that it may be more indigestible, potentially limiting its utility in high-efficiency feeding systems where digestibility is a key consideration. A2, with its slightly lower fibre content, may be more easily digestible and could be pre</w:t>
      </w:r>
      <w:r>
        <w:rPr>
          <w:rFonts w:eastAsia="Times New Roman"/>
          <w:color w:val="000000"/>
          <w:sz w:val="24"/>
          <w:szCs w:val="26"/>
        </w:rPr>
        <w:t>ferable for applications where digestibility is paramount.</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Carbohydrate Content: Both samples contain substantial amounts of carbohydrates, which are the primary energy source for both human and animal nutrition. </w:t>
      </w:r>
      <w:r>
        <w:rPr>
          <w:rFonts w:eastAsia="Times New Roman"/>
          <w:i/>
          <w:color w:val="000000"/>
          <w:sz w:val="24"/>
          <w:szCs w:val="26"/>
        </w:rPr>
        <w:t>Sida acuta</w:t>
      </w:r>
      <w:r>
        <w:rPr>
          <w:rFonts w:eastAsia="Times New Roman"/>
          <w:color w:val="000000"/>
          <w:sz w:val="24"/>
          <w:szCs w:val="26"/>
        </w:rPr>
        <w:t xml:space="preserve"> contains 30.68% carbohydrates, T</w:t>
      </w:r>
      <w:r>
        <w:rPr>
          <w:rFonts w:eastAsia="Times New Roman"/>
          <w:color w:val="000000"/>
          <w:sz w:val="24"/>
          <w:szCs w:val="26"/>
        </w:rPr>
        <w:t xml:space="preserve">his that </w:t>
      </w:r>
      <w:r>
        <w:rPr>
          <w:rFonts w:eastAsia="Times New Roman"/>
          <w:i/>
          <w:color w:val="000000"/>
          <w:sz w:val="24"/>
          <w:szCs w:val="26"/>
        </w:rPr>
        <w:t>Sida acuta</w:t>
      </w:r>
      <w:r>
        <w:rPr>
          <w:rFonts w:eastAsia="Times New Roman"/>
          <w:color w:val="000000"/>
          <w:sz w:val="24"/>
          <w:szCs w:val="26"/>
        </w:rPr>
        <w:t xml:space="preserve"> might provide slightly more energy, making it a more efficient energy source.</w:t>
      </w:r>
    </w:p>
    <w:p w:rsidR="005F01BE" w:rsidRDefault="005F01BE">
      <w:pPr>
        <w:spacing w:before="100" w:beforeAutospacing="1" w:after="0" w:line="480" w:lineRule="auto"/>
        <w:jc w:val="both"/>
        <w:rPr>
          <w:rFonts w:eastAsia="Times New Roman"/>
          <w:b/>
          <w:bCs/>
          <w:color w:val="000000"/>
          <w:sz w:val="24"/>
          <w:szCs w:val="26"/>
        </w:rPr>
      </w:pPr>
    </w:p>
    <w:p w:rsidR="005F01BE" w:rsidRDefault="005F01BE">
      <w:pPr>
        <w:spacing w:before="100" w:beforeAutospacing="1" w:after="0" w:line="480" w:lineRule="auto"/>
        <w:jc w:val="both"/>
        <w:rPr>
          <w:rFonts w:eastAsia="Times New Roman"/>
          <w:b/>
          <w:bCs/>
          <w:color w:val="000000"/>
          <w:sz w:val="24"/>
          <w:szCs w:val="26"/>
        </w:rPr>
      </w:pPr>
    </w:p>
    <w:p w:rsidR="005F01BE" w:rsidRDefault="003E2C3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 xml:space="preserve">Table 4.3: Proximate Composition of </w:t>
      </w:r>
      <w:r>
        <w:rPr>
          <w:rFonts w:eastAsia="Times New Roman"/>
          <w:b/>
          <w:bCs/>
          <w:i/>
          <w:iCs/>
          <w:color w:val="000000"/>
          <w:sz w:val="24"/>
          <w:szCs w:val="26"/>
        </w:rPr>
        <w:t>Sida acuta</w:t>
      </w:r>
    </w:p>
    <w:tbl>
      <w:tblPr>
        <w:tblW w:w="945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450"/>
        <w:gridCol w:w="936"/>
        <w:gridCol w:w="1341"/>
        <w:gridCol w:w="1193"/>
        <w:gridCol w:w="1591"/>
        <w:gridCol w:w="1015"/>
        <w:gridCol w:w="1193"/>
        <w:gridCol w:w="1733"/>
      </w:tblGrid>
      <w:tr w:rsidR="005F01BE">
        <w:trPr>
          <w:trHeight w:val="1354"/>
          <w:tblHeader/>
          <w:tblCellSpacing w:w="15" w:type="dxa"/>
        </w:trPr>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S/N</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Sample</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Crude Protein (%)</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Crude Lipid (%)</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Moisture Content (%)</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Total Ash (%)</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Crude Fibre (%)</w:t>
            </w:r>
          </w:p>
        </w:tc>
        <w:tc>
          <w:tcPr>
            <w:tcW w:w="0" w:type="auto"/>
            <w:tcBorders>
              <w:top w:val="nil"/>
              <w:bottom w:val="single" w:sz="4" w:space="0" w:color="auto"/>
            </w:tcBorders>
            <w:vAlign w:val="center"/>
            <w:hideMark/>
          </w:tcPr>
          <w:p w:rsidR="005F01BE" w:rsidRDefault="003E2C3A">
            <w:pPr>
              <w:spacing w:after="0" w:line="480" w:lineRule="auto"/>
              <w:jc w:val="center"/>
              <w:rPr>
                <w:rFonts w:eastAsia="Times New Roman"/>
                <w:b/>
                <w:bCs/>
                <w:color w:val="000000"/>
                <w:sz w:val="24"/>
                <w:szCs w:val="26"/>
              </w:rPr>
            </w:pPr>
            <w:r>
              <w:rPr>
                <w:rFonts w:eastAsia="Times New Roman"/>
                <w:b/>
                <w:bCs/>
                <w:color w:val="000000"/>
                <w:sz w:val="24"/>
                <w:szCs w:val="26"/>
              </w:rPr>
              <w:t xml:space="preserve">Carbohydrate </w:t>
            </w:r>
            <w:r>
              <w:rPr>
                <w:rFonts w:eastAsia="Times New Roman"/>
                <w:b/>
                <w:bCs/>
                <w:color w:val="000000"/>
                <w:sz w:val="24"/>
                <w:szCs w:val="26"/>
              </w:rPr>
              <w:t>(%)</w:t>
            </w:r>
          </w:p>
        </w:tc>
      </w:tr>
      <w:tr w:rsidR="005F01BE">
        <w:trPr>
          <w:trHeight w:val="647"/>
          <w:tblCellSpacing w:w="15" w:type="dxa"/>
        </w:trPr>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1</w:t>
            </w:r>
          </w:p>
        </w:tc>
        <w:tc>
          <w:tcPr>
            <w:tcW w:w="0" w:type="auto"/>
            <w:vAlign w:val="center"/>
            <w:hideMark/>
          </w:tcPr>
          <w:p w:rsidR="005F01BE" w:rsidRDefault="003E2C3A">
            <w:pPr>
              <w:spacing w:after="0" w:line="480" w:lineRule="auto"/>
              <w:jc w:val="center"/>
              <w:rPr>
                <w:rFonts w:eastAsia="Times New Roman"/>
                <w:i/>
                <w:color w:val="000000"/>
                <w:sz w:val="24"/>
                <w:szCs w:val="26"/>
              </w:rPr>
            </w:pPr>
            <w:r>
              <w:rPr>
                <w:rFonts w:eastAsia="Times New Roman"/>
                <w:i/>
                <w:color w:val="000000"/>
                <w:sz w:val="24"/>
                <w:szCs w:val="26"/>
              </w:rPr>
              <w:t>Sida acuta</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13.57</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7.14</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8.24</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11.42</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28.37</w:t>
            </w:r>
          </w:p>
        </w:tc>
        <w:tc>
          <w:tcPr>
            <w:tcW w:w="0" w:type="auto"/>
            <w:vAlign w:val="center"/>
            <w:hideMark/>
          </w:tcPr>
          <w:p w:rsidR="005F01BE" w:rsidRDefault="003E2C3A">
            <w:pPr>
              <w:spacing w:after="0" w:line="480" w:lineRule="auto"/>
              <w:jc w:val="center"/>
              <w:rPr>
                <w:rFonts w:eastAsia="Times New Roman"/>
                <w:color w:val="000000"/>
                <w:sz w:val="24"/>
                <w:szCs w:val="26"/>
              </w:rPr>
            </w:pPr>
            <w:r>
              <w:rPr>
                <w:rFonts w:eastAsia="Times New Roman"/>
                <w:color w:val="000000"/>
                <w:sz w:val="24"/>
                <w:szCs w:val="26"/>
              </w:rPr>
              <w:t>31.16</w:t>
            </w:r>
          </w:p>
        </w:tc>
      </w:tr>
      <w:tr w:rsidR="005F01BE">
        <w:trPr>
          <w:trHeight w:val="677"/>
          <w:tblCellSpacing w:w="15" w:type="dxa"/>
        </w:trPr>
        <w:tc>
          <w:tcPr>
            <w:tcW w:w="0" w:type="auto"/>
            <w:vAlign w:val="center"/>
            <w:hideMark/>
          </w:tcPr>
          <w:p w:rsidR="005F01BE" w:rsidRDefault="005F01BE">
            <w:pPr>
              <w:spacing w:after="0" w:line="480" w:lineRule="auto"/>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c>
          <w:tcPr>
            <w:tcW w:w="0" w:type="auto"/>
            <w:vAlign w:val="center"/>
            <w:hideMark/>
          </w:tcPr>
          <w:p w:rsidR="005F01BE" w:rsidRDefault="005F01BE">
            <w:pPr>
              <w:spacing w:after="0" w:line="480" w:lineRule="auto"/>
              <w:jc w:val="center"/>
              <w:rPr>
                <w:rFonts w:eastAsia="Times New Roman"/>
                <w:color w:val="000000"/>
                <w:sz w:val="24"/>
                <w:szCs w:val="26"/>
              </w:rPr>
            </w:pPr>
          </w:p>
        </w:tc>
      </w:tr>
    </w:tbl>
    <w:p w:rsidR="005F01BE" w:rsidRDefault="005F01BE">
      <w:pPr>
        <w:spacing w:after="160" w:line="259" w:lineRule="auto"/>
        <w:rPr>
          <w:rFonts w:eastAsia="Times New Roman"/>
          <w:b/>
          <w:bCs/>
          <w:color w:val="000000"/>
          <w:sz w:val="24"/>
          <w:szCs w:val="26"/>
        </w:rPr>
      </w:pPr>
    </w:p>
    <w:p w:rsidR="005F01BE" w:rsidRDefault="003E2C3A">
      <w:pPr>
        <w:spacing w:after="160" w:line="259" w:lineRule="auto"/>
        <w:rPr>
          <w:rFonts w:eastAsia="Times New Roman"/>
          <w:b/>
          <w:bCs/>
          <w:color w:val="000000"/>
          <w:sz w:val="24"/>
          <w:szCs w:val="26"/>
        </w:rPr>
      </w:pPr>
      <w:r>
        <w:rPr>
          <w:rFonts w:eastAsia="Times New Roman"/>
          <w:b/>
          <w:bCs/>
          <w:color w:val="000000"/>
          <w:sz w:val="24"/>
          <w:szCs w:val="26"/>
        </w:rPr>
        <w:t xml:space="preserve">4.4. Mineral Composition of </w:t>
      </w:r>
      <w:r>
        <w:rPr>
          <w:rFonts w:eastAsia="Times New Roman"/>
          <w:b/>
          <w:bCs/>
          <w:i/>
          <w:iCs/>
          <w:color w:val="000000"/>
          <w:sz w:val="24"/>
          <w:szCs w:val="26"/>
        </w:rPr>
        <w:t>Sida acuta</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The mineral composition analysis of </w:t>
      </w:r>
      <w:r>
        <w:rPr>
          <w:rFonts w:eastAsia="Times New Roman"/>
          <w:i/>
          <w:iCs/>
          <w:color w:val="000000"/>
          <w:sz w:val="24"/>
          <w:szCs w:val="26"/>
        </w:rPr>
        <w:t>Sida acuta</w:t>
      </w:r>
      <w:r>
        <w:rPr>
          <w:rFonts w:eastAsia="Times New Roman"/>
          <w:color w:val="000000"/>
          <w:sz w:val="24"/>
          <w:szCs w:val="26"/>
        </w:rPr>
        <w:t xml:space="preserve"> is shown in table 4.4 where the plant possesses appreciable amounts of essential minerals that are important. The iron (Fe) content was found to be 2.023 mg/100g. Iron is critical for the synthesis of hemoglobin1 and the prevention of anemia, suggesting t</w:t>
      </w:r>
      <w:r>
        <w:rPr>
          <w:rFonts w:eastAsia="Times New Roman"/>
          <w:color w:val="000000"/>
          <w:sz w:val="24"/>
          <w:szCs w:val="26"/>
        </w:rPr>
        <w:t xml:space="preserve">hat </w:t>
      </w:r>
      <w:r>
        <w:rPr>
          <w:rFonts w:eastAsia="Times New Roman"/>
          <w:i/>
          <w:iCs/>
          <w:color w:val="000000"/>
          <w:sz w:val="24"/>
          <w:szCs w:val="26"/>
        </w:rPr>
        <w:t>Sida acuta</w:t>
      </w:r>
      <w:r>
        <w:rPr>
          <w:rFonts w:eastAsia="Times New Roman"/>
          <w:color w:val="000000"/>
          <w:sz w:val="24"/>
          <w:szCs w:val="26"/>
        </w:rPr>
        <w:t xml:space="preserve"> could serve as a beneficial dietary component in combating iron deficiency. Copper (Cu) was present at 1.0948 mg/100g. Copper plays a vital role in iron metabolism and supports the proper functioning of the cardiovascular and nervous systems</w:t>
      </w:r>
      <w:r>
        <w:rPr>
          <w:rFonts w:eastAsia="Times New Roman"/>
          <w:color w:val="000000"/>
          <w:sz w:val="24"/>
          <w:szCs w:val="26"/>
        </w:rPr>
        <w:t>. The zinc (Zn) content, recorded at 0.570 mg/100g.</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sodium (Na) content was relatively low at 2.962 mg/100g. This low sodium level is noteworthy because diets high in sodium are associated with hypertension and cardiovascular diseases; thus, the consum</w:t>
      </w:r>
      <w:r>
        <w:rPr>
          <w:rFonts w:eastAsia="Times New Roman"/>
          <w:color w:val="000000"/>
          <w:sz w:val="24"/>
          <w:szCs w:val="26"/>
        </w:rPr>
        <w:t xml:space="preserve">ption of </w:t>
      </w:r>
      <w:r>
        <w:rPr>
          <w:rFonts w:eastAsia="Times New Roman"/>
          <w:i/>
          <w:iCs/>
          <w:color w:val="000000"/>
          <w:sz w:val="24"/>
          <w:szCs w:val="26"/>
        </w:rPr>
        <w:t>Sida acuta</w:t>
      </w:r>
      <w:r>
        <w:rPr>
          <w:rFonts w:eastAsia="Times New Roman"/>
          <w:color w:val="000000"/>
          <w:sz w:val="24"/>
          <w:szCs w:val="26"/>
        </w:rPr>
        <w:t xml:space="preserve"> may not pose such risks. Conversely, the potassium (K) level was relatively high at 5.833 mg/100g. Potassium is known for its role in maintaining electrolyte balance, nerve transmission, and regulating </w:t>
      </w:r>
      <w:r>
        <w:rPr>
          <w:rFonts w:eastAsia="Times New Roman"/>
          <w:color w:val="000000"/>
          <w:sz w:val="24"/>
          <w:szCs w:val="26"/>
        </w:rPr>
        <w:lastRenderedPageBreak/>
        <w:t>blood pressure. The high potassium</w:t>
      </w:r>
      <w:r>
        <w:rPr>
          <w:rFonts w:eastAsia="Times New Roman"/>
          <w:color w:val="000000"/>
          <w:sz w:val="24"/>
          <w:szCs w:val="26"/>
        </w:rPr>
        <w:t xml:space="preserve">-to-sodium ratio observed in </w:t>
      </w:r>
      <w:r>
        <w:rPr>
          <w:rFonts w:eastAsia="Times New Roman"/>
          <w:i/>
          <w:iCs/>
          <w:color w:val="000000"/>
          <w:sz w:val="24"/>
          <w:szCs w:val="26"/>
        </w:rPr>
        <w:t>Sida acuta</w:t>
      </w:r>
      <w:r>
        <w:rPr>
          <w:rFonts w:eastAsia="Times New Roman"/>
          <w:color w:val="000000"/>
          <w:sz w:val="24"/>
          <w:szCs w:val="26"/>
        </w:rPr>
        <w:t xml:space="preserve"> further highlights its potential cardiovascular benefits.</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Magnesium (Mg) content was measured at 5.376 mg/100g. Magnesium is indispensable for neuromuscular transmission, energy production, and bone development. Mang</w:t>
      </w:r>
      <w:r>
        <w:rPr>
          <w:rFonts w:eastAsia="Times New Roman"/>
          <w:color w:val="000000"/>
          <w:sz w:val="24"/>
          <w:szCs w:val="26"/>
        </w:rPr>
        <w:t>anese (Mn) was detected at 0.476 mg/100g. Calcium (Ca) content was found to be 4.031 mg/100g. Calcium is essential for the development and maintenance of strong bones and teeth, as well as for muscular function and nerve signaling.</w:t>
      </w:r>
    </w:p>
    <w:p w:rsidR="005F01BE" w:rsidRDefault="003E2C3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Table 4.4: Mineral Compo</w:t>
      </w:r>
      <w:r>
        <w:rPr>
          <w:rFonts w:eastAsia="Times New Roman"/>
          <w:b/>
          <w:bCs/>
          <w:color w:val="000000"/>
          <w:sz w:val="24"/>
          <w:szCs w:val="26"/>
        </w:rPr>
        <w:t xml:space="preserve">sition of </w:t>
      </w:r>
      <w:r>
        <w:rPr>
          <w:rFonts w:eastAsia="Times New Roman"/>
          <w:b/>
          <w:bCs/>
          <w:i/>
          <w:iCs/>
          <w:color w:val="000000"/>
          <w:sz w:val="24"/>
          <w:szCs w:val="26"/>
        </w:rPr>
        <w:t>Sida acuta</w:t>
      </w:r>
    </w:p>
    <w:tbl>
      <w:tblPr>
        <w:tblStyle w:val="TableGrid"/>
        <w:tblW w:w="915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1266"/>
        <w:gridCol w:w="860"/>
        <w:gridCol w:w="995"/>
        <w:gridCol w:w="860"/>
        <w:gridCol w:w="860"/>
        <w:gridCol w:w="860"/>
        <w:gridCol w:w="860"/>
        <w:gridCol w:w="860"/>
        <w:gridCol w:w="957"/>
      </w:tblGrid>
      <w:tr w:rsidR="005F01BE">
        <w:trPr>
          <w:trHeight w:val="857"/>
        </w:trPr>
        <w:tc>
          <w:tcPr>
            <w:tcW w:w="781"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S/N</w:t>
            </w:r>
          </w:p>
        </w:tc>
        <w:tc>
          <w:tcPr>
            <w:tcW w:w="1266"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Sample Name</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Fe</w:t>
            </w:r>
          </w:p>
        </w:tc>
        <w:tc>
          <w:tcPr>
            <w:tcW w:w="995"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Cu</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Zn</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Na</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K</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Mg</w:t>
            </w:r>
          </w:p>
        </w:tc>
        <w:tc>
          <w:tcPr>
            <w:tcW w:w="860"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Mn</w:t>
            </w:r>
          </w:p>
        </w:tc>
        <w:tc>
          <w:tcPr>
            <w:tcW w:w="957" w:type="dxa"/>
            <w:tcBorders>
              <w:top w:val="single" w:sz="4" w:space="0" w:color="auto"/>
              <w:bottom w:val="single" w:sz="4" w:space="0" w:color="auto"/>
            </w:tcBorders>
          </w:tcPr>
          <w:p w:rsidR="005F01BE" w:rsidRDefault="003E2C3A">
            <w:pPr>
              <w:spacing w:before="100" w:beforeAutospacing="1" w:line="480" w:lineRule="auto"/>
              <w:jc w:val="both"/>
              <w:rPr>
                <w:rFonts w:eastAsia="Times New Roman"/>
                <w:b/>
                <w:bCs/>
                <w:color w:val="000000"/>
                <w:sz w:val="24"/>
                <w:szCs w:val="26"/>
              </w:rPr>
            </w:pPr>
            <w:r>
              <w:rPr>
                <w:rFonts w:eastAsia="Times New Roman"/>
                <w:b/>
                <w:bCs/>
                <w:color w:val="000000"/>
                <w:sz w:val="24"/>
                <w:szCs w:val="26"/>
              </w:rPr>
              <w:t>Ca</w:t>
            </w:r>
          </w:p>
        </w:tc>
      </w:tr>
      <w:tr w:rsidR="005F01BE">
        <w:trPr>
          <w:trHeight w:val="908"/>
        </w:trPr>
        <w:tc>
          <w:tcPr>
            <w:tcW w:w="781" w:type="dxa"/>
            <w:tcBorders>
              <w:top w:val="single" w:sz="4" w:space="0" w:color="auto"/>
            </w:tcBorders>
          </w:tcPr>
          <w:p w:rsidR="005F01BE" w:rsidRDefault="003E2C3A">
            <w:pPr>
              <w:spacing w:before="100" w:beforeAutospacing="1" w:line="480" w:lineRule="auto"/>
              <w:jc w:val="both"/>
              <w:rPr>
                <w:rFonts w:eastAsia="Times New Roman"/>
                <w:color w:val="000000"/>
                <w:sz w:val="24"/>
                <w:szCs w:val="26"/>
              </w:rPr>
            </w:pPr>
            <w:r>
              <w:rPr>
                <w:rFonts w:eastAsia="Times New Roman"/>
                <w:color w:val="000000"/>
                <w:sz w:val="24"/>
                <w:szCs w:val="26"/>
              </w:rPr>
              <w:t>1</w:t>
            </w:r>
          </w:p>
        </w:tc>
        <w:tc>
          <w:tcPr>
            <w:tcW w:w="1266" w:type="dxa"/>
            <w:tcBorders>
              <w:top w:val="single" w:sz="4" w:space="0" w:color="auto"/>
            </w:tcBorders>
          </w:tcPr>
          <w:p w:rsidR="005F01BE" w:rsidRDefault="003E2C3A">
            <w:pPr>
              <w:spacing w:before="100" w:beforeAutospacing="1" w:line="480" w:lineRule="auto"/>
              <w:jc w:val="both"/>
              <w:rPr>
                <w:rFonts w:eastAsia="Times New Roman"/>
                <w:i/>
                <w:color w:val="000000"/>
                <w:sz w:val="24"/>
                <w:szCs w:val="26"/>
              </w:rPr>
            </w:pPr>
            <w:r>
              <w:rPr>
                <w:rFonts w:eastAsia="Times New Roman"/>
                <w:i/>
                <w:color w:val="000000"/>
                <w:sz w:val="24"/>
                <w:szCs w:val="26"/>
              </w:rPr>
              <w:t>Sida acuta</w:t>
            </w: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2.023</w:t>
            </w:r>
          </w:p>
          <w:p w:rsidR="005F01BE" w:rsidRDefault="005F01BE">
            <w:pPr>
              <w:spacing w:line="480" w:lineRule="auto"/>
              <w:jc w:val="both"/>
              <w:rPr>
                <w:rFonts w:ascii="Calibri" w:hAnsi="Calibri" w:cs="Calibri"/>
                <w:color w:val="000000"/>
                <w:sz w:val="24"/>
                <w:szCs w:val="26"/>
              </w:rPr>
            </w:pPr>
          </w:p>
        </w:tc>
        <w:tc>
          <w:tcPr>
            <w:tcW w:w="995"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1.0948</w:t>
            </w:r>
          </w:p>
          <w:p w:rsidR="005F01BE" w:rsidRDefault="005F01BE">
            <w:pPr>
              <w:spacing w:line="480" w:lineRule="auto"/>
              <w:jc w:val="both"/>
              <w:rPr>
                <w:rFonts w:ascii="Calibri" w:hAnsi="Calibri" w:cs="Calibri"/>
                <w:color w:val="000000"/>
                <w:sz w:val="24"/>
                <w:szCs w:val="26"/>
              </w:rPr>
            </w:pP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0.570</w:t>
            </w:r>
          </w:p>
          <w:p w:rsidR="005F01BE" w:rsidRDefault="005F01BE">
            <w:pPr>
              <w:spacing w:line="480" w:lineRule="auto"/>
              <w:jc w:val="both"/>
              <w:rPr>
                <w:rFonts w:ascii="Calibri" w:hAnsi="Calibri" w:cs="Calibri"/>
                <w:color w:val="000000"/>
                <w:sz w:val="24"/>
                <w:szCs w:val="26"/>
              </w:rPr>
            </w:pP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2.962</w:t>
            </w:r>
          </w:p>
          <w:p w:rsidR="005F01BE" w:rsidRDefault="005F01BE">
            <w:pPr>
              <w:spacing w:line="480" w:lineRule="auto"/>
              <w:jc w:val="both"/>
              <w:rPr>
                <w:rFonts w:ascii="Calibri" w:hAnsi="Calibri" w:cs="Calibri"/>
                <w:color w:val="000000"/>
                <w:sz w:val="24"/>
                <w:szCs w:val="26"/>
              </w:rPr>
            </w:pP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5.833</w:t>
            </w:r>
          </w:p>
          <w:p w:rsidR="005F01BE" w:rsidRDefault="005F01BE">
            <w:pPr>
              <w:spacing w:line="480" w:lineRule="auto"/>
              <w:jc w:val="both"/>
              <w:rPr>
                <w:rFonts w:ascii="Calibri" w:hAnsi="Calibri" w:cs="Calibri"/>
                <w:color w:val="000000"/>
                <w:sz w:val="24"/>
                <w:szCs w:val="26"/>
              </w:rPr>
            </w:pP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5.376</w:t>
            </w:r>
          </w:p>
          <w:p w:rsidR="005F01BE" w:rsidRDefault="005F01BE">
            <w:pPr>
              <w:spacing w:line="480" w:lineRule="auto"/>
              <w:jc w:val="both"/>
              <w:rPr>
                <w:rFonts w:ascii="Calibri" w:hAnsi="Calibri" w:cs="Calibri"/>
                <w:color w:val="000000"/>
                <w:sz w:val="24"/>
                <w:szCs w:val="26"/>
              </w:rPr>
            </w:pPr>
          </w:p>
        </w:tc>
        <w:tc>
          <w:tcPr>
            <w:tcW w:w="860"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0.476</w:t>
            </w:r>
          </w:p>
          <w:p w:rsidR="005F01BE" w:rsidRDefault="005F01BE">
            <w:pPr>
              <w:spacing w:line="480" w:lineRule="auto"/>
              <w:jc w:val="both"/>
              <w:rPr>
                <w:rFonts w:ascii="Calibri" w:hAnsi="Calibri" w:cs="Calibri"/>
                <w:color w:val="000000"/>
                <w:sz w:val="24"/>
                <w:szCs w:val="26"/>
              </w:rPr>
            </w:pPr>
          </w:p>
        </w:tc>
        <w:tc>
          <w:tcPr>
            <w:tcW w:w="957" w:type="dxa"/>
            <w:tcBorders>
              <w:top w:val="single" w:sz="4" w:space="0" w:color="auto"/>
            </w:tcBorders>
          </w:tcPr>
          <w:p w:rsidR="005F01BE" w:rsidRDefault="003E2C3A">
            <w:pPr>
              <w:spacing w:line="480" w:lineRule="auto"/>
              <w:jc w:val="both"/>
              <w:rPr>
                <w:rFonts w:ascii="Calibri" w:hAnsi="Calibri" w:cs="Calibri"/>
                <w:color w:val="000000"/>
                <w:sz w:val="24"/>
                <w:szCs w:val="26"/>
              </w:rPr>
            </w:pPr>
            <w:r>
              <w:rPr>
                <w:rFonts w:ascii="Calibri" w:hAnsi="Calibri" w:cs="Calibri"/>
                <w:color w:val="000000"/>
                <w:sz w:val="24"/>
                <w:szCs w:val="26"/>
              </w:rPr>
              <w:t>4.031</w:t>
            </w:r>
          </w:p>
        </w:tc>
      </w:tr>
    </w:tbl>
    <w:p w:rsidR="005F01BE" w:rsidRDefault="003E2C3A">
      <w:pPr>
        <w:spacing w:before="100" w:beforeAutospacing="1" w:after="0" w:line="480" w:lineRule="auto"/>
        <w:jc w:val="both"/>
        <w:rPr>
          <w:rFonts w:eastAsia="Times New Roman"/>
          <w:color w:val="000000"/>
          <w:sz w:val="24"/>
          <w:szCs w:val="26"/>
        </w:rPr>
      </w:pPr>
      <w:r>
        <w:rPr>
          <w:rFonts w:eastAsia="Times New Roman"/>
          <w:color w:val="000000"/>
          <w:sz w:val="24"/>
          <w:szCs w:val="26"/>
        </w:rPr>
        <w:t>Key: iron (Fe), copper (Cu), zinc (Zn), sodium (Na), potassium (K), and Magnesium (Mg).</w:t>
      </w:r>
    </w:p>
    <w:p w:rsidR="005F01BE" w:rsidRDefault="005F01BE">
      <w:pPr>
        <w:spacing w:before="100" w:beforeAutospacing="1" w:after="0" w:line="480" w:lineRule="auto"/>
        <w:jc w:val="both"/>
        <w:rPr>
          <w:rFonts w:eastAsia="Times New Roman"/>
          <w:color w:val="000000"/>
          <w:sz w:val="24"/>
          <w:szCs w:val="26"/>
        </w:rPr>
      </w:pPr>
    </w:p>
    <w:p w:rsidR="005F01BE" w:rsidRDefault="005F01BE">
      <w:pPr>
        <w:spacing w:before="100" w:beforeAutospacing="1" w:after="0" w:line="480" w:lineRule="auto"/>
        <w:jc w:val="both"/>
        <w:rPr>
          <w:rFonts w:eastAsia="Times New Roman"/>
          <w:color w:val="000000"/>
          <w:sz w:val="24"/>
          <w:szCs w:val="26"/>
        </w:rPr>
      </w:pPr>
    </w:p>
    <w:p w:rsidR="005F01BE" w:rsidRDefault="005F01BE">
      <w:pPr>
        <w:spacing w:before="100" w:beforeAutospacing="1" w:after="0" w:line="480" w:lineRule="auto"/>
        <w:jc w:val="both"/>
        <w:rPr>
          <w:rFonts w:eastAsia="Times New Roman"/>
          <w:color w:val="000000"/>
          <w:sz w:val="24"/>
          <w:szCs w:val="26"/>
        </w:rPr>
      </w:pPr>
    </w:p>
    <w:p w:rsidR="005F01BE" w:rsidRDefault="005F01BE">
      <w:pPr>
        <w:spacing w:line="480" w:lineRule="auto"/>
        <w:rPr>
          <w:rFonts w:eastAsia="Times New Roman"/>
          <w:color w:val="000000"/>
          <w:sz w:val="24"/>
          <w:szCs w:val="26"/>
        </w:rPr>
      </w:pPr>
    </w:p>
    <w:p w:rsidR="005F01BE" w:rsidRDefault="003E2C3A">
      <w:pPr>
        <w:spacing w:line="480" w:lineRule="auto"/>
        <w:rPr>
          <w:sz w:val="22"/>
          <w:szCs w:val="24"/>
        </w:rPr>
      </w:pPr>
      <w:r>
        <w:rPr>
          <w:b/>
          <w:sz w:val="22"/>
          <w:szCs w:val="24"/>
        </w:rPr>
        <w:lastRenderedPageBreak/>
        <w:t>Table 4.5:</w:t>
      </w:r>
      <w:r>
        <w:rPr>
          <w:sz w:val="22"/>
          <w:szCs w:val="24"/>
        </w:rPr>
        <w:t xml:space="preserve"> </w:t>
      </w:r>
      <w:r>
        <w:rPr>
          <w:b/>
          <w:sz w:val="22"/>
          <w:szCs w:val="24"/>
        </w:rPr>
        <w:t>Antioxidants and Liver</w:t>
      </w:r>
      <w:r>
        <w:rPr>
          <w:b/>
          <w:sz w:val="22"/>
          <w:szCs w:val="24"/>
        </w:rPr>
        <w:t xml:space="preserve"> Function Index</w:t>
      </w:r>
    </w:p>
    <w:tbl>
      <w:tblPr>
        <w:tblStyle w:val="TableGrid"/>
        <w:tblW w:w="1089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1170"/>
        <w:gridCol w:w="1316"/>
        <w:gridCol w:w="1236"/>
        <w:gridCol w:w="1236"/>
        <w:gridCol w:w="1236"/>
        <w:gridCol w:w="1236"/>
        <w:gridCol w:w="1236"/>
        <w:gridCol w:w="1414"/>
      </w:tblGrid>
      <w:tr w:rsidR="005F01BE">
        <w:tc>
          <w:tcPr>
            <w:tcW w:w="810"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S/N</w:t>
            </w:r>
          </w:p>
        </w:tc>
        <w:tc>
          <w:tcPr>
            <w:tcW w:w="1170"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Title</w:t>
            </w:r>
          </w:p>
        </w:tc>
        <w:tc>
          <w:tcPr>
            <w:tcW w:w="1316"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Control</w:t>
            </w:r>
          </w:p>
        </w:tc>
        <w:tc>
          <w:tcPr>
            <w:tcW w:w="1236" w:type="dxa"/>
            <w:tcBorders>
              <w:top w:val="single" w:sz="4" w:space="0" w:color="auto"/>
              <w:bottom w:val="single" w:sz="4" w:space="0" w:color="auto"/>
            </w:tcBorders>
          </w:tcPr>
          <w:p w:rsidR="005F01BE" w:rsidRDefault="003E2C3A">
            <w:pPr>
              <w:spacing w:line="480" w:lineRule="auto"/>
              <w:rPr>
                <w:b/>
                <w:sz w:val="22"/>
                <w:szCs w:val="24"/>
              </w:rPr>
            </w:pPr>
            <w:r>
              <w:rPr>
                <w:b/>
                <w:sz w:val="20"/>
                <w:szCs w:val="24"/>
              </w:rPr>
              <w:t>Untreated</w:t>
            </w:r>
          </w:p>
        </w:tc>
        <w:tc>
          <w:tcPr>
            <w:tcW w:w="1236"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Standard Drug</w:t>
            </w:r>
          </w:p>
        </w:tc>
        <w:tc>
          <w:tcPr>
            <w:tcW w:w="1236"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100mg/kg</w:t>
            </w:r>
          </w:p>
        </w:tc>
        <w:tc>
          <w:tcPr>
            <w:tcW w:w="1236"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200mg/kg</w:t>
            </w:r>
          </w:p>
        </w:tc>
        <w:tc>
          <w:tcPr>
            <w:tcW w:w="1236"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400mg/kg</w:t>
            </w:r>
          </w:p>
        </w:tc>
        <w:tc>
          <w:tcPr>
            <w:tcW w:w="1414" w:type="dxa"/>
            <w:tcBorders>
              <w:top w:val="single" w:sz="4" w:space="0" w:color="auto"/>
              <w:bottom w:val="single" w:sz="4" w:space="0" w:color="auto"/>
            </w:tcBorders>
          </w:tcPr>
          <w:p w:rsidR="005F01BE" w:rsidRDefault="003E2C3A">
            <w:pPr>
              <w:spacing w:line="480" w:lineRule="auto"/>
              <w:rPr>
                <w:b/>
                <w:sz w:val="22"/>
                <w:szCs w:val="24"/>
              </w:rPr>
            </w:pPr>
            <w:r>
              <w:rPr>
                <w:b/>
                <w:sz w:val="22"/>
                <w:szCs w:val="24"/>
              </w:rPr>
              <w:t>800mg/kg</w:t>
            </w:r>
          </w:p>
        </w:tc>
      </w:tr>
      <w:tr w:rsidR="005F01BE">
        <w:tc>
          <w:tcPr>
            <w:tcW w:w="810" w:type="dxa"/>
            <w:tcBorders>
              <w:top w:val="single" w:sz="4" w:space="0" w:color="auto"/>
            </w:tcBorders>
          </w:tcPr>
          <w:p w:rsidR="005F01BE" w:rsidRDefault="005F01BE">
            <w:pPr>
              <w:pStyle w:val="ListParagraph"/>
              <w:numPr>
                <w:ilvl w:val="0"/>
                <w:numId w:val="13"/>
              </w:numPr>
              <w:spacing w:line="480" w:lineRule="auto"/>
              <w:rPr>
                <w:sz w:val="22"/>
                <w:szCs w:val="24"/>
              </w:rPr>
            </w:pPr>
          </w:p>
        </w:tc>
        <w:tc>
          <w:tcPr>
            <w:tcW w:w="1170" w:type="dxa"/>
            <w:tcBorders>
              <w:top w:val="single" w:sz="4" w:space="0" w:color="auto"/>
            </w:tcBorders>
          </w:tcPr>
          <w:p w:rsidR="005F01BE" w:rsidRDefault="003E2C3A">
            <w:pPr>
              <w:spacing w:line="480" w:lineRule="auto"/>
              <w:rPr>
                <w:sz w:val="22"/>
                <w:szCs w:val="24"/>
              </w:rPr>
            </w:pPr>
            <w:r>
              <w:rPr>
                <w:sz w:val="22"/>
                <w:szCs w:val="24"/>
              </w:rPr>
              <w:t>SOD ST</w:t>
            </w:r>
          </w:p>
        </w:tc>
        <w:tc>
          <w:tcPr>
            <w:tcW w:w="1316" w:type="dxa"/>
            <w:tcBorders>
              <w:top w:val="single" w:sz="4" w:space="0" w:color="auto"/>
            </w:tcBorders>
          </w:tcPr>
          <w:p w:rsidR="005F01BE" w:rsidRDefault="003E2C3A">
            <w:pPr>
              <w:spacing w:line="480" w:lineRule="auto"/>
              <w:rPr>
                <w:sz w:val="22"/>
                <w:szCs w:val="24"/>
              </w:rPr>
            </w:pPr>
            <w:r>
              <w:rPr>
                <w:sz w:val="22"/>
                <w:szCs w:val="24"/>
              </w:rPr>
              <w:t>6.149</w:t>
            </w:r>
          </w:p>
        </w:tc>
        <w:tc>
          <w:tcPr>
            <w:tcW w:w="1236" w:type="dxa"/>
            <w:tcBorders>
              <w:top w:val="single" w:sz="4" w:space="0" w:color="auto"/>
            </w:tcBorders>
          </w:tcPr>
          <w:p w:rsidR="005F01BE" w:rsidRDefault="003E2C3A">
            <w:pPr>
              <w:spacing w:line="480" w:lineRule="auto"/>
              <w:rPr>
                <w:sz w:val="22"/>
                <w:szCs w:val="24"/>
              </w:rPr>
            </w:pPr>
            <w:r>
              <w:rPr>
                <w:sz w:val="22"/>
                <w:szCs w:val="24"/>
              </w:rPr>
              <w:t>6.010</w:t>
            </w:r>
          </w:p>
        </w:tc>
        <w:tc>
          <w:tcPr>
            <w:tcW w:w="1236" w:type="dxa"/>
            <w:tcBorders>
              <w:top w:val="single" w:sz="4" w:space="0" w:color="auto"/>
            </w:tcBorders>
          </w:tcPr>
          <w:p w:rsidR="005F01BE" w:rsidRDefault="003E2C3A">
            <w:pPr>
              <w:spacing w:line="480" w:lineRule="auto"/>
              <w:rPr>
                <w:sz w:val="22"/>
                <w:szCs w:val="24"/>
              </w:rPr>
            </w:pPr>
            <w:r>
              <w:rPr>
                <w:sz w:val="22"/>
                <w:szCs w:val="24"/>
              </w:rPr>
              <w:t>6.529</w:t>
            </w:r>
          </w:p>
        </w:tc>
        <w:tc>
          <w:tcPr>
            <w:tcW w:w="1236" w:type="dxa"/>
            <w:tcBorders>
              <w:top w:val="single" w:sz="4" w:space="0" w:color="auto"/>
            </w:tcBorders>
          </w:tcPr>
          <w:p w:rsidR="005F01BE" w:rsidRDefault="003E2C3A">
            <w:pPr>
              <w:spacing w:line="480" w:lineRule="auto"/>
              <w:rPr>
                <w:sz w:val="22"/>
                <w:szCs w:val="24"/>
              </w:rPr>
            </w:pPr>
            <w:r>
              <w:rPr>
                <w:sz w:val="22"/>
                <w:szCs w:val="24"/>
              </w:rPr>
              <w:t>5.676</w:t>
            </w:r>
          </w:p>
        </w:tc>
        <w:tc>
          <w:tcPr>
            <w:tcW w:w="1236" w:type="dxa"/>
            <w:tcBorders>
              <w:top w:val="single" w:sz="4" w:space="0" w:color="auto"/>
            </w:tcBorders>
          </w:tcPr>
          <w:p w:rsidR="005F01BE" w:rsidRDefault="003E2C3A">
            <w:pPr>
              <w:spacing w:line="480" w:lineRule="auto"/>
              <w:rPr>
                <w:sz w:val="22"/>
                <w:szCs w:val="24"/>
              </w:rPr>
            </w:pPr>
            <w:r>
              <w:rPr>
                <w:sz w:val="22"/>
                <w:szCs w:val="24"/>
              </w:rPr>
              <w:t>5.764</w:t>
            </w:r>
          </w:p>
        </w:tc>
        <w:tc>
          <w:tcPr>
            <w:tcW w:w="1236" w:type="dxa"/>
            <w:tcBorders>
              <w:top w:val="single" w:sz="4" w:space="0" w:color="auto"/>
            </w:tcBorders>
          </w:tcPr>
          <w:p w:rsidR="005F01BE" w:rsidRDefault="003E2C3A">
            <w:pPr>
              <w:spacing w:line="480" w:lineRule="auto"/>
              <w:rPr>
                <w:sz w:val="22"/>
                <w:szCs w:val="24"/>
              </w:rPr>
            </w:pPr>
            <w:r>
              <w:rPr>
                <w:sz w:val="22"/>
                <w:szCs w:val="24"/>
              </w:rPr>
              <w:t>6.342</w:t>
            </w:r>
          </w:p>
        </w:tc>
        <w:tc>
          <w:tcPr>
            <w:tcW w:w="1414" w:type="dxa"/>
            <w:tcBorders>
              <w:top w:val="single" w:sz="4" w:space="0" w:color="auto"/>
            </w:tcBorders>
          </w:tcPr>
          <w:p w:rsidR="005F01BE" w:rsidRDefault="003E2C3A">
            <w:pPr>
              <w:spacing w:line="480" w:lineRule="auto"/>
              <w:rPr>
                <w:sz w:val="22"/>
                <w:szCs w:val="24"/>
              </w:rPr>
            </w:pPr>
            <w:r>
              <w:rPr>
                <w:sz w:val="22"/>
                <w:szCs w:val="24"/>
              </w:rPr>
              <w:t>4.187</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SOD L</w:t>
            </w:r>
          </w:p>
        </w:tc>
        <w:tc>
          <w:tcPr>
            <w:tcW w:w="1316" w:type="dxa"/>
          </w:tcPr>
          <w:p w:rsidR="005F01BE" w:rsidRDefault="003E2C3A">
            <w:pPr>
              <w:spacing w:line="480" w:lineRule="auto"/>
              <w:rPr>
                <w:sz w:val="22"/>
                <w:szCs w:val="24"/>
              </w:rPr>
            </w:pPr>
            <w:r>
              <w:rPr>
                <w:sz w:val="22"/>
                <w:szCs w:val="24"/>
              </w:rPr>
              <w:t>7.596</w:t>
            </w:r>
          </w:p>
        </w:tc>
        <w:tc>
          <w:tcPr>
            <w:tcW w:w="1236" w:type="dxa"/>
          </w:tcPr>
          <w:p w:rsidR="005F01BE" w:rsidRDefault="003E2C3A">
            <w:pPr>
              <w:spacing w:line="480" w:lineRule="auto"/>
              <w:rPr>
                <w:sz w:val="22"/>
                <w:szCs w:val="24"/>
              </w:rPr>
            </w:pPr>
            <w:r>
              <w:rPr>
                <w:sz w:val="22"/>
                <w:szCs w:val="24"/>
              </w:rPr>
              <w:t>7.469</w:t>
            </w:r>
          </w:p>
        </w:tc>
        <w:tc>
          <w:tcPr>
            <w:tcW w:w="1236" w:type="dxa"/>
          </w:tcPr>
          <w:p w:rsidR="005F01BE" w:rsidRDefault="003E2C3A">
            <w:pPr>
              <w:spacing w:line="480" w:lineRule="auto"/>
              <w:rPr>
                <w:sz w:val="22"/>
                <w:szCs w:val="24"/>
              </w:rPr>
            </w:pPr>
            <w:r>
              <w:rPr>
                <w:sz w:val="22"/>
                <w:szCs w:val="24"/>
              </w:rPr>
              <w:t>5.789</w:t>
            </w:r>
          </w:p>
        </w:tc>
        <w:tc>
          <w:tcPr>
            <w:tcW w:w="1236" w:type="dxa"/>
          </w:tcPr>
          <w:p w:rsidR="005F01BE" w:rsidRDefault="003E2C3A">
            <w:pPr>
              <w:spacing w:line="480" w:lineRule="auto"/>
              <w:rPr>
                <w:sz w:val="22"/>
                <w:szCs w:val="24"/>
              </w:rPr>
            </w:pPr>
            <w:r>
              <w:rPr>
                <w:sz w:val="22"/>
                <w:szCs w:val="24"/>
              </w:rPr>
              <w:t>6.841</w:t>
            </w:r>
          </w:p>
        </w:tc>
        <w:tc>
          <w:tcPr>
            <w:tcW w:w="1236" w:type="dxa"/>
          </w:tcPr>
          <w:p w:rsidR="005F01BE" w:rsidRDefault="003E2C3A">
            <w:pPr>
              <w:spacing w:line="480" w:lineRule="auto"/>
              <w:rPr>
                <w:sz w:val="22"/>
                <w:szCs w:val="24"/>
              </w:rPr>
            </w:pPr>
            <w:r>
              <w:rPr>
                <w:sz w:val="22"/>
                <w:szCs w:val="24"/>
              </w:rPr>
              <w:t>6.844</w:t>
            </w:r>
          </w:p>
        </w:tc>
        <w:tc>
          <w:tcPr>
            <w:tcW w:w="1236" w:type="dxa"/>
          </w:tcPr>
          <w:p w:rsidR="005F01BE" w:rsidRDefault="003E2C3A">
            <w:pPr>
              <w:spacing w:line="480" w:lineRule="auto"/>
              <w:rPr>
                <w:sz w:val="22"/>
                <w:szCs w:val="24"/>
              </w:rPr>
            </w:pPr>
            <w:r>
              <w:rPr>
                <w:sz w:val="22"/>
                <w:szCs w:val="24"/>
              </w:rPr>
              <w:t>6.928</w:t>
            </w:r>
          </w:p>
        </w:tc>
        <w:tc>
          <w:tcPr>
            <w:tcW w:w="1414" w:type="dxa"/>
          </w:tcPr>
          <w:p w:rsidR="005F01BE" w:rsidRDefault="003E2C3A">
            <w:pPr>
              <w:spacing w:line="480" w:lineRule="auto"/>
              <w:rPr>
                <w:sz w:val="22"/>
                <w:szCs w:val="24"/>
              </w:rPr>
            </w:pPr>
            <w:r>
              <w:rPr>
                <w:sz w:val="22"/>
                <w:szCs w:val="24"/>
              </w:rPr>
              <w:t>6.399</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GST ST</w:t>
            </w:r>
          </w:p>
        </w:tc>
        <w:tc>
          <w:tcPr>
            <w:tcW w:w="1316" w:type="dxa"/>
          </w:tcPr>
          <w:p w:rsidR="005F01BE" w:rsidRDefault="003E2C3A">
            <w:pPr>
              <w:spacing w:line="480" w:lineRule="auto"/>
              <w:rPr>
                <w:sz w:val="22"/>
                <w:szCs w:val="24"/>
              </w:rPr>
            </w:pPr>
            <w:r>
              <w:rPr>
                <w:sz w:val="22"/>
                <w:szCs w:val="24"/>
              </w:rPr>
              <w:t>0.145</w:t>
            </w:r>
          </w:p>
        </w:tc>
        <w:tc>
          <w:tcPr>
            <w:tcW w:w="1236" w:type="dxa"/>
          </w:tcPr>
          <w:p w:rsidR="005F01BE" w:rsidRDefault="003E2C3A">
            <w:pPr>
              <w:spacing w:line="480" w:lineRule="auto"/>
              <w:rPr>
                <w:sz w:val="22"/>
                <w:szCs w:val="24"/>
              </w:rPr>
            </w:pPr>
            <w:r>
              <w:rPr>
                <w:sz w:val="22"/>
                <w:szCs w:val="24"/>
              </w:rPr>
              <w:t>1.101</w:t>
            </w:r>
          </w:p>
        </w:tc>
        <w:tc>
          <w:tcPr>
            <w:tcW w:w="1236" w:type="dxa"/>
          </w:tcPr>
          <w:p w:rsidR="005F01BE" w:rsidRDefault="003E2C3A">
            <w:pPr>
              <w:spacing w:line="480" w:lineRule="auto"/>
              <w:rPr>
                <w:sz w:val="22"/>
                <w:szCs w:val="24"/>
              </w:rPr>
            </w:pPr>
            <w:r>
              <w:rPr>
                <w:sz w:val="22"/>
                <w:szCs w:val="24"/>
              </w:rPr>
              <w:t>1.429</w:t>
            </w:r>
          </w:p>
        </w:tc>
        <w:tc>
          <w:tcPr>
            <w:tcW w:w="1236" w:type="dxa"/>
          </w:tcPr>
          <w:p w:rsidR="005F01BE" w:rsidRDefault="003E2C3A">
            <w:pPr>
              <w:spacing w:line="480" w:lineRule="auto"/>
              <w:rPr>
                <w:sz w:val="22"/>
                <w:szCs w:val="24"/>
              </w:rPr>
            </w:pPr>
            <w:r>
              <w:rPr>
                <w:sz w:val="22"/>
                <w:szCs w:val="24"/>
              </w:rPr>
              <w:t>1.318</w:t>
            </w:r>
          </w:p>
        </w:tc>
        <w:tc>
          <w:tcPr>
            <w:tcW w:w="1236" w:type="dxa"/>
          </w:tcPr>
          <w:p w:rsidR="005F01BE" w:rsidRDefault="003E2C3A">
            <w:pPr>
              <w:spacing w:line="480" w:lineRule="auto"/>
              <w:rPr>
                <w:sz w:val="22"/>
                <w:szCs w:val="24"/>
              </w:rPr>
            </w:pPr>
            <w:r>
              <w:rPr>
                <w:sz w:val="22"/>
                <w:szCs w:val="24"/>
              </w:rPr>
              <w:t>1.764</w:t>
            </w:r>
          </w:p>
        </w:tc>
        <w:tc>
          <w:tcPr>
            <w:tcW w:w="1236" w:type="dxa"/>
          </w:tcPr>
          <w:p w:rsidR="005F01BE" w:rsidRDefault="003E2C3A">
            <w:pPr>
              <w:spacing w:line="480" w:lineRule="auto"/>
              <w:rPr>
                <w:sz w:val="22"/>
                <w:szCs w:val="24"/>
              </w:rPr>
            </w:pPr>
            <w:r>
              <w:rPr>
                <w:sz w:val="22"/>
                <w:szCs w:val="24"/>
              </w:rPr>
              <w:t>0.953</w:t>
            </w:r>
          </w:p>
        </w:tc>
        <w:tc>
          <w:tcPr>
            <w:tcW w:w="1414" w:type="dxa"/>
          </w:tcPr>
          <w:p w:rsidR="005F01BE" w:rsidRDefault="003E2C3A">
            <w:pPr>
              <w:spacing w:line="480" w:lineRule="auto"/>
              <w:rPr>
                <w:sz w:val="22"/>
                <w:szCs w:val="24"/>
              </w:rPr>
            </w:pPr>
            <w:r>
              <w:rPr>
                <w:sz w:val="22"/>
                <w:szCs w:val="24"/>
              </w:rPr>
              <w:t>1.129</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GST L</w:t>
            </w:r>
          </w:p>
        </w:tc>
        <w:tc>
          <w:tcPr>
            <w:tcW w:w="1316" w:type="dxa"/>
          </w:tcPr>
          <w:p w:rsidR="005F01BE" w:rsidRDefault="003E2C3A">
            <w:pPr>
              <w:spacing w:line="480" w:lineRule="auto"/>
              <w:rPr>
                <w:sz w:val="22"/>
                <w:szCs w:val="24"/>
              </w:rPr>
            </w:pPr>
            <w:r>
              <w:rPr>
                <w:sz w:val="22"/>
                <w:szCs w:val="24"/>
              </w:rPr>
              <w:t>3.111</w:t>
            </w:r>
          </w:p>
        </w:tc>
        <w:tc>
          <w:tcPr>
            <w:tcW w:w="1236" w:type="dxa"/>
          </w:tcPr>
          <w:p w:rsidR="005F01BE" w:rsidRDefault="003E2C3A">
            <w:pPr>
              <w:spacing w:line="480" w:lineRule="auto"/>
              <w:rPr>
                <w:sz w:val="22"/>
                <w:szCs w:val="24"/>
              </w:rPr>
            </w:pPr>
            <w:r>
              <w:rPr>
                <w:sz w:val="22"/>
                <w:szCs w:val="24"/>
              </w:rPr>
              <w:t>1.044</w:t>
            </w:r>
          </w:p>
        </w:tc>
        <w:tc>
          <w:tcPr>
            <w:tcW w:w="1236" w:type="dxa"/>
          </w:tcPr>
          <w:p w:rsidR="005F01BE" w:rsidRDefault="003E2C3A">
            <w:pPr>
              <w:spacing w:line="480" w:lineRule="auto"/>
              <w:rPr>
                <w:sz w:val="22"/>
                <w:szCs w:val="24"/>
              </w:rPr>
            </w:pPr>
            <w:r>
              <w:rPr>
                <w:sz w:val="22"/>
                <w:szCs w:val="24"/>
              </w:rPr>
              <w:t>4.491</w:t>
            </w:r>
          </w:p>
        </w:tc>
        <w:tc>
          <w:tcPr>
            <w:tcW w:w="1236" w:type="dxa"/>
          </w:tcPr>
          <w:p w:rsidR="005F01BE" w:rsidRDefault="003E2C3A">
            <w:pPr>
              <w:spacing w:line="480" w:lineRule="auto"/>
              <w:rPr>
                <w:sz w:val="22"/>
                <w:szCs w:val="24"/>
              </w:rPr>
            </w:pPr>
            <w:r>
              <w:rPr>
                <w:sz w:val="22"/>
                <w:szCs w:val="24"/>
              </w:rPr>
              <w:t>2.750</w:t>
            </w:r>
          </w:p>
        </w:tc>
        <w:tc>
          <w:tcPr>
            <w:tcW w:w="1236" w:type="dxa"/>
          </w:tcPr>
          <w:p w:rsidR="005F01BE" w:rsidRDefault="003E2C3A">
            <w:pPr>
              <w:spacing w:line="480" w:lineRule="auto"/>
              <w:rPr>
                <w:sz w:val="22"/>
                <w:szCs w:val="24"/>
              </w:rPr>
            </w:pPr>
            <w:r>
              <w:rPr>
                <w:sz w:val="22"/>
                <w:szCs w:val="24"/>
              </w:rPr>
              <w:t>1.271</w:t>
            </w:r>
          </w:p>
        </w:tc>
        <w:tc>
          <w:tcPr>
            <w:tcW w:w="1236" w:type="dxa"/>
          </w:tcPr>
          <w:p w:rsidR="005F01BE" w:rsidRDefault="003E2C3A">
            <w:pPr>
              <w:spacing w:line="480" w:lineRule="auto"/>
              <w:rPr>
                <w:sz w:val="22"/>
                <w:szCs w:val="24"/>
              </w:rPr>
            </w:pPr>
            <w:r>
              <w:rPr>
                <w:sz w:val="22"/>
                <w:szCs w:val="24"/>
              </w:rPr>
              <w:t>1.256</w:t>
            </w:r>
          </w:p>
        </w:tc>
        <w:tc>
          <w:tcPr>
            <w:tcW w:w="1414" w:type="dxa"/>
          </w:tcPr>
          <w:p w:rsidR="005F01BE" w:rsidRDefault="003E2C3A">
            <w:pPr>
              <w:spacing w:line="480" w:lineRule="auto"/>
              <w:rPr>
                <w:sz w:val="22"/>
                <w:szCs w:val="24"/>
              </w:rPr>
            </w:pPr>
            <w:r>
              <w:rPr>
                <w:sz w:val="22"/>
                <w:szCs w:val="24"/>
              </w:rPr>
              <w:t>2.545</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CATALASE ST</w:t>
            </w:r>
          </w:p>
        </w:tc>
        <w:tc>
          <w:tcPr>
            <w:tcW w:w="1316" w:type="dxa"/>
          </w:tcPr>
          <w:p w:rsidR="005F01BE" w:rsidRDefault="003E2C3A">
            <w:pPr>
              <w:spacing w:line="480" w:lineRule="auto"/>
              <w:rPr>
                <w:sz w:val="22"/>
                <w:szCs w:val="24"/>
              </w:rPr>
            </w:pPr>
            <w:r>
              <w:rPr>
                <w:sz w:val="22"/>
                <w:szCs w:val="24"/>
              </w:rPr>
              <w:t>21.954</w:t>
            </w:r>
          </w:p>
        </w:tc>
        <w:tc>
          <w:tcPr>
            <w:tcW w:w="1236" w:type="dxa"/>
          </w:tcPr>
          <w:p w:rsidR="005F01BE" w:rsidRDefault="003E2C3A">
            <w:pPr>
              <w:spacing w:line="480" w:lineRule="auto"/>
              <w:rPr>
                <w:sz w:val="22"/>
                <w:szCs w:val="24"/>
              </w:rPr>
            </w:pPr>
            <w:r>
              <w:rPr>
                <w:sz w:val="22"/>
                <w:szCs w:val="24"/>
              </w:rPr>
              <w:t>25.573</w:t>
            </w:r>
          </w:p>
        </w:tc>
        <w:tc>
          <w:tcPr>
            <w:tcW w:w="1236" w:type="dxa"/>
          </w:tcPr>
          <w:p w:rsidR="005F01BE" w:rsidRDefault="003E2C3A">
            <w:pPr>
              <w:spacing w:line="480" w:lineRule="auto"/>
              <w:rPr>
                <w:sz w:val="22"/>
                <w:szCs w:val="24"/>
              </w:rPr>
            </w:pPr>
            <w:r>
              <w:rPr>
                <w:sz w:val="22"/>
                <w:szCs w:val="24"/>
              </w:rPr>
              <w:t>28.745</w:t>
            </w:r>
          </w:p>
        </w:tc>
        <w:tc>
          <w:tcPr>
            <w:tcW w:w="1236" w:type="dxa"/>
          </w:tcPr>
          <w:p w:rsidR="005F01BE" w:rsidRDefault="003E2C3A">
            <w:pPr>
              <w:spacing w:line="480" w:lineRule="auto"/>
              <w:rPr>
                <w:sz w:val="22"/>
                <w:szCs w:val="24"/>
              </w:rPr>
            </w:pPr>
            <w:r>
              <w:rPr>
                <w:sz w:val="22"/>
                <w:szCs w:val="24"/>
              </w:rPr>
              <w:t>23.065</w:t>
            </w:r>
          </w:p>
        </w:tc>
        <w:tc>
          <w:tcPr>
            <w:tcW w:w="1236" w:type="dxa"/>
          </w:tcPr>
          <w:p w:rsidR="005F01BE" w:rsidRDefault="003E2C3A">
            <w:pPr>
              <w:spacing w:line="480" w:lineRule="auto"/>
              <w:rPr>
                <w:sz w:val="22"/>
                <w:szCs w:val="24"/>
              </w:rPr>
            </w:pPr>
            <w:r>
              <w:rPr>
                <w:sz w:val="22"/>
                <w:szCs w:val="24"/>
              </w:rPr>
              <w:t>23.852</w:t>
            </w:r>
          </w:p>
        </w:tc>
        <w:tc>
          <w:tcPr>
            <w:tcW w:w="1236" w:type="dxa"/>
          </w:tcPr>
          <w:p w:rsidR="005F01BE" w:rsidRDefault="003E2C3A">
            <w:pPr>
              <w:spacing w:line="480" w:lineRule="auto"/>
              <w:rPr>
                <w:sz w:val="22"/>
                <w:szCs w:val="24"/>
              </w:rPr>
            </w:pPr>
            <w:r>
              <w:rPr>
                <w:sz w:val="22"/>
                <w:szCs w:val="24"/>
              </w:rPr>
              <w:t>27.050</w:t>
            </w:r>
          </w:p>
        </w:tc>
        <w:tc>
          <w:tcPr>
            <w:tcW w:w="1414" w:type="dxa"/>
          </w:tcPr>
          <w:p w:rsidR="005F01BE" w:rsidRDefault="003E2C3A">
            <w:pPr>
              <w:spacing w:line="480" w:lineRule="auto"/>
              <w:rPr>
                <w:sz w:val="22"/>
                <w:szCs w:val="24"/>
              </w:rPr>
            </w:pPr>
            <w:r>
              <w:rPr>
                <w:sz w:val="22"/>
                <w:szCs w:val="24"/>
              </w:rPr>
              <w:t>17.314</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CATALASE L</w:t>
            </w:r>
          </w:p>
        </w:tc>
        <w:tc>
          <w:tcPr>
            <w:tcW w:w="1316" w:type="dxa"/>
          </w:tcPr>
          <w:p w:rsidR="005F01BE" w:rsidRDefault="003E2C3A">
            <w:pPr>
              <w:spacing w:line="480" w:lineRule="auto"/>
              <w:rPr>
                <w:sz w:val="22"/>
                <w:szCs w:val="24"/>
              </w:rPr>
            </w:pPr>
            <w:r>
              <w:rPr>
                <w:sz w:val="22"/>
                <w:szCs w:val="24"/>
              </w:rPr>
              <w:t>16.864</w:t>
            </w:r>
          </w:p>
        </w:tc>
        <w:tc>
          <w:tcPr>
            <w:tcW w:w="1236" w:type="dxa"/>
          </w:tcPr>
          <w:p w:rsidR="005F01BE" w:rsidRDefault="003E2C3A">
            <w:pPr>
              <w:spacing w:line="480" w:lineRule="auto"/>
              <w:rPr>
                <w:sz w:val="22"/>
                <w:szCs w:val="24"/>
              </w:rPr>
            </w:pPr>
            <w:r>
              <w:rPr>
                <w:sz w:val="22"/>
                <w:szCs w:val="24"/>
              </w:rPr>
              <w:t>35.526</w:t>
            </w:r>
          </w:p>
        </w:tc>
        <w:tc>
          <w:tcPr>
            <w:tcW w:w="1236" w:type="dxa"/>
          </w:tcPr>
          <w:p w:rsidR="005F01BE" w:rsidRDefault="003E2C3A">
            <w:pPr>
              <w:spacing w:line="480" w:lineRule="auto"/>
              <w:rPr>
                <w:sz w:val="22"/>
                <w:szCs w:val="24"/>
              </w:rPr>
            </w:pPr>
            <w:r>
              <w:rPr>
                <w:sz w:val="22"/>
                <w:szCs w:val="24"/>
              </w:rPr>
              <w:t>26.274</w:t>
            </w:r>
          </w:p>
        </w:tc>
        <w:tc>
          <w:tcPr>
            <w:tcW w:w="1236" w:type="dxa"/>
          </w:tcPr>
          <w:p w:rsidR="005F01BE" w:rsidRDefault="003E2C3A">
            <w:pPr>
              <w:spacing w:line="480" w:lineRule="auto"/>
              <w:rPr>
                <w:sz w:val="22"/>
                <w:szCs w:val="24"/>
              </w:rPr>
            </w:pPr>
            <w:r>
              <w:rPr>
                <w:sz w:val="22"/>
                <w:szCs w:val="24"/>
              </w:rPr>
              <w:t>29.912</w:t>
            </w:r>
          </w:p>
        </w:tc>
        <w:tc>
          <w:tcPr>
            <w:tcW w:w="1236" w:type="dxa"/>
          </w:tcPr>
          <w:p w:rsidR="005F01BE" w:rsidRDefault="003E2C3A">
            <w:pPr>
              <w:spacing w:line="480" w:lineRule="auto"/>
              <w:rPr>
                <w:sz w:val="22"/>
                <w:szCs w:val="24"/>
              </w:rPr>
            </w:pPr>
            <w:r>
              <w:rPr>
                <w:sz w:val="22"/>
                <w:szCs w:val="24"/>
              </w:rPr>
              <w:t>30.348</w:t>
            </w:r>
          </w:p>
        </w:tc>
        <w:tc>
          <w:tcPr>
            <w:tcW w:w="1236" w:type="dxa"/>
          </w:tcPr>
          <w:p w:rsidR="005F01BE" w:rsidRDefault="003E2C3A">
            <w:pPr>
              <w:spacing w:line="480" w:lineRule="auto"/>
              <w:rPr>
                <w:sz w:val="22"/>
                <w:szCs w:val="24"/>
              </w:rPr>
            </w:pPr>
            <w:r>
              <w:rPr>
                <w:sz w:val="22"/>
                <w:szCs w:val="24"/>
              </w:rPr>
              <w:t>33.026</w:t>
            </w:r>
          </w:p>
        </w:tc>
        <w:tc>
          <w:tcPr>
            <w:tcW w:w="1414" w:type="dxa"/>
          </w:tcPr>
          <w:p w:rsidR="005F01BE" w:rsidRDefault="003E2C3A">
            <w:pPr>
              <w:spacing w:line="480" w:lineRule="auto"/>
              <w:rPr>
                <w:sz w:val="22"/>
                <w:szCs w:val="24"/>
              </w:rPr>
            </w:pPr>
            <w:r>
              <w:rPr>
                <w:sz w:val="22"/>
                <w:szCs w:val="24"/>
              </w:rPr>
              <w:t>27.756</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ALT ST</w:t>
            </w:r>
          </w:p>
        </w:tc>
        <w:tc>
          <w:tcPr>
            <w:tcW w:w="1316" w:type="dxa"/>
          </w:tcPr>
          <w:p w:rsidR="005F01BE" w:rsidRDefault="003E2C3A">
            <w:pPr>
              <w:spacing w:line="480" w:lineRule="auto"/>
              <w:rPr>
                <w:sz w:val="22"/>
                <w:szCs w:val="24"/>
              </w:rPr>
            </w:pPr>
            <w:r>
              <w:rPr>
                <w:sz w:val="22"/>
                <w:szCs w:val="24"/>
              </w:rPr>
              <w:t>1.882</w:t>
            </w:r>
          </w:p>
        </w:tc>
        <w:tc>
          <w:tcPr>
            <w:tcW w:w="1236" w:type="dxa"/>
          </w:tcPr>
          <w:p w:rsidR="005F01BE" w:rsidRDefault="003E2C3A">
            <w:pPr>
              <w:spacing w:line="480" w:lineRule="auto"/>
              <w:rPr>
                <w:sz w:val="22"/>
                <w:szCs w:val="24"/>
              </w:rPr>
            </w:pPr>
            <w:r>
              <w:rPr>
                <w:sz w:val="22"/>
                <w:szCs w:val="24"/>
              </w:rPr>
              <w:t>2.648</w:t>
            </w:r>
          </w:p>
        </w:tc>
        <w:tc>
          <w:tcPr>
            <w:tcW w:w="1236" w:type="dxa"/>
          </w:tcPr>
          <w:p w:rsidR="005F01BE" w:rsidRDefault="003E2C3A">
            <w:pPr>
              <w:spacing w:line="480" w:lineRule="auto"/>
              <w:rPr>
                <w:sz w:val="22"/>
                <w:szCs w:val="24"/>
              </w:rPr>
            </w:pPr>
            <w:r>
              <w:rPr>
                <w:sz w:val="22"/>
                <w:szCs w:val="24"/>
              </w:rPr>
              <w:t>4.184</w:t>
            </w:r>
          </w:p>
        </w:tc>
        <w:tc>
          <w:tcPr>
            <w:tcW w:w="1236" w:type="dxa"/>
          </w:tcPr>
          <w:p w:rsidR="005F01BE" w:rsidRDefault="003E2C3A">
            <w:pPr>
              <w:spacing w:line="480" w:lineRule="auto"/>
              <w:rPr>
                <w:sz w:val="22"/>
                <w:szCs w:val="24"/>
              </w:rPr>
            </w:pPr>
            <w:r>
              <w:rPr>
                <w:sz w:val="22"/>
                <w:szCs w:val="24"/>
              </w:rPr>
              <w:t>4.414</w:t>
            </w:r>
          </w:p>
        </w:tc>
        <w:tc>
          <w:tcPr>
            <w:tcW w:w="1236" w:type="dxa"/>
          </w:tcPr>
          <w:p w:rsidR="005F01BE" w:rsidRDefault="003E2C3A">
            <w:pPr>
              <w:spacing w:line="480" w:lineRule="auto"/>
              <w:rPr>
                <w:sz w:val="22"/>
                <w:szCs w:val="24"/>
              </w:rPr>
            </w:pPr>
            <w:r>
              <w:rPr>
                <w:sz w:val="22"/>
                <w:szCs w:val="24"/>
              </w:rPr>
              <w:t>3.139</w:t>
            </w:r>
          </w:p>
        </w:tc>
        <w:tc>
          <w:tcPr>
            <w:tcW w:w="1236" w:type="dxa"/>
          </w:tcPr>
          <w:p w:rsidR="005F01BE" w:rsidRDefault="003E2C3A">
            <w:pPr>
              <w:spacing w:line="480" w:lineRule="auto"/>
              <w:rPr>
                <w:sz w:val="22"/>
                <w:szCs w:val="24"/>
              </w:rPr>
            </w:pPr>
            <w:r>
              <w:rPr>
                <w:sz w:val="22"/>
                <w:szCs w:val="24"/>
              </w:rPr>
              <w:t>3.620</w:t>
            </w:r>
          </w:p>
        </w:tc>
        <w:tc>
          <w:tcPr>
            <w:tcW w:w="1414" w:type="dxa"/>
          </w:tcPr>
          <w:p w:rsidR="005F01BE" w:rsidRDefault="003E2C3A">
            <w:pPr>
              <w:spacing w:line="480" w:lineRule="auto"/>
              <w:rPr>
                <w:sz w:val="22"/>
                <w:szCs w:val="24"/>
              </w:rPr>
            </w:pPr>
            <w:r>
              <w:rPr>
                <w:sz w:val="22"/>
                <w:szCs w:val="24"/>
              </w:rPr>
              <w:t>4.234</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ALT L</w:t>
            </w:r>
          </w:p>
        </w:tc>
        <w:tc>
          <w:tcPr>
            <w:tcW w:w="1316" w:type="dxa"/>
          </w:tcPr>
          <w:p w:rsidR="005F01BE" w:rsidRDefault="003E2C3A">
            <w:pPr>
              <w:spacing w:line="480" w:lineRule="auto"/>
              <w:rPr>
                <w:sz w:val="22"/>
                <w:szCs w:val="24"/>
              </w:rPr>
            </w:pPr>
            <w:r>
              <w:rPr>
                <w:sz w:val="22"/>
                <w:szCs w:val="24"/>
              </w:rPr>
              <w:t>1.799</w:t>
            </w:r>
          </w:p>
        </w:tc>
        <w:tc>
          <w:tcPr>
            <w:tcW w:w="1236" w:type="dxa"/>
          </w:tcPr>
          <w:p w:rsidR="005F01BE" w:rsidRDefault="003E2C3A">
            <w:pPr>
              <w:spacing w:line="480" w:lineRule="auto"/>
              <w:rPr>
                <w:sz w:val="22"/>
                <w:szCs w:val="24"/>
              </w:rPr>
            </w:pPr>
            <w:r>
              <w:rPr>
                <w:sz w:val="22"/>
                <w:szCs w:val="24"/>
              </w:rPr>
              <w:t>2.827</w:t>
            </w:r>
          </w:p>
        </w:tc>
        <w:tc>
          <w:tcPr>
            <w:tcW w:w="1236" w:type="dxa"/>
          </w:tcPr>
          <w:p w:rsidR="005F01BE" w:rsidRDefault="003E2C3A">
            <w:pPr>
              <w:spacing w:line="480" w:lineRule="auto"/>
              <w:rPr>
                <w:sz w:val="22"/>
                <w:szCs w:val="24"/>
              </w:rPr>
            </w:pPr>
            <w:r>
              <w:rPr>
                <w:sz w:val="22"/>
                <w:szCs w:val="24"/>
              </w:rPr>
              <w:t>4.763</w:t>
            </w:r>
          </w:p>
        </w:tc>
        <w:tc>
          <w:tcPr>
            <w:tcW w:w="1236" w:type="dxa"/>
          </w:tcPr>
          <w:p w:rsidR="005F01BE" w:rsidRDefault="003E2C3A">
            <w:pPr>
              <w:spacing w:line="480" w:lineRule="auto"/>
              <w:rPr>
                <w:sz w:val="22"/>
                <w:szCs w:val="24"/>
              </w:rPr>
            </w:pPr>
            <w:r>
              <w:rPr>
                <w:sz w:val="22"/>
                <w:szCs w:val="24"/>
              </w:rPr>
              <w:t>6.985</w:t>
            </w:r>
          </w:p>
        </w:tc>
        <w:tc>
          <w:tcPr>
            <w:tcW w:w="1236" w:type="dxa"/>
          </w:tcPr>
          <w:p w:rsidR="005F01BE" w:rsidRDefault="003E2C3A">
            <w:pPr>
              <w:spacing w:line="480" w:lineRule="auto"/>
              <w:rPr>
                <w:sz w:val="22"/>
                <w:szCs w:val="24"/>
              </w:rPr>
            </w:pPr>
            <w:r>
              <w:rPr>
                <w:sz w:val="22"/>
                <w:szCs w:val="24"/>
              </w:rPr>
              <w:t>4.008</w:t>
            </w:r>
          </w:p>
        </w:tc>
        <w:tc>
          <w:tcPr>
            <w:tcW w:w="1236" w:type="dxa"/>
          </w:tcPr>
          <w:p w:rsidR="005F01BE" w:rsidRDefault="003E2C3A">
            <w:pPr>
              <w:spacing w:line="480" w:lineRule="auto"/>
              <w:rPr>
                <w:sz w:val="22"/>
                <w:szCs w:val="24"/>
              </w:rPr>
            </w:pPr>
            <w:r>
              <w:rPr>
                <w:sz w:val="22"/>
                <w:szCs w:val="24"/>
              </w:rPr>
              <w:t>3.345</w:t>
            </w:r>
          </w:p>
        </w:tc>
        <w:tc>
          <w:tcPr>
            <w:tcW w:w="1414" w:type="dxa"/>
          </w:tcPr>
          <w:p w:rsidR="005F01BE" w:rsidRDefault="003E2C3A">
            <w:pPr>
              <w:spacing w:line="480" w:lineRule="auto"/>
              <w:rPr>
                <w:sz w:val="22"/>
                <w:szCs w:val="24"/>
              </w:rPr>
            </w:pPr>
            <w:r>
              <w:rPr>
                <w:sz w:val="22"/>
                <w:szCs w:val="24"/>
              </w:rPr>
              <w:t>3.508</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AST ST</w:t>
            </w:r>
          </w:p>
        </w:tc>
        <w:tc>
          <w:tcPr>
            <w:tcW w:w="1316" w:type="dxa"/>
          </w:tcPr>
          <w:p w:rsidR="005F01BE" w:rsidRDefault="003E2C3A">
            <w:pPr>
              <w:spacing w:line="480" w:lineRule="auto"/>
              <w:rPr>
                <w:sz w:val="22"/>
                <w:szCs w:val="24"/>
              </w:rPr>
            </w:pPr>
            <w:r>
              <w:rPr>
                <w:sz w:val="22"/>
                <w:szCs w:val="24"/>
              </w:rPr>
              <w:t>10.738</w:t>
            </w:r>
          </w:p>
        </w:tc>
        <w:tc>
          <w:tcPr>
            <w:tcW w:w="1236" w:type="dxa"/>
          </w:tcPr>
          <w:p w:rsidR="005F01BE" w:rsidRDefault="003E2C3A">
            <w:pPr>
              <w:spacing w:line="480" w:lineRule="auto"/>
              <w:rPr>
                <w:sz w:val="22"/>
                <w:szCs w:val="24"/>
              </w:rPr>
            </w:pPr>
            <w:r>
              <w:rPr>
                <w:sz w:val="22"/>
                <w:szCs w:val="24"/>
              </w:rPr>
              <w:t>16.392</w:t>
            </w:r>
          </w:p>
        </w:tc>
        <w:tc>
          <w:tcPr>
            <w:tcW w:w="1236" w:type="dxa"/>
          </w:tcPr>
          <w:p w:rsidR="005F01BE" w:rsidRDefault="003E2C3A">
            <w:pPr>
              <w:spacing w:line="480" w:lineRule="auto"/>
              <w:rPr>
                <w:sz w:val="22"/>
                <w:szCs w:val="24"/>
              </w:rPr>
            </w:pPr>
            <w:r>
              <w:rPr>
                <w:sz w:val="22"/>
                <w:szCs w:val="24"/>
              </w:rPr>
              <w:t>15.109</w:t>
            </w:r>
          </w:p>
        </w:tc>
        <w:tc>
          <w:tcPr>
            <w:tcW w:w="1236" w:type="dxa"/>
          </w:tcPr>
          <w:p w:rsidR="005F01BE" w:rsidRDefault="003E2C3A">
            <w:pPr>
              <w:spacing w:line="480" w:lineRule="auto"/>
              <w:rPr>
                <w:sz w:val="22"/>
                <w:szCs w:val="24"/>
              </w:rPr>
            </w:pPr>
            <w:r>
              <w:rPr>
                <w:sz w:val="22"/>
                <w:szCs w:val="24"/>
              </w:rPr>
              <w:t xml:space="preserve">17.544  </w:t>
            </w:r>
          </w:p>
        </w:tc>
        <w:tc>
          <w:tcPr>
            <w:tcW w:w="1236" w:type="dxa"/>
          </w:tcPr>
          <w:p w:rsidR="005F01BE" w:rsidRDefault="003E2C3A">
            <w:pPr>
              <w:spacing w:line="480" w:lineRule="auto"/>
              <w:rPr>
                <w:sz w:val="22"/>
                <w:szCs w:val="24"/>
              </w:rPr>
            </w:pPr>
            <w:r>
              <w:rPr>
                <w:sz w:val="22"/>
                <w:szCs w:val="24"/>
              </w:rPr>
              <w:t>15.055</w:t>
            </w:r>
          </w:p>
        </w:tc>
        <w:tc>
          <w:tcPr>
            <w:tcW w:w="1236" w:type="dxa"/>
          </w:tcPr>
          <w:p w:rsidR="005F01BE" w:rsidRDefault="003E2C3A">
            <w:pPr>
              <w:spacing w:line="480" w:lineRule="auto"/>
              <w:rPr>
                <w:sz w:val="22"/>
                <w:szCs w:val="24"/>
              </w:rPr>
            </w:pPr>
            <w:r>
              <w:rPr>
                <w:sz w:val="22"/>
                <w:szCs w:val="24"/>
              </w:rPr>
              <w:t>10.6000</w:t>
            </w:r>
          </w:p>
        </w:tc>
        <w:tc>
          <w:tcPr>
            <w:tcW w:w="1414" w:type="dxa"/>
          </w:tcPr>
          <w:p w:rsidR="005F01BE" w:rsidRDefault="003E2C3A">
            <w:pPr>
              <w:spacing w:line="480" w:lineRule="auto"/>
              <w:rPr>
                <w:sz w:val="22"/>
                <w:szCs w:val="24"/>
              </w:rPr>
            </w:pPr>
            <w:r>
              <w:rPr>
                <w:sz w:val="22"/>
                <w:szCs w:val="24"/>
              </w:rPr>
              <w:t>14.954</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AST L</w:t>
            </w:r>
          </w:p>
        </w:tc>
        <w:tc>
          <w:tcPr>
            <w:tcW w:w="1316" w:type="dxa"/>
          </w:tcPr>
          <w:p w:rsidR="005F01BE" w:rsidRDefault="003E2C3A">
            <w:pPr>
              <w:spacing w:line="480" w:lineRule="auto"/>
              <w:rPr>
                <w:sz w:val="22"/>
                <w:szCs w:val="24"/>
              </w:rPr>
            </w:pPr>
            <w:r>
              <w:rPr>
                <w:sz w:val="22"/>
                <w:szCs w:val="24"/>
              </w:rPr>
              <w:t>7.938</w:t>
            </w:r>
          </w:p>
        </w:tc>
        <w:tc>
          <w:tcPr>
            <w:tcW w:w="1236" w:type="dxa"/>
          </w:tcPr>
          <w:p w:rsidR="005F01BE" w:rsidRDefault="003E2C3A">
            <w:pPr>
              <w:spacing w:line="480" w:lineRule="auto"/>
              <w:rPr>
                <w:sz w:val="22"/>
                <w:szCs w:val="24"/>
              </w:rPr>
            </w:pPr>
            <w:r>
              <w:rPr>
                <w:sz w:val="22"/>
                <w:szCs w:val="24"/>
              </w:rPr>
              <w:t>8.740</w:t>
            </w:r>
          </w:p>
        </w:tc>
        <w:tc>
          <w:tcPr>
            <w:tcW w:w="1236" w:type="dxa"/>
          </w:tcPr>
          <w:p w:rsidR="005F01BE" w:rsidRDefault="003E2C3A">
            <w:pPr>
              <w:spacing w:line="480" w:lineRule="auto"/>
              <w:rPr>
                <w:sz w:val="22"/>
                <w:szCs w:val="24"/>
              </w:rPr>
            </w:pPr>
            <w:r>
              <w:rPr>
                <w:sz w:val="22"/>
                <w:szCs w:val="24"/>
              </w:rPr>
              <w:t>9.827</w:t>
            </w:r>
          </w:p>
        </w:tc>
        <w:tc>
          <w:tcPr>
            <w:tcW w:w="1236" w:type="dxa"/>
          </w:tcPr>
          <w:p w:rsidR="005F01BE" w:rsidRDefault="003E2C3A">
            <w:pPr>
              <w:spacing w:line="480" w:lineRule="auto"/>
              <w:rPr>
                <w:sz w:val="22"/>
                <w:szCs w:val="24"/>
              </w:rPr>
            </w:pPr>
            <w:r>
              <w:rPr>
                <w:sz w:val="22"/>
                <w:szCs w:val="24"/>
              </w:rPr>
              <w:t>8.036</w:t>
            </w:r>
          </w:p>
        </w:tc>
        <w:tc>
          <w:tcPr>
            <w:tcW w:w="1236" w:type="dxa"/>
          </w:tcPr>
          <w:p w:rsidR="005F01BE" w:rsidRDefault="003E2C3A">
            <w:pPr>
              <w:spacing w:line="480" w:lineRule="auto"/>
              <w:rPr>
                <w:sz w:val="22"/>
                <w:szCs w:val="24"/>
              </w:rPr>
            </w:pPr>
            <w:r>
              <w:rPr>
                <w:sz w:val="22"/>
                <w:szCs w:val="24"/>
              </w:rPr>
              <w:t>12.731</w:t>
            </w:r>
          </w:p>
        </w:tc>
        <w:tc>
          <w:tcPr>
            <w:tcW w:w="1236" w:type="dxa"/>
          </w:tcPr>
          <w:p w:rsidR="005F01BE" w:rsidRDefault="003E2C3A">
            <w:pPr>
              <w:spacing w:line="480" w:lineRule="auto"/>
              <w:rPr>
                <w:sz w:val="22"/>
                <w:szCs w:val="24"/>
              </w:rPr>
            </w:pPr>
            <w:r>
              <w:rPr>
                <w:sz w:val="22"/>
                <w:szCs w:val="24"/>
              </w:rPr>
              <w:t>11.236</w:t>
            </w:r>
          </w:p>
        </w:tc>
        <w:tc>
          <w:tcPr>
            <w:tcW w:w="1414" w:type="dxa"/>
          </w:tcPr>
          <w:p w:rsidR="005F01BE" w:rsidRDefault="003E2C3A">
            <w:pPr>
              <w:spacing w:line="480" w:lineRule="auto"/>
              <w:rPr>
                <w:sz w:val="22"/>
                <w:szCs w:val="24"/>
              </w:rPr>
            </w:pPr>
            <w:r>
              <w:rPr>
                <w:sz w:val="22"/>
                <w:szCs w:val="24"/>
              </w:rPr>
              <w:t>10.199</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PROTEIN ST</w:t>
            </w:r>
          </w:p>
        </w:tc>
        <w:tc>
          <w:tcPr>
            <w:tcW w:w="1316" w:type="dxa"/>
          </w:tcPr>
          <w:p w:rsidR="005F01BE" w:rsidRDefault="003E2C3A">
            <w:pPr>
              <w:spacing w:line="480" w:lineRule="auto"/>
              <w:rPr>
                <w:sz w:val="22"/>
                <w:szCs w:val="24"/>
              </w:rPr>
            </w:pPr>
            <w:r>
              <w:rPr>
                <w:sz w:val="22"/>
                <w:szCs w:val="24"/>
              </w:rPr>
              <w:t>36.732</w:t>
            </w:r>
          </w:p>
        </w:tc>
        <w:tc>
          <w:tcPr>
            <w:tcW w:w="1236" w:type="dxa"/>
          </w:tcPr>
          <w:p w:rsidR="005F01BE" w:rsidRDefault="003E2C3A">
            <w:pPr>
              <w:spacing w:line="480" w:lineRule="auto"/>
              <w:rPr>
                <w:sz w:val="22"/>
                <w:szCs w:val="24"/>
              </w:rPr>
            </w:pPr>
            <w:r>
              <w:rPr>
                <w:sz w:val="22"/>
                <w:szCs w:val="24"/>
              </w:rPr>
              <w:t>38.194</w:t>
            </w:r>
          </w:p>
        </w:tc>
        <w:tc>
          <w:tcPr>
            <w:tcW w:w="1236" w:type="dxa"/>
          </w:tcPr>
          <w:p w:rsidR="005F01BE" w:rsidRDefault="003E2C3A">
            <w:pPr>
              <w:spacing w:line="480" w:lineRule="auto"/>
              <w:rPr>
                <w:sz w:val="22"/>
                <w:szCs w:val="24"/>
              </w:rPr>
            </w:pPr>
            <w:r>
              <w:rPr>
                <w:sz w:val="22"/>
                <w:szCs w:val="24"/>
              </w:rPr>
              <w:t>34.905</w:t>
            </w:r>
          </w:p>
        </w:tc>
        <w:tc>
          <w:tcPr>
            <w:tcW w:w="1236" w:type="dxa"/>
          </w:tcPr>
          <w:p w:rsidR="005F01BE" w:rsidRDefault="003E2C3A">
            <w:pPr>
              <w:spacing w:line="480" w:lineRule="auto"/>
              <w:rPr>
                <w:sz w:val="22"/>
                <w:szCs w:val="24"/>
              </w:rPr>
            </w:pPr>
            <w:r>
              <w:rPr>
                <w:sz w:val="22"/>
                <w:szCs w:val="24"/>
              </w:rPr>
              <w:t>40.387</w:t>
            </w:r>
          </w:p>
        </w:tc>
        <w:tc>
          <w:tcPr>
            <w:tcW w:w="1236" w:type="dxa"/>
          </w:tcPr>
          <w:p w:rsidR="005F01BE" w:rsidRDefault="003E2C3A">
            <w:pPr>
              <w:spacing w:line="480" w:lineRule="auto"/>
              <w:rPr>
                <w:sz w:val="22"/>
                <w:szCs w:val="24"/>
              </w:rPr>
            </w:pPr>
            <w:r>
              <w:rPr>
                <w:sz w:val="22"/>
                <w:szCs w:val="24"/>
              </w:rPr>
              <w:t>40.205</w:t>
            </w:r>
          </w:p>
        </w:tc>
        <w:tc>
          <w:tcPr>
            <w:tcW w:w="1236" w:type="dxa"/>
          </w:tcPr>
          <w:p w:rsidR="005F01BE" w:rsidRDefault="003E2C3A">
            <w:pPr>
              <w:spacing w:line="480" w:lineRule="auto"/>
              <w:rPr>
                <w:sz w:val="22"/>
                <w:szCs w:val="24"/>
              </w:rPr>
            </w:pPr>
            <w:r>
              <w:rPr>
                <w:sz w:val="22"/>
                <w:szCs w:val="24"/>
              </w:rPr>
              <w:t>35.636</w:t>
            </w:r>
          </w:p>
        </w:tc>
        <w:tc>
          <w:tcPr>
            <w:tcW w:w="1414" w:type="dxa"/>
          </w:tcPr>
          <w:p w:rsidR="005F01BE" w:rsidRDefault="003E2C3A">
            <w:pPr>
              <w:spacing w:line="480" w:lineRule="auto"/>
              <w:rPr>
                <w:sz w:val="22"/>
                <w:szCs w:val="24"/>
              </w:rPr>
            </w:pPr>
            <w:r>
              <w:rPr>
                <w:sz w:val="22"/>
                <w:szCs w:val="24"/>
              </w:rPr>
              <w:t>52.632</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PROTEIN L</w:t>
            </w:r>
          </w:p>
        </w:tc>
        <w:tc>
          <w:tcPr>
            <w:tcW w:w="1316" w:type="dxa"/>
          </w:tcPr>
          <w:p w:rsidR="005F01BE" w:rsidRDefault="003E2C3A">
            <w:pPr>
              <w:spacing w:line="480" w:lineRule="auto"/>
              <w:rPr>
                <w:sz w:val="22"/>
                <w:szCs w:val="24"/>
              </w:rPr>
            </w:pPr>
            <w:r>
              <w:rPr>
                <w:sz w:val="22"/>
                <w:szCs w:val="24"/>
              </w:rPr>
              <w:t>45.321</w:t>
            </w:r>
          </w:p>
        </w:tc>
        <w:tc>
          <w:tcPr>
            <w:tcW w:w="1236" w:type="dxa"/>
          </w:tcPr>
          <w:p w:rsidR="005F01BE" w:rsidRDefault="003E2C3A">
            <w:pPr>
              <w:spacing w:line="480" w:lineRule="auto"/>
              <w:rPr>
                <w:sz w:val="22"/>
                <w:szCs w:val="24"/>
              </w:rPr>
            </w:pPr>
            <w:r>
              <w:rPr>
                <w:sz w:val="22"/>
                <w:szCs w:val="24"/>
              </w:rPr>
              <w:t>29.788</w:t>
            </w:r>
          </w:p>
        </w:tc>
        <w:tc>
          <w:tcPr>
            <w:tcW w:w="1236" w:type="dxa"/>
          </w:tcPr>
          <w:p w:rsidR="005F01BE" w:rsidRDefault="003E2C3A">
            <w:pPr>
              <w:spacing w:line="480" w:lineRule="auto"/>
              <w:rPr>
                <w:sz w:val="22"/>
                <w:szCs w:val="24"/>
              </w:rPr>
            </w:pPr>
            <w:r>
              <w:rPr>
                <w:sz w:val="22"/>
                <w:szCs w:val="24"/>
              </w:rPr>
              <w:t>36.367</w:t>
            </w:r>
          </w:p>
        </w:tc>
        <w:tc>
          <w:tcPr>
            <w:tcW w:w="1236" w:type="dxa"/>
          </w:tcPr>
          <w:p w:rsidR="005F01BE" w:rsidRDefault="003E2C3A">
            <w:pPr>
              <w:spacing w:line="480" w:lineRule="auto"/>
              <w:rPr>
                <w:sz w:val="22"/>
                <w:szCs w:val="24"/>
              </w:rPr>
            </w:pPr>
            <w:r>
              <w:rPr>
                <w:sz w:val="22"/>
                <w:szCs w:val="24"/>
              </w:rPr>
              <w:t>33.443</w:t>
            </w:r>
          </w:p>
        </w:tc>
        <w:tc>
          <w:tcPr>
            <w:tcW w:w="1236" w:type="dxa"/>
          </w:tcPr>
          <w:p w:rsidR="005F01BE" w:rsidRDefault="003E2C3A">
            <w:pPr>
              <w:spacing w:line="480" w:lineRule="auto"/>
              <w:rPr>
                <w:sz w:val="22"/>
                <w:szCs w:val="24"/>
              </w:rPr>
            </w:pPr>
            <w:r>
              <w:rPr>
                <w:sz w:val="22"/>
                <w:szCs w:val="24"/>
              </w:rPr>
              <w:t>34.539</w:t>
            </w:r>
          </w:p>
        </w:tc>
        <w:tc>
          <w:tcPr>
            <w:tcW w:w="1236" w:type="dxa"/>
          </w:tcPr>
          <w:p w:rsidR="005F01BE" w:rsidRDefault="003E2C3A">
            <w:pPr>
              <w:spacing w:line="480" w:lineRule="auto"/>
              <w:rPr>
                <w:sz w:val="22"/>
                <w:szCs w:val="24"/>
              </w:rPr>
            </w:pPr>
            <w:r>
              <w:rPr>
                <w:sz w:val="22"/>
                <w:szCs w:val="24"/>
              </w:rPr>
              <w:t>32.346</w:t>
            </w:r>
          </w:p>
        </w:tc>
        <w:tc>
          <w:tcPr>
            <w:tcW w:w="1414" w:type="dxa"/>
          </w:tcPr>
          <w:p w:rsidR="005F01BE" w:rsidRDefault="003E2C3A">
            <w:pPr>
              <w:spacing w:line="480" w:lineRule="auto"/>
              <w:rPr>
                <w:sz w:val="22"/>
                <w:szCs w:val="24"/>
              </w:rPr>
            </w:pPr>
            <w:r>
              <w:rPr>
                <w:sz w:val="22"/>
                <w:szCs w:val="24"/>
              </w:rPr>
              <w:t>36.732</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ALP L</w:t>
            </w:r>
          </w:p>
        </w:tc>
        <w:tc>
          <w:tcPr>
            <w:tcW w:w="1316" w:type="dxa"/>
          </w:tcPr>
          <w:p w:rsidR="005F01BE" w:rsidRDefault="003E2C3A">
            <w:pPr>
              <w:spacing w:line="480" w:lineRule="auto"/>
              <w:rPr>
                <w:sz w:val="22"/>
                <w:szCs w:val="24"/>
              </w:rPr>
            </w:pPr>
            <w:r>
              <w:rPr>
                <w:sz w:val="22"/>
                <w:szCs w:val="24"/>
              </w:rPr>
              <w:t>13.992</w:t>
            </w:r>
          </w:p>
        </w:tc>
        <w:tc>
          <w:tcPr>
            <w:tcW w:w="1236" w:type="dxa"/>
          </w:tcPr>
          <w:p w:rsidR="005F01BE" w:rsidRDefault="003E2C3A">
            <w:pPr>
              <w:spacing w:line="480" w:lineRule="auto"/>
              <w:rPr>
                <w:sz w:val="22"/>
                <w:szCs w:val="24"/>
              </w:rPr>
            </w:pPr>
            <w:r>
              <w:rPr>
                <w:sz w:val="22"/>
                <w:szCs w:val="24"/>
              </w:rPr>
              <w:t>18.701</w:t>
            </w:r>
          </w:p>
        </w:tc>
        <w:tc>
          <w:tcPr>
            <w:tcW w:w="1236" w:type="dxa"/>
          </w:tcPr>
          <w:p w:rsidR="005F01BE" w:rsidRDefault="003E2C3A">
            <w:pPr>
              <w:spacing w:line="480" w:lineRule="auto"/>
              <w:rPr>
                <w:sz w:val="22"/>
                <w:szCs w:val="24"/>
              </w:rPr>
            </w:pPr>
            <w:r>
              <w:rPr>
                <w:sz w:val="22"/>
                <w:szCs w:val="24"/>
              </w:rPr>
              <w:t>19.062</w:t>
            </w:r>
          </w:p>
        </w:tc>
        <w:tc>
          <w:tcPr>
            <w:tcW w:w="1236" w:type="dxa"/>
          </w:tcPr>
          <w:p w:rsidR="005F01BE" w:rsidRDefault="003E2C3A">
            <w:pPr>
              <w:spacing w:line="480" w:lineRule="auto"/>
              <w:rPr>
                <w:sz w:val="22"/>
                <w:szCs w:val="24"/>
              </w:rPr>
            </w:pPr>
            <w:r>
              <w:rPr>
                <w:sz w:val="22"/>
                <w:szCs w:val="24"/>
              </w:rPr>
              <w:t>22.743</w:t>
            </w:r>
          </w:p>
        </w:tc>
        <w:tc>
          <w:tcPr>
            <w:tcW w:w="1236" w:type="dxa"/>
          </w:tcPr>
          <w:p w:rsidR="005F01BE" w:rsidRDefault="003E2C3A">
            <w:pPr>
              <w:spacing w:line="480" w:lineRule="auto"/>
              <w:rPr>
                <w:sz w:val="22"/>
                <w:szCs w:val="24"/>
              </w:rPr>
            </w:pPr>
            <w:r>
              <w:rPr>
                <w:sz w:val="22"/>
                <w:szCs w:val="24"/>
              </w:rPr>
              <w:t>18.862</w:t>
            </w:r>
          </w:p>
        </w:tc>
        <w:tc>
          <w:tcPr>
            <w:tcW w:w="1236" w:type="dxa"/>
          </w:tcPr>
          <w:p w:rsidR="005F01BE" w:rsidRDefault="003E2C3A">
            <w:pPr>
              <w:spacing w:line="480" w:lineRule="auto"/>
              <w:rPr>
                <w:sz w:val="22"/>
                <w:szCs w:val="24"/>
              </w:rPr>
            </w:pPr>
            <w:r>
              <w:rPr>
                <w:sz w:val="22"/>
                <w:szCs w:val="24"/>
              </w:rPr>
              <w:t>18.736</w:t>
            </w:r>
          </w:p>
        </w:tc>
        <w:tc>
          <w:tcPr>
            <w:tcW w:w="1414" w:type="dxa"/>
          </w:tcPr>
          <w:p w:rsidR="005F01BE" w:rsidRDefault="003E2C3A">
            <w:pPr>
              <w:spacing w:line="480" w:lineRule="auto"/>
              <w:rPr>
                <w:sz w:val="22"/>
                <w:szCs w:val="24"/>
              </w:rPr>
            </w:pPr>
            <w:r>
              <w:rPr>
                <w:sz w:val="22"/>
                <w:szCs w:val="24"/>
              </w:rPr>
              <w:t>19.329</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ALP ST</w:t>
            </w:r>
          </w:p>
        </w:tc>
        <w:tc>
          <w:tcPr>
            <w:tcW w:w="1316" w:type="dxa"/>
          </w:tcPr>
          <w:p w:rsidR="005F01BE" w:rsidRDefault="003E2C3A">
            <w:pPr>
              <w:spacing w:line="480" w:lineRule="auto"/>
              <w:rPr>
                <w:sz w:val="22"/>
                <w:szCs w:val="24"/>
              </w:rPr>
            </w:pPr>
            <w:r>
              <w:rPr>
                <w:sz w:val="22"/>
                <w:szCs w:val="24"/>
              </w:rPr>
              <w:t>29.807</w:t>
            </w:r>
          </w:p>
        </w:tc>
        <w:tc>
          <w:tcPr>
            <w:tcW w:w="1236" w:type="dxa"/>
          </w:tcPr>
          <w:p w:rsidR="005F01BE" w:rsidRDefault="003E2C3A">
            <w:pPr>
              <w:spacing w:line="480" w:lineRule="auto"/>
              <w:rPr>
                <w:sz w:val="22"/>
                <w:szCs w:val="24"/>
              </w:rPr>
            </w:pPr>
            <w:r>
              <w:rPr>
                <w:sz w:val="22"/>
                <w:szCs w:val="24"/>
              </w:rPr>
              <w:t>15.891</w:t>
            </w:r>
          </w:p>
        </w:tc>
        <w:tc>
          <w:tcPr>
            <w:tcW w:w="1236" w:type="dxa"/>
          </w:tcPr>
          <w:p w:rsidR="005F01BE" w:rsidRDefault="003E2C3A">
            <w:pPr>
              <w:spacing w:line="480" w:lineRule="auto"/>
              <w:rPr>
                <w:sz w:val="22"/>
                <w:szCs w:val="24"/>
              </w:rPr>
            </w:pPr>
            <w:r>
              <w:rPr>
                <w:sz w:val="22"/>
                <w:szCs w:val="24"/>
              </w:rPr>
              <w:t>25.233</w:t>
            </w:r>
          </w:p>
        </w:tc>
        <w:tc>
          <w:tcPr>
            <w:tcW w:w="1236" w:type="dxa"/>
          </w:tcPr>
          <w:p w:rsidR="005F01BE" w:rsidRDefault="003E2C3A">
            <w:pPr>
              <w:spacing w:line="480" w:lineRule="auto"/>
              <w:rPr>
                <w:sz w:val="22"/>
                <w:szCs w:val="24"/>
              </w:rPr>
            </w:pPr>
            <w:r>
              <w:rPr>
                <w:sz w:val="22"/>
                <w:szCs w:val="24"/>
              </w:rPr>
              <w:t>20.000</w:t>
            </w:r>
          </w:p>
        </w:tc>
        <w:tc>
          <w:tcPr>
            <w:tcW w:w="1236" w:type="dxa"/>
          </w:tcPr>
          <w:p w:rsidR="005F01BE" w:rsidRDefault="003E2C3A">
            <w:pPr>
              <w:spacing w:line="480" w:lineRule="auto"/>
              <w:rPr>
                <w:sz w:val="22"/>
                <w:szCs w:val="24"/>
              </w:rPr>
            </w:pPr>
            <w:r>
              <w:rPr>
                <w:sz w:val="22"/>
                <w:szCs w:val="24"/>
              </w:rPr>
              <w:t>17.027</w:t>
            </w:r>
          </w:p>
        </w:tc>
        <w:tc>
          <w:tcPr>
            <w:tcW w:w="1236" w:type="dxa"/>
          </w:tcPr>
          <w:p w:rsidR="005F01BE" w:rsidRDefault="003E2C3A">
            <w:pPr>
              <w:spacing w:line="480" w:lineRule="auto"/>
              <w:rPr>
                <w:sz w:val="22"/>
                <w:szCs w:val="24"/>
              </w:rPr>
            </w:pPr>
            <w:r>
              <w:rPr>
                <w:sz w:val="22"/>
                <w:szCs w:val="24"/>
              </w:rPr>
              <w:t>21.325</w:t>
            </w:r>
          </w:p>
        </w:tc>
        <w:tc>
          <w:tcPr>
            <w:tcW w:w="1414" w:type="dxa"/>
          </w:tcPr>
          <w:p w:rsidR="005F01BE" w:rsidRDefault="003E2C3A">
            <w:pPr>
              <w:spacing w:line="480" w:lineRule="auto"/>
              <w:rPr>
                <w:sz w:val="22"/>
                <w:szCs w:val="24"/>
              </w:rPr>
            </w:pPr>
            <w:r>
              <w:rPr>
                <w:sz w:val="22"/>
                <w:szCs w:val="24"/>
              </w:rPr>
              <w:t>37.854</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N.O ST</w:t>
            </w:r>
          </w:p>
        </w:tc>
        <w:tc>
          <w:tcPr>
            <w:tcW w:w="1316" w:type="dxa"/>
          </w:tcPr>
          <w:p w:rsidR="005F01BE" w:rsidRDefault="003E2C3A">
            <w:pPr>
              <w:spacing w:line="480" w:lineRule="auto"/>
              <w:rPr>
                <w:sz w:val="22"/>
                <w:szCs w:val="24"/>
              </w:rPr>
            </w:pPr>
            <w:r>
              <w:rPr>
                <w:sz w:val="22"/>
                <w:szCs w:val="24"/>
              </w:rPr>
              <w:t>49.218</w:t>
            </w:r>
          </w:p>
        </w:tc>
        <w:tc>
          <w:tcPr>
            <w:tcW w:w="1236" w:type="dxa"/>
          </w:tcPr>
          <w:p w:rsidR="005F01BE" w:rsidRDefault="003E2C3A">
            <w:pPr>
              <w:spacing w:line="480" w:lineRule="auto"/>
              <w:rPr>
                <w:sz w:val="22"/>
                <w:szCs w:val="24"/>
              </w:rPr>
            </w:pPr>
            <w:r>
              <w:rPr>
                <w:sz w:val="22"/>
                <w:szCs w:val="24"/>
              </w:rPr>
              <w:t>46.615</w:t>
            </w:r>
          </w:p>
        </w:tc>
        <w:tc>
          <w:tcPr>
            <w:tcW w:w="1236" w:type="dxa"/>
          </w:tcPr>
          <w:p w:rsidR="005F01BE" w:rsidRDefault="003E2C3A">
            <w:pPr>
              <w:spacing w:line="480" w:lineRule="auto"/>
              <w:rPr>
                <w:sz w:val="22"/>
                <w:szCs w:val="24"/>
              </w:rPr>
            </w:pPr>
            <w:r>
              <w:rPr>
                <w:sz w:val="22"/>
                <w:szCs w:val="24"/>
              </w:rPr>
              <w:t>87.500</w:t>
            </w:r>
          </w:p>
        </w:tc>
        <w:tc>
          <w:tcPr>
            <w:tcW w:w="1236" w:type="dxa"/>
          </w:tcPr>
          <w:p w:rsidR="005F01BE" w:rsidRDefault="003E2C3A">
            <w:pPr>
              <w:spacing w:line="480" w:lineRule="auto"/>
              <w:rPr>
                <w:sz w:val="22"/>
                <w:szCs w:val="24"/>
              </w:rPr>
            </w:pPr>
            <w:r>
              <w:rPr>
                <w:sz w:val="22"/>
                <w:szCs w:val="24"/>
              </w:rPr>
              <w:t>53.385</w:t>
            </w:r>
          </w:p>
        </w:tc>
        <w:tc>
          <w:tcPr>
            <w:tcW w:w="1236" w:type="dxa"/>
          </w:tcPr>
          <w:p w:rsidR="005F01BE" w:rsidRDefault="003E2C3A">
            <w:pPr>
              <w:spacing w:line="480" w:lineRule="auto"/>
              <w:rPr>
                <w:sz w:val="22"/>
                <w:szCs w:val="24"/>
              </w:rPr>
            </w:pPr>
            <w:r>
              <w:rPr>
                <w:sz w:val="22"/>
                <w:szCs w:val="24"/>
              </w:rPr>
              <w:t>46.615</w:t>
            </w:r>
          </w:p>
        </w:tc>
        <w:tc>
          <w:tcPr>
            <w:tcW w:w="1236" w:type="dxa"/>
          </w:tcPr>
          <w:p w:rsidR="005F01BE" w:rsidRDefault="003E2C3A">
            <w:pPr>
              <w:spacing w:line="480" w:lineRule="auto"/>
              <w:rPr>
                <w:sz w:val="22"/>
                <w:szCs w:val="24"/>
              </w:rPr>
            </w:pPr>
            <w:r>
              <w:rPr>
                <w:sz w:val="22"/>
                <w:szCs w:val="24"/>
              </w:rPr>
              <w:t>41.928</w:t>
            </w:r>
          </w:p>
        </w:tc>
        <w:tc>
          <w:tcPr>
            <w:tcW w:w="1414" w:type="dxa"/>
          </w:tcPr>
          <w:p w:rsidR="005F01BE" w:rsidRDefault="003E2C3A">
            <w:pPr>
              <w:spacing w:line="480" w:lineRule="auto"/>
              <w:rPr>
                <w:sz w:val="22"/>
                <w:szCs w:val="24"/>
              </w:rPr>
            </w:pPr>
            <w:r>
              <w:rPr>
                <w:sz w:val="22"/>
                <w:szCs w:val="24"/>
              </w:rPr>
              <w:t>44.010</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N.O L</w:t>
            </w:r>
          </w:p>
        </w:tc>
        <w:tc>
          <w:tcPr>
            <w:tcW w:w="1316" w:type="dxa"/>
          </w:tcPr>
          <w:p w:rsidR="005F01BE" w:rsidRDefault="003E2C3A">
            <w:pPr>
              <w:spacing w:line="480" w:lineRule="auto"/>
              <w:rPr>
                <w:sz w:val="22"/>
                <w:szCs w:val="24"/>
              </w:rPr>
            </w:pPr>
            <w:r>
              <w:rPr>
                <w:sz w:val="22"/>
                <w:szCs w:val="24"/>
              </w:rPr>
              <w:t>45.833</w:t>
            </w:r>
          </w:p>
        </w:tc>
        <w:tc>
          <w:tcPr>
            <w:tcW w:w="1236" w:type="dxa"/>
          </w:tcPr>
          <w:p w:rsidR="005F01BE" w:rsidRDefault="003E2C3A">
            <w:pPr>
              <w:spacing w:line="480" w:lineRule="auto"/>
              <w:rPr>
                <w:sz w:val="22"/>
                <w:szCs w:val="24"/>
              </w:rPr>
            </w:pPr>
            <w:r>
              <w:rPr>
                <w:sz w:val="22"/>
                <w:szCs w:val="24"/>
              </w:rPr>
              <w:t>30.208</w:t>
            </w:r>
          </w:p>
        </w:tc>
        <w:tc>
          <w:tcPr>
            <w:tcW w:w="1236" w:type="dxa"/>
          </w:tcPr>
          <w:p w:rsidR="005F01BE" w:rsidRDefault="003E2C3A">
            <w:pPr>
              <w:spacing w:line="480" w:lineRule="auto"/>
              <w:rPr>
                <w:sz w:val="22"/>
                <w:szCs w:val="24"/>
              </w:rPr>
            </w:pPr>
            <w:r>
              <w:rPr>
                <w:sz w:val="22"/>
                <w:szCs w:val="24"/>
              </w:rPr>
              <w:t>30.989</w:t>
            </w:r>
          </w:p>
        </w:tc>
        <w:tc>
          <w:tcPr>
            <w:tcW w:w="1236" w:type="dxa"/>
          </w:tcPr>
          <w:p w:rsidR="005F01BE" w:rsidRDefault="003E2C3A">
            <w:pPr>
              <w:spacing w:line="480" w:lineRule="auto"/>
              <w:rPr>
                <w:sz w:val="22"/>
                <w:szCs w:val="24"/>
              </w:rPr>
            </w:pPr>
            <w:r>
              <w:rPr>
                <w:sz w:val="22"/>
                <w:szCs w:val="24"/>
              </w:rPr>
              <w:t>57.813</w:t>
            </w:r>
          </w:p>
        </w:tc>
        <w:tc>
          <w:tcPr>
            <w:tcW w:w="1236" w:type="dxa"/>
          </w:tcPr>
          <w:p w:rsidR="005F01BE" w:rsidRDefault="003E2C3A">
            <w:pPr>
              <w:spacing w:line="480" w:lineRule="auto"/>
              <w:rPr>
                <w:sz w:val="22"/>
                <w:szCs w:val="24"/>
              </w:rPr>
            </w:pPr>
            <w:r>
              <w:rPr>
                <w:sz w:val="22"/>
                <w:szCs w:val="24"/>
              </w:rPr>
              <w:t>29.688</w:t>
            </w:r>
          </w:p>
        </w:tc>
        <w:tc>
          <w:tcPr>
            <w:tcW w:w="1236" w:type="dxa"/>
          </w:tcPr>
          <w:p w:rsidR="005F01BE" w:rsidRDefault="003E2C3A">
            <w:pPr>
              <w:spacing w:line="480" w:lineRule="auto"/>
              <w:rPr>
                <w:sz w:val="22"/>
                <w:szCs w:val="24"/>
              </w:rPr>
            </w:pPr>
            <w:r>
              <w:rPr>
                <w:sz w:val="22"/>
                <w:szCs w:val="24"/>
              </w:rPr>
              <w:t>27.865</w:t>
            </w:r>
          </w:p>
        </w:tc>
        <w:tc>
          <w:tcPr>
            <w:tcW w:w="1414" w:type="dxa"/>
          </w:tcPr>
          <w:p w:rsidR="005F01BE" w:rsidRDefault="003E2C3A">
            <w:pPr>
              <w:spacing w:line="480" w:lineRule="auto"/>
              <w:rPr>
                <w:sz w:val="22"/>
                <w:szCs w:val="24"/>
              </w:rPr>
            </w:pPr>
            <w:r>
              <w:rPr>
                <w:sz w:val="22"/>
                <w:szCs w:val="24"/>
              </w:rPr>
              <w:t>29.427</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MPO ST</w:t>
            </w:r>
          </w:p>
        </w:tc>
        <w:tc>
          <w:tcPr>
            <w:tcW w:w="1316" w:type="dxa"/>
          </w:tcPr>
          <w:p w:rsidR="005F01BE" w:rsidRDefault="003E2C3A">
            <w:pPr>
              <w:spacing w:line="480" w:lineRule="auto"/>
              <w:rPr>
                <w:sz w:val="22"/>
                <w:szCs w:val="24"/>
              </w:rPr>
            </w:pPr>
            <w:r>
              <w:rPr>
                <w:sz w:val="22"/>
                <w:szCs w:val="24"/>
              </w:rPr>
              <w:t>2.040</w:t>
            </w:r>
          </w:p>
        </w:tc>
        <w:tc>
          <w:tcPr>
            <w:tcW w:w="1236" w:type="dxa"/>
          </w:tcPr>
          <w:p w:rsidR="005F01BE" w:rsidRDefault="003E2C3A">
            <w:pPr>
              <w:spacing w:line="480" w:lineRule="auto"/>
              <w:rPr>
                <w:sz w:val="22"/>
                <w:szCs w:val="24"/>
              </w:rPr>
            </w:pPr>
            <w:r>
              <w:rPr>
                <w:sz w:val="22"/>
                <w:szCs w:val="24"/>
              </w:rPr>
              <w:t>1.931</w:t>
            </w:r>
          </w:p>
        </w:tc>
        <w:tc>
          <w:tcPr>
            <w:tcW w:w="1236" w:type="dxa"/>
          </w:tcPr>
          <w:p w:rsidR="005F01BE" w:rsidRDefault="003E2C3A">
            <w:pPr>
              <w:spacing w:line="480" w:lineRule="auto"/>
              <w:rPr>
                <w:sz w:val="22"/>
                <w:szCs w:val="24"/>
              </w:rPr>
            </w:pPr>
            <w:r>
              <w:rPr>
                <w:sz w:val="22"/>
                <w:szCs w:val="24"/>
              </w:rPr>
              <w:t>2.144</w:t>
            </w:r>
          </w:p>
        </w:tc>
        <w:tc>
          <w:tcPr>
            <w:tcW w:w="1236" w:type="dxa"/>
          </w:tcPr>
          <w:p w:rsidR="005F01BE" w:rsidRDefault="003E2C3A">
            <w:pPr>
              <w:spacing w:line="480" w:lineRule="auto"/>
              <w:rPr>
                <w:sz w:val="22"/>
                <w:szCs w:val="24"/>
              </w:rPr>
            </w:pPr>
            <w:r>
              <w:rPr>
                <w:sz w:val="22"/>
                <w:szCs w:val="24"/>
              </w:rPr>
              <w:t>2.772</w:t>
            </w:r>
          </w:p>
        </w:tc>
        <w:tc>
          <w:tcPr>
            <w:tcW w:w="1236" w:type="dxa"/>
          </w:tcPr>
          <w:p w:rsidR="005F01BE" w:rsidRDefault="003E2C3A">
            <w:pPr>
              <w:spacing w:line="480" w:lineRule="auto"/>
              <w:rPr>
                <w:sz w:val="22"/>
                <w:szCs w:val="24"/>
              </w:rPr>
            </w:pPr>
            <w:r>
              <w:rPr>
                <w:sz w:val="22"/>
                <w:szCs w:val="24"/>
              </w:rPr>
              <w:t>9.036</w:t>
            </w:r>
          </w:p>
        </w:tc>
        <w:tc>
          <w:tcPr>
            <w:tcW w:w="1236" w:type="dxa"/>
          </w:tcPr>
          <w:p w:rsidR="005F01BE" w:rsidRDefault="003E2C3A">
            <w:pPr>
              <w:spacing w:line="480" w:lineRule="auto"/>
              <w:rPr>
                <w:sz w:val="22"/>
                <w:szCs w:val="24"/>
              </w:rPr>
            </w:pPr>
            <w:r>
              <w:rPr>
                <w:sz w:val="22"/>
                <w:szCs w:val="24"/>
              </w:rPr>
              <w:t>1.701</w:t>
            </w:r>
          </w:p>
        </w:tc>
        <w:tc>
          <w:tcPr>
            <w:tcW w:w="1414" w:type="dxa"/>
          </w:tcPr>
          <w:p w:rsidR="005F01BE" w:rsidRDefault="003E2C3A">
            <w:pPr>
              <w:spacing w:line="480" w:lineRule="auto"/>
              <w:rPr>
                <w:sz w:val="22"/>
                <w:szCs w:val="24"/>
              </w:rPr>
            </w:pPr>
            <w:r>
              <w:rPr>
                <w:sz w:val="22"/>
                <w:szCs w:val="24"/>
              </w:rPr>
              <w:t>7.717</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PEPSIN ST</w:t>
            </w:r>
          </w:p>
        </w:tc>
        <w:tc>
          <w:tcPr>
            <w:tcW w:w="1316" w:type="dxa"/>
          </w:tcPr>
          <w:p w:rsidR="005F01BE" w:rsidRDefault="003E2C3A">
            <w:pPr>
              <w:spacing w:line="480" w:lineRule="auto"/>
              <w:rPr>
                <w:sz w:val="22"/>
                <w:szCs w:val="24"/>
              </w:rPr>
            </w:pPr>
            <w:r>
              <w:rPr>
                <w:sz w:val="22"/>
                <w:szCs w:val="24"/>
              </w:rPr>
              <w:t>1.494</w:t>
            </w:r>
          </w:p>
        </w:tc>
        <w:tc>
          <w:tcPr>
            <w:tcW w:w="1236" w:type="dxa"/>
          </w:tcPr>
          <w:p w:rsidR="005F01BE" w:rsidRDefault="003E2C3A">
            <w:pPr>
              <w:spacing w:line="480" w:lineRule="auto"/>
              <w:rPr>
                <w:sz w:val="22"/>
                <w:szCs w:val="24"/>
              </w:rPr>
            </w:pPr>
            <w:r>
              <w:rPr>
                <w:sz w:val="22"/>
                <w:szCs w:val="24"/>
              </w:rPr>
              <w:t>4.305</w:t>
            </w:r>
          </w:p>
        </w:tc>
        <w:tc>
          <w:tcPr>
            <w:tcW w:w="1236" w:type="dxa"/>
          </w:tcPr>
          <w:p w:rsidR="005F01BE" w:rsidRDefault="003E2C3A">
            <w:pPr>
              <w:spacing w:line="480" w:lineRule="auto"/>
              <w:rPr>
                <w:sz w:val="22"/>
                <w:szCs w:val="24"/>
              </w:rPr>
            </w:pPr>
            <w:r>
              <w:rPr>
                <w:sz w:val="22"/>
                <w:szCs w:val="24"/>
              </w:rPr>
              <w:t>1.932</w:t>
            </w:r>
          </w:p>
        </w:tc>
        <w:tc>
          <w:tcPr>
            <w:tcW w:w="1236" w:type="dxa"/>
          </w:tcPr>
          <w:p w:rsidR="005F01BE" w:rsidRDefault="003E2C3A">
            <w:pPr>
              <w:spacing w:line="480" w:lineRule="auto"/>
              <w:rPr>
                <w:sz w:val="22"/>
                <w:szCs w:val="24"/>
              </w:rPr>
            </w:pPr>
            <w:r>
              <w:rPr>
                <w:sz w:val="22"/>
                <w:szCs w:val="24"/>
              </w:rPr>
              <w:t>1.214</w:t>
            </w:r>
          </w:p>
        </w:tc>
        <w:tc>
          <w:tcPr>
            <w:tcW w:w="1236" w:type="dxa"/>
          </w:tcPr>
          <w:p w:rsidR="005F01BE" w:rsidRDefault="003E2C3A">
            <w:pPr>
              <w:spacing w:line="480" w:lineRule="auto"/>
              <w:rPr>
                <w:sz w:val="22"/>
                <w:szCs w:val="24"/>
              </w:rPr>
            </w:pPr>
            <w:r>
              <w:rPr>
                <w:sz w:val="22"/>
                <w:szCs w:val="24"/>
              </w:rPr>
              <w:t>0.872</w:t>
            </w:r>
          </w:p>
        </w:tc>
        <w:tc>
          <w:tcPr>
            <w:tcW w:w="1236" w:type="dxa"/>
          </w:tcPr>
          <w:p w:rsidR="005F01BE" w:rsidRDefault="003E2C3A">
            <w:pPr>
              <w:spacing w:line="480" w:lineRule="auto"/>
              <w:rPr>
                <w:sz w:val="22"/>
                <w:szCs w:val="24"/>
              </w:rPr>
            </w:pPr>
            <w:r>
              <w:rPr>
                <w:sz w:val="22"/>
                <w:szCs w:val="24"/>
              </w:rPr>
              <w:t>1.855</w:t>
            </w:r>
          </w:p>
        </w:tc>
        <w:tc>
          <w:tcPr>
            <w:tcW w:w="1414" w:type="dxa"/>
          </w:tcPr>
          <w:p w:rsidR="005F01BE" w:rsidRDefault="003E2C3A">
            <w:pPr>
              <w:spacing w:line="480" w:lineRule="auto"/>
              <w:rPr>
                <w:sz w:val="22"/>
                <w:szCs w:val="24"/>
              </w:rPr>
            </w:pPr>
            <w:r>
              <w:rPr>
                <w:sz w:val="22"/>
                <w:szCs w:val="24"/>
              </w:rPr>
              <w:t>1.787</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MDA ST</w:t>
            </w:r>
          </w:p>
        </w:tc>
        <w:tc>
          <w:tcPr>
            <w:tcW w:w="1316" w:type="dxa"/>
          </w:tcPr>
          <w:p w:rsidR="005F01BE" w:rsidRDefault="003E2C3A">
            <w:pPr>
              <w:spacing w:line="480" w:lineRule="auto"/>
              <w:rPr>
                <w:sz w:val="22"/>
                <w:szCs w:val="24"/>
              </w:rPr>
            </w:pPr>
            <w:r>
              <w:rPr>
                <w:sz w:val="22"/>
                <w:szCs w:val="24"/>
              </w:rPr>
              <w:t>9.799</w:t>
            </w:r>
          </w:p>
        </w:tc>
        <w:tc>
          <w:tcPr>
            <w:tcW w:w="1236" w:type="dxa"/>
          </w:tcPr>
          <w:p w:rsidR="005F01BE" w:rsidRDefault="003E2C3A">
            <w:pPr>
              <w:spacing w:line="480" w:lineRule="auto"/>
              <w:rPr>
                <w:sz w:val="22"/>
                <w:szCs w:val="24"/>
              </w:rPr>
            </w:pPr>
            <w:r>
              <w:rPr>
                <w:sz w:val="22"/>
                <w:szCs w:val="24"/>
              </w:rPr>
              <w:t>5.673</w:t>
            </w:r>
          </w:p>
        </w:tc>
        <w:tc>
          <w:tcPr>
            <w:tcW w:w="1236" w:type="dxa"/>
          </w:tcPr>
          <w:p w:rsidR="005F01BE" w:rsidRDefault="003E2C3A">
            <w:pPr>
              <w:spacing w:line="480" w:lineRule="auto"/>
              <w:rPr>
                <w:sz w:val="22"/>
                <w:szCs w:val="24"/>
              </w:rPr>
            </w:pPr>
            <w:r>
              <w:rPr>
                <w:sz w:val="22"/>
                <w:szCs w:val="24"/>
              </w:rPr>
              <w:t>6.514</w:t>
            </w:r>
          </w:p>
        </w:tc>
        <w:tc>
          <w:tcPr>
            <w:tcW w:w="1236" w:type="dxa"/>
          </w:tcPr>
          <w:p w:rsidR="005F01BE" w:rsidRDefault="003E2C3A">
            <w:pPr>
              <w:spacing w:line="480" w:lineRule="auto"/>
              <w:rPr>
                <w:sz w:val="22"/>
                <w:szCs w:val="24"/>
              </w:rPr>
            </w:pPr>
            <w:r>
              <w:rPr>
                <w:sz w:val="22"/>
                <w:szCs w:val="24"/>
              </w:rPr>
              <w:t>7.828</w:t>
            </w:r>
          </w:p>
        </w:tc>
        <w:tc>
          <w:tcPr>
            <w:tcW w:w="1236" w:type="dxa"/>
          </w:tcPr>
          <w:p w:rsidR="005F01BE" w:rsidRDefault="003E2C3A">
            <w:pPr>
              <w:spacing w:line="480" w:lineRule="auto"/>
              <w:rPr>
                <w:sz w:val="22"/>
                <w:szCs w:val="24"/>
              </w:rPr>
            </w:pPr>
            <w:r>
              <w:rPr>
                <w:sz w:val="22"/>
                <w:szCs w:val="24"/>
              </w:rPr>
              <w:t>11.899</w:t>
            </w:r>
          </w:p>
        </w:tc>
        <w:tc>
          <w:tcPr>
            <w:tcW w:w="1236" w:type="dxa"/>
          </w:tcPr>
          <w:p w:rsidR="005F01BE" w:rsidRDefault="003E2C3A">
            <w:pPr>
              <w:spacing w:line="480" w:lineRule="auto"/>
              <w:rPr>
                <w:sz w:val="22"/>
                <w:szCs w:val="24"/>
              </w:rPr>
            </w:pPr>
            <w:r>
              <w:rPr>
                <w:sz w:val="22"/>
                <w:szCs w:val="24"/>
              </w:rPr>
              <w:t>12.000</w:t>
            </w:r>
          </w:p>
        </w:tc>
        <w:tc>
          <w:tcPr>
            <w:tcW w:w="1414" w:type="dxa"/>
          </w:tcPr>
          <w:p w:rsidR="005F01BE" w:rsidRDefault="003E2C3A">
            <w:pPr>
              <w:spacing w:line="480" w:lineRule="auto"/>
              <w:rPr>
                <w:sz w:val="22"/>
                <w:szCs w:val="24"/>
              </w:rPr>
            </w:pPr>
            <w:r>
              <w:rPr>
                <w:sz w:val="22"/>
                <w:szCs w:val="24"/>
              </w:rPr>
              <w:t>15.168</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MDA L</w:t>
            </w:r>
          </w:p>
        </w:tc>
        <w:tc>
          <w:tcPr>
            <w:tcW w:w="1316" w:type="dxa"/>
          </w:tcPr>
          <w:p w:rsidR="005F01BE" w:rsidRDefault="003E2C3A">
            <w:pPr>
              <w:spacing w:line="480" w:lineRule="auto"/>
              <w:rPr>
                <w:sz w:val="22"/>
                <w:szCs w:val="24"/>
              </w:rPr>
            </w:pPr>
            <w:r>
              <w:rPr>
                <w:sz w:val="22"/>
                <w:szCs w:val="24"/>
              </w:rPr>
              <w:t>5.601</w:t>
            </w:r>
          </w:p>
        </w:tc>
        <w:tc>
          <w:tcPr>
            <w:tcW w:w="1236" w:type="dxa"/>
          </w:tcPr>
          <w:p w:rsidR="005F01BE" w:rsidRDefault="003E2C3A">
            <w:pPr>
              <w:spacing w:line="480" w:lineRule="auto"/>
              <w:rPr>
                <w:sz w:val="22"/>
                <w:szCs w:val="24"/>
              </w:rPr>
            </w:pPr>
            <w:r>
              <w:rPr>
                <w:sz w:val="22"/>
                <w:szCs w:val="24"/>
              </w:rPr>
              <w:t>3.966</w:t>
            </w:r>
          </w:p>
        </w:tc>
        <w:tc>
          <w:tcPr>
            <w:tcW w:w="1236" w:type="dxa"/>
          </w:tcPr>
          <w:p w:rsidR="005F01BE" w:rsidRDefault="003E2C3A">
            <w:pPr>
              <w:spacing w:line="480" w:lineRule="auto"/>
              <w:rPr>
                <w:sz w:val="22"/>
                <w:szCs w:val="24"/>
              </w:rPr>
            </w:pPr>
            <w:r>
              <w:rPr>
                <w:sz w:val="22"/>
                <w:szCs w:val="24"/>
              </w:rPr>
              <w:t>6.042</w:t>
            </w:r>
          </w:p>
        </w:tc>
        <w:tc>
          <w:tcPr>
            <w:tcW w:w="1236" w:type="dxa"/>
          </w:tcPr>
          <w:p w:rsidR="005F01BE" w:rsidRDefault="003E2C3A">
            <w:pPr>
              <w:spacing w:line="480" w:lineRule="auto"/>
              <w:rPr>
                <w:sz w:val="22"/>
                <w:szCs w:val="24"/>
              </w:rPr>
            </w:pPr>
            <w:r>
              <w:rPr>
                <w:sz w:val="22"/>
                <w:szCs w:val="24"/>
              </w:rPr>
              <w:t>3.966</w:t>
            </w:r>
          </w:p>
        </w:tc>
        <w:tc>
          <w:tcPr>
            <w:tcW w:w="1236" w:type="dxa"/>
          </w:tcPr>
          <w:p w:rsidR="005F01BE" w:rsidRDefault="003E2C3A">
            <w:pPr>
              <w:spacing w:line="480" w:lineRule="auto"/>
              <w:rPr>
                <w:sz w:val="22"/>
                <w:szCs w:val="24"/>
              </w:rPr>
            </w:pPr>
            <w:r>
              <w:rPr>
                <w:sz w:val="22"/>
                <w:szCs w:val="24"/>
              </w:rPr>
              <w:t>3.598</w:t>
            </w:r>
          </w:p>
        </w:tc>
        <w:tc>
          <w:tcPr>
            <w:tcW w:w="1236" w:type="dxa"/>
          </w:tcPr>
          <w:p w:rsidR="005F01BE" w:rsidRDefault="003E2C3A">
            <w:pPr>
              <w:spacing w:line="480" w:lineRule="auto"/>
              <w:rPr>
                <w:sz w:val="22"/>
                <w:szCs w:val="24"/>
              </w:rPr>
            </w:pPr>
            <w:r>
              <w:rPr>
                <w:sz w:val="22"/>
                <w:szCs w:val="24"/>
              </w:rPr>
              <w:t>6.082</w:t>
            </w:r>
          </w:p>
        </w:tc>
        <w:tc>
          <w:tcPr>
            <w:tcW w:w="1414" w:type="dxa"/>
          </w:tcPr>
          <w:p w:rsidR="005F01BE" w:rsidRDefault="003E2C3A">
            <w:pPr>
              <w:spacing w:line="480" w:lineRule="auto"/>
              <w:rPr>
                <w:sz w:val="22"/>
                <w:szCs w:val="24"/>
              </w:rPr>
            </w:pPr>
            <w:r>
              <w:rPr>
                <w:sz w:val="22"/>
                <w:szCs w:val="24"/>
              </w:rPr>
              <w:t>4.079</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GSH ST</w:t>
            </w:r>
          </w:p>
        </w:tc>
        <w:tc>
          <w:tcPr>
            <w:tcW w:w="1316" w:type="dxa"/>
          </w:tcPr>
          <w:p w:rsidR="005F01BE" w:rsidRDefault="003E2C3A">
            <w:pPr>
              <w:spacing w:line="480" w:lineRule="auto"/>
              <w:rPr>
                <w:sz w:val="22"/>
                <w:szCs w:val="24"/>
              </w:rPr>
            </w:pPr>
            <w:r>
              <w:rPr>
                <w:sz w:val="22"/>
                <w:szCs w:val="24"/>
              </w:rPr>
              <w:t>44.761</w:t>
            </w:r>
          </w:p>
        </w:tc>
        <w:tc>
          <w:tcPr>
            <w:tcW w:w="1236" w:type="dxa"/>
          </w:tcPr>
          <w:p w:rsidR="005F01BE" w:rsidRDefault="003E2C3A">
            <w:pPr>
              <w:spacing w:line="480" w:lineRule="auto"/>
              <w:rPr>
                <w:sz w:val="22"/>
                <w:szCs w:val="24"/>
              </w:rPr>
            </w:pPr>
            <w:r>
              <w:rPr>
                <w:sz w:val="22"/>
                <w:szCs w:val="24"/>
              </w:rPr>
              <w:t>43.750</w:t>
            </w:r>
          </w:p>
        </w:tc>
        <w:tc>
          <w:tcPr>
            <w:tcW w:w="1236" w:type="dxa"/>
          </w:tcPr>
          <w:p w:rsidR="005F01BE" w:rsidRDefault="003E2C3A">
            <w:pPr>
              <w:spacing w:line="480" w:lineRule="auto"/>
              <w:rPr>
                <w:sz w:val="22"/>
                <w:szCs w:val="24"/>
              </w:rPr>
            </w:pPr>
            <w:r>
              <w:rPr>
                <w:sz w:val="22"/>
                <w:szCs w:val="24"/>
              </w:rPr>
              <w:t>42.831</w:t>
            </w:r>
          </w:p>
        </w:tc>
        <w:tc>
          <w:tcPr>
            <w:tcW w:w="1236" w:type="dxa"/>
          </w:tcPr>
          <w:p w:rsidR="005F01BE" w:rsidRDefault="003E2C3A">
            <w:pPr>
              <w:spacing w:line="480" w:lineRule="auto"/>
              <w:rPr>
                <w:sz w:val="22"/>
                <w:szCs w:val="24"/>
              </w:rPr>
            </w:pPr>
            <w:r>
              <w:rPr>
                <w:sz w:val="22"/>
                <w:szCs w:val="24"/>
              </w:rPr>
              <w:t>46.232</w:t>
            </w:r>
          </w:p>
        </w:tc>
        <w:tc>
          <w:tcPr>
            <w:tcW w:w="1236" w:type="dxa"/>
          </w:tcPr>
          <w:p w:rsidR="005F01BE" w:rsidRDefault="003E2C3A">
            <w:pPr>
              <w:spacing w:line="480" w:lineRule="auto"/>
              <w:rPr>
                <w:sz w:val="22"/>
                <w:szCs w:val="24"/>
              </w:rPr>
            </w:pPr>
            <w:r>
              <w:rPr>
                <w:sz w:val="22"/>
                <w:szCs w:val="24"/>
              </w:rPr>
              <w:t>48.621</w:t>
            </w:r>
          </w:p>
        </w:tc>
        <w:tc>
          <w:tcPr>
            <w:tcW w:w="1236" w:type="dxa"/>
          </w:tcPr>
          <w:p w:rsidR="005F01BE" w:rsidRDefault="003E2C3A">
            <w:pPr>
              <w:spacing w:line="480" w:lineRule="auto"/>
              <w:rPr>
                <w:sz w:val="22"/>
                <w:szCs w:val="24"/>
              </w:rPr>
            </w:pPr>
            <w:r>
              <w:rPr>
                <w:sz w:val="22"/>
                <w:szCs w:val="24"/>
              </w:rPr>
              <w:t>47.243</w:t>
            </w:r>
          </w:p>
        </w:tc>
        <w:tc>
          <w:tcPr>
            <w:tcW w:w="1414" w:type="dxa"/>
          </w:tcPr>
          <w:p w:rsidR="005F01BE" w:rsidRDefault="003E2C3A">
            <w:pPr>
              <w:spacing w:line="480" w:lineRule="auto"/>
              <w:rPr>
                <w:sz w:val="22"/>
                <w:szCs w:val="24"/>
              </w:rPr>
            </w:pPr>
            <w:r>
              <w:rPr>
                <w:sz w:val="22"/>
                <w:szCs w:val="24"/>
              </w:rPr>
              <w:t>56.066</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GSH L</w:t>
            </w:r>
          </w:p>
        </w:tc>
        <w:tc>
          <w:tcPr>
            <w:tcW w:w="1316" w:type="dxa"/>
          </w:tcPr>
          <w:p w:rsidR="005F01BE" w:rsidRDefault="003E2C3A">
            <w:pPr>
              <w:spacing w:line="480" w:lineRule="auto"/>
              <w:rPr>
                <w:sz w:val="22"/>
                <w:szCs w:val="24"/>
              </w:rPr>
            </w:pPr>
            <w:r>
              <w:rPr>
                <w:sz w:val="22"/>
                <w:szCs w:val="24"/>
              </w:rPr>
              <w:t>86.949</w:t>
            </w:r>
          </w:p>
        </w:tc>
        <w:tc>
          <w:tcPr>
            <w:tcW w:w="1236" w:type="dxa"/>
          </w:tcPr>
          <w:p w:rsidR="005F01BE" w:rsidRDefault="003E2C3A">
            <w:pPr>
              <w:spacing w:line="480" w:lineRule="auto"/>
              <w:rPr>
                <w:sz w:val="22"/>
                <w:szCs w:val="24"/>
              </w:rPr>
            </w:pPr>
            <w:r>
              <w:rPr>
                <w:sz w:val="22"/>
                <w:szCs w:val="24"/>
              </w:rPr>
              <w:t>45.954</w:t>
            </w:r>
          </w:p>
        </w:tc>
        <w:tc>
          <w:tcPr>
            <w:tcW w:w="1236" w:type="dxa"/>
          </w:tcPr>
          <w:p w:rsidR="005F01BE" w:rsidRDefault="003E2C3A">
            <w:pPr>
              <w:spacing w:line="480" w:lineRule="auto"/>
              <w:rPr>
                <w:sz w:val="22"/>
                <w:szCs w:val="24"/>
              </w:rPr>
            </w:pPr>
            <w:r>
              <w:rPr>
                <w:sz w:val="22"/>
                <w:szCs w:val="24"/>
              </w:rPr>
              <w:t>62.776</w:t>
            </w:r>
          </w:p>
        </w:tc>
        <w:tc>
          <w:tcPr>
            <w:tcW w:w="1236" w:type="dxa"/>
          </w:tcPr>
          <w:p w:rsidR="005F01BE" w:rsidRDefault="003E2C3A">
            <w:pPr>
              <w:spacing w:line="480" w:lineRule="auto"/>
              <w:rPr>
                <w:sz w:val="22"/>
                <w:szCs w:val="24"/>
              </w:rPr>
            </w:pPr>
            <w:r>
              <w:rPr>
                <w:sz w:val="22"/>
                <w:szCs w:val="24"/>
              </w:rPr>
              <w:t>61.029</w:t>
            </w:r>
          </w:p>
        </w:tc>
        <w:tc>
          <w:tcPr>
            <w:tcW w:w="1236" w:type="dxa"/>
          </w:tcPr>
          <w:p w:rsidR="005F01BE" w:rsidRDefault="003E2C3A">
            <w:pPr>
              <w:spacing w:line="480" w:lineRule="auto"/>
              <w:rPr>
                <w:sz w:val="22"/>
                <w:szCs w:val="24"/>
              </w:rPr>
            </w:pPr>
            <w:r>
              <w:rPr>
                <w:sz w:val="22"/>
                <w:szCs w:val="24"/>
              </w:rPr>
              <w:t>67.463</w:t>
            </w:r>
          </w:p>
        </w:tc>
        <w:tc>
          <w:tcPr>
            <w:tcW w:w="1236" w:type="dxa"/>
          </w:tcPr>
          <w:p w:rsidR="005F01BE" w:rsidRDefault="003E2C3A">
            <w:pPr>
              <w:spacing w:line="480" w:lineRule="auto"/>
              <w:rPr>
                <w:sz w:val="22"/>
                <w:szCs w:val="24"/>
              </w:rPr>
            </w:pPr>
            <w:r>
              <w:rPr>
                <w:sz w:val="22"/>
                <w:szCs w:val="24"/>
              </w:rPr>
              <w:t>52.941</w:t>
            </w:r>
          </w:p>
        </w:tc>
        <w:tc>
          <w:tcPr>
            <w:tcW w:w="1414" w:type="dxa"/>
          </w:tcPr>
          <w:p w:rsidR="005F01BE" w:rsidRDefault="003E2C3A">
            <w:pPr>
              <w:spacing w:line="480" w:lineRule="auto"/>
              <w:rPr>
                <w:sz w:val="22"/>
                <w:szCs w:val="24"/>
              </w:rPr>
            </w:pPr>
            <w:r>
              <w:rPr>
                <w:sz w:val="22"/>
                <w:szCs w:val="24"/>
              </w:rPr>
              <w:t>87.776</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GGT ST</w:t>
            </w:r>
          </w:p>
        </w:tc>
        <w:tc>
          <w:tcPr>
            <w:tcW w:w="1316" w:type="dxa"/>
          </w:tcPr>
          <w:p w:rsidR="005F01BE" w:rsidRDefault="003E2C3A">
            <w:pPr>
              <w:spacing w:line="480" w:lineRule="auto"/>
              <w:rPr>
                <w:sz w:val="22"/>
                <w:szCs w:val="24"/>
              </w:rPr>
            </w:pPr>
            <w:r>
              <w:rPr>
                <w:sz w:val="22"/>
                <w:szCs w:val="24"/>
              </w:rPr>
              <w:t>9.031</w:t>
            </w:r>
          </w:p>
        </w:tc>
        <w:tc>
          <w:tcPr>
            <w:tcW w:w="1236" w:type="dxa"/>
          </w:tcPr>
          <w:p w:rsidR="005F01BE" w:rsidRDefault="003E2C3A">
            <w:pPr>
              <w:spacing w:line="480" w:lineRule="auto"/>
              <w:rPr>
                <w:sz w:val="22"/>
                <w:szCs w:val="24"/>
              </w:rPr>
            </w:pPr>
            <w:r>
              <w:rPr>
                <w:sz w:val="22"/>
                <w:szCs w:val="24"/>
              </w:rPr>
              <w:t>8.646</w:t>
            </w:r>
          </w:p>
        </w:tc>
        <w:tc>
          <w:tcPr>
            <w:tcW w:w="1236" w:type="dxa"/>
          </w:tcPr>
          <w:p w:rsidR="005F01BE" w:rsidRDefault="003E2C3A">
            <w:pPr>
              <w:spacing w:line="480" w:lineRule="auto"/>
              <w:rPr>
                <w:sz w:val="22"/>
                <w:szCs w:val="24"/>
              </w:rPr>
            </w:pPr>
            <w:r>
              <w:rPr>
                <w:sz w:val="22"/>
                <w:szCs w:val="24"/>
              </w:rPr>
              <w:t>9.361</w:t>
            </w:r>
          </w:p>
        </w:tc>
        <w:tc>
          <w:tcPr>
            <w:tcW w:w="1236" w:type="dxa"/>
          </w:tcPr>
          <w:p w:rsidR="005F01BE" w:rsidRDefault="003E2C3A">
            <w:pPr>
              <w:spacing w:line="480" w:lineRule="auto"/>
              <w:rPr>
                <w:sz w:val="22"/>
                <w:szCs w:val="24"/>
              </w:rPr>
            </w:pPr>
            <w:r>
              <w:rPr>
                <w:sz w:val="22"/>
                <w:szCs w:val="24"/>
              </w:rPr>
              <w:t>8.564</w:t>
            </w:r>
          </w:p>
        </w:tc>
        <w:tc>
          <w:tcPr>
            <w:tcW w:w="1236" w:type="dxa"/>
          </w:tcPr>
          <w:p w:rsidR="005F01BE" w:rsidRDefault="003E2C3A">
            <w:pPr>
              <w:spacing w:line="480" w:lineRule="auto"/>
              <w:rPr>
                <w:sz w:val="22"/>
                <w:szCs w:val="24"/>
              </w:rPr>
            </w:pPr>
            <w:r>
              <w:rPr>
                <w:sz w:val="22"/>
                <w:szCs w:val="24"/>
              </w:rPr>
              <w:t>8.1840</w:t>
            </w:r>
          </w:p>
        </w:tc>
        <w:tc>
          <w:tcPr>
            <w:tcW w:w="1236" w:type="dxa"/>
          </w:tcPr>
          <w:p w:rsidR="005F01BE" w:rsidRDefault="003E2C3A">
            <w:pPr>
              <w:spacing w:line="480" w:lineRule="auto"/>
              <w:rPr>
                <w:sz w:val="22"/>
                <w:szCs w:val="24"/>
              </w:rPr>
            </w:pPr>
            <w:r>
              <w:rPr>
                <w:sz w:val="22"/>
                <w:szCs w:val="24"/>
              </w:rPr>
              <w:t>9.459</w:t>
            </w:r>
          </w:p>
        </w:tc>
        <w:tc>
          <w:tcPr>
            <w:tcW w:w="1414" w:type="dxa"/>
          </w:tcPr>
          <w:p w:rsidR="005F01BE" w:rsidRDefault="003E2C3A">
            <w:pPr>
              <w:spacing w:line="480" w:lineRule="auto"/>
              <w:rPr>
                <w:sz w:val="22"/>
                <w:szCs w:val="24"/>
              </w:rPr>
            </w:pPr>
            <w:r>
              <w:rPr>
                <w:sz w:val="22"/>
                <w:szCs w:val="24"/>
              </w:rPr>
              <w:t>7.105</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GGT L</w:t>
            </w:r>
          </w:p>
        </w:tc>
        <w:tc>
          <w:tcPr>
            <w:tcW w:w="1316" w:type="dxa"/>
          </w:tcPr>
          <w:p w:rsidR="005F01BE" w:rsidRDefault="003E2C3A">
            <w:pPr>
              <w:spacing w:line="480" w:lineRule="auto"/>
              <w:rPr>
                <w:sz w:val="22"/>
                <w:szCs w:val="24"/>
              </w:rPr>
            </w:pPr>
            <w:r>
              <w:rPr>
                <w:sz w:val="22"/>
                <w:szCs w:val="24"/>
              </w:rPr>
              <w:t>7.683</w:t>
            </w:r>
          </w:p>
        </w:tc>
        <w:tc>
          <w:tcPr>
            <w:tcW w:w="1236" w:type="dxa"/>
          </w:tcPr>
          <w:p w:rsidR="005F01BE" w:rsidRDefault="003E2C3A">
            <w:pPr>
              <w:spacing w:line="480" w:lineRule="auto"/>
              <w:rPr>
                <w:sz w:val="22"/>
                <w:szCs w:val="24"/>
              </w:rPr>
            </w:pPr>
            <w:r>
              <w:rPr>
                <w:sz w:val="22"/>
                <w:szCs w:val="24"/>
              </w:rPr>
              <w:t>11.564</w:t>
            </w:r>
          </w:p>
        </w:tc>
        <w:tc>
          <w:tcPr>
            <w:tcW w:w="1236" w:type="dxa"/>
          </w:tcPr>
          <w:p w:rsidR="005F01BE" w:rsidRDefault="003E2C3A">
            <w:pPr>
              <w:spacing w:line="480" w:lineRule="auto"/>
              <w:rPr>
                <w:sz w:val="22"/>
                <w:szCs w:val="24"/>
              </w:rPr>
            </w:pPr>
            <w:r>
              <w:rPr>
                <w:sz w:val="22"/>
                <w:szCs w:val="24"/>
              </w:rPr>
              <w:t>9.140</w:t>
            </w:r>
          </w:p>
        </w:tc>
        <w:tc>
          <w:tcPr>
            <w:tcW w:w="1236" w:type="dxa"/>
          </w:tcPr>
          <w:p w:rsidR="005F01BE" w:rsidRDefault="003E2C3A">
            <w:pPr>
              <w:spacing w:line="480" w:lineRule="auto"/>
              <w:rPr>
                <w:sz w:val="22"/>
                <w:szCs w:val="24"/>
              </w:rPr>
            </w:pPr>
            <w:r>
              <w:rPr>
                <w:sz w:val="22"/>
                <w:szCs w:val="24"/>
              </w:rPr>
              <w:t>10.788</w:t>
            </w:r>
          </w:p>
        </w:tc>
        <w:tc>
          <w:tcPr>
            <w:tcW w:w="1236" w:type="dxa"/>
          </w:tcPr>
          <w:p w:rsidR="005F01BE" w:rsidRDefault="003E2C3A">
            <w:pPr>
              <w:spacing w:line="480" w:lineRule="auto"/>
              <w:rPr>
                <w:sz w:val="22"/>
                <w:szCs w:val="24"/>
              </w:rPr>
            </w:pPr>
            <w:r>
              <w:rPr>
                <w:sz w:val="22"/>
                <w:szCs w:val="24"/>
              </w:rPr>
              <w:t>12.527</w:t>
            </w:r>
          </w:p>
        </w:tc>
        <w:tc>
          <w:tcPr>
            <w:tcW w:w="1236" w:type="dxa"/>
          </w:tcPr>
          <w:p w:rsidR="005F01BE" w:rsidRDefault="003E2C3A">
            <w:pPr>
              <w:spacing w:line="480" w:lineRule="auto"/>
              <w:rPr>
                <w:sz w:val="22"/>
                <w:szCs w:val="24"/>
              </w:rPr>
            </w:pPr>
            <w:r>
              <w:rPr>
                <w:sz w:val="22"/>
                <w:szCs w:val="24"/>
              </w:rPr>
              <w:t>10.891</w:t>
            </w:r>
          </w:p>
        </w:tc>
        <w:tc>
          <w:tcPr>
            <w:tcW w:w="1414" w:type="dxa"/>
          </w:tcPr>
          <w:p w:rsidR="005F01BE" w:rsidRDefault="003E2C3A">
            <w:pPr>
              <w:spacing w:line="480" w:lineRule="auto"/>
              <w:rPr>
                <w:sz w:val="22"/>
                <w:szCs w:val="24"/>
              </w:rPr>
            </w:pPr>
            <w:r>
              <w:rPr>
                <w:sz w:val="22"/>
                <w:szCs w:val="24"/>
              </w:rPr>
              <w:t>9.906</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GPX ST</w:t>
            </w:r>
          </w:p>
        </w:tc>
        <w:tc>
          <w:tcPr>
            <w:tcW w:w="1316" w:type="dxa"/>
          </w:tcPr>
          <w:p w:rsidR="005F01BE" w:rsidRDefault="003E2C3A">
            <w:pPr>
              <w:spacing w:line="480" w:lineRule="auto"/>
              <w:rPr>
                <w:sz w:val="22"/>
                <w:szCs w:val="24"/>
              </w:rPr>
            </w:pPr>
            <w:r>
              <w:rPr>
                <w:sz w:val="22"/>
                <w:szCs w:val="24"/>
              </w:rPr>
              <w:t>2.744</w:t>
            </w:r>
          </w:p>
        </w:tc>
        <w:tc>
          <w:tcPr>
            <w:tcW w:w="1236" w:type="dxa"/>
          </w:tcPr>
          <w:p w:rsidR="005F01BE" w:rsidRDefault="003E2C3A">
            <w:pPr>
              <w:spacing w:line="480" w:lineRule="auto"/>
              <w:rPr>
                <w:sz w:val="22"/>
                <w:szCs w:val="24"/>
              </w:rPr>
            </w:pPr>
            <w:r>
              <w:rPr>
                <w:sz w:val="22"/>
                <w:szCs w:val="24"/>
              </w:rPr>
              <w:t>2.669</w:t>
            </w:r>
          </w:p>
        </w:tc>
        <w:tc>
          <w:tcPr>
            <w:tcW w:w="1236" w:type="dxa"/>
          </w:tcPr>
          <w:p w:rsidR="005F01BE" w:rsidRDefault="003E2C3A">
            <w:pPr>
              <w:spacing w:line="480" w:lineRule="auto"/>
              <w:rPr>
                <w:sz w:val="22"/>
                <w:szCs w:val="24"/>
              </w:rPr>
            </w:pPr>
            <w:r>
              <w:rPr>
                <w:sz w:val="22"/>
                <w:szCs w:val="24"/>
              </w:rPr>
              <w:t>2.776</w:t>
            </w:r>
          </w:p>
        </w:tc>
        <w:tc>
          <w:tcPr>
            <w:tcW w:w="1236" w:type="dxa"/>
          </w:tcPr>
          <w:p w:rsidR="005F01BE" w:rsidRDefault="003E2C3A">
            <w:pPr>
              <w:spacing w:line="480" w:lineRule="auto"/>
              <w:rPr>
                <w:sz w:val="22"/>
                <w:szCs w:val="24"/>
              </w:rPr>
            </w:pPr>
            <w:r>
              <w:rPr>
                <w:sz w:val="22"/>
                <w:szCs w:val="24"/>
              </w:rPr>
              <w:t>2.879</w:t>
            </w:r>
          </w:p>
        </w:tc>
        <w:tc>
          <w:tcPr>
            <w:tcW w:w="1236" w:type="dxa"/>
          </w:tcPr>
          <w:p w:rsidR="005F01BE" w:rsidRDefault="003E2C3A">
            <w:pPr>
              <w:spacing w:line="480" w:lineRule="auto"/>
              <w:rPr>
                <w:sz w:val="22"/>
                <w:szCs w:val="24"/>
              </w:rPr>
            </w:pPr>
            <w:r>
              <w:rPr>
                <w:sz w:val="22"/>
                <w:szCs w:val="24"/>
              </w:rPr>
              <w:t>2.958</w:t>
            </w:r>
          </w:p>
        </w:tc>
        <w:tc>
          <w:tcPr>
            <w:tcW w:w="1236" w:type="dxa"/>
          </w:tcPr>
          <w:p w:rsidR="005F01BE" w:rsidRDefault="003E2C3A">
            <w:pPr>
              <w:spacing w:line="480" w:lineRule="auto"/>
              <w:rPr>
                <w:sz w:val="22"/>
                <w:szCs w:val="24"/>
              </w:rPr>
            </w:pPr>
            <w:r>
              <w:rPr>
                <w:sz w:val="22"/>
                <w:szCs w:val="24"/>
              </w:rPr>
              <w:t>2.999</w:t>
            </w:r>
          </w:p>
        </w:tc>
        <w:tc>
          <w:tcPr>
            <w:tcW w:w="1414" w:type="dxa"/>
          </w:tcPr>
          <w:p w:rsidR="005F01BE" w:rsidRDefault="003E2C3A">
            <w:pPr>
              <w:spacing w:line="480" w:lineRule="auto"/>
              <w:rPr>
                <w:sz w:val="22"/>
                <w:szCs w:val="24"/>
              </w:rPr>
            </w:pPr>
            <w:r>
              <w:rPr>
                <w:sz w:val="22"/>
                <w:szCs w:val="24"/>
              </w:rPr>
              <w:t>2.065</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GPX L</w:t>
            </w:r>
          </w:p>
        </w:tc>
        <w:tc>
          <w:tcPr>
            <w:tcW w:w="1316" w:type="dxa"/>
          </w:tcPr>
          <w:p w:rsidR="005F01BE" w:rsidRDefault="003E2C3A">
            <w:pPr>
              <w:spacing w:line="480" w:lineRule="auto"/>
              <w:rPr>
                <w:sz w:val="22"/>
                <w:szCs w:val="24"/>
              </w:rPr>
            </w:pPr>
            <w:r>
              <w:rPr>
                <w:sz w:val="22"/>
                <w:szCs w:val="24"/>
              </w:rPr>
              <w:t>3.216</w:t>
            </w:r>
          </w:p>
        </w:tc>
        <w:tc>
          <w:tcPr>
            <w:tcW w:w="1236" w:type="dxa"/>
          </w:tcPr>
          <w:p w:rsidR="005F01BE" w:rsidRDefault="003E2C3A">
            <w:pPr>
              <w:spacing w:line="480" w:lineRule="auto"/>
              <w:rPr>
                <w:sz w:val="22"/>
                <w:szCs w:val="24"/>
              </w:rPr>
            </w:pPr>
            <w:r>
              <w:rPr>
                <w:sz w:val="22"/>
                <w:szCs w:val="24"/>
              </w:rPr>
              <w:t>3.293</w:t>
            </w:r>
          </w:p>
        </w:tc>
        <w:tc>
          <w:tcPr>
            <w:tcW w:w="1236" w:type="dxa"/>
          </w:tcPr>
          <w:p w:rsidR="005F01BE" w:rsidRDefault="003E2C3A">
            <w:pPr>
              <w:spacing w:line="480" w:lineRule="auto"/>
              <w:rPr>
                <w:sz w:val="22"/>
                <w:szCs w:val="24"/>
              </w:rPr>
            </w:pPr>
            <w:r>
              <w:rPr>
                <w:sz w:val="22"/>
                <w:szCs w:val="24"/>
              </w:rPr>
              <w:t>2.679</w:t>
            </w:r>
          </w:p>
        </w:tc>
        <w:tc>
          <w:tcPr>
            <w:tcW w:w="1236" w:type="dxa"/>
          </w:tcPr>
          <w:p w:rsidR="005F01BE" w:rsidRDefault="003E2C3A">
            <w:pPr>
              <w:spacing w:line="480" w:lineRule="auto"/>
              <w:rPr>
                <w:sz w:val="22"/>
                <w:szCs w:val="24"/>
              </w:rPr>
            </w:pPr>
            <w:r>
              <w:rPr>
                <w:sz w:val="22"/>
                <w:szCs w:val="24"/>
              </w:rPr>
              <w:t>3.098</w:t>
            </w:r>
          </w:p>
        </w:tc>
        <w:tc>
          <w:tcPr>
            <w:tcW w:w="1236" w:type="dxa"/>
          </w:tcPr>
          <w:p w:rsidR="005F01BE" w:rsidRDefault="003E2C3A">
            <w:pPr>
              <w:spacing w:line="480" w:lineRule="auto"/>
              <w:rPr>
                <w:sz w:val="22"/>
                <w:szCs w:val="24"/>
              </w:rPr>
            </w:pPr>
            <w:r>
              <w:rPr>
                <w:sz w:val="22"/>
                <w:szCs w:val="24"/>
              </w:rPr>
              <w:t>2.698</w:t>
            </w:r>
          </w:p>
        </w:tc>
        <w:tc>
          <w:tcPr>
            <w:tcW w:w="1236" w:type="dxa"/>
          </w:tcPr>
          <w:p w:rsidR="005F01BE" w:rsidRDefault="003E2C3A">
            <w:pPr>
              <w:spacing w:line="480" w:lineRule="auto"/>
              <w:rPr>
                <w:sz w:val="22"/>
                <w:szCs w:val="24"/>
              </w:rPr>
            </w:pPr>
            <w:r>
              <w:rPr>
                <w:sz w:val="22"/>
                <w:szCs w:val="24"/>
              </w:rPr>
              <w:t>2.738</w:t>
            </w:r>
          </w:p>
        </w:tc>
        <w:tc>
          <w:tcPr>
            <w:tcW w:w="1414" w:type="dxa"/>
          </w:tcPr>
          <w:p w:rsidR="005F01BE" w:rsidRDefault="003E2C3A">
            <w:pPr>
              <w:spacing w:line="480" w:lineRule="auto"/>
              <w:rPr>
                <w:sz w:val="22"/>
                <w:szCs w:val="24"/>
              </w:rPr>
            </w:pPr>
            <w:r>
              <w:rPr>
                <w:sz w:val="22"/>
                <w:szCs w:val="24"/>
              </w:rPr>
              <w:t>3.057</w:t>
            </w:r>
          </w:p>
        </w:tc>
      </w:tr>
      <w:tr w:rsidR="005F01BE">
        <w:tc>
          <w:tcPr>
            <w:tcW w:w="810" w:type="dxa"/>
          </w:tcPr>
          <w:p w:rsidR="005F01BE" w:rsidRDefault="005F01BE">
            <w:pPr>
              <w:pStyle w:val="ListParagraph"/>
              <w:numPr>
                <w:ilvl w:val="0"/>
                <w:numId w:val="13"/>
              </w:numPr>
              <w:spacing w:line="480" w:lineRule="auto"/>
              <w:rPr>
                <w:sz w:val="22"/>
                <w:szCs w:val="24"/>
              </w:rPr>
            </w:pPr>
          </w:p>
        </w:tc>
        <w:tc>
          <w:tcPr>
            <w:tcW w:w="1170" w:type="dxa"/>
          </w:tcPr>
          <w:p w:rsidR="005F01BE" w:rsidRDefault="003E2C3A">
            <w:pPr>
              <w:spacing w:line="480" w:lineRule="auto"/>
              <w:rPr>
                <w:sz w:val="22"/>
                <w:szCs w:val="24"/>
              </w:rPr>
            </w:pPr>
            <w:r>
              <w:rPr>
                <w:sz w:val="22"/>
                <w:szCs w:val="24"/>
              </w:rPr>
              <w:t>G.R. ST</w:t>
            </w:r>
          </w:p>
        </w:tc>
        <w:tc>
          <w:tcPr>
            <w:tcW w:w="1316" w:type="dxa"/>
          </w:tcPr>
          <w:p w:rsidR="005F01BE" w:rsidRDefault="003E2C3A">
            <w:pPr>
              <w:spacing w:line="480" w:lineRule="auto"/>
              <w:rPr>
                <w:sz w:val="22"/>
                <w:szCs w:val="24"/>
              </w:rPr>
            </w:pPr>
            <w:r>
              <w:rPr>
                <w:sz w:val="22"/>
                <w:szCs w:val="24"/>
              </w:rPr>
              <w:t>100.0127</w:t>
            </w:r>
          </w:p>
        </w:tc>
        <w:tc>
          <w:tcPr>
            <w:tcW w:w="1236" w:type="dxa"/>
          </w:tcPr>
          <w:p w:rsidR="005F01BE" w:rsidRDefault="003E2C3A">
            <w:pPr>
              <w:spacing w:line="480" w:lineRule="auto"/>
              <w:rPr>
                <w:sz w:val="22"/>
                <w:szCs w:val="24"/>
              </w:rPr>
            </w:pPr>
            <w:r>
              <w:rPr>
                <w:sz w:val="22"/>
                <w:szCs w:val="24"/>
              </w:rPr>
              <w:t>91.877</w:t>
            </w:r>
          </w:p>
        </w:tc>
        <w:tc>
          <w:tcPr>
            <w:tcW w:w="1236" w:type="dxa"/>
          </w:tcPr>
          <w:p w:rsidR="005F01BE" w:rsidRDefault="003E2C3A">
            <w:pPr>
              <w:spacing w:line="480" w:lineRule="auto"/>
              <w:rPr>
                <w:sz w:val="22"/>
                <w:szCs w:val="24"/>
              </w:rPr>
            </w:pPr>
            <w:r>
              <w:rPr>
                <w:sz w:val="22"/>
                <w:szCs w:val="24"/>
              </w:rPr>
              <w:t>95.276</w:t>
            </w:r>
          </w:p>
        </w:tc>
        <w:tc>
          <w:tcPr>
            <w:tcW w:w="1236" w:type="dxa"/>
          </w:tcPr>
          <w:p w:rsidR="005F01BE" w:rsidRDefault="003E2C3A">
            <w:pPr>
              <w:spacing w:line="480" w:lineRule="auto"/>
              <w:rPr>
                <w:sz w:val="22"/>
                <w:szCs w:val="24"/>
              </w:rPr>
            </w:pPr>
            <w:r>
              <w:rPr>
                <w:sz w:val="22"/>
                <w:szCs w:val="24"/>
              </w:rPr>
              <w:t>95.276</w:t>
            </w:r>
          </w:p>
        </w:tc>
        <w:tc>
          <w:tcPr>
            <w:tcW w:w="1236" w:type="dxa"/>
          </w:tcPr>
          <w:p w:rsidR="005F01BE" w:rsidRDefault="003E2C3A">
            <w:pPr>
              <w:spacing w:line="480" w:lineRule="auto"/>
              <w:rPr>
                <w:sz w:val="22"/>
                <w:szCs w:val="24"/>
              </w:rPr>
            </w:pPr>
            <w:r>
              <w:rPr>
                <w:sz w:val="22"/>
                <w:szCs w:val="24"/>
              </w:rPr>
              <w:t>105.668</w:t>
            </w:r>
          </w:p>
        </w:tc>
        <w:tc>
          <w:tcPr>
            <w:tcW w:w="1236" w:type="dxa"/>
          </w:tcPr>
          <w:p w:rsidR="005F01BE" w:rsidRDefault="003E2C3A">
            <w:pPr>
              <w:spacing w:line="480" w:lineRule="auto"/>
              <w:rPr>
                <w:sz w:val="22"/>
                <w:szCs w:val="24"/>
              </w:rPr>
            </w:pPr>
            <w:r>
              <w:rPr>
                <w:sz w:val="22"/>
                <w:szCs w:val="24"/>
              </w:rPr>
              <w:t>93.681</w:t>
            </w:r>
          </w:p>
        </w:tc>
        <w:tc>
          <w:tcPr>
            <w:tcW w:w="1414" w:type="dxa"/>
          </w:tcPr>
          <w:p w:rsidR="005F01BE" w:rsidRDefault="003E2C3A">
            <w:pPr>
              <w:spacing w:line="480" w:lineRule="auto"/>
              <w:rPr>
                <w:sz w:val="22"/>
                <w:szCs w:val="24"/>
              </w:rPr>
            </w:pPr>
            <w:r>
              <w:rPr>
                <w:sz w:val="22"/>
                <w:szCs w:val="24"/>
              </w:rPr>
              <w:t>75.528</w:t>
            </w:r>
          </w:p>
        </w:tc>
      </w:tr>
      <w:tr w:rsidR="005F01BE">
        <w:tc>
          <w:tcPr>
            <w:tcW w:w="810" w:type="dxa"/>
            <w:tcBorders>
              <w:bottom w:val="single" w:sz="4" w:space="0" w:color="auto"/>
            </w:tcBorders>
          </w:tcPr>
          <w:p w:rsidR="005F01BE" w:rsidRDefault="005F01BE">
            <w:pPr>
              <w:pStyle w:val="ListParagraph"/>
              <w:numPr>
                <w:ilvl w:val="0"/>
                <w:numId w:val="13"/>
              </w:numPr>
              <w:spacing w:line="480" w:lineRule="auto"/>
              <w:rPr>
                <w:sz w:val="22"/>
                <w:szCs w:val="24"/>
              </w:rPr>
            </w:pPr>
          </w:p>
        </w:tc>
        <w:tc>
          <w:tcPr>
            <w:tcW w:w="1170" w:type="dxa"/>
            <w:tcBorders>
              <w:bottom w:val="single" w:sz="4" w:space="0" w:color="auto"/>
            </w:tcBorders>
          </w:tcPr>
          <w:p w:rsidR="005F01BE" w:rsidRDefault="003E2C3A">
            <w:pPr>
              <w:spacing w:line="480" w:lineRule="auto"/>
              <w:rPr>
                <w:sz w:val="22"/>
                <w:szCs w:val="24"/>
              </w:rPr>
            </w:pPr>
            <w:r>
              <w:rPr>
                <w:sz w:val="22"/>
                <w:szCs w:val="24"/>
              </w:rPr>
              <w:t>G.R. L</w:t>
            </w:r>
          </w:p>
        </w:tc>
        <w:tc>
          <w:tcPr>
            <w:tcW w:w="1316" w:type="dxa"/>
            <w:tcBorders>
              <w:bottom w:val="single" w:sz="4" w:space="0" w:color="auto"/>
            </w:tcBorders>
          </w:tcPr>
          <w:p w:rsidR="005F01BE" w:rsidRDefault="003E2C3A">
            <w:pPr>
              <w:spacing w:line="480" w:lineRule="auto"/>
              <w:rPr>
                <w:sz w:val="22"/>
                <w:szCs w:val="24"/>
              </w:rPr>
            </w:pPr>
            <w:r>
              <w:rPr>
                <w:sz w:val="22"/>
                <w:szCs w:val="24"/>
              </w:rPr>
              <w:t>106.241</w:t>
            </w:r>
          </w:p>
        </w:tc>
        <w:tc>
          <w:tcPr>
            <w:tcW w:w="1236" w:type="dxa"/>
            <w:tcBorders>
              <w:bottom w:val="single" w:sz="4" w:space="0" w:color="auto"/>
            </w:tcBorders>
          </w:tcPr>
          <w:p w:rsidR="005F01BE" w:rsidRDefault="003E2C3A">
            <w:pPr>
              <w:spacing w:line="480" w:lineRule="auto"/>
              <w:rPr>
                <w:sz w:val="22"/>
                <w:szCs w:val="24"/>
              </w:rPr>
            </w:pPr>
            <w:r>
              <w:rPr>
                <w:sz w:val="22"/>
                <w:szCs w:val="24"/>
              </w:rPr>
              <w:t>89.739</w:t>
            </w:r>
          </w:p>
        </w:tc>
        <w:tc>
          <w:tcPr>
            <w:tcW w:w="1236" w:type="dxa"/>
            <w:tcBorders>
              <w:bottom w:val="single" w:sz="4" w:space="0" w:color="auto"/>
            </w:tcBorders>
          </w:tcPr>
          <w:p w:rsidR="005F01BE" w:rsidRDefault="003E2C3A">
            <w:pPr>
              <w:spacing w:line="480" w:lineRule="auto"/>
              <w:rPr>
                <w:sz w:val="22"/>
                <w:szCs w:val="24"/>
              </w:rPr>
            </w:pPr>
            <w:r>
              <w:rPr>
                <w:sz w:val="22"/>
                <w:szCs w:val="24"/>
              </w:rPr>
              <w:t>84.565</w:t>
            </w:r>
          </w:p>
        </w:tc>
        <w:tc>
          <w:tcPr>
            <w:tcW w:w="1236" w:type="dxa"/>
            <w:tcBorders>
              <w:bottom w:val="single" w:sz="4" w:space="0" w:color="auto"/>
            </w:tcBorders>
          </w:tcPr>
          <w:p w:rsidR="005F01BE" w:rsidRDefault="003E2C3A">
            <w:pPr>
              <w:spacing w:line="480" w:lineRule="auto"/>
              <w:rPr>
                <w:sz w:val="22"/>
                <w:szCs w:val="24"/>
              </w:rPr>
            </w:pPr>
            <w:r>
              <w:rPr>
                <w:sz w:val="22"/>
                <w:szCs w:val="24"/>
              </w:rPr>
              <w:t>88.753</w:t>
            </w:r>
          </w:p>
        </w:tc>
        <w:tc>
          <w:tcPr>
            <w:tcW w:w="1236" w:type="dxa"/>
            <w:tcBorders>
              <w:bottom w:val="single" w:sz="4" w:space="0" w:color="auto"/>
            </w:tcBorders>
          </w:tcPr>
          <w:p w:rsidR="005F01BE" w:rsidRDefault="003E2C3A">
            <w:pPr>
              <w:spacing w:line="480" w:lineRule="auto"/>
              <w:rPr>
                <w:sz w:val="22"/>
                <w:szCs w:val="24"/>
              </w:rPr>
            </w:pPr>
            <w:r>
              <w:rPr>
                <w:sz w:val="22"/>
                <w:szCs w:val="24"/>
              </w:rPr>
              <w:t>71.709</w:t>
            </w:r>
          </w:p>
        </w:tc>
        <w:tc>
          <w:tcPr>
            <w:tcW w:w="1236" w:type="dxa"/>
            <w:tcBorders>
              <w:bottom w:val="single" w:sz="4" w:space="0" w:color="auto"/>
            </w:tcBorders>
          </w:tcPr>
          <w:p w:rsidR="005F01BE" w:rsidRDefault="003E2C3A">
            <w:pPr>
              <w:spacing w:line="480" w:lineRule="auto"/>
              <w:rPr>
                <w:sz w:val="22"/>
                <w:szCs w:val="24"/>
              </w:rPr>
            </w:pPr>
            <w:r>
              <w:rPr>
                <w:sz w:val="22"/>
                <w:szCs w:val="24"/>
              </w:rPr>
              <w:t>77.282</w:t>
            </w:r>
          </w:p>
        </w:tc>
        <w:tc>
          <w:tcPr>
            <w:tcW w:w="1414" w:type="dxa"/>
            <w:tcBorders>
              <w:bottom w:val="single" w:sz="4" w:space="0" w:color="auto"/>
            </w:tcBorders>
          </w:tcPr>
          <w:p w:rsidR="005F01BE" w:rsidRDefault="003E2C3A">
            <w:pPr>
              <w:spacing w:line="480" w:lineRule="auto"/>
              <w:rPr>
                <w:sz w:val="22"/>
                <w:szCs w:val="24"/>
              </w:rPr>
            </w:pPr>
            <w:r>
              <w:rPr>
                <w:sz w:val="22"/>
                <w:szCs w:val="24"/>
              </w:rPr>
              <w:t>82.127</w:t>
            </w:r>
          </w:p>
        </w:tc>
      </w:tr>
    </w:tbl>
    <w:p w:rsidR="005F01BE" w:rsidRDefault="003E2C3A">
      <w:pPr>
        <w:spacing w:line="240" w:lineRule="auto"/>
        <w:rPr>
          <w:sz w:val="24"/>
          <w:szCs w:val="24"/>
        </w:rPr>
      </w:pPr>
      <w:r>
        <w:rPr>
          <w:sz w:val="26"/>
        </w:rPr>
        <w:t xml:space="preserve">KEY:  </w:t>
      </w:r>
      <w:r>
        <w:rPr>
          <w:sz w:val="24"/>
        </w:rPr>
        <w:t>Control is Group 1</w:t>
      </w:r>
      <w:r>
        <w:t xml:space="preserve">, </w:t>
      </w:r>
      <w:r>
        <w:rPr>
          <w:sz w:val="22"/>
          <w:szCs w:val="24"/>
        </w:rPr>
        <w:t>Untreated is Group 2</w:t>
      </w:r>
      <w:r>
        <w:t xml:space="preserve">, </w:t>
      </w:r>
      <w:r>
        <w:rPr>
          <w:sz w:val="24"/>
          <w:szCs w:val="24"/>
        </w:rPr>
        <w:t>Standard Drug is Group 3</w:t>
      </w:r>
      <w:r>
        <w:t xml:space="preserve">, </w:t>
      </w:r>
      <w:r>
        <w:rPr>
          <w:sz w:val="24"/>
          <w:szCs w:val="24"/>
        </w:rPr>
        <w:t>100mg/kg is Group 4</w:t>
      </w:r>
      <w:r>
        <w:t xml:space="preserve">, </w:t>
      </w:r>
      <w:r>
        <w:rPr>
          <w:sz w:val="24"/>
          <w:szCs w:val="24"/>
        </w:rPr>
        <w:t>200mg/kg is Group 5</w:t>
      </w:r>
      <w:r>
        <w:t xml:space="preserve">, </w:t>
      </w:r>
      <w:r>
        <w:rPr>
          <w:sz w:val="24"/>
          <w:szCs w:val="24"/>
        </w:rPr>
        <w:t>400mg/kg is Group 6</w:t>
      </w:r>
      <w:r>
        <w:t xml:space="preserve">, </w:t>
      </w:r>
      <w:r>
        <w:rPr>
          <w:sz w:val="24"/>
          <w:szCs w:val="24"/>
        </w:rPr>
        <w:t>800mg/kg is Group 7.</w:t>
      </w:r>
    </w:p>
    <w:p w:rsidR="005F01BE" w:rsidRDefault="005F01BE">
      <w:pPr>
        <w:spacing w:line="240" w:lineRule="auto"/>
        <w:rPr>
          <w:sz w:val="24"/>
          <w:szCs w:val="24"/>
        </w:rPr>
      </w:pPr>
    </w:p>
    <w:p w:rsidR="005F01BE" w:rsidRDefault="003E2C3A">
      <w:pPr>
        <w:spacing w:line="240" w:lineRule="auto"/>
        <w:rPr>
          <w:sz w:val="26"/>
        </w:rPr>
      </w:pPr>
      <w:r>
        <w:rPr>
          <w:sz w:val="26"/>
        </w:rPr>
        <w:object w:dxaOrig="8618" w:dyaOrig="6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50" o:spid="_x0000_i1025" type="#_x0000_t75" style="width:406.5pt;height:273.75pt;visibility:visible;mso-wrap-distance-left:0;mso-wrap-distance-right:0" o:ole="">
            <v:imagedata r:id="rId33" o:title="" embosscolor="white"/>
          </v:shape>
          <o:OLEObject Type="Embed" ProgID="Prism8.Document" ShapeID="1050" DrawAspect="Content" ObjectID="_1819541483" r:id="rId34"/>
        </w:object>
      </w:r>
    </w:p>
    <w:p w:rsidR="005F01BE" w:rsidRDefault="003E2C3A">
      <w:pPr>
        <w:spacing w:line="240" w:lineRule="auto"/>
        <w:rPr>
          <w:sz w:val="26"/>
        </w:rPr>
      </w:pPr>
      <w:r>
        <w:rPr>
          <w:sz w:val="26"/>
        </w:rPr>
        <w:object w:dxaOrig="8762" w:dyaOrig="6300">
          <v:shape id="1052" o:spid="_x0000_i1026" type="#_x0000_t75" style="width:408pt;height:219.75pt;visibility:visible;mso-wrap-distance-left:0;mso-wrap-distance-right:0" o:ole="">
            <v:imagedata r:id="rId35" o:title="" embosscolor="white"/>
          </v:shape>
          <o:OLEObject Type="Embed" ProgID="Prism8.Document" ShapeID="1052" DrawAspect="Content" ObjectID="_1819541484" r:id="rId36"/>
        </w:object>
      </w:r>
    </w:p>
    <w:p w:rsidR="005F01BE" w:rsidRDefault="003E2C3A">
      <w:pPr>
        <w:spacing w:line="240" w:lineRule="auto"/>
        <w:rPr>
          <w:sz w:val="26"/>
        </w:rPr>
      </w:pPr>
      <w:r>
        <w:rPr>
          <w:sz w:val="26"/>
        </w:rPr>
        <w:object w:dxaOrig="8446" w:dyaOrig="6034">
          <v:shape id="1054" o:spid="_x0000_i1027" type="#_x0000_t75" style="width:411.75pt;height:285pt;visibility:visible;mso-wrap-distance-left:0;mso-wrap-distance-right:0" o:ole="">
            <v:imagedata r:id="rId37" o:title="" embosscolor="white"/>
          </v:shape>
          <o:OLEObject Type="Embed" ProgID="Prism8.Document" ShapeID="1054" DrawAspect="Content" ObjectID="_1819541485" r:id="rId38"/>
        </w:object>
      </w:r>
    </w:p>
    <w:p w:rsidR="005F01BE" w:rsidRDefault="003E2C3A">
      <w:pPr>
        <w:spacing w:line="240" w:lineRule="auto"/>
        <w:rPr>
          <w:sz w:val="26"/>
        </w:rPr>
      </w:pPr>
      <w:r>
        <w:rPr>
          <w:sz w:val="26"/>
        </w:rPr>
        <w:object w:dxaOrig="8618" w:dyaOrig="6300">
          <v:shape id="1056" o:spid="_x0000_i1028" type="#_x0000_t75" style="width:404.25pt;height:229.5pt;visibility:visible;mso-wrap-distance-left:0;mso-wrap-distance-right:0" o:ole="">
            <v:imagedata r:id="rId39" o:title="" embosscolor="white"/>
          </v:shape>
          <o:OLEObject Type="Embed" ProgID="Prism8.Document" ShapeID="1056" DrawAspect="Content" ObjectID="_1819541486" r:id="rId40"/>
        </w:object>
      </w:r>
    </w:p>
    <w:p w:rsidR="005F01BE" w:rsidRDefault="003E2C3A">
      <w:pPr>
        <w:spacing w:line="240" w:lineRule="auto"/>
        <w:rPr>
          <w:sz w:val="26"/>
        </w:rPr>
      </w:pPr>
      <w:r>
        <w:rPr>
          <w:sz w:val="26"/>
        </w:rPr>
        <w:object w:dxaOrig="8734" w:dyaOrig="6300">
          <v:shape id="1058" o:spid="_x0000_i1029" type="#_x0000_t75" style="width:411.75pt;height:285pt;visibility:visible;mso-wrap-distance-left:0;mso-wrap-distance-right:0" o:ole="">
            <v:imagedata r:id="rId41" o:title="" embosscolor="white"/>
          </v:shape>
          <o:OLEObject Type="Embed" ProgID="Prism8.Document" ShapeID="1058" DrawAspect="Content" ObjectID="_1819541487" r:id="rId42"/>
        </w:object>
      </w:r>
    </w:p>
    <w:p w:rsidR="005F01BE" w:rsidRDefault="005F01BE">
      <w:pPr>
        <w:spacing w:line="240" w:lineRule="auto"/>
        <w:rPr>
          <w:sz w:val="26"/>
        </w:rPr>
      </w:pPr>
    </w:p>
    <w:p w:rsidR="005F01BE" w:rsidRDefault="003E2C3A">
      <w:pPr>
        <w:spacing w:line="240" w:lineRule="auto"/>
        <w:rPr>
          <w:sz w:val="26"/>
        </w:rPr>
      </w:pPr>
      <w:r>
        <w:rPr>
          <w:sz w:val="26"/>
        </w:rPr>
        <w:object w:dxaOrig="8734" w:dyaOrig="6300">
          <v:shape id="1060" o:spid="_x0000_i1030" type="#_x0000_t75" style="width:408pt;height:260.25pt;visibility:visible;mso-wrap-distance-left:0;mso-wrap-distance-right:0" o:ole="">
            <v:imagedata r:id="rId43" o:title="" embosscolor="white"/>
          </v:shape>
          <o:OLEObject Type="Embed" ProgID="Prism8.Document" ShapeID="1060" DrawAspect="Content" ObjectID="_1819541488" r:id="rId44"/>
        </w:object>
      </w:r>
    </w:p>
    <w:p w:rsidR="005F01BE" w:rsidRDefault="003E2C3A">
      <w:pPr>
        <w:spacing w:line="240" w:lineRule="auto"/>
        <w:rPr>
          <w:sz w:val="26"/>
        </w:rPr>
      </w:pPr>
      <w:r>
        <w:rPr>
          <w:sz w:val="26"/>
        </w:rPr>
        <w:object w:dxaOrig="8618" w:dyaOrig="6034">
          <v:shape id="1062" o:spid="_x0000_i1031" type="#_x0000_t75" style="width:404.25pt;height:267.75pt;visibility:visible;mso-wrap-distance-left:0;mso-wrap-distance-right:0" o:ole="">
            <v:imagedata r:id="rId45" o:title="" embosscolor="white"/>
          </v:shape>
          <o:OLEObject Type="Embed" ProgID="Prism8.Document" ShapeID="1062" DrawAspect="Content" ObjectID="_1819541489" r:id="rId46"/>
        </w:object>
      </w:r>
    </w:p>
    <w:p w:rsidR="005F01BE" w:rsidRDefault="005F01BE">
      <w:pPr>
        <w:spacing w:line="240" w:lineRule="auto"/>
      </w:pPr>
    </w:p>
    <w:p w:rsidR="005F01BE" w:rsidRDefault="003E2C3A">
      <w:pPr>
        <w:spacing w:line="240" w:lineRule="auto"/>
        <w:rPr>
          <w:sz w:val="26"/>
        </w:rPr>
      </w:pPr>
      <w:r>
        <w:rPr>
          <w:sz w:val="26"/>
        </w:rPr>
        <w:object w:dxaOrig="8734" w:dyaOrig="6034">
          <v:shape id="1064" o:spid="_x0000_i1032" type="#_x0000_t75" style="width:400.5pt;height:238.5pt;visibility:visible;mso-wrap-distance-left:0;mso-wrap-distance-right:0" o:ole="">
            <v:imagedata r:id="rId47" o:title="" embosscolor="white"/>
          </v:shape>
          <o:OLEObject Type="Embed" ProgID="Prism8.Document" ShapeID="1064" DrawAspect="Content" ObjectID="_1819541490" r:id="rId48"/>
        </w:object>
      </w:r>
    </w:p>
    <w:p w:rsidR="005F01BE" w:rsidRDefault="003E2C3A">
      <w:pPr>
        <w:spacing w:line="240" w:lineRule="auto"/>
        <w:rPr>
          <w:sz w:val="26"/>
        </w:rPr>
      </w:pPr>
      <w:r>
        <w:rPr>
          <w:sz w:val="26"/>
        </w:rPr>
        <w:object w:dxaOrig="8734" w:dyaOrig="6034">
          <v:shape id="1066" o:spid="_x0000_i1033" type="#_x0000_t75" style="width:400.5pt;height:262.5pt;visibility:visible;mso-wrap-distance-left:0;mso-wrap-distance-right:0" o:ole="">
            <v:imagedata r:id="rId49" o:title="" embosscolor="white"/>
          </v:shape>
          <o:OLEObject Type="Embed" ProgID="Prism8.Document" ShapeID="1066" DrawAspect="Content" ObjectID="_1819541491" r:id="rId50"/>
        </w:object>
      </w:r>
    </w:p>
    <w:p w:rsidR="005F01BE" w:rsidRDefault="005F01BE">
      <w:pPr>
        <w:spacing w:line="240" w:lineRule="auto"/>
      </w:pPr>
    </w:p>
    <w:p w:rsidR="005F01BE" w:rsidRDefault="003E2C3A">
      <w:pPr>
        <w:spacing w:before="100" w:beforeAutospacing="1" w:after="0" w:line="480" w:lineRule="auto"/>
        <w:jc w:val="both"/>
        <w:rPr>
          <w:sz w:val="26"/>
        </w:rPr>
      </w:pPr>
      <w:r>
        <w:rPr>
          <w:sz w:val="26"/>
        </w:rPr>
        <w:object w:dxaOrig="8734" w:dyaOrig="6034">
          <v:shape id="1068" o:spid="_x0000_i1034" type="#_x0000_t75" style="width:409.5pt;height:234.75pt;visibility:visible;mso-wrap-distance-left:0;mso-wrap-distance-right:0" o:ole="">
            <v:imagedata r:id="rId51" o:title="" embosscolor="white"/>
          </v:shape>
          <o:OLEObject Type="Embed" ProgID="Prism8.Document" ShapeID="1068" DrawAspect="Content" ObjectID="_1819541492" r:id="rId52"/>
        </w:object>
      </w:r>
    </w:p>
    <w:p w:rsidR="005F01BE" w:rsidRDefault="003E2C3A">
      <w:pPr>
        <w:spacing w:before="100" w:beforeAutospacing="1" w:after="0" w:line="480" w:lineRule="auto"/>
        <w:jc w:val="both"/>
        <w:rPr>
          <w:b/>
          <w:bCs/>
          <w:color w:val="000000"/>
          <w:sz w:val="24"/>
          <w:szCs w:val="26"/>
        </w:rPr>
      </w:pPr>
      <w:r>
        <w:rPr>
          <w:sz w:val="26"/>
        </w:rPr>
        <w:object w:dxaOrig="8734" w:dyaOrig="6034">
          <v:shape id="1070" o:spid="_x0000_i1035" type="#_x0000_t75" style="width:423pt;height:252pt;visibility:visible;mso-wrap-distance-left:0;mso-wrap-distance-right:0" o:ole="">
            <v:imagedata r:id="rId53" o:title="" embosscolor="white"/>
          </v:shape>
          <o:OLEObject Type="Embed" ProgID="Prism8.Document" ShapeID="1070" DrawAspect="Content" ObjectID="_1819541493" r:id="rId54"/>
        </w:object>
      </w:r>
    </w:p>
    <w:p w:rsidR="005F01BE" w:rsidRDefault="003E2C3A">
      <w:pPr>
        <w:spacing w:before="100" w:beforeAutospacing="1" w:after="0" w:line="480" w:lineRule="auto"/>
        <w:jc w:val="both"/>
        <w:rPr>
          <w:sz w:val="26"/>
        </w:rPr>
      </w:pPr>
      <w:r>
        <w:rPr>
          <w:sz w:val="26"/>
        </w:rPr>
        <w:object w:dxaOrig="8446" w:dyaOrig="6034">
          <v:shape id="1072" o:spid="_x0000_i1036" type="#_x0000_t75" style="width:402.75pt;height:273.75pt;visibility:visible;mso-wrap-distance-left:0;mso-wrap-distance-right:0" o:ole="">
            <v:imagedata r:id="rId55" o:title="" embosscolor="white"/>
          </v:shape>
          <o:OLEObject Type="Embed" ProgID="Prism8.Document" ShapeID="1072" DrawAspect="Content" ObjectID="_1819541494" r:id="rId56"/>
        </w:object>
      </w:r>
    </w:p>
    <w:p w:rsidR="005F01BE" w:rsidRDefault="003E2C3A">
      <w:pPr>
        <w:spacing w:before="100" w:beforeAutospacing="1" w:after="0" w:line="480" w:lineRule="auto"/>
        <w:jc w:val="both"/>
        <w:rPr>
          <w:sz w:val="26"/>
        </w:rPr>
      </w:pPr>
      <w:r>
        <w:rPr>
          <w:sz w:val="26"/>
        </w:rPr>
        <w:object w:dxaOrig="8446" w:dyaOrig="6034">
          <v:shape id="1074" o:spid="_x0000_i1037" type="#_x0000_t75" style="width:382.5pt;height:259.5pt;visibility:visible;mso-wrap-distance-left:0;mso-wrap-distance-right:0" o:ole="">
            <v:imagedata r:id="rId57" o:title="" embosscolor="white"/>
          </v:shape>
          <o:OLEObject Type="Embed" ProgID="Prism8.Document" ShapeID="1074" DrawAspect="Content" ObjectID="_1819541495" r:id="rId58"/>
        </w:object>
      </w:r>
    </w:p>
    <w:p w:rsidR="005F01BE" w:rsidRDefault="003E2C3A">
      <w:pPr>
        <w:spacing w:before="100" w:beforeAutospacing="1" w:after="0" w:line="480" w:lineRule="auto"/>
        <w:jc w:val="both"/>
        <w:rPr>
          <w:sz w:val="26"/>
        </w:rPr>
      </w:pPr>
      <w:r>
        <w:rPr>
          <w:sz w:val="26"/>
        </w:rPr>
        <w:object w:dxaOrig="8734" w:dyaOrig="6300">
          <v:shape id="1076" o:spid="_x0000_i1038" type="#_x0000_t75" style="width:412.5pt;height:251.25pt;visibility:visible;mso-wrap-distance-left:0;mso-wrap-distance-right:0" o:ole="">
            <v:imagedata r:id="rId59" o:title="" embosscolor="white"/>
          </v:shape>
          <o:OLEObject Type="Embed" ProgID="Prism8.Document" ShapeID="1076" DrawAspect="Content" ObjectID="_1819541496" r:id="rId60"/>
        </w:object>
      </w:r>
      <w:r>
        <w:rPr>
          <w:sz w:val="26"/>
        </w:rPr>
        <w:object w:dxaOrig="8734" w:dyaOrig="6300">
          <v:shape id="1078" o:spid="_x0000_i1039" type="#_x0000_t75" style="width:409.5pt;height:277.5pt;visibility:visible;mso-wrap-distance-left:0;mso-wrap-distance-right:0" o:ole="">
            <v:imagedata r:id="rId61" o:title="" embosscolor="white"/>
          </v:shape>
          <o:OLEObject Type="Embed" ProgID="Prism8.Document" ShapeID="1078" DrawAspect="Content" ObjectID="_1819541497" r:id="rId62"/>
        </w:object>
      </w:r>
    </w:p>
    <w:p w:rsidR="005F01BE" w:rsidRDefault="003E2C3A">
      <w:pPr>
        <w:spacing w:before="100" w:beforeAutospacing="1" w:after="0" w:line="480" w:lineRule="auto"/>
        <w:jc w:val="both"/>
        <w:rPr>
          <w:sz w:val="26"/>
        </w:rPr>
      </w:pPr>
      <w:r>
        <w:rPr>
          <w:sz w:val="26"/>
        </w:rPr>
        <w:object w:dxaOrig="8446" w:dyaOrig="6034">
          <v:shape id="1080" o:spid="_x0000_i1040" type="#_x0000_t75" style="width:393pt;height:247.5pt;visibility:visible;mso-wrap-distance-left:0;mso-wrap-distance-right:0" o:ole="">
            <v:imagedata r:id="rId63" o:title="" embosscolor="white"/>
          </v:shape>
          <o:OLEObject Type="Embed" ProgID="Prism8.Document" ShapeID="1080" DrawAspect="Content" ObjectID="_1819541498" r:id="rId64"/>
        </w:object>
      </w:r>
      <w:r>
        <w:rPr>
          <w:sz w:val="26"/>
        </w:rPr>
        <w:object w:dxaOrig="8446" w:dyaOrig="6034">
          <v:shape id="1082" o:spid="_x0000_i1041" type="#_x0000_t75" style="width:390pt;height:272.25pt;visibility:visible;mso-wrap-distance-left:0;mso-wrap-distance-right:0" o:ole="">
            <v:imagedata r:id="rId65" o:title="" embosscolor="white"/>
          </v:shape>
          <o:OLEObject Type="Embed" ProgID="Prism8.Document" ShapeID="1082" DrawAspect="Content" ObjectID="_1819541499" r:id="rId66"/>
        </w:object>
      </w:r>
    </w:p>
    <w:p w:rsidR="005F01BE" w:rsidRDefault="003E2C3A">
      <w:pPr>
        <w:spacing w:before="100" w:beforeAutospacing="1" w:after="0" w:line="480" w:lineRule="auto"/>
        <w:jc w:val="both"/>
        <w:rPr>
          <w:sz w:val="26"/>
        </w:rPr>
      </w:pPr>
      <w:r>
        <w:rPr>
          <w:sz w:val="26"/>
        </w:rPr>
        <w:object w:dxaOrig="8503" w:dyaOrig="6034">
          <v:shape id="1084" o:spid="_x0000_i1042" type="#_x0000_t75" style="width:415.5pt;height:330.75pt;visibility:visible;mso-wrap-distance-left:0;mso-wrap-distance-right:0" o:ole="">
            <v:imagedata r:id="rId67" o:title="" embosscolor="white"/>
          </v:shape>
          <o:OLEObject Type="Embed" ProgID="Prism8.Document" ShapeID="1084" DrawAspect="Content" ObjectID="_1819541500" r:id="rId68"/>
        </w:object>
      </w:r>
      <w:r>
        <w:rPr>
          <w:sz w:val="26"/>
        </w:rPr>
        <w:object w:dxaOrig="8842" w:dyaOrig="6034">
          <v:shape id="1086" o:spid="_x0000_i1043" type="#_x0000_t75" style="width:429.75pt;height:261pt;visibility:visible;mso-wrap-distance-left:0;mso-wrap-distance-right:0" o:ole="">
            <v:imagedata r:id="rId69" o:title="" embosscolor="white"/>
          </v:shape>
          <o:OLEObject Type="Embed" ProgID="Prism8.Document" ShapeID="1086" DrawAspect="Content" ObjectID="_1819541501" r:id="rId70"/>
        </w:object>
      </w:r>
      <w:r>
        <w:rPr>
          <w:sz w:val="26"/>
        </w:rPr>
        <w:object w:dxaOrig="8453" w:dyaOrig="6034">
          <v:shape id="1088" o:spid="_x0000_i1044" type="#_x0000_t75" style="width:393pt;height:246.75pt;visibility:visible;mso-wrap-distance-left:0;mso-wrap-distance-right:0" o:ole="">
            <v:imagedata r:id="rId71" o:title="" embosscolor="white"/>
          </v:shape>
          <o:OLEObject Type="Embed" ProgID="Prism8.Document" ShapeID="1088" DrawAspect="Content" ObjectID="_1819541502" r:id="rId72"/>
        </w:object>
      </w:r>
    </w:p>
    <w:p w:rsidR="005F01BE" w:rsidRDefault="003E2C3A">
      <w:pPr>
        <w:spacing w:before="100" w:beforeAutospacing="1" w:after="0" w:line="480" w:lineRule="auto"/>
        <w:jc w:val="both"/>
        <w:rPr>
          <w:sz w:val="26"/>
        </w:rPr>
      </w:pPr>
      <w:r>
        <w:rPr>
          <w:sz w:val="26"/>
        </w:rPr>
        <w:object w:dxaOrig="8446" w:dyaOrig="6034">
          <v:shape id="1090" o:spid="_x0000_i1045" type="#_x0000_t75" style="width:411.75pt;height:285pt;visibility:visible;mso-wrap-distance-left:0;mso-wrap-distance-right:0" o:ole="">
            <v:imagedata r:id="rId37" o:title="" embosscolor="white"/>
          </v:shape>
          <o:OLEObject Type="Embed" ProgID="Prism8.Document" ShapeID="1090" DrawAspect="Content" ObjectID="_1819541503" r:id="rId73"/>
        </w:object>
      </w:r>
      <w:r>
        <w:rPr>
          <w:sz w:val="26"/>
        </w:rPr>
        <w:object w:dxaOrig="8623" w:dyaOrig="6034">
          <v:shape id="1092" o:spid="_x0000_i1046" type="#_x0000_t75" style="width:411.75pt;height:262.5pt;visibility:visible;mso-wrap-distance-left:0;mso-wrap-distance-right:0" o:ole="">
            <v:imagedata r:id="rId74" o:title="" embosscolor="white"/>
          </v:shape>
          <o:OLEObject Type="Embed" ProgID="Prism8.Document" ShapeID="1092" DrawAspect="Content" ObjectID="_1819541504" r:id="rId75"/>
        </w:object>
      </w:r>
    </w:p>
    <w:p w:rsidR="005F01BE" w:rsidRDefault="003E2C3A">
      <w:pPr>
        <w:spacing w:before="100" w:beforeAutospacing="1" w:after="0" w:line="480" w:lineRule="auto"/>
        <w:jc w:val="both"/>
        <w:rPr>
          <w:sz w:val="26"/>
        </w:rPr>
      </w:pPr>
      <w:r>
        <w:rPr>
          <w:sz w:val="26"/>
        </w:rPr>
        <w:object w:dxaOrig="8561" w:dyaOrig="6034">
          <v:shape id="1094" o:spid="_x0000_i1047" type="#_x0000_t75" style="width:413.25pt;height:248.25pt;visibility:visible;mso-wrap-distance-left:0;mso-wrap-distance-right:0" o:ole="">
            <v:imagedata r:id="rId76" o:title="" embosscolor="white"/>
          </v:shape>
          <o:OLEObject Type="Embed" ProgID="Prism8.Document" ShapeID="1094" DrawAspect="Content" ObjectID="_1819541505" r:id="rId77"/>
        </w:object>
      </w:r>
    </w:p>
    <w:p w:rsidR="005F01BE" w:rsidRDefault="003E2C3A">
      <w:pPr>
        <w:spacing w:before="100" w:beforeAutospacing="1" w:after="0" w:line="480" w:lineRule="auto"/>
        <w:jc w:val="both"/>
        <w:rPr>
          <w:b/>
          <w:bCs/>
          <w:color w:val="000000"/>
          <w:sz w:val="24"/>
          <w:szCs w:val="26"/>
        </w:rPr>
      </w:pPr>
      <w:r>
        <w:rPr>
          <w:sz w:val="26"/>
        </w:rPr>
        <w:object w:dxaOrig="8734" w:dyaOrig="6034">
          <v:shape id="1096" o:spid="_x0000_i1048" type="#_x0000_t75" style="width:413.25pt;height:282pt;visibility:visible;mso-wrap-distance-left:0;mso-wrap-distance-right:0" o:ole="">
            <v:imagedata r:id="rId78" o:title="" embosscolor="white"/>
          </v:shape>
          <o:OLEObject Type="Embed" ProgID="Prism8.Document" ShapeID="1096" DrawAspect="Content" ObjectID="_1819541506" r:id="rId79"/>
        </w:object>
      </w:r>
    </w:p>
    <w:p w:rsidR="005F01BE" w:rsidRDefault="003E2C3A">
      <w:pPr>
        <w:spacing w:before="100" w:beforeAutospacing="1" w:after="0" w:line="480" w:lineRule="auto"/>
        <w:jc w:val="both"/>
        <w:rPr>
          <w:sz w:val="26"/>
        </w:rPr>
      </w:pPr>
      <w:r>
        <w:rPr>
          <w:sz w:val="26"/>
        </w:rPr>
        <w:object w:dxaOrig="8618" w:dyaOrig="6034">
          <v:shape id="1098" o:spid="_x0000_i1049" type="#_x0000_t75" style="width:411.75pt;height:277.5pt;visibility:visible;mso-wrap-distance-left:0;mso-wrap-distance-right:0" o:ole="">
            <v:imagedata r:id="rId80" o:title="" embosscolor="white"/>
          </v:shape>
          <o:OLEObject Type="Embed" ProgID="Prism8.Document" ShapeID="1098" DrawAspect="Content" ObjectID="_1819541507" r:id="rId81"/>
        </w:object>
      </w:r>
    </w:p>
    <w:p w:rsidR="005F01BE" w:rsidRDefault="003E2C3A">
      <w:pPr>
        <w:spacing w:before="100" w:beforeAutospacing="1" w:after="0" w:line="480" w:lineRule="auto"/>
        <w:jc w:val="both"/>
        <w:rPr>
          <w:sz w:val="26"/>
        </w:rPr>
      </w:pPr>
      <w:r>
        <w:rPr>
          <w:sz w:val="26"/>
        </w:rPr>
        <w:object w:dxaOrig="8618" w:dyaOrig="6034">
          <v:shape id="1100" o:spid="_x0000_i1050" type="#_x0000_t75" style="width:408pt;height:237.75pt;visibility:visible;mso-wrap-distance-left:0;mso-wrap-distance-right:0" o:ole="">
            <v:imagedata r:id="rId82" o:title="" embosscolor="white"/>
          </v:shape>
          <o:OLEObject Type="Embed" ProgID="Prism8.Document" ShapeID="1100" DrawAspect="Content" ObjectID="_1819541508" r:id="rId83"/>
        </w:object>
      </w:r>
    </w:p>
    <w:p w:rsidR="005F01BE" w:rsidRDefault="003E2C3A">
      <w:pPr>
        <w:spacing w:before="100" w:beforeAutospacing="1" w:after="0" w:line="480" w:lineRule="auto"/>
        <w:jc w:val="both"/>
        <w:rPr>
          <w:b/>
          <w:bCs/>
          <w:color w:val="000000"/>
          <w:sz w:val="24"/>
          <w:szCs w:val="26"/>
        </w:rPr>
      </w:pPr>
      <w:r>
        <w:rPr>
          <w:sz w:val="26"/>
        </w:rPr>
        <w:object w:dxaOrig="8849" w:dyaOrig="6034">
          <v:shape id="1102" o:spid="_x0000_i1051" type="#_x0000_t75" style="width:420pt;height:276pt;visibility:visible;mso-wrap-distance-left:0;mso-wrap-distance-right:0" o:ole="">
            <v:imagedata r:id="rId84" o:title="" embosscolor="white"/>
          </v:shape>
          <o:OLEObject Type="Embed" ProgID="Prism8.Document" ShapeID="1102" DrawAspect="Content" ObjectID="_1819541509" r:id="rId85"/>
        </w:object>
      </w:r>
    </w:p>
    <w:p w:rsidR="005F01BE" w:rsidRDefault="003E2C3A">
      <w:pPr>
        <w:spacing w:before="100" w:beforeAutospacing="1" w:after="0" w:line="480" w:lineRule="auto"/>
        <w:jc w:val="both"/>
        <w:rPr>
          <w:rFonts w:eastAsia="Times New Roman"/>
          <w:b/>
          <w:bCs/>
          <w:color w:val="000000"/>
          <w:sz w:val="24"/>
          <w:szCs w:val="26"/>
        </w:rPr>
      </w:pPr>
      <w:r>
        <w:rPr>
          <w:b/>
          <w:bCs/>
          <w:color w:val="000000"/>
          <w:sz w:val="24"/>
          <w:szCs w:val="26"/>
        </w:rPr>
        <w:t>4.</w:t>
      </w:r>
      <w:r>
        <w:rPr>
          <w:b/>
          <w:bCs/>
          <w:color w:val="000000"/>
          <w:sz w:val="24"/>
          <w:szCs w:val="26"/>
        </w:rPr>
        <w:t>6. Ulcerated Area Measurement</w:t>
      </w:r>
    </w:p>
    <w:p w:rsidR="005F01BE" w:rsidRDefault="003E2C3A">
      <w:pPr>
        <w:spacing w:before="100" w:beforeAutospacing="1" w:after="0" w:line="480" w:lineRule="auto"/>
        <w:jc w:val="both"/>
        <w:rPr>
          <w:color w:val="000000"/>
          <w:sz w:val="24"/>
          <w:szCs w:val="26"/>
        </w:rPr>
      </w:pPr>
      <w:r>
        <w:rPr>
          <w:color w:val="000000"/>
          <w:sz w:val="24"/>
          <w:szCs w:val="26"/>
        </w:rPr>
        <w:t>The ulcerated areas, characterized by measurements of length and breadth at affected sites, are summarized in Table 6. Group 4 recorded the largest ulcerated areas, with ulcer lengths ranging from 1.3 cm to 3.0 cm and breadths</w:t>
      </w:r>
      <w:r>
        <w:rPr>
          <w:color w:val="000000"/>
          <w:sz w:val="24"/>
          <w:szCs w:val="26"/>
        </w:rPr>
        <w:t xml:space="preserve"> ranging from 0.6 cm to 1.2 cm. Group 3 also exhibited relatively large ulcerations, particularly in breadth. In contrast, Groups 2, 6, and 7 displayed smaller ulcerated areas, indicating lesser degrees of mucosal damage. No ulcer data were recorded for Gr</w:t>
      </w:r>
      <w:r>
        <w:rPr>
          <w:color w:val="000000"/>
          <w:sz w:val="24"/>
          <w:szCs w:val="26"/>
        </w:rPr>
        <w:t>oup 1.</w:t>
      </w:r>
    </w:p>
    <w:p w:rsidR="005F01BE" w:rsidRDefault="005F01BE">
      <w:pPr>
        <w:spacing w:after="0" w:line="480" w:lineRule="auto"/>
        <w:jc w:val="both"/>
        <w:rPr>
          <w:b/>
          <w:color w:val="000000"/>
          <w:sz w:val="24"/>
          <w:szCs w:val="26"/>
        </w:rPr>
      </w:pPr>
    </w:p>
    <w:p w:rsidR="005F01BE" w:rsidRDefault="003E2C3A">
      <w:pPr>
        <w:spacing w:after="0" w:line="480" w:lineRule="auto"/>
        <w:jc w:val="both"/>
        <w:rPr>
          <w:color w:val="000000"/>
          <w:sz w:val="24"/>
          <w:szCs w:val="26"/>
        </w:rPr>
      </w:pPr>
      <w:r>
        <w:rPr>
          <w:b/>
          <w:color w:val="000000"/>
          <w:sz w:val="24"/>
          <w:szCs w:val="26"/>
        </w:rPr>
        <w:lastRenderedPageBreak/>
        <w:t>Table 4.6: Measurement of Ulcerated Areas (Length and Breadth) in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5F01BE">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Breadth (B)</w:t>
            </w:r>
          </w:p>
        </w:tc>
      </w:tr>
      <w:tr w:rsidR="005F01BE">
        <w:tc>
          <w:tcPr>
            <w:tcW w:w="2160" w:type="dxa"/>
            <w:tcBorders>
              <w:top w:val="single" w:sz="4" w:space="0" w:color="auto"/>
            </w:tcBorders>
          </w:tcPr>
          <w:p w:rsidR="005F01BE" w:rsidRDefault="003E2C3A">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5F01BE" w:rsidRDefault="003E2C3A">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5F01BE" w:rsidRDefault="005F01BE">
            <w:pPr>
              <w:spacing w:line="480" w:lineRule="auto"/>
              <w:jc w:val="both"/>
              <w:rPr>
                <w:color w:val="000000"/>
                <w:sz w:val="24"/>
                <w:szCs w:val="26"/>
              </w:rPr>
            </w:pPr>
          </w:p>
        </w:tc>
        <w:tc>
          <w:tcPr>
            <w:tcW w:w="2160" w:type="dxa"/>
            <w:tcBorders>
              <w:top w:val="single" w:sz="4" w:space="0" w:color="auto"/>
            </w:tcBorders>
          </w:tcPr>
          <w:p w:rsidR="005F01BE" w:rsidRDefault="005F01BE">
            <w:pPr>
              <w:spacing w:line="480" w:lineRule="auto"/>
              <w:jc w:val="both"/>
              <w:rPr>
                <w:color w:val="000000"/>
                <w:sz w:val="24"/>
                <w:szCs w:val="26"/>
              </w:rPr>
            </w:pPr>
          </w:p>
        </w:tc>
      </w:tr>
      <w:tr w:rsidR="005F01BE">
        <w:tc>
          <w:tcPr>
            <w:tcW w:w="2160" w:type="dxa"/>
          </w:tcPr>
          <w:p w:rsidR="005F01BE" w:rsidRDefault="003E2C3A">
            <w:pPr>
              <w:spacing w:line="480" w:lineRule="auto"/>
              <w:jc w:val="both"/>
              <w:rPr>
                <w:color w:val="000000"/>
                <w:sz w:val="24"/>
                <w:szCs w:val="26"/>
              </w:rPr>
            </w:pPr>
            <w:r>
              <w:rPr>
                <w:color w:val="000000"/>
                <w:sz w:val="24"/>
                <w:szCs w:val="26"/>
              </w:rPr>
              <w:t>Group 2</w:t>
            </w:r>
          </w:p>
        </w:tc>
        <w:tc>
          <w:tcPr>
            <w:tcW w:w="2160" w:type="dxa"/>
          </w:tcPr>
          <w:p w:rsidR="005F01BE" w:rsidRDefault="003E2C3A">
            <w:pPr>
              <w:spacing w:line="480" w:lineRule="auto"/>
              <w:jc w:val="both"/>
              <w:rPr>
                <w:color w:val="000000"/>
                <w:sz w:val="24"/>
                <w:szCs w:val="26"/>
              </w:rPr>
            </w:pPr>
            <w:r>
              <w:rPr>
                <w:color w:val="000000"/>
                <w:sz w:val="24"/>
                <w:szCs w:val="26"/>
              </w:rPr>
              <w:t>2a</w:t>
            </w:r>
          </w:p>
        </w:tc>
        <w:tc>
          <w:tcPr>
            <w:tcW w:w="2160" w:type="dxa"/>
          </w:tcPr>
          <w:p w:rsidR="005F01BE" w:rsidRDefault="003E2C3A">
            <w:pPr>
              <w:spacing w:line="480" w:lineRule="auto"/>
              <w:jc w:val="both"/>
              <w:rPr>
                <w:color w:val="000000"/>
                <w:sz w:val="24"/>
                <w:szCs w:val="26"/>
              </w:rPr>
            </w:pPr>
            <w:r>
              <w:rPr>
                <w:color w:val="000000"/>
                <w:sz w:val="24"/>
                <w:szCs w:val="26"/>
              </w:rPr>
              <w:t>0.96</w:t>
            </w:r>
          </w:p>
        </w:tc>
        <w:tc>
          <w:tcPr>
            <w:tcW w:w="2160" w:type="dxa"/>
          </w:tcPr>
          <w:p w:rsidR="005F01BE" w:rsidRDefault="003E2C3A">
            <w:pPr>
              <w:spacing w:line="480" w:lineRule="auto"/>
              <w:jc w:val="both"/>
              <w:rPr>
                <w:color w:val="000000"/>
                <w:sz w:val="24"/>
                <w:szCs w:val="26"/>
              </w:rPr>
            </w:pPr>
            <w:r>
              <w:rPr>
                <w:color w:val="000000"/>
                <w:sz w:val="24"/>
                <w:szCs w:val="26"/>
              </w:rPr>
              <w:t>0.60</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3</w:t>
            </w:r>
          </w:p>
        </w:tc>
        <w:tc>
          <w:tcPr>
            <w:tcW w:w="2160" w:type="dxa"/>
          </w:tcPr>
          <w:p w:rsidR="005F01BE" w:rsidRDefault="003E2C3A">
            <w:pPr>
              <w:spacing w:line="480" w:lineRule="auto"/>
              <w:jc w:val="both"/>
              <w:rPr>
                <w:color w:val="000000"/>
                <w:sz w:val="24"/>
                <w:szCs w:val="26"/>
              </w:rPr>
            </w:pPr>
            <w:r>
              <w:rPr>
                <w:color w:val="000000"/>
                <w:sz w:val="24"/>
                <w:szCs w:val="26"/>
              </w:rPr>
              <w:t>3a</w:t>
            </w:r>
          </w:p>
        </w:tc>
        <w:tc>
          <w:tcPr>
            <w:tcW w:w="2160" w:type="dxa"/>
          </w:tcPr>
          <w:p w:rsidR="005F01BE" w:rsidRDefault="003E2C3A">
            <w:pPr>
              <w:spacing w:line="480" w:lineRule="auto"/>
              <w:jc w:val="both"/>
              <w:rPr>
                <w:color w:val="000000"/>
                <w:sz w:val="24"/>
                <w:szCs w:val="26"/>
              </w:rPr>
            </w:pPr>
            <w:r>
              <w:rPr>
                <w:color w:val="000000"/>
                <w:sz w:val="24"/>
                <w:szCs w:val="26"/>
              </w:rPr>
              <w:t>2.05</w:t>
            </w:r>
          </w:p>
        </w:tc>
        <w:tc>
          <w:tcPr>
            <w:tcW w:w="2160" w:type="dxa"/>
          </w:tcPr>
          <w:p w:rsidR="005F01BE" w:rsidRDefault="003E2C3A">
            <w:pPr>
              <w:spacing w:line="480" w:lineRule="auto"/>
              <w:jc w:val="both"/>
              <w:rPr>
                <w:color w:val="000000"/>
                <w:sz w:val="24"/>
                <w:szCs w:val="26"/>
              </w:rPr>
            </w:pPr>
            <w:r>
              <w:rPr>
                <w:color w:val="000000"/>
                <w:sz w:val="24"/>
                <w:szCs w:val="26"/>
              </w:rPr>
              <w:t>1.5</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4</w:t>
            </w:r>
          </w:p>
        </w:tc>
        <w:tc>
          <w:tcPr>
            <w:tcW w:w="2160" w:type="dxa"/>
          </w:tcPr>
          <w:p w:rsidR="005F01BE" w:rsidRDefault="003E2C3A">
            <w:pPr>
              <w:spacing w:line="480" w:lineRule="auto"/>
              <w:jc w:val="both"/>
              <w:rPr>
                <w:color w:val="000000"/>
                <w:sz w:val="24"/>
                <w:szCs w:val="26"/>
              </w:rPr>
            </w:pPr>
            <w:r>
              <w:rPr>
                <w:color w:val="000000"/>
                <w:sz w:val="24"/>
                <w:szCs w:val="26"/>
              </w:rPr>
              <w:t>4a</w:t>
            </w:r>
          </w:p>
        </w:tc>
        <w:tc>
          <w:tcPr>
            <w:tcW w:w="2160" w:type="dxa"/>
          </w:tcPr>
          <w:p w:rsidR="005F01BE" w:rsidRDefault="003E2C3A">
            <w:pPr>
              <w:spacing w:line="480" w:lineRule="auto"/>
              <w:jc w:val="both"/>
              <w:rPr>
                <w:color w:val="000000"/>
                <w:sz w:val="24"/>
                <w:szCs w:val="26"/>
              </w:rPr>
            </w:pPr>
            <w:r>
              <w:rPr>
                <w:color w:val="000000"/>
                <w:sz w:val="24"/>
                <w:szCs w:val="26"/>
              </w:rPr>
              <w:t>1.85</w:t>
            </w:r>
          </w:p>
        </w:tc>
        <w:tc>
          <w:tcPr>
            <w:tcW w:w="2160" w:type="dxa"/>
          </w:tcPr>
          <w:p w:rsidR="005F01BE" w:rsidRDefault="003E2C3A">
            <w:pPr>
              <w:spacing w:line="480" w:lineRule="auto"/>
              <w:jc w:val="both"/>
              <w:rPr>
                <w:color w:val="000000"/>
                <w:sz w:val="24"/>
                <w:szCs w:val="26"/>
              </w:rPr>
            </w:pPr>
            <w:r>
              <w:rPr>
                <w:color w:val="000000"/>
                <w:sz w:val="24"/>
                <w:szCs w:val="26"/>
              </w:rPr>
              <w:t>0.90</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5</w:t>
            </w:r>
          </w:p>
        </w:tc>
        <w:tc>
          <w:tcPr>
            <w:tcW w:w="2160" w:type="dxa"/>
          </w:tcPr>
          <w:p w:rsidR="005F01BE" w:rsidRDefault="003E2C3A">
            <w:pPr>
              <w:spacing w:line="480" w:lineRule="auto"/>
              <w:jc w:val="both"/>
              <w:rPr>
                <w:color w:val="000000"/>
                <w:sz w:val="24"/>
                <w:szCs w:val="26"/>
              </w:rPr>
            </w:pPr>
            <w:r>
              <w:rPr>
                <w:color w:val="000000"/>
                <w:sz w:val="24"/>
                <w:szCs w:val="26"/>
              </w:rPr>
              <w:t>5a</w:t>
            </w:r>
          </w:p>
        </w:tc>
        <w:tc>
          <w:tcPr>
            <w:tcW w:w="2160" w:type="dxa"/>
          </w:tcPr>
          <w:p w:rsidR="005F01BE" w:rsidRDefault="003E2C3A">
            <w:pPr>
              <w:spacing w:line="480" w:lineRule="auto"/>
              <w:jc w:val="both"/>
              <w:rPr>
                <w:color w:val="000000"/>
                <w:sz w:val="24"/>
                <w:szCs w:val="26"/>
              </w:rPr>
            </w:pPr>
            <w:r>
              <w:rPr>
                <w:color w:val="000000"/>
                <w:sz w:val="24"/>
                <w:szCs w:val="26"/>
              </w:rPr>
              <w:t>1.5</w:t>
            </w:r>
          </w:p>
        </w:tc>
        <w:tc>
          <w:tcPr>
            <w:tcW w:w="2160" w:type="dxa"/>
          </w:tcPr>
          <w:p w:rsidR="005F01BE" w:rsidRDefault="003E2C3A">
            <w:pPr>
              <w:spacing w:line="480" w:lineRule="auto"/>
              <w:jc w:val="both"/>
              <w:rPr>
                <w:color w:val="000000"/>
                <w:sz w:val="24"/>
                <w:szCs w:val="26"/>
              </w:rPr>
            </w:pPr>
            <w:r>
              <w:rPr>
                <w:color w:val="000000"/>
                <w:sz w:val="24"/>
                <w:szCs w:val="26"/>
              </w:rPr>
              <w:t>0.73</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6</w:t>
            </w:r>
          </w:p>
        </w:tc>
        <w:tc>
          <w:tcPr>
            <w:tcW w:w="2160" w:type="dxa"/>
          </w:tcPr>
          <w:p w:rsidR="005F01BE" w:rsidRDefault="003E2C3A">
            <w:pPr>
              <w:spacing w:line="480" w:lineRule="auto"/>
              <w:jc w:val="both"/>
              <w:rPr>
                <w:color w:val="000000"/>
                <w:sz w:val="24"/>
                <w:szCs w:val="26"/>
              </w:rPr>
            </w:pPr>
            <w:r>
              <w:rPr>
                <w:color w:val="000000"/>
                <w:sz w:val="24"/>
                <w:szCs w:val="26"/>
              </w:rPr>
              <w:t>6a</w:t>
            </w:r>
          </w:p>
        </w:tc>
        <w:tc>
          <w:tcPr>
            <w:tcW w:w="2160" w:type="dxa"/>
          </w:tcPr>
          <w:p w:rsidR="005F01BE" w:rsidRDefault="003E2C3A">
            <w:pPr>
              <w:spacing w:line="480" w:lineRule="auto"/>
              <w:jc w:val="both"/>
              <w:rPr>
                <w:color w:val="000000"/>
                <w:sz w:val="24"/>
                <w:szCs w:val="26"/>
              </w:rPr>
            </w:pPr>
            <w:r>
              <w:rPr>
                <w:color w:val="000000"/>
                <w:sz w:val="24"/>
                <w:szCs w:val="26"/>
              </w:rPr>
              <w:t>1.23</w:t>
            </w:r>
          </w:p>
        </w:tc>
        <w:tc>
          <w:tcPr>
            <w:tcW w:w="2160" w:type="dxa"/>
          </w:tcPr>
          <w:p w:rsidR="005F01BE" w:rsidRDefault="003E2C3A">
            <w:pPr>
              <w:spacing w:line="480" w:lineRule="auto"/>
              <w:jc w:val="both"/>
              <w:rPr>
                <w:color w:val="000000"/>
                <w:sz w:val="24"/>
                <w:szCs w:val="26"/>
              </w:rPr>
            </w:pPr>
            <w:r>
              <w:rPr>
                <w:color w:val="000000"/>
                <w:sz w:val="24"/>
                <w:szCs w:val="26"/>
              </w:rPr>
              <w:t>0.50</w:t>
            </w:r>
          </w:p>
        </w:tc>
      </w:tr>
      <w:tr w:rsidR="005F01BE">
        <w:tc>
          <w:tcPr>
            <w:tcW w:w="2160" w:type="dxa"/>
          </w:tcPr>
          <w:p w:rsidR="005F01BE" w:rsidRDefault="003E2C3A">
            <w:pPr>
              <w:spacing w:line="480" w:lineRule="auto"/>
              <w:jc w:val="both"/>
              <w:rPr>
                <w:color w:val="000000"/>
                <w:sz w:val="24"/>
                <w:szCs w:val="26"/>
              </w:rPr>
            </w:pPr>
            <w:r>
              <w:rPr>
                <w:color w:val="000000"/>
                <w:sz w:val="24"/>
                <w:szCs w:val="26"/>
              </w:rPr>
              <w:t xml:space="preserve">Group </w:t>
            </w:r>
            <w:r>
              <w:rPr>
                <w:color w:val="000000"/>
                <w:sz w:val="24"/>
                <w:szCs w:val="26"/>
              </w:rPr>
              <w:t>7</w:t>
            </w:r>
          </w:p>
        </w:tc>
        <w:tc>
          <w:tcPr>
            <w:tcW w:w="2160" w:type="dxa"/>
          </w:tcPr>
          <w:p w:rsidR="005F01BE" w:rsidRDefault="003E2C3A">
            <w:pPr>
              <w:spacing w:line="480" w:lineRule="auto"/>
              <w:jc w:val="both"/>
              <w:rPr>
                <w:color w:val="000000"/>
                <w:sz w:val="24"/>
                <w:szCs w:val="26"/>
              </w:rPr>
            </w:pPr>
            <w:r>
              <w:rPr>
                <w:color w:val="000000"/>
                <w:sz w:val="24"/>
                <w:szCs w:val="26"/>
              </w:rPr>
              <w:t>7a</w:t>
            </w:r>
          </w:p>
        </w:tc>
        <w:tc>
          <w:tcPr>
            <w:tcW w:w="2160" w:type="dxa"/>
          </w:tcPr>
          <w:p w:rsidR="005F01BE" w:rsidRDefault="003E2C3A">
            <w:pPr>
              <w:spacing w:line="480" w:lineRule="auto"/>
              <w:jc w:val="both"/>
              <w:rPr>
                <w:color w:val="000000"/>
                <w:sz w:val="24"/>
                <w:szCs w:val="26"/>
              </w:rPr>
            </w:pPr>
            <w:r>
              <w:rPr>
                <w:color w:val="000000"/>
                <w:sz w:val="24"/>
                <w:szCs w:val="26"/>
              </w:rPr>
              <w:t>1.27</w:t>
            </w:r>
          </w:p>
        </w:tc>
        <w:tc>
          <w:tcPr>
            <w:tcW w:w="2160" w:type="dxa"/>
          </w:tcPr>
          <w:p w:rsidR="005F01BE" w:rsidRDefault="003E2C3A">
            <w:pPr>
              <w:spacing w:line="480" w:lineRule="auto"/>
              <w:jc w:val="both"/>
              <w:rPr>
                <w:color w:val="000000"/>
                <w:sz w:val="24"/>
                <w:szCs w:val="26"/>
              </w:rPr>
            </w:pPr>
            <w:r>
              <w:rPr>
                <w:color w:val="000000"/>
                <w:sz w:val="24"/>
                <w:szCs w:val="26"/>
              </w:rPr>
              <w:t>0.50</w:t>
            </w:r>
          </w:p>
        </w:tc>
      </w:tr>
    </w:tbl>
    <w:p w:rsidR="005F01BE" w:rsidRDefault="003E2C3A">
      <w:pPr>
        <w:spacing w:before="100" w:beforeAutospacing="1" w:after="0" w:line="480" w:lineRule="auto"/>
        <w:jc w:val="both"/>
        <w:rPr>
          <w:rFonts w:eastAsia="Times New Roman"/>
          <w:color w:val="000000"/>
          <w:sz w:val="24"/>
          <w:szCs w:val="26"/>
        </w:rPr>
      </w:pPr>
      <w:r>
        <w:rPr>
          <w:b/>
          <w:bCs/>
          <w:color w:val="000000"/>
          <w:sz w:val="24"/>
          <w:szCs w:val="26"/>
        </w:rPr>
        <w:t>4.7. Stomach Area Measurement</w:t>
      </w:r>
    </w:p>
    <w:p w:rsidR="005F01BE" w:rsidRDefault="003E2C3A">
      <w:pPr>
        <w:spacing w:before="100" w:beforeAutospacing="1" w:after="0" w:line="480" w:lineRule="auto"/>
        <w:jc w:val="both"/>
        <w:rPr>
          <w:color w:val="000000"/>
          <w:sz w:val="24"/>
          <w:szCs w:val="26"/>
        </w:rPr>
      </w:pPr>
      <w:r>
        <w:rPr>
          <w:color w:val="000000"/>
          <w:sz w:val="24"/>
          <w:szCs w:val="26"/>
        </w:rPr>
        <w:t>The stomach areas (SA), measured as length and breadth, are presented in Table 7. Generally, all groups exhibited similar stomach dimensions, with lengths ranging from 3.3 cm to 4.5 cm and breadths ranging from</w:t>
      </w:r>
      <w:r>
        <w:rPr>
          <w:color w:val="000000"/>
          <w:sz w:val="24"/>
          <w:szCs w:val="26"/>
        </w:rPr>
        <w:t xml:space="preserve"> 2.1 cm to 3.9 cm. Group 2 recorded the highest values for both length (4.5 cm) and breadth (3.9 cm), while Group 6 showed the lowest breadth value (2.1 cm). No stomach area data were recorded for Group 1.</w:t>
      </w:r>
    </w:p>
    <w:p w:rsidR="005F01BE" w:rsidRDefault="005F01BE">
      <w:pPr>
        <w:spacing w:after="0" w:line="480" w:lineRule="auto"/>
        <w:jc w:val="both"/>
        <w:rPr>
          <w:b/>
          <w:color w:val="000000"/>
          <w:sz w:val="24"/>
          <w:szCs w:val="26"/>
        </w:rPr>
      </w:pPr>
    </w:p>
    <w:p w:rsidR="005F01BE" w:rsidRDefault="005F01BE">
      <w:pPr>
        <w:spacing w:after="0" w:line="480" w:lineRule="auto"/>
        <w:jc w:val="both"/>
        <w:rPr>
          <w:b/>
          <w:color w:val="000000"/>
          <w:sz w:val="24"/>
          <w:szCs w:val="26"/>
        </w:rPr>
      </w:pPr>
    </w:p>
    <w:p w:rsidR="005F01BE" w:rsidRDefault="005F01BE">
      <w:pPr>
        <w:spacing w:after="0" w:line="480" w:lineRule="auto"/>
        <w:jc w:val="both"/>
        <w:rPr>
          <w:b/>
          <w:color w:val="000000"/>
          <w:sz w:val="24"/>
          <w:szCs w:val="26"/>
        </w:rPr>
      </w:pPr>
    </w:p>
    <w:p w:rsidR="005F01BE" w:rsidRDefault="005F01BE">
      <w:pPr>
        <w:spacing w:after="0" w:line="480" w:lineRule="auto"/>
        <w:jc w:val="both"/>
        <w:rPr>
          <w:b/>
          <w:color w:val="000000"/>
          <w:sz w:val="24"/>
          <w:szCs w:val="26"/>
        </w:rPr>
      </w:pPr>
    </w:p>
    <w:p w:rsidR="005F01BE" w:rsidRDefault="003E2C3A">
      <w:pPr>
        <w:spacing w:after="0" w:line="480" w:lineRule="auto"/>
        <w:jc w:val="both"/>
        <w:rPr>
          <w:color w:val="000000"/>
          <w:sz w:val="24"/>
          <w:szCs w:val="26"/>
        </w:rPr>
      </w:pPr>
      <w:r>
        <w:rPr>
          <w:b/>
          <w:color w:val="000000"/>
          <w:sz w:val="24"/>
          <w:szCs w:val="26"/>
        </w:rPr>
        <w:lastRenderedPageBreak/>
        <w:t>Table 4.7: Stomach Area (Length and Breadth) M</w:t>
      </w:r>
      <w:r>
        <w:rPr>
          <w:b/>
          <w:color w:val="000000"/>
          <w:sz w:val="24"/>
          <w:szCs w:val="26"/>
        </w:rPr>
        <w:t>easurements of Different Groups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160"/>
        <w:gridCol w:w="2160"/>
        <w:gridCol w:w="2160"/>
      </w:tblGrid>
      <w:tr w:rsidR="005F01BE">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Group</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Sample</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Length (L)</w:t>
            </w:r>
          </w:p>
        </w:tc>
        <w:tc>
          <w:tcPr>
            <w:tcW w:w="2160" w:type="dxa"/>
            <w:tcBorders>
              <w:top w:val="single" w:sz="4" w:space="0" w:color="auto"/>
              <w:bottom w:val="single" w:sz="4" w:space="0" w:color="auto"/>
            </w:tcBorders>
          </w:tcPr>
          <w:p w:rsidR="005F01BE" w:rsidRDefault="003E2C3A">
            <w:pPr>
              <w:spacing w:line="480" w:lineRule="auto"/>
              <w:jc w:val="both"/>
              <w:rPr>
                <w:b/>
                <w:bCs/>
                <w:color w:val="000000"/>
                <w:sz w:val="24"/>
                <w:szCs w:val="26"/>
              </w:rPr>
            </w:pPr>
            <w:r>
              <w:rPr>
                <w:b/>
                <w:bCs/>
                <w:color w:val="000000"/>
                <w:sz w:val="24"/>
                <w:szCs w:val="26"/>
              </w:rPr>
              <w:t>Breadth (B)</w:t>
            </w:r>
          </w:p>
        </w:tc>
      </w:tr>
      <w:tr w:rsidR="005F01BE">
        <w:tc>
          <w:tcPr>
            <w:tcW w:w="2160" w:type="dxa"/>
            <w:tcBorders>
              <w:top w:val="single" w:sz="4" w:space="0" w:color="auto"/>
            </w:tcBorders>
          </w:tcPr>
          <w:p w:rsidR="005F01BE" w:rsidRDefault="003E2C3A">
            <w:pPr>
              <w:spacing w:line="480" w:lineRule="auto"/>
              <w:jc w:val="both"/>
              <w:rPr>
                <w:color w:val="000000"/>
                <w:sz w:val="24"/>
                <w:szCs w:val="26"/>
              </w:rPr>
            </w:pPr>
            <w:r>
              <w:rPr>
                <w:color w:val="000000"/>
                <w:sz w:val="24"/>
                <w:szCs w:val="26"/>
              </w:rPr>
              <w:t>Group 1</w:t>
            </w:r>
          </w:p>
        </w:tc>
        <w:tc>
          <w:tcPr>
            <w:tcW w:w="2160" w:type="dxa"/>
            <w:tcBorders>
              <w:top w:val="single" w:sz="4" w:space="0" w:color="auto"/>
            </w:tcBorders>
          </w:tcPr>
          <w:p w:rsidR="005F01BE" w:rsidRDefault="003E2C3A">
            <w:pPr>
              <w:spacing w:line="480" w:lineRule="auto"/>
              <w:jc w:val="both"/>
              <w:rPr>
                <w:color w:val="000000"/>
                <w:sz w:val="24"/>
                <w:szCs w:val="26"/>
              </w:rPr>
            </w:pPr>
            <w:r>
              <w:rPr>
                <w:color w:val="000000"/>
                <w:sz w:val="24"/>
                <w:szCs w:val="26"/>
              </w:rPr>
              <w:t>1a</w:t>
            </w:r>
          </w:p>
        </w:tc>
        <w:tc>
          <w:tcPr>
            <w:tcW w:w="2160" w:type="dxa"/>
            <w:tcBorders>
              <w:top w:val="single" w:sz="4" w:space="0" w:color="auto"/>
            </w:tcBorders>
          </w:tcPr>
          <w:p w:rsidR="005F01BE" w:rsidRDefault="005F01BE">
            <w:pPr>
              <w:spacing w:line="480" w:lineRule="auto"/>
              <w:jc w:val="both"/>
              <w:rPr>
                <w:color w:val="000000"/>
                <w:sz w:val="24"/>
                <w:szCs w:val="26"/>
              </w:rPr>
            </w:pPr>
          </w:p>
        </w:tc>
        <w:tc>
          <w:tcPr>
            <w:tcW w:w="2160" w:type="dxa"/>
            <w:tcBorders>
              <w:top w:val="single" w:sz="4" w:space="0" w:color="auto"/>
            </w:tcBorders>
          </w:tcPr>
          <w:p w:rsidR="005F01BE" w:rsidRDefault="005F01BE">
            <w:pPr>
              <w:spacing w:line="480" w:lineRule="auto"/>
              <w:jc w:val="both"/>
              <w:rPr>
                <w:color w:val="000000"/>
                <w:sz w:val="24"/>
                <w:szCs w:val="26"/>
              </w:rPr>
            </w:pPr>
          </w:p>
        </w:tc>
      </w:tr>
      <w:tr w:rsidR="005F01BE">
        <w:tc>
          <w:tcPr>
            <w:tcW w:w="2160" w:type="dxa"/>
          </w:tcPr>
          <w:p w:rsidR="005F01BE" w:rsidRDefault="003E2C3A">
            <w:pPr>
              <w:spacing w:line="480" w:lineRule="auto"/>
              <w:jc w:val="both"/>
              <w:rPr>
                <w:color w:val="000000"/>
                <w:sz w:val="24"/>
                <w:szCs w:val="26"/>
              </w:rPr>
            </w:pPr>
            <w:r>
              <w:rPr>
                <w:color w:val="000000"/>
                <w:sz w:val="24"/>
                <w:szCs w:val="26"/>
              </w:rPr>
              <w:t>Group 2</w:t>
            </w:r>
          </w:p>
        </w:tc>
        <w:tc>
          <w:tcPr>
            <w:tcW w:w="2160" w:type="dxa"/>
          </w:tcPr>
          <w:p w:rsidR="005F01BE" w:rsidRDefault="003E2C3A">
            <w:pPr>
              <w:spacing w:line="480" w:lineRule="auto"/>
              <w:jc w:val="both"/>
              <w:rPr>
                <w:color w:val="000000"/>
                <w:sz w:val="24"/>
                <w:szCs w:val="26"/>
              </w:rPr>
            </w:pPr>
            <w:r>
              <w:rPr>
                <w:color w:val="000000"/>
                <w:sz w:val="24"/>
                <w:szCs w:val="26"/>
              </w:rPr>
              <w:t>2a</w:t>
            </w:r>
          </w:p>
        </w:tc>
        <w:tc>
          <w:tcPr>
            <w:tcW w:w="2160" w:type="dxa"/>
          </w:tcPr>
          <w:p w:rsidR="005F01BE" w:rsidRDefault="003E2C3A">
            <w:pPr>
              <w:spacing w:line="480" w:lineRule="auto"/>
              <w:jc w:val="both"/>
              <w:rPr>
                <w:color w:val="000000"/>
                <w:sz w:val="24"/>
                <w:szCs w:val="26"/>
              </w:rPr>
            </w:pPr>
            <w:r>
              <w:rPr>
                <w:color w:val="000000"/>
                <w:sz w:val="24"/>
                <w:szCs w:val="26"/>
              </w:rPr>
              <w:t>4.23</w:t>
            </w:r>
          </w:p>
        </w:tc>
        <w:tc>
          <w:tcPr>
            <w:tcW w:w="2160" w:type="dxa"/>
          </w:tcPr>
          <w:p w:rsidR="005F01BE" w:rsidRDefault="003E2C3A">
            <w:pPr>
              <w:spacing w:line="480" w:lineRule="auto"/>
              <w:jc w:val="both"/>
              <w:rPr>
                <w:color w:val="000000"/>
                <w:sz w:val="24"/>
                <w:szCs w:val="26"/>
              </w:rPr>
            </w:pPr>
            <w:r>
              <w:rPr>
                <w:color w:val="000000"/>
                <w:sz w:val="24"/>
                <w:szCs w:val="26"/>
              </w:rPr>
              <w:t>3.60</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3</w:t>
            </w:r>
          </w:p>
        </w:tc>
        <w:tc>
          <w:tcPr>
            <w:tcW w:w="2160" w:type="dxa"/>
          </w:tcPr>
          <w:p w:rsidR="005F01BE" w:rsidRDefault="003E2C3A">
            <w:pPr>
              <w:spacing w:line="480" w:lineRule="auto"/>
              <w:jc w:val="both"/>
              <w:rPr>
                <w:color w:val="000000"/>
                <w:sz w:val="24"/>
                <w:szCs w:val="26"/>
              </w:rPr>
            </w:pPr>
            <w:r>
              <w:rPr>
                <w:color w:val="000000"/>
                <w:sz w:val="24"/>
                <w:szCs w:val="26"/>
              </w:rPr>
              <w:t>3a</w:t>
            </w:r>
          </w:p>
        </w:tc>
        <w:tc>
          <w:tcPr>
            <w:tcW w:w="2160" w:type="dxa"/>
          </w:tcPr>
          <w:p w:rsidR="005F01BE" w:rsidRDefault="003E2C3A">
            <w:pPr>
              <w:spacing w:line="480" w:lineRule="auto"/>
              <w:jc w:val="both"/>
              <w:rPr>
                <w:color w:val="000000"/>
                <w:sz w:val="24"/>
                <w:szCs w:val="26"/>
              </w:rPr>
            </w:pPr>
            <w:r>
              <w:rPr>
                <w:color w:val="000000"/>
                <w:sz w:val="24"/>
                <w:szCs w:val="26"/>
              </w:rPr>
              <w:t>3.75</w:t>
            </w:r>
          </w:p>
        </w:tc>
        <w:tc>
          <w:tcPr>
            <w:tcW w:w="2160" w:type="dxa"/>
          </w:tcPr>
          <w:p w:rsidR="005F01BE" w:rsidRDefault="003E2C3A">
            <w:pPr>
              <w:spacing w:line="480" w:lineRule="auto"/>
              <w:jc w:val="both"/>
              <w:rPr>
                <w:color w:val="000000"/>
                <w:sz w:val="24"/>
                <w:szCs w:val="26"/>
              </w:rPr>
            </w:pPr>
            <w:r>
              <w:rPr>
                <w:color w:val="000000"/>
                <w:sz w:val="24"/>
                <w:szCs w:val="26"/>
              </w:rPr>
              <w:t>3.00</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4</w:t>
            </w:r>
          </w:p>
        </w:tc>
        <w:tc>
          <w:tcPr>
            <w:tcW w:w="2160" w:type="dxa"/>
          </w:tcPr>
          <w:p w:rsidR="005F01BE" w:rsidRDefault="003E2C3A">
            <w:pPr>
              <w:spacing w:line="480" w:lineRule="auto"/>
              <w:jc w:val="both"/>
              <w:rPr>
                <w:color w:val="000000"/>
                <w:sz w:val="24"/>
                <w:szCs w:val="26"/>
              </w:rPr>
            </w:pPr>
            <w:r>
              <w:rPr>
                <w:color w:val="000000"/>
                <w:sz w:val="24"/>
                <w:szCs w:val="26"/>
              </w:rPr>
              <w:t>4a</w:t>
            </w:r>
          </w:p>
        </w:tc>
        <w:tc>
          <w:tcPr>
            <w:tcW w:w="2160" w:type="dxa"/>
          </w:tcPr>
          <w:p w:rsidR="005F01BE" w:rsidRDefault="003E2C3A">
            <w:pPr>
              <w:spacing w:line="480" w:lineRule="auto"/>
              <w:jc w:val="both"/>
              <w:rPr>
                <w:color w:val="000000"/>
                <w:sz w:val="24"/>
                <w:szCs w:val="26"/>
              </w:rPr>
            </w:pPr>
            <w:r>
              <w:rPr>
                <w:color w:val="000000"/>
                <w:sz w:val="24"/>
                <w:szCs w:val="26"/>
              </w:rPr>
              <w:t>3.80</w:t>
            </w:r>
          </w:p>
        </w:tc>
        <w:tc>
          <w:tcPr>
            <w:tcW w:w="2160" w:type="dxa"/>
          </w:tcPr>
          <w:p w:rsidR="005F01BE" w:rsidRDefault="003E2C3A">
            <w:pPr>
              <w:spacing w:line="480" w:lineRule="auto"/>
              <w:jc w:val="both"/>
              <w:rPr>
                <w:color w:val="000000"/>
                <w:sz w:val="24"/>
                <w:szCs w:val="26"/>
              </w:rPr>
            </w:pPr>
            <w:r>
              <w:rPr>
                <w:color w:val="000000"/>
                <w:sz w:val="24"/>
                <w:szCs w:val="26"/>
              </w:rPr>
              <w:t>2.90</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5</w:t>
            </w:r>
          </w:p>
        </w:tc>
        <w:tc>
          <w:tcPr>
            <w:tcW w:w="2160" w:type="dxa"/>
          </w:tcPr>
          <w:p w:rsidR="005F01BE" w:rsidRDefault="003E2C3A">
            <w:pPr>
              <w:spacing w:line="480" w:lineRule="auto"/>
              <w:jc w:val="both"/>
              <w:rPr>
                <w:color w:val="000000"/>
                <w:sz w:val="24"/>
                <w:szCs w:val="26"/>
              </w:rPr>
            </w:pPr>
            <w:r>
              <w:rPr>
                <w:color w:val="000000"/>
                <w:sz w:val="24"/>
                <w:szCs w:val="26"/>
              </w:rPr>
              <w:t>5a</w:t>
            </w:r>
          </w:p>
        </w:tc>
        <w:tc>
          <w:tcPr>
            <w:tcW w:w="2160" w:type="dxa"/>
          </w:tcPr>
          <w:p w:rsidR="005F01BE" w:rsidRDefault="003E2C3A">
            <w:pPr>
              <w:spacing w:line="480" w:lineRule="auto"/>
              <w:jc w:val="both"/>
              <w:rPr>
                <w:color w:val="000000"/>
                <w:sz w:val="24"/>
                <w:szCs w:val="26"/>
              </w:rPr>
            </w:pPr>
            <w:r>
              <w:rPr>
                <w:color w:val="000000"/>
                <w:sz w:val="24"/>
                <w:szCs w:val="26"/>
              </w:rPr>
              <w:t>3.70</w:t>
            </w:r>
          </w:p>
        </w:tc>
        <w:tc>
          <w:tcPr>
            <w:tcW w:w="2160" w:type="dxa"/>
          </w:tcPr>
          <w:p w:rsidR="005F01BE" w:rsidRDefault="003E2C3A">
            <w:pPr>
              <w:spacing w:line="480" w:lineRule="auto"/>
              <w:jc w:val="both"/>
              <w:rPr>
                <w:color w:val="000000"/>
                <w:sz w:val="24"/>
                <w:szCs w:val="26"/>
              </w:rPr>
            </w:pPr>
            <w:r>
              <w:rPr>
                <w:color w:val="000000"/>
                <w:sz w:val="24"/>
                <w:szCs w:val="26"/>
              </w:rPr>
              <w:t>2.73</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6</w:t>
            </w:r>
          </w:p>
        </w:tc>
        <w:tc>
          <w:tcPr>
            <w:tcW w:w="2160" w:type="dxa"/>
          </w:tcPr>
          <w:p w:rsidR="005F01BE" w:rsidRDefault="003E2C3A">
            <w:pPr>
              <w:spacing w:line="480" w:lineRule="auto"/>
              <w:jc w:val="both"/>
              <w:rPr>
                <w:color w:val="000000"/>
                <w:sz w:val="24"/>
                <w:szCs w:val="26"/>
              </w:rPr>
            </w:pPr>
            <w:r>
              <w:rPr>
                <w:color w:val="000000"/>
                <w:sz w:val="24"/>
                <w:szCs w:val="26"/>
              </w:rPr>
              <w:t>6a</w:t>
            </w:r>
          </w:p>
        </w:tc>
        <w:tc>
          <w:tcPr>
            <w:tcW w:w="2160" w:type="dxa"/>
          </w:tcPr>
          <w:p w:rsidR="005F01BE" w:rsidRDefault="003E2C3A">
            <w:pPr>
              <w:spacing w:line="480" w:lineRule="auto"/>
              <w:jc w:val="both"/>
              <w:rPr>
                <w:color w:val="000000"/>
                <w:sz w:val="24"/>
                <w:szCs w:val="26"/>
              </w:rPr>
            </w:pPr>
            <w:r>
              <w:rPr>
                <w:color w:val="000000"/>
                <w:sz w:val="24"/>
                <w:szCs w:val="26"/>
              </w:rPr>
              <w:t>3.80</w:t>
            </w:r>
          </w:p>
        </w:tc>
        <w:tc>
          <w:tcPr>
            <w:tcW w:w="2160" w:type="dxa"/>
          </w:tcPr>
          <w:p w:rsidR="005F01BE" w:rsidRDefault="003E2C3A">
            <w:pPr>
              <w:spacing w:line="480" w:lineRule="auto"/>
              <w:jc w:val="both"/>
              <w:rPr>
                <w:color w:val="000000"/>
                <w:sz w:val="24"/>
                <w:szCs w:val="26"/>
              </w:rPr>
            </w:pPr>
            <w:r>
              <w:rPr>
                <w:color w:val="000000"/>
                <w:sz w:val="24"/>
                <w:szCs w:val="26"/>
              </w:rPr>
              <w:t>2.53</w:t>
            </w:r>
          </w:p>
        </w:tc>
      </w:tr>
      <w:tr w:rsidR="005F01BE">
        <w:tc>
          <w:tcPr>
            <w:tcW w:w="2160" w:type="dxa"/>
          </w:tcPr>
          <w:p w:rsidR="005F01BE" w:rsidRDefault="003E2C3A">
            <w:pPr>
              <w:spacing w:line="480" w:lineRule="auto"/>
              <w:jc w:val="both"/>
              <w:rPr>
                <w:color w:val="000000"/>
                <w:sz w:val="24"/>
                <w:szCs w:val="26"/>
              </w:rPr>
            </w:pPr>
            <w:r>
              <w:rPr>
                <w:color w:val="000000"/>
                <w:sz w:val="24"/>
                <w:szCs w:val="26"/>
              </w:rPr>
              <w:t>Group 7</w:t>
            </w:r>
          </w:p>
        </w:tc>
        <w:tc>
          <w:tcPr>
            <w:tcW w:w="2160" w:type="dxa"/>
          </w:tcPr>
          <w:p w:rsidR="005F01BE" w:rsidRDefault="003E2C3A">
            <w:pPr>
              <w:spacing w:line="480" w:lineRule="auto"/>
              <w:jc w:val="both"/>
              <w:rPr>
                <w:color w:val="000000"/>
                <w:sz w:val="24"/>
                <w:szCs w:val="26"/>
              </w:rPr>
            </w:pPr>
            <w:r>
              <w:rPr>
                <w:color w:val="000000"/>
                <w:sz w:val="24"/>
                <w:szCs w:val="26"/>
              </w:rPr>
              <w:t>7a</w:t>
            </w:r>
          </w:p>
        </w:tc>
        <w:tc>
          <w:tcPr>
            <w:tcW w:w="2160" w:type="dxa"/>
          </w:tcPr>
          <w:p w:rsidR="005F01BE" w:rsidRDefault="003E2C3A">
            <w:pPr>
              <w:spacing w:line="480" w:lineRule="auto"/>
              <w:jc w:val="both"/>
              <w:rPr>
                <w:color w:val="000000"/>
                <w:sz w:val="24"/>
                <w:szCs w:val="26"/>
              </w:rPr>
            </w:pPr>
            <w:r>
              <w:rPr>
                <w:color w:val="000000"/>
                <w:sz w:val="24"/>
                <w:szCs w:val="26"/>
              </w:rPr>
              <w:t>3.83</w:t>
            </w:r>
          </w:p>
        </w:tc>
        <w:tc>
          <w:tcPr>
            <w:tcW w:w="2160" w:type="dxa"/>
          </w:tcPr>
          <w:p w:rsidR="005F01BE" w:rsidRDefault="003E2C3A">
            <w:pPr>
              <w:spacing w:line="480" w:lineRule="auto"/>
              <w:jc w:val="both"/>
              <w:rPr>
                <w:color w:val="000000"/>
                <w:sz w:val="24"/>
                <w:szCs w:val="26"/>
              </w:rPr>
            </w:pPr>
            <w:r>
              <w:rPr>
                <w:color w:val="000000"/>
                <w:sz w:val="24"/>
                <w:szCs w:val="26"/>
              </w:rPr>
              <w:t>2.86</w:t>
            </w:r>
          </w:p>
        </w:tc>
      </w:tr>
    </w:tbl>
    <w:p w:rsidR="005F01BE" w:rsidRDefault="003E2C3A">
      <w:pPr>
        <w:spacing w:before="100" w:beforeAutospacing="1" w:after="0" w:line="480" w:lineRule="auto"/>
        <w:jc w:val="both"/>
        <w:rPr>
          <w:rFonts w:eastAsia="Times New Roman"/>
          <w:b/>
          <w:bCs/>
          <w:color w:val="000000"/>
          <w:sz w:val="24"/>
          <w:szCs w:val="26"/>
        </w:rPr>
      </w:pPr>
      <w:r>
        <w:rPr>
          <w:rFonts w:eastAsia="Times New Roman"/>
          <w:b/>
          <w:bCs/>
          <w:color w:val="000000"/>
          <w:sz w:val="24"/>
          <w:szCs w:val="26"/>
        </w:rPr>
        <w:t>4.8 Hematological Composition</w:t>
      </w:r>
      <w:r>
        <w:rPr>
          <w:rFonts w:eastAsia="Times New Roman"/>
          <w:b/>
          <w:bCs/>
          <w:color w:val="000000"/>
          <w:sz w:val="24"/>
          <w:szCs w:val="26"/>
        </w:rPr>
        <w:t xml:space="preserve"> of Rats blood samples</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Table 4.8 presents the hematological parameters of the experimental groups. White blood cell (WBC) counts ranged widely across the groups, with the highest value (10.3 × 10⁹/L) recorded in Group 4 and the lowest (1.98 × 10⁹/L) observ</w:t>
      </w:r>
      <w:r>
        <w:rPr>
          <w:rFonts w:eastAsia="Times New Roman"/>
          <w:color w:val="000000"/>
          <w:sz w:val="24"/>
          <w:szCs w:val="26"/>
        </w:rPr>
        <w:t>ed in Group 6. Generally, Groups 6 and 7, which received higher doses of the extract (400 mg/kg and 800 mg/kg respectively), exhibited marked reductions in WBC counts compared to the control group, suggesting potential immunosuppressive effects at higher d</w:t>
      </w:r>
      <w:r>
        <w:rPr>
          <w:rFonts w:eastAsia="Times New Roman"/>
          <w:color w:val="000000"/>
          <w:sz w:val="24"/>
          <w:szCs w:val="26"/>
        </w:rPr>
        <w:t>oses.</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 xml:space="preserve">Neutrophil (NEU) and lymphocyte (LYMPH) percentages remained relatively balanced across groups, though Groups 5 and 6 showed slight elevations in neutrophil </w:t>
      </w:r>
      <w:r>
        <w:rPr>
          <w:rFonts w:eastAsia="Times New Roman"/>
          <w:color w:val="000000"/>
          <w:sz w:val="24"/>
          <w:szCs w:val="26"/>
        </w:rPr>
        <w:lastRenderedPageBreak/>
        <w:t>percentages and reductions in lymphocytes. These shifts could imply a mild stress or inflamma</w:t>
      </w:r>
      <w:r>
        <w:rPr>
          <w:rFonts w:eastAsia="Times New Roman"/>
          <w:color w:val="000000"/>
          <w:sz w:val="24"/>
          <w:szCs w:val="26"/>
        </w:rPr>
        <w:t>tory response, particularly at higher extract concentrations.</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Red blood cell (RBC) counts showed notable stability across the groups, ranging from 5.00 × 10¹²/L to 6.00 × 10¹²/L. Groups 1 is the lowest, and Group 4 exhibited relatively higher RBC values, i</w:t>
      </w:r>
      <w:r>
        <w:rPr>
          <w:rFonts w:eastAsia="Times New Roman"/>
          <w:color w:val="000000"/>
          <w:sz w:val="24"/>
          <w:szCs w:val="26"/>
        </w:rPr>
        <w:t xml:space="preserve">ndicating enhanced erythropoietic activity in these groups. Similarly, haemoglobin (Hb) concentrations and packed cell volume (PCV) followed this trend, with Groups 2 and Group 4 showing higher values (Hb: 12.46 g/dL and 12.10 g/dL; PCV: 37.66 % and 36.67 </w:t>
      </w:r>
      <w:r>
        <w:rPr>
          <w:rFonts w:eastAsia="Times New Roman"/>
          <w:color w:val="000000"/>
          <w:sz w:val="24"/>
          <w:szCs w:val="26"/>
        </w:rPr>
        <w:t>% respectively). These findings suggest that moderate extract doses might support erythropoiesis and improve oxygen-carrying capacity.</w:t>
      </w:r>
    </w:p>
    <w:p w:rsidR="005F01BE" w:rsidRDefault="003E2C3A">
      <w:pPr>
        <w:spacing w:before="100" w:beforeAutospacing="1" w:after="0" w:line="480" w:lineRule="auto"/>
        <w:ind w:firstLine="720"/>
        <w:jc w:val="both"/>
        <w:rPr>
          <w:rFonts w:eastAsia="Times New Roman"/>
          <w:color w:val="000000"/>
          <w:sz w:val="24"/>
          <w:szCs w:val="26"/>
        </w:rPr>
      </w:pPr>
      <w:r>
        <w:rPr>
          <w:rFonts w:eastAsia="Times New Roman"/>
          <w:color w:val="000000"/>
          <w:sz w:val="24"/>
          <w:szCs w:val="26"/>
        </w:rPr>
        <w:t>The mean corpuscular volume (MCV), mean corpuscular haemoglobin (MCH), and mean corpuscular haemoglobin concentration (MC</w:t>
      </w:r>
      <w:r>
        <w:rPr>
          <w:rFonts w:eastAsia="Times New Roman"/>
          <w:color w:val="000000"/>
          <w:sz w:val="24"/>
          <w:szCs w:val="26"/>
        </w:rPr>
        <w:t>HC) remained within normal ranges across all groups. However, slightly lower MCV values were observed in Groups 6 and Group 1, possibly indicating the early onset of microcytic changes at very high extract doses.</w:t>
      </w:r>
    </w:p>
    <w:p w:rsidR="005F01BE" w:rsidRDefault="003E2C3A">
      <w:pPr>
        <w:spacing w:before="100" w:beforeAutospacing="1" w:after="0" w:line="480" w:lineRule="auto"/>
        <w:rPr>
          <w:rFonts w:eastAsia="Times New Roman"/>
          <w:b/>
          <w:bCs/>
          <w:color w:val="000000"/>
          <w:sz w:val="24"/>
          <w:szCs w:val="26"/>
        </w:rPr>
      </w:pPr>
      <w:r>
        <w:rPr>
          <w:rFonts w:eastAsia="Times New Roman"/>
          <w:b/>
          <w:bCs/>
          <w:color w:val="000000"/>
          <w:sz w:val="24"/>
          <w:szCs w:val="26"/>
        </w:rPr>
        <w:t>Table 4.8 Hematological Composition of Rats</w:t>
      </w:r>
      <w:r>
        <w:rPr>
          <w:rFonts w:eastAsia="Times New Roman"/>
          <w:b/>
          <w:bCs/>
          <w:color w:val="000000"/>
          <w:sz w:val="24"/>
          <w:szCs w:val="26"/>
        </w:rPr>
        <w:t xml:space="preserve"> blood samples</w:t>
      </w:r>
    </w:p>
    <w:tbl>
      <w:tblPr>
        <w:tblStyle w:val="TableGrid"/>
        <w:tblW w:w="11045" w:type="dxa"/>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
        <w:gridCol w:w="1079"/>
        <w:gridCol w:w="871"/>
        <w:gridCol w:w="672"/>
        <w:gridCol w:w="982"/>
        <w:gridCol w:w="636"/>
        <w:gridCol w:w="719"/>
        <w:gridCol w:w="781"/>
        <w:gridCol w:w="921"/>
        <w:gridCol w:w="821"/>
        <w:gridCol w:w="666"/>
        <w:gridCol w:w="724"/>
        <w:gridCol w:w="734"/>
        <w:gridCol w:w="891"/>
      </w:tblGrid>
      <w:tr w:rsidR="005F01BE">
        <w:trPr>
          <w:trHeight w:val="900"/>
          <w:jc w:val="center"/>
        </w:trPr>
        <w:tc>
          <w:tcPr>
            <w:tcW w:w="552" w:type="dxa"/>
            <w:tcBorders>
              <w:top w:val="single" w:sz="4" w:space="0" w:color="auto"/>
              <w:bottom w:val="single" w:sz="4" w:space="0" w:color="auto"/>
            </w:tcBorders>
          </w:tcPr>
          <w:p w:rsidR="005F01BE" w:rsidRDefault="005F01BE">
            <w:pPr>
              <w:spacing w:line="480" w:lineRule="auto"/>
              <w:rPr>
                <w:rFonts w:ascii="SimSun" w:hAnsi="SimSun" w:cs="SimSun"/>
                <w:b/>
                <w:color w:val="000000"/>
                <w:sz w:val="20"/>
                <w:szCs w:val="22"/>
              </w:rPr>
            </w:pPr>
          </w:p>
          <w:p w:rsidR="005F01BE" w:rsidRDefault="003E2C3A">
            <w:pPr>
              <w:spacing w:line="480" w:lineRule="auto"/>
              <w:rPr>
                <w:color w:val="000000"/>
                <w:sz w:val="20"/>
                <w:szCs w:val="22"/>
              </w:rPr>
            </w:pPr>
            <w:r>
              <w:rPr>
                <w:rFonts w:ascii="SimSun" w:hAnsi="SimSun" w:cs="SimSun"/>
                <w:b/>
                <w:color w:val="000000"/>
                <w:sz w:val="20"/>
                <w:szCs w:val="22"/>
              </w:rPr>
              <w:t>S/N</w:t>
            </w:r>
          </w:p>
        </w:tc>
        <w:tc>
          <w:tcPr>
            <w:tcW w:w="1119"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SAMPLE</w:t>
            </w:r>
          </w:p>
          <w:p w:rsidR="005F01BE" w:rsidRDefault="003E2C3A">
            <w:pPr>
              <w:spacing w:line="480" w:lineRule="auto"/>
              <w:rPr>
                <w:color w:val="000000"/>
                <w:sz w:val="20"/>
                <w:szCs w:val="22"/>
              </w:rPr>
            </w:pPr>
            <w:r>
              <w:rPr>
                <w:rFonts w:ascii="SimSun" w:hAnsi="SimSun" w:cs="SimSun"/>
                <w:b/>
                <w:color w:val="000000"/>
                <w:sz w:val="20"/>
                <w:szCs w:val="22"/>
              </w:rPr>
              <w:t>I.D</w:t>
            </w:r>
          </w:p>
        </w:tc>
        <w:tc>
          <w:tcPr>
            <w:tcW w:w="830"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 xml:space="preserve"> WBC</w:t>
            </w:r>
          </w:p>
          <w:p w:rsidR="005F01BE" w:rsidRDefault="003E2C3A">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9</w:t>
            </w:r>
            <w:r>
              <w:rPr>
                <w:rFonts w:ascii="SimSun" w:hAnsi="SimSun" w:cs="SimSun"/>
                <w:b/>
                <w:color w:val="000000"/>
                <w:sz w:val="20"/>
                <w:szCs w:val="22"/>
              </w:rPr>
              <w:t>/L</w:t>
            </w:r>
          </w:p>
        </w:tc>
        <w:tc>
          <w:tcPr>
            <w:tcW w:w="673"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NEU</w:t>
            </w:r>
          </w:p>
          <w:p w:rsidR="005F01BE" w:rsidRDefault="003E2C3A">
            <w:pPr>
              <w:spacing w:line="480" w:lineRule="auto"/>
              <w:rPr>
                <w:color w:val="000000"/>
                <w:sz w:val="20"/>
                <w:szCs w:val="22"/>
              </w:rPr>
            </w:pPr>
            <w:r>
              <w:rPr>
                <w:rFonts w:ascii="SimSun" w:hAnsi="SimSun" w:cs="SimSun"/>
                <w:b/>
                <w:color w:val="000000"/>
                <w:sz w:val="20"/>
                <w:szCs w:val="22"/>
              </w:rPr>
              <w:t xml:space="preserve"> (%)</w:t>
            </w:r>
          </w:p>
        </w:tc>
        <w:tc>
          <w:tcPr>
            <w:tcW w:w="1022"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LYMPH</w:t>
            </w:r>
          </w:p>
          <w:p w:rsidR="005F01BE" w:rsidRDefault="003E2C3A">
            <w:pPr>
              <w:spacing w:line="480" w:lineRule="auto"/>
              <w:rPr>
                <w:color w:val="000000"/>
                <w:sz w:val="20"/>
                <w:szCs w:val="22"/>
              </w:rPr>
            </w:pPr>
            <w:r>
              <w:rPr>
                <w:rFonts w:ascii="SimSun" w:hAnsi="SimSun" w:cs="SimSun"/>
                <w:b/>
                <w:color w:val="000000"/>
                <w:sz w:val="20"/>
                <w:szCs w:val="22"/>
              </w:rPr>
              <w:t>(%)</w:t>
            </w:r>
          </w:p>
        </w:tc>
        <w:tc>
          <w:tcPr>
            <w:tcW w:w="649"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EOS</w:t>
            </w:r>
          </w:p>
          <w:p w:rsidR="005F01BE" w:rsidRDefault="003E2C3A">
            <w:pPr>
              <w:spacing w:line="480" w:lineRule="auto"/>
              <w:rPr>
                <w:color w:val="000000"/>
                <w:sz w:val="20"/>
                <w:szCs w:val="22"/>
              </w:rPr>
            </w:pPr>
            <w:r>
              <w:rPr>
                <w:rFonts w:ascii="SimSun" w:hAnsi="SimSun" w:cs="SimSun"/>
                <w:b/>
                <w:color w:val="000000"/>
                <w:sz w:val="20"/>
                <w:szCs w:val="22"/>
              </w:rPr>
              <w:t>(%)</w:t>
            </w:r>
          </w:p>
        </w:tc>
        <w:tc>
          <w:tcPr>
            <w:tcW w:w="745"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MON</w:t>
            </w:r>
          </w:p>
          <w:p w:rsidR="005F01BE" w:rsidRDefault="003E2C3A">
            <w:pPr>
              <w:spacing w:line="480" w:lineRule="auto"/>
              <w:rPr>
                <w:color w:val="000000"/>
                <w:sz w:val="20"/>
                <w:szCs w:val="22"/>
              </w:rPr>
            </w:pPr>
            <w:r>
              <w:rPr>
                <w:rFonts w:ascii="SimSun" w:hAnsi="SimSun" w:cs="SimSun"/>
                <w:b/>
                <w:color w:val="000000"/>
                <w:sz w:val="20"/>
                <w:szCs w:val="22"/>
              </w:rPr>
              <w:t>(%)</w:t>
            </w:r>
          </w:p>
        </w:tc>
        <w:tc>
          <w:tcPr>
            <w:tcW w:w="806"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BASO</w:t>
            </w:r>
          </w:p>
          <w:p w:rsidR="005F01BE" w:rsidRDefault="003E2C3A">
            <w:pPr>
              <w:spacing w:line="480" w:lineRule="auto"/>
              <w:rPr>
                <w:color w:val="000000"/>
                <w:sz w:val="20"/>
                <w:szCs w:val="22"/>
              </w:rPr>
            </w:pPr>
            <w:r>
              <w:rPr>
                <w:rFonts w:ascii="SimSun" w:hAnsi="SimSun" w:cs="SimSun"/>
                <w:b/>
                <w:color w:val="000000"/>
                <w:sz w:val="20"/>
                <w:szCs w:val="22"/>
              </w:rPr>
              <w:t>(%)</w:t>
            </w:r>
          </w:p>
        </w:tc>
        <w:tc>
          <w:tcPr>
            <w:tcW w:w="899"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RBC</w:t>
            </w:r>
          </w:p>
          <w:p w:rsidR="005F01BE" w:rsidRDefault="003E2C3A">
            <w:pPr>
              <w:spacing w:line="480" w:lineRule="auto"/>
              <w:rPr>
                <w:color w:val="000000"/>
                <w:sz w:val="20"/>
                <w:szCs w:val="22"/>
              </w:rPr>
            </w:pPr>
            <w:r>
              <w:rPr>
                <w:rFonts w:ascii="SimSun" w:hAnsi="SimSun" w:cs="SimSun"/>
                <w:b/>
                <w:color w:val="000000"/>
                <w:sz w:val="20"/>
                <w:szCs w:val="22"/>
              </w:rPr>
              <w:t>×10</w:t>
            </w:r>
            <w:r>
              <w:rPr>
                <w:rFonts w:ascii="SimSun" w:hAnsi="SimSun" w:cs="SimSun"/>
                <w:b/>
                <w:color w:val="000000"/>
                <w:sz w:val="20"/>
                <w:szCs w:val="22"/>
                <w:vertAlign w:val="superscript"/>
              </w:rPr>
              <w:t>12</w:t>
            </w:r>
            <w:r>
              <w:rPr>
                <w:rFonts w:ascii="SimSun" w:hAnsi="SimSun" w:cs="SimSun"/>
                <w:b/>
                <w:color w:val="000000"/>
                <w:sz w:val="20"/>
                <w:szCs w:val="22"/>
              </w:rPr>
              <w:t>/L</w:t>
            </w:r>
          </w:p>
        </w:tc>
        <w:tc>
          <w:tcPr>
            <w:tcW w:w="709"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HB</w:t>
            </w:r>
          </w:p>
          <w:p w:rsidR="005F01BE" w:rsidRDefault="003E2C3A">
            <w:pPr>
              <w:spacing w:line="480" w:lineRule="auto"/>
              <w:rPr>
                <w:color w:val="000000"/>
                <w:sz w:val="20"/>
                <w:szCs w:val="22"/>
              </w:rPr>
            </w:pPr>
            <w:r>
              <w:rPr>
                <w:rFonts w:ascii="SimSun" w:hAnsi="SimSun" w:cs="SimSun"/>
                <w:b/>
                <w:color w:val="000000"/>
                <w:sz w:val="20"/>
                <w:szCs w:val="22"/>
              </w:rPr>
              <w:t>(g/dl)</w:t>
            </w:r>
          </w:p>
        </w:tc>
        <w:tc>
          <w:tcPr>
            <w:tcW w:w="661"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PCV</w:t>
            </w:r>
          </w:p>
          <w:p w:rsidR="005F01BE" w:rsidRDefault="003E2C3A">
            <w:pPr>
              <w:spacing w:line="480" w:lineRule="auto"/>
              <w:rPr>
                <w:color w:val="000000"/>
                <w:sz w:val="20"/>
                <w:szCs w:val="22"/>
              </w:rPr>
            </w:pPr>
            <w:r>
              <w:rPr>
                <w:rFonts w:ascii="SimSun" w:hAnsi="SimSun" w:cs="SimSun"/>
                <w:b/>
                <w:color w:val="000000"/>
                <w:sz w:val="20"/>
                <w:szCs w:val="22"/>
              </w:rPr>
              <w:t>(%)</w:t>
            </w:r>
          </w:p>
        </w:tc>
        <w:tc>
          <w:tcPr>
            <w:tcW w:w="733"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MCV</w:t>
            </w:r>
          </w:p>
          <w:p w:rsidR="005F01BE" w:rsidRDefault="003E2C3A">
            <w:pPr>
              <w:spacing w:line="480" w:lineRule="auto"/>
              <w:rPr>
                <w:color w:val="000000"/>
                <w:sz w:val="20"/>
                <w:szCs w:val="22"/>
              </w:rPr>
            </w:pPr>
            <w:r>
              <w:rPr>
                <w:rFonts w:ascii="SimSun" w:hAnsi="SimSun" w:cs="SimSun"/>
                <w:b/>
                <w:color w:val="000000"/>
                <w:sz w:val="20"/>
                <w:szCs w:val="22"/>
              </w:rPr>
              <w:t>(fl)</w:t>
            </w:r>
          </w:p>
        </w:tc>
        <w:tc>
          <w:tcPr>
            <w:tcW w:w="745"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MCH</w:t>
            </w:r>
          </w:p>
          <w:p w:rsidR="005F01BE" w:rsidRDefault="003E2C3A">
            <w:pPr>
              <w:spacing w:line="480" w:lineRule="auto"/>
              <w:rPr>
                <w:color w:val="000000"/>
                <w:sz w:val="20"/>
                <w:szCs w:val="22"/>
              </w:rPr>
            </w:pPr>
            <w:r>
              <w:rPr>
                <w:rFonts w:ascii="SimSun" w:hAnsi="SimSun" w:cs="SimSun"/>
                <w:b/>
                <w:color w:val="000000"/>
                <w:sz w:val="20"/>
                <w:szCs w:val="22"/>
              </w:rPr>
              <w:t>(Pg)</w:t>
            </w:r>
          </w:p>
        </w:tc>
        <w:tc>
          <w:tcPr>
            <w:tcW w:w="902" w:type="dxa"/>
            <w:tcBorders>
              <w:top w:val="single" w:sz="4" w:space="0" w:color="auto"/>
              <w:bottom w:val="single" w:sz="4" w:space="0" w:color="auto"/>
            </w:tcBorders>
            <w:hideMark/>
          </w:tcPr>
          <w:p w:rsidR="005F01BE" w:rsidRDefault="003E2C3A">
            <w:pPr>
              <w:spacing w:line="480" w:lineRule="auto"/>
              <w:jc w:val="center"/>
              <w:rPr>
                <w:rFonts w:ascii="SimSun" w:hAnsi="SimSun" w:cs="SimSun"/>
                <w:b/>
                <w:color w:val="000000"/>
                <w:sz w:val="20"/>
                <w:szCs w:val="22"/>
              </w:rPr>
            </w:pPr>
            <w:r>
              <w:rPr>
                <w:rFonts w:ascii="SimSun" w:hAnsi="SimSun" w:cs="SimSun"/>
                <w:b/>
                <w:color w:val="000000"/>
                <w:sz w:val="20"/>
                <w:szCs w:val="22"/>
              </w:rPr>
              <w:t>MCHC</w:t>
            </w:r>
          </w:p>
          <w:p w:rsidR="005F01BE" w:rsidRDefault="003E2C3A">
            <w:pPr>
              <w:spacing w:line="480" w:lineRule="auto"/>
              <w:rPr>
                <w:color w:val="000000"/>
                <w:sz w:val="20"/>
                <w:szCs w:val="22"/>
              </w:rPr>
            </w:pPr>
            <w:r>
              <w:rPr>
                <w:rFonts w:ascii="SimSun" w:hAnsi="SimSun" w:cs="SimSun"/>
                <w:b/>
                <w:color w:val="000000"/>
                <w:sz w:val="20"/>
                <w:szCs w:val="22"/>
              </w:rPr>
              <w:t>(g/dl)</w:t>
            </w:r>
          </w:p>
        </w:tc>
      </w:tr>
      <w:tr w:rsidR="005F01BE">
        <w:trPr>
          <w:trHeight w:val="97"/>
          <w:jc w:val="center"/>
        </w:trPr>
        <w:tc>
          <w:tcPr>
            <w:tcW w:w="552"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1119"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830"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673"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1022"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649"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745"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806"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899"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709"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661"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733"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745" w:type="dxa"/>
            <w:tcBorders>
              <w:top w:val="single" w:sz="4" w:space="0" w:color="auto"/>
            </w:tcBorders>
          </w:tcPr>
          <w:p w:rsidR="005F01BE" w:rsidRDefault="005F01BE">
            <w:pPr>
              <w:spacing w:line="480" w:lineRule="auto"/>
              <w:rPr>
                <w:rFonts w:ascii="SimSun" w:hAnsi="SimSun" w:cs="SimSun"/>
                <w:b/>
                <w:color w:val="000000"/>
                <w:sz w:val="20"/>
                <w:szCs w:val="22"/>
              </w:rPr>
            </w:pPr>
          </w:p>
        </w:tc>
        <w:tc>
          <w:tcPr>
            <w:tcW w:w="902" w:type="dxa"/>
            <w:tcBorders>
              <w:top w:val="single" w:sz="4" w:space="0" w:color="auto"/>
            </w:tcBorders>
          </w:tcPr>
          <w:p w:rsidR="005F01BE" w:rsidRDefault="005F01BE">
            <w:pPr>
              <w:spacing w:line="480" w:lineRule="auto"/>
              <w:rPr>
                <w:rFonts w:ascii="SimSun" w:hAnsi="SimSun" w:cs="SimSun"/>
                <w:b/>
                <w:color w:val="000000"/>
                <w:sz w:val="20"/>
                <w:szCs w:val="22"/>
              </w:rPr>
            </w:pP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t>1</w:t>
            </w:r>
          </w:p>
        </w:tc>
        <w:tc>
          <w:tcPr>
            <w:tcW w:w="1119" w:type="dxa"/>
            <w:hideMark/>
          </w:tcPr>
          <w:p w:rsidR="005F01BE" w:rsidRDefault="003E2C3A">
            <w:pPr>
              <w:spacing w:line="480" w:lineRule="auto"/>
              <w:rPr>
                <w:color w:val="000000"/>
                <w:sz w:val="20"/>
                <w:szCs w:val="22"/>
              </w:rPr>
            </w:pPr>
            <w:r>
              <w:rPr>
                <w:color w:val="000000"/>
                <w:sz w:val="20"/>
                <w:szCs w:val="22"/>
              </w:rPr>
              <w:t>Group 1</w:t>
            </w:r>
          </w:p>
        </w:tc>
        <w:tc>
          <w:tcPr>
            <w:tcW w:w="830" w:type="dxa"/>
            <w:hideMark/>
          </w:tcPr>
          <w:p w:rsidR="005F01BE" w:rsidRDefault="003E2C3A">
            <w:pPr>
              <w:spacing w:line="480" w:lineRule="auto"/>
              <w:rPr>
                <w:color w:val="000000"/>
                <w:sz w:val="20"/>
                <w:szCs w:val="22"/>
              </w:rPr>
            </w:pPr>
            <w:r>
              <w:rPr>
                <w:color w:val="000000"/>
                <w:sz w:val="20"/>
                <w:szCs w:val="22"/>
              </w:rPr>
              <w:t>8.20</w:t>
            </w:r>
          </w:p>
        </w:tc>
        <w:tc>
          <w:tcPr>
            <w:tcW w:w="673" w:type="dxa"/>
            <w:hideMark/>
          </w:tcPr>
          <w:p w:rsidR="005F01BE" w:rsidRDefault="003E2C3A">
            <w:pPr>
              <w:spacing w:line="480" w:lineRule="auto"/>
              <w:rPr>
                <w:color w:val="000000"/>
                <w:sz w:val="20"/>
                <w:szCs w:val="22"/>
              </w:rPr>
            </w:pPr>
            <w:r>
              <w:rPr>
                <w:color w:val="000000"/>
                <w:sz w:val="20"/>
                <w:szCs w:val="22"/>
              </w:rPr>
              <w:t>27.30</w:t>
            </w:r>
          </w:p>
        </w:tc>
        <w:tc>
          <w:tcPr>
            <w:tcW w:w="1022" w:type="dxa"/>
            <w:hideMark/>
          </w:tcPr>
          <w:p w:rsidR="005F01BE" w:rsidRDefault="003E2C3A">
            <w:pPr>
              <w:spacing w:line="480" w:lineRule="auto"/>
              <w:rPr>
                <w:color w:val="000000"/>
                <w:sz w:val="20"/>
                <w:szCs w:val="22"/>
              </w:rPr>
            </w:pPr>
            <w:r>
              <w:rPr>
                <w:color w:val="000000"/>
                <w:sz w:val="20"/>
                <w:szCs w:val="22"/>
              </w:rPr>
              <w:t>72.30</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5.00</w:t>
            </w:r>
          </w:p>
        </w:tc>
        <w:tc>
          <w:tcPr>
            <w:tcW w:w="709" w:type="dxa"/>
            <w:hideMark/>
          </w:tcPr>
          <w:p w:rsidR="005F01BE" w:rsidRDefault="003E2C3A">
            <w:pPr>
              <w:spacing w:line="480" w:lineRule="auto"/>
              <w:rPr>
                <w:color w:val="000000"/>
                <w:sz w:val="20"/>
                <w:szCs w:val="22"/>
              </w:rPr>
            </w:pPr>
            <w:r>
              <w:rPr>
                <w:color w:val="000000"/>
                <w:sz w:val="20"/>
                <w:szCs w:val="22"/>
              </w:rPr>
              <w:t>10.33</w:t>
            </w:r>
          </w:p>
        </w:tc>
        <w:tc>
          <w:tcPr>
            <w:tcW w:w="661" w:type="dxa"/>
            <w:hideMark/>
          </w:tcPr>
          <w:p w:rsidR="005F01BE" w:rsidRDefault="003E2C3A">
            <w:pPr>
              <w:spacing w:line="480" w:lineRule="auto"/>
              <w:rPr>
                <w:color w:val="000000"/>
                <w:sz w:val="20"/>
                <w:szCs w:val="22"/>
              </w:rPr>
            </w:pPr>
            <w:r>
              <w:rPr>
                <w:color w:val="000000"/>
                <w:sz w:val="20"/>
                <w:szCs w:val="22"/>
              </w:rPr>
              <w:t>31.00</w:t>
            </w:r>
          </w:p>
        </w:tc>
        <w:tc>
          <w:tcPr>
            <w:tcW w:w="733" w:type="dxa"/>
            <w:hideMark/>
          </w:tcPr>
          <w:p w:rsidR="005F01BE" w:rsidRDefault="003E2C3A">
            <w:pPr>
              <w:spacing w:line="480" w:lineRule="auto"/>
              <w:rPr>
                <w:color w:val="000000"/>
                <w:sz w:val="20"/>
                <w:szCs w:val="22"/>
              </w:rPr>
            </w:pPr>
            <w:r>
              <w:rPr>
                <w:color w:val="000000"/>
                <w:sz w:val="20"/>
                <w:szCs w:val="22"/>
              </w:rPr>
              <w:t>64.00</w:t>
            </w:r>
          </w:p>
        </w:tc>
        <w:tc>
          <w:tcPr>
            <w:tcW w:w="745" w:type="dxa"/>
            <w:hideMark/>
          </w:tcPr>
          <w:p w:rsidR="005F01BE" w:rsidRDefault="003E2C3A">
            <w:pPr>
              <w:spacing w:line="480" w:lineRule="auto"/>
              <w:rPr>
                <w:color w:val="000000"/>
                <w:sz w:val="20"/>
                <w:szCs w:val="22"/>
              </w:rPr>
            </w:pPr>
            <w:r>
              <w:rPr>
                <w:color w:val="000000"/>
                <w:sz w:val="20"/>
                <w:szCs w:val="22"/>
              </w:rPr>
              <w:t>21.10</w:t>
            </w:r>
          </w:p>
        </w:tc>
        <w:tc>
          <w:tcPr>
            <w:tcW w:w="902" w:type="dxa"/>
            <w:hideMark/>
          </w:tcPr>
          <w:p w:rsidR="005F01BE" w:rsidRDefault="003E2C3A">
            <w:pPr>
              <w:spacing w:line="480" w:lineRule="auto"/>
              <w:rPr>
                <w:color w:val="000000"/>
                <w:sz w:val="20"/>
                <w:szCs w:val="22"/>
              </w:rPr>
            </w:pPr>
            <w:r>
              <w:rPr>
                <w:color w:val="000000"/>
                <w:sz w:val="20"/>
                <w:szCs w:val="22"/>
              </w:rPr>
              <w:t>33.00</w:t>
            </w: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lastRenderedPageBreak/>
              <w:t>2</w:t>
            </w:r>
          </w:p>
        </w:tc>
        <w:tc>
          <w:tcPr>
            <w:tcW w:w="1119" w:type="dxa"/>
            <w:hideMark/>
          </w:tcPr>
          <w:p w:rsidR="005F01BE" w:rsidRDefault="003E2C3A">
            <w:pPr>
              <w:spacing w:line="480" w:lineRule="auto"/>
              <w:rPr>
                <w:color w:val="000000"/>
                <w:sz w:val="20"/>
                <w:szCs w:val="22"/>
              </w:rPr>
            </w:pPr>
            <w:r>
              <w:rPr>
                <w:color w:val="000000"/>
                <w:sz w:val="20"/>
                <w:szCs w:val="22"/>
              </w:rPr>
              <w:t>Group 2</w:t>
            </w:r>
          </w:p>
        </w:tc>
        <w:tc>
          <w:tcPr>
            <w:tcW w:w="830" w:type="dxa"/>
            <w:hideMark/>
          </w:tcPr>
          <w:p w:rsidR="005F01BE" w:rsidRDefault="003E2C3A">
            <w:pPr>
              <w:spacing w:line="480" w:lineRule="auto"/>
              <w:rPr>
                <w:color w:val="000000"/>
                <w:sz w:val="20"/>
                <w:szCs w:val="22"/>
              </w:rPr>
            </w:pPr>
            <w:r>
              <w:rPr>
                <w:color w:val="000000"/>
                <w:sz w:val="20"/>
                <w:szCs w:val="22"/>
              </w:rPr>
              <w:t>6.73</w:t>
            </w:r>
          </w:p>
        </w:tc>
        <w:tc>
          <w:tcPr>
            <w:tcW w:w="673" w:type="dxa"/>
            <w:hideMark/>
          </w:tcPr>
          <w:p w:rsidR="005F01BE" w:rsidRDefault="003E2C3A">
            <w:pPr>
              <w:spacing w:line="480" w:lineRule="auto"/>
              <w:rPr>
                <w:color w:val="000000"/>
                <w:sz w:val="20"/>
                <w:szCs w:val="22"/>
              </w:rPr>
            </w:pPr>
            <w:r>
              <w:rPr>
                <w:color w:val="000000"/>
                <w:sz w:val="20"/>
                <w:szCs w:val="22"/>
              </w:rPr>
              <w:t>28.00</w:t>
            </w:r>
          </w:p>
        </w:tc>
        <w:tc>
          <w:tcPr>
            <w:tcW w:w="1022" w:type="dxa"/>
            <w:hideMark/>
          </w:tcPr>
          <w:p w:rsidR="005F01BE" w:rsidRDefault="003E2C3A">
            <w:pPr>
              <w:spacing w:line="480" w:lineRule="auto"/>
              <w:rPr>
                <w:color w:val="000000"/>
                <w:sz w:val="20"/>
                <w:szCs w:val="22"/>
              </w:rPr>
            </w:pPr>
            <w:r>
              <w:rPr>
                <w:color w:val="000000"/>
                <w:sz w:val="20"/>
                <w:szCs w:val="22"/>
              </w:rPr>
              <w:t>70.66</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5.96</w:t>
            </w:r>
          </w:p>
        </w:tc>
        <w:tc>
          <w:tcPr>
            <w:tcW w:w="709" w:type="dxa"/>
            <w:hideMark/>
          </w:tcPr>
          <w:p w:rsidR="005F01BE" w:rsidRDefault="003E2C3A">
            <w:pPr>
              <w:spacing w:line="480" w:lineRule="auto"/>
              <w:rPr>
                <w:color w:val="000000"/>
                <w:sz w:val="20"/>
                <w:szCs w:val="22"/>
              </w:rPr>
            </w:pPr>
            <w:r>
              <w:rPr>
                <w:color w:val="000000"/>
                <w:sz w:val="20"/>
                <w:szCs w:val="22"/>
              </w:rPr>
              <w:t>12.45</w:t>
            </w:r>
          </w:p>
        </w:tc>
        <w:tc>
          <w:tcPr>
            <w:tcW w:w="661" w:type="dxa"/>
            <w:hideMark/>
          </w:tcPr>
          <w:p w:rsidR="005F01BE" w:rsidRDefault="003E2C3A">
            <w:pPr>
              <w:spacing w:line="480" w:lineRule="auto"/>
              <w:rPr>
                <w:color w:val="000000"/>
                <w:sz w:val="20"/>
                <w:szCs w:val="22"/>
              </w:rPr>
            </w:pPr>
            <w:r>
              <w:rPr>
                <w:color w:val="000000"/>
                <w:sz w:val="20"/>
                <w:szCs w:val="22"/>
              </w:rPr>
              <w:t>37.66</w:t>
            </w:r>
          </w:p>
        </w:tc>
        <w:tc>
          <w:tcPr>
            <w:tcW w:w="733" w:type="dxa"/>
            <w:hideMark/>
          </w:tcPr>
          <w:p w:rsidR="005F01BE" w:rsidRDefault="003E2C3A">
            <w:pPr>
              <w:spacing w:line="480" w:lineRule="auto"/>
              <w:rPr>
                <w:color w:val="000000"/>
                <w:sz w:val="20"/>
                <w:szCs w:val="22"/>
              </w:rPr>
            </w:pPr>
            <w:r>
              <w:rPr>
                <w:color w:val="000000"/>
                <w:sz w:val="20"/>
                <w:szCs w:val="22"/>
              </w:rPr>
              <w:t>64.33</w:t>
            </w:r>
          </w:p>
        </w:tc>
        <w:tc>
          <w:tcPr>
            <w:tcW w:w="745" w:type="dxa"/>
            <w:hideMark/>
          </w:tcPr>
          <w:p w:rsidR="005F01BE" w:rsidRDefault="003E2C3A">
            <w:pPr>
              <w:spacing w:line="480" w:lineRule="auto"/>
              <w:rPr>
                <w:color w:val="000000"/>
                <w:sz w:val="20"/>
                <w:szCs w:val="22"/>
              </w:rPr>
            </w:pPr>
            <w:r>
              <w:rPr>
                <w:color w:val="000000"/>
                <w:sz w:val="20"/>
                <w:szCs w:val="22"/>
              </w:rPr>
              <w:t>20.90</w:t>
            </w:r>
          </w:p>
        </w:tc>
        <w:tc>
          <w:tcPr>
            <w:tcW w:w="902" w:type="dxa"/>
            <w:hideMark/>
          </w:tcPr>
          <w:p w:rsidR="005F01BE" w:rsidRDefault="003E2C3A">
            <w:pPr>
              <w:spacing w:line="480" w:lineRule="auto"/>
              <w:rPr>
                <w:color w:val="000000"/>
                <w:sz w:val="20"/>
                <w:szCs w:val="22"/>
              </w:rPr>
            </w:pPr>
            <w:r>
              <w:rPr>
                <w:color w:val="000000"/>
                <w:sz w:val="20"/>
                <w:szCs w:val="22"/>
              </w:rPr>
              <w:t>33.06</w:t>
            </w: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t>3</w:t>
            </w:r>
          </w:p>
        </w:tc>
        <w:tc>
          <w:tcPr>
            <w:tcW w:w="1119" w:type="dxa"/>
            <w:hideMark/>
          </w:tcPr>
          <w:p w:rsidR="005F01BE" w:rsidRDefault="003E2C3A">
            <w:pPr>
              <w:spacing w:line="480" w:lineRule="auto"/>
              <w:rPr>
                <w:color w:val="000000"/>
                <w:sz w:val="20"/>
                <w:szCs w:val="22"/>
              </w:rPr>
            </w:pPr>
            <w:r>
              <w:rPr>
                <w:color w:val="000000"/>
                <w:sz w:val="20"/>
                <w:szCs w:val="22"/>
              </w:rPr>
              <w:t>Group 3</w:t>
            </w:r>
          </w:p>
        </w:tc>
        <w:tc>
          <w:tcPr>
            <w:tcW w:w="830" w:type="dxa"/>
            <w:hideMark/>
          </w:tcPr>
          <w:p w:rsidR="005F01BE" w:rsidRDefault="003E2C3A">
            <w:pPr>
              <w:spacing w:line="480" w:lineRule="auto"/>
              <w:rPr>
                <w:color w:val="000000"/>
                <w:sz w:val="20"/>
                <w:szCs w:val="22"/>
              </w:rPr>
            </w:pPr>
            <w:r>
              <w:rPr>
                <w:color w:val="000000"/>
                <w:sz w:val="20"/>
                <w:szCs w:val="22"/>
              </w:rPr>
              <w:t>8.00</w:t>
            </w:r>
          </w:p>
        </w:tc>
        <w:tc>
          <w:tcPr>
            <w:tcW w:w="673" w:type="dxa"/>
            <w:hideMark/>
          </w:tcPr>
          <w:p w:rsidR="005F01BE" w:rsidRDefault="003E2C3A">
            <w:pPr>
              <w:spacing w:line="480" w:lineRule="auto"/>
              <w:rPr>
                <w:color w:val="000000"/>
                <w:sz w:val="20"/>
                <w:szCs w:val="22"/>
              </w:rPr>
            </w:pPr>
            <w:r>
              <w:rPr>
                <w:color w:val="000000"/>
                <w:sz w:val="20"/>
                <w:szCs w:val="22"/>
              </w:rPr>
              <w:t>25.51</w:t>
            </w:r>
          </w:p>
        </w:tc>
        <w:tc>
          <w:tcPr>
            <w:tcW w:w="1022" w:type="dxa"/>
            <w:hideMark/>
          </w:tcPr>
          <w:p w:rsidR="005F01BE" w:rsidRDefault="003E2C3A">
            <w:pPr>
              <w:spacing w:line="480" w:lineRule="auto"/>
              <w:rPr>
                <w:color w:val="000000"/>
                <w:sz w:val="20"/>
                <w:szCs w:val="22"/>
              </w:rPr>
            </w:pPr>
            <w:r>
              <w:rPr>
                <w:color w:val="000000"/>
                <w:sz w:val="20"/>
                <w:szCs w:val="22"/>
              </w:rPr>
              <w:t>74.50</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5.55</w:t>
            </w:r>
          </w:p>
        </w:tc>
        <w:tc>
          <w:tcPr>
            <w:tcW w:w="709" w:type="dxa"/>
            <w:hideMark/>
          </w:tcPr>
          <w:p w:rsidR="005F01BE" w:rsidRDefault="003E2C3A">
            <w:pPr>
              <w:spacing w:line="480" w:lineRule="auto"/>
              <w:rPr>
                <w:color w:val="000000"/>
                <w:sz w:val="20"/>
                <w:szCs w:val="22"/>
              </w:rPr>
            </w:pPr>
            <w:r>
              <w:rPr>
                <w:color w:val="000000"/>
                <w:sz w:val="20"/>
                <w:szCs w:val="22"/>
              </w:rPr>
              <w:t>11.35</w:t>
            </w:r>
          </w:p>
        </w:tc>
        <w:tc>
          <w:tcPr>
            <w:tcW w:w="661" w:type="dxa"/>
            <w:hideMark/>
          </w:tcPr>
          <w:p w:rsidR="005F01BE" w:rsidRDefault="003E2C3A">
            <w:pPr>
              <w:spacing w:line="480" w:lineRule="auto"/>
              <w:rPr>
                <w:color w:val="000000"/>
                <w:sz w:val="20"/>
                <w:szCs w:val="22"/>
              </w:rPr>
            </w:pPr>
            <w:r>
              <w:rPr>
                <w:color w:val="000000"/>
                <w:sz w:val="20"/>
                <w:szCs w:val="22"/>
              </w:rPr>
              <w:t>34.50</w:t>
            </w:r>
          </w:p>
        </w:tc>
        <w:tc>
          <w:tcPr>
            <w:tcW w:w="733" w:type="dxa"/>
            <w:hideMark/>
          </w:tcPr>
          <w:p w:rsidR="005F01BE" w:rsidRDefault="003E2C3A">
            <w:pPr>
              <w:spacing w:line="480" w:lineRule="auto"/>
              <w:rPr>
                <w:color w:val="000000"/>
                <w:sz w:val="20"/>
                <w:szCs w:val="22"/>
              </w:rPr>
            </w:pPr>
            <w:r>
              <w:rPr>
                <w:color w:val="000000"/>
                <w:sz w:val="20"/>
                <w:szCs w:val="22"/>
              </w:rPr>
              <w:t>62.15</w:t>
            </w:r>
          </w:p>
        </w:tc>
        <w:tc>
          <w:tcPr>
            <w:tcW w:w="745" w:type="dxa"/>
            <w:hideMark/>
          </w:tcPr>
          <w:p w:rsidR="005F01BE" w:rsidRDefault="003E2C3A">
            <w:pPr>
              <w:spacing w:line="480" w:lineRule="auto"/>
              <w:rPr>
                <w:color w:val="000000"/>
                <w:sz w:val="20"/>
                <w:szCs w:val="22"/>
              </w:rPr>
            </w:pPr>
            <w:r>
              <w:rPr>
                <w:color w:val="000000"/>
                <w:sz w:val="20"/>
                <w:szCs w:val="22"/>
              </w:rPr>
              <w:t>20.25</w:t>
            </w:r>
          </w:p>
        </w:tc>
        <w:tc>
          <w:tcPr>
            <w:tcW w:w="902" w:type="dxa"/>
            <w:hideMark/>
          </w:tcPr>
          <w:p w:rsidR="005F01BE" w:rsidRDefault="003E2C3A">
            <w:pPr>
              <w:spacing w:line="480" w:lineRule="auto"/>
              <w:rPr>
                <w:color w:val="000000"/>
                <w:sz w:val="20"/>
                <w:szCs w:val="22"/>
              </w:rPr>
            </w:pPr>
            <w:r>
              <w:rPr>
                <w:color w:val="000000"/>
                <w:sz w:val="20"/>
                <w:szCs w:val="22"/>
              </w:rPr>
              <w:t>32.85</w:t>
            </w: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t>4</w:t>
            </w:r>
          </w:p>
        </w:tc>
        <w:tc>
          <w:tcPr>
            <w:tcW w:w="1119" w:type="dxa"/>
            <w:hideMark/>
          </w:tcPr>
          <w:p w:rsidR="005F01BE" w:rsidRDefault="003E2C3A">
            <w:pPr>
              <w:spacing w:line="480" w:lineRule="auto"/>
              <w:rPr>
                <w:color w:val="000000"/>
                <w:sz w:val="20"/>
                <w:szCs w:val="22"/>
              </w:rPr>
            </w:pPr>
            <w:r>
              <w:rPr>
                <w:color w:val="000000"/>
                <w:sz w:val="20"/>
                <w:szCs w:val="22"/>
              </w:rPr>
              <w:t xml:space="preserve"> Group 4 </w:t>
            </w:r>
          </w:p>
        </w:tc>
        <w:tc>
          <w:tcPr>
            <w:tcW w:w="830" w:type="dxa"/>
            <w:hideMark/>
          </w:tcPr>
          <w:p w:rsidR="005F01BE" w:rsidRDefault="003E2C3A">
            <w:pPr>
              <w:spacing w:line="480" w:lineRule="auto"/>
              <w:rPr>
                <w:color w:val="000000"/>
                <w:sz w:val="20"/>
                <w:szCs w:val="22"/>
              </w:rPr>
            </w:pPr>
            <w:r>
              <w:rPr>
                <w:color w:val="000000"/>
                <w:sz w:val="20"/>
                <w:szCs w:val="22"/>
              </w:rPr>
              <w:t>10.33</w:t>
            </w:r>
          </w:p>
        </w:tc>
        <w:tc>
          <w:tcPr>
            <w:tcW w:w="673" w:type="dxa"/>
            <w:hideMark/>
          </w:tcPr>
          <w:p w:rsidR="005F01BE" w:rsidRDefault="003E2C3A">
            <w:pPr>
              <w:spacing w:line="480" w:lineRule="auto"/>
              <w:rPr>
                <w:color w:val="000000"/>
                <w:sz w:val="20"/>
                <w:szCs w:val="22"/>
              </w:rPr>
            </w:pPr>
            <w:r>
              <w:rPr>
                <w:color w:val="000000"/>
                <w:sz w:val="20"/>
                <w:szCs w:val="22"/>
              </w:rPr>
              <w:t>32.66</w:t>
            </w:r>
          </w:p>
        </w:tc>
        <w:tc>
          <w:tcPr>
            <w:tcW w:w="1022" w:type="dxa"/>
            <w:hideMark/>
          </w:tcPr>
          <w:p w:rsidR="005F01BE" w:rsidRDefault="003E2C3A">
            <w:pPr>
              <w:spacing w:line="480" w:lineRule="auto"/>
              <w:rPr>
                <w:color w:val="000000"/>
                <w:sz w:val="20"/>
                <w:szCs w:val="22"/>
              </w:rPr>
            </w:pPr>
            <w:r>
              <w:rPr>
                <w:color w:val="000000"/>
                <w:sz w:val="20"/>
                <w:szCs w:val="22"/>
              </w:rPr>
              <w:t>70.67</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6.00</w:t>
            </w:r>
          </w:p>
        </w:tc>
        <w:tc>
          <w:tcPr>
            <w:tcW w:w="709" w:type="dxa"/>
            <w:hideMark/>
          </w:tcPr>
          <w:p w:rsidR="005F01BE" w:rsidRDefault="003E2C3A">
            <w:pPr>
              <w:spacing w:line="480" w:lineRule="auto"/>
              <w:rPr>
                <w:color w:val="000000"/>
                <w:sz w:val="20"/>
                <w:szCs w:val="22"/>
              </w:rPr>
            </w:pPr>
            <w:r>
              <w:rPr>
                <w:color w:val="000000"/>
                <w:sz w:val="20"/>
                <w:szCs w:val="22"/>
              </w:rPr>
              <w:t>12.10</w:t>
            </w:r>
          </w:p>
        </w:tc>
        <w:tc>
          <w:tcPr>
            <w:tcW w:w="661" w:type="dxa"/>
            <w:hideMark/>
          </w:tcPr>
          <w:p w:rsidR="005F01BE" w:rsidRDefault="003E2C3A">
            <w:pPr>
              <w:spacing w:line="480" w:lineRule="auto"/>
              <w:rPr>
                <w:color w:val="000000"/>
                <w:sz w:val="20"/>
                <w:szCs w:val="22"/>
              </w:rPr>
            </w:pPr>
            <w:r>
              <w:rPr>
                <w:color w:val="000000"/>
                <w:sz w:val="20"/>
                <w:szCs w:val="22"/>
              </w:rPr>
              <w:t>36.67</w:t>
            </w:r>
          </w:p>
        </w:tc>
        <w:tc>
          <w:tcPr>
            <w:tcW w:w="733" w:type="dxa"/>
            <w:hideMark/>
          </w:tcPr>
          <w:p w:rsidR="005F01BE" w:rsidRDefault="003E2C3A">
            <w:pPr>
              <w:spacing w:line="480" w:lineRule="auto"/>
              <w:rPr>
                <w:color w:val="000000"/>
                <w:sz w:val="20"/>
                <w:szCs w:val="22"/>
              </w:rPr>
            </w:pPr>
            <w:r>
              <w:rPr>
                <w:color w:val="000000"/>
                <w:sz w:val="20"/>
                <w:szCs w:val="22"/>
              </w:rPr>
              <w:t>61.17</w:t>
            </w:r>
          </w:p>
        </w:tc>
        <w:tc>
          <w:tcPr>
            <w:tcW w:w="745" w:type="dxa"/>
            <w:hideMark/>
          </w:tcPr>
          <w:p w:rsidR="005F01BE" w:rsidRDefault="003E2C3A">
            <w:pPr>
              <w:spacing w:line="480" w:lineRule="auto"/>
              <w:rPr>
                <w:color w:val="000000"/>
                <w:sz w:val="20"/>
                <w:szCs w:val="22"/>
              </w:rPr>
            </w:pPr>
            <w:r>
              <w:rPr>
                <w:color w:val="000000"/>
                <w:sz w:val="20"/>
                <w:szCs w:val="22"/>
              </w:rPr>
              <w:t>20.13</w:t>
            </w:r>
          </w:p>
        </w:tc>
        <w:tc>
          <w:tcPr>
            <w:tcW w:w="902" w:type="dxa"/>
            <w:hideMark/>
          </w:tcPr>
          <w:p w:rsidR="005F01BE" w:rsidRDefault="003E2C3A">
            <w:pPr>
              <w:spacing w:line="480" w:lineRule="auto"/>
              <w:rPr>
                <w:color w:val="000000"/>
                <w:sz w:val="20"/>
                <w:szCs w:val="22"/>
              </w:rPr>
            </w:pPr>
            <w:r>
              <w:rPr>
                <w:color w:val="000000"/>
                <w:sz w:val="20"/>
                <w:szCs w:val="22"/>
              </w:rPr>
              <w:t>33.00</w:t>
            </w: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t>5</w:t>
            </w:r>
          </w:p>
        </w:tc>
        <w:tc>
          <w:tcPr>
            <w:tcW w:w="1119" w:type="dxa"/>
            <w:hideMark/>
          </w:tcPr>
          <w:p w:rsidR="005F01BE" w:rsidRDefault="003E2C3A">
            <w:pPr>
              <w:spacing w:line="480" w:lineRule="auto"/>
              <w:rPr>
                <w:color w:val="000000"/>
                <w:sz w:val="20"/>
                <w:szCs w:val="22"/>
              </w:rPr>
            </w:pPr>
            <w:r>
              <w:rPr>
                <w:color w:val="000000"/>
                <w:sz w:val="20"/>
                <w:szCs w:val="22"/>
              </w:rPr>
              <w:t>Group 5</w:t>
            </w:r>
          </w:p>
        </w:tc>
        <w:tc>
          <w:tcPr>
            <w:tcW w:w="830" w:type="dxa"/>
            <w:hideMark/>
          </w:tcPr>
          <w:p w:rsidR="005F01BE" w:rsidRDefault="003E2C3A">
            <w:pPr>
              <w:spacing w:line="480" w:lineRule="auto"/>
              <w:rPr>
                <w:color w:val="000000"/>
                <w:sz w:val="20"/>
                <w:szCs w:val="22"/>
              </w:rPr>
            </w:pPr>
            <w:r>
              <w:rPr>
                <w:color w:val="000000"/>
                <w:sz w:val="20"/>
                <w:szCs w:val="22"/>
              </w:rPr>
              <w:t>6.03</w:t>
            </w:r>
          </w:p>
        </w:tc>
        <w:tc>
          <w:tcPr>
            <w:tcW w:w="673" w:type="dxa"/>
            <w:hideMark/>
          </w:tcPr>
          <w:p w:rsidR="005F01BE" w:rsidRDefault="003E2C3A">
            <w:pPr>
              <w:spacing w:line="480" w:lineRule="auto"/>
              <w:rPr>
                <w:color w:val="000000"/>
                <w:sz w:val="20"/>
                <w:szCs w:val="22"/>
              </w:rPr>
            </w:pPr>
            <w:r>
              <w:rPr>
                <w:color w:val="000000"/>
                <w:sz w:val="20"/>
                <w:szCs w:val="22"/>
              </w:rPr>
              <w:t>33.33</w:t>
            </w:r>
          </w:p>
        </w:tc>
        <w:tc>
          <w:tcPr>
            <w:tcW w:w="1022" w:type="dxa"/>
            <w:hideMark/>
          </w:tcPr>
          <w:p w:rsidR="005F01BE" w:rsidRDefault="003E2C3A">
            <w:pPr>
              <w:spacing w:line="480" w:lineRule="auto"/>
              <w:rPr>
                <w:color w:val="000000"/>
                <w:sz w:val="20"/>
                <w:szCs w:val="22"/>
              </w:rPr>
            </w:pPr>
            <w:r>
              <w:rPr>
                <w:color w:val="000000"/>
                <w:sz w:val="20"/>
                <w:szCs w:val="22"/>
              </w:rPr>
              <w:t>66.66</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5.57</w:t>
            </w:r>
          </w:p>
        </w:tc>
        <w:tc>
          <w:tcPr>
            <w:tcW w:w="709" w:type="dxa"/>
            <w:hideMark/>
          </w:tcPr>
          <w:p w:rsidR="005F01BE" w:rsidRDefault="003E2C3A">
            <w:pPr>
              <w:spacing w:line="480" w:lineRule="auto"/>
              <w:rPr>
                <w:color w:val="000000"/>
                <w:sz w:val="20"/>
                <w:szCs w:val="22"/>
              </w:rPr>
            </w:pPr>
            <w:r>
              <w:rPr>
                <w:color w:val="000000"/>
                <w:sz w:val="20"/>
                <w:szCs w:val="22"/>
              </w:rPr>
              <w:t>11.33</w:t>
            </w:r>
          </w:p>
        </w:tc>
        <w:tc>
          <w:tcPr>
            <w:tcW w:w="661" w:type="dxa"/>
            <w:hideMark/>
          </w:tcPr>
          <w:p w:rsidR="005F01BE" w:rsidRDefault="003E2C3A">
            <w:pPr>
              <w:spacing w:line="480" w:lineRule="auto"/>
              <w:rPr>
                <w:color w:val="000000"/>
                <w:sz w:val="20"/>
                <w:szCs w:val="22"/>
              </w:rPr>
            </w:pPr>
            <w:r>
              <w:rPr>
                <w:color w:val="000000"/>
                <w:sz w:val="20"/>
                <w:szCs w:val="22"/>
              </w:rPr>
              <w:t>34.00</w:t>
            </w:r>
          </w:p>
        </w:tc>
        <w:tc>
          <w:tcPr>
            <w:tcW w:w="733" w:type="dxa"/>
            <w:hideMark/>
          </w:tcPr>
          <w:p w:rsidR="005F01BE" w:rsidRDefault="003E2C3A">
            <w:pPr>
              <w:spacing w:line="480" w:lineRule="auto"/>
              <w:rPr>
                <w:color w:val="000000"/>
                <w:sz w:val="20"/>
                <w:szCs w:val="22"/>
              </w:rPr>
            </w:pPr>
            <w:r>
              <w:rPr>
                <w:color w:val="000000"/>
                <w:sz w:val="20"/>
                <w:szCs w:val="22"/>
              </w:rPr>
              <w:t>61.00</w:t>
            </w:r>
          </w:p>
        </w:tc>
        <w:tc>
          <w:tcPr>
            <w:tcW w:w="745" w:type="dxa"/>
            <w:hideMark/>
          </w:tcPr>
          <w:p w:rsidR="005F01BE" w:rsidRDefault="003E2C3A">
            <w:pPr>
              <w:spacing w:line="480" w:lineRule="auto"/>
              <w:rPr>
                <w:color w:val="000000"/>
                <w:sz w:val="20"/>
                <w:szCs w:val="22"/>
              </w:rPr>
            </w:pPr>
            <w:r>
              <w:rPr>
                <w:color w:val="000000"/>
                <w:sz w:val="20"/>
                <w:szCs w:val="22"/>
              </w:rPr>
              <w:t>20.33</w:t>
            </w:r>
          </w:p>
        </w:tc>
        <w:tc>
          <w:tcPr>
            <w:tcW w:w="902" w:type="dxa"/>
            <w:hideMark/>
          </w:tcPr>
          <w:p w:rsidR="005F01BE" w:rsidRDefault="003E2C3A">
            <w:pPr>
              <w:spacing w:line="480" w:lineRule="auto"/>
              <w:rPr>
                <w:color w:val="000000"/>
                <w:sz w:val="20"/>
                <w:szCs w:val="22"/>
              </w:rPr>
            </w:pPr>
            <w:r>
              <w:rPr>
                <w:color w:val="000000"/>
                <w:sz w:val="20"/>
                <w:szCs w:val="22"/>
              </w:rPr>
              <w:t>33.30</w:t>
            </w:r>
          </w:p>
        </w:tc>
      </w:tr>
      <w:tr w:rsidR="005F01BE">
        <w:trPr>
          <w:trHeight w:val="313"/>
          <w:jc w:val="center"/>
        </w:trPr>
        <w:tc>
          <w:tcPr>
            <w:tcW w:w="552" w:type="dxa"/>
            <w:hideMark/>
          </w:tcPr>
          <w:p w:rsidR="005F01BE" w:rsidRDefault="003E2C3A">
            <w:pPr>
              <w:spacing w:line="480" w:lineRule="auto"/>
              <w:rPr>
                <w:color w:val="000000"/>
                <w:sz w:val="20"/>
                <w:szCs w:val="22"/>
              </w:rPr>
            </w:pPr>
            <w:r>
              <w:rPr>
                <w:color w:val="000000"/>
                <w:sz w:val="20"/>
                <w:szCs w:val="22"/>
              </w:rPr>
              <w:t>6</w:t>
            </w:r>
          </w:p>
        </w:tc>
        <w:tc>
          <w:tcPr>
            <w:tcW w:w="1119" w:type="dxa"/>
            <w:hideMark/>
          </w:tcPr>
          <w:p w:rsidR="005F01BE" w:rsidRDefault="003E2C3A">
            <w:pPr>
              <w:spacing w:line="480" w:lineRule="auto"/>
              <w:rPr>
                <w:color w:val="000000"/>
                <w:sz w:val="20"/>
                <w:szCs w:val="22"/>
              </w:rPr>
            </w:pPr>
            <w:r>
              <w:rPr>
                <w:color w:val="000000"/>
                <w:sz w:val="20"/>
                <w:szCs w:val="22"/>
              </w:rPr>
              <w:t xml:space="preserve"> Group 6</w:t>
            </w:r>
          </w:p>
        </w:tc>
        <w:tc>
          <w:tcPr>
            <w:tcW w:w="830" w:type="dxa"/>
            <w:hideMark/>
          </w:tcPr>
          <w:p w:rsidR="005F01BE" w:rsidRDefault="003E2C3A">
            <w:pPr>
              <w:spacing w:line="480" w:lineRule="auto"/>
              <w:rPr>
                <w:color w:val="000000"/>
                <w:sz w:val="20"/>
                <w:szCs w:val="22"/>
              </w:rPr>
            </w:pPr>
            <w:r>
              <w:rPr>
                <w:color w:val="000000"/>
                <w:sz w:val="20"/>
                <w:szCs w:val="22"/>
              </w:rPr>
              <w:t>1.98</w:t>
            </w:r>
          </w:p>
        </w:tc>
        <w:tc>
          <w:tcPr>
            <w:tcW w:w="673" w:type="dxa"/>
            <w:hideMark/>
          </w:tcPr>
          <w:p w:rsidR="005F01BE" w:rsidRDefault="003E2C3A">
            <w:pPr>
              <w:spacing w:line="480" w:lineRule="auto"/>
              <w:rPr>
                <w:color w:val="000000"/>
                <w:sz w:val="20"/>
                <w:szCs w:val="22"/>
              </w:rPr>
            </w:pPr>
            <w:r>
              <w:rPr>
                <w:color w:val="000000"/>
                <w:sz w:val="20"/>
                <w:szCs w:val="22"/>
              </w:rPr>
              <w:t>37</w:t>
            </w:r>
          </w:p>
        </w:tc>
        <w:tc>
          <w:tcPr>
            <w:tcW w:w="1022" w:type="dxa"/>
            <w:hideMark/>
          </w:tcPr>
          <w:p w:rsidR="005F01BE" w:rsidRDefault="003E2C3A">
            <w:pPr>
              <w:spacing w:line="480" w:lineRule="auto"/>
              <w:rPr>
                <w:color w:val="000000"/>
                <w:sz w:val="20"/>
                <w:szCs w:val="22"/>
              </w:rPr>
            </w:pPr>
            <w:r>
              <w:rPr>
                <w:color w:val="000000"/>
                <w:sz w:val="20"/>
                <w:szCs w:val="22"/>
              </w:rPr>
              <w:t>62.33</w:t>
            </w:r>
          </w:p>
        </w:tc>
        <w:tc>
          <w:tcPr>
            <w:tcW w:w="649" w:type="dxa"/>
            <w:hideMark/>
          </w:tcPr>
          <w:p w:rsidR="005F01BE" w:rsidRDefault="003E2C3A">
            <w:pPr>
              <w:spacing w:line="480" w:lineRule="auto"/>
              <w:rPr>
                <w:color w:val="000000"/>
                <w:sz w:val="20"/>
                <w:szCs w:val="22"/>
              </w:rPr>
            </w:pPr>
            <w:r>
              <w:rPr>
                <w:color w:val="000000"/>
                <w:sz w:val="20"/>
                <w:szCs w:val="22"/>
              </w:rPr>
              <w:t>NIL</w:t>
            </w:r>
          </w:p>
        </w:tc>
        <w:tc>
          <w:tcPr>
            <w:tcW w:w="745" w:type="dxa"/>
            <w:hideMark/>
          </w:tcPr>
          <w:p w:rsidR="005F01BE" w:rsidRDefault="003E2C3A">
            <w:pPr>
              <w:spacing w:line="480" w:lineRule="auto"/>
              <w:rPr>
                <w:color w:val="000000"/>
                <w:sz w:val="20"/>
                <w:szCs w:val="22"/>
              </w:rPr>
            </w:pPr>
            <w:r>
              <w:rPr>
                <w:color w:val="000000"/>
                <w:sz w:val="20"/>
                <w:szCs w:val="22"/>
              </w:rPr>
              <w:t>NIL</w:t>
            </w:r>
          </w:p>
        </w:tc>
        <w:tc>
          <w:tcPr>
            <w:tcW w:w="806" w:type="dxa"/>
            <w:hideMark/>
          </w:tcPr>
          <w:p w:rsidR="005F01BE" w:rsidRDefault="003E2C3A">
            <w:pPr>
              <w:spacing w:line="480" w:lineRule="auto"/>
              <w:rPr>
                <w:color w:val="000000"/>
                <w:sz w:val="20"/>
                <w:szCs w:val="22"/>
              </w:rPr>
            </w:pPr>
            <w:r>
              <w:rPr>
                <w:color w:val="000000"/>
                <w:sz w:val="20"/>
                <w:szCs w:val="22"/>
              </w:rPr>
              <w:t>NIL</w:t>
            </w:r>
          </w:p>
        </w:tc>
        <w:tc>
          <w:tcPr>
            <w:tcW w:w="899" w:type="dxa"/>
            <w:hideMark/>
          </w:tcPr>
          <w:p w:rsidR="005F01BE" w:rsidRDefault="003E2C3A">
            <w:pPr>
              <w:spacing w:line="480" w:lineRule="auto"/>
              <w:rPr>
                <w:color w:val="000000"/>
                <w:sz w:val="20"/>
                <w:szCs w:val="22"/>
              </w:rPr>
            </w:pPr>
            <w:r>
              <w:rPr>
                <w:color w:val="000000"/>
                <w:sz w:val="20"/>
                <w:szCs w:val="22"/>
              </w:rPr>
              <w:t>5.76</w:t>
            </w:r>
          </w:p>
        </w:tc>
        <w:tc>
          <w:tcPr>
            <w:tcW w:w="709" w:type="dxa"/>
            <w:hideMark/>
          </w:tcPr>
          <w:p w:rsidR="005F01BE" w:rsidRDefault="003E2C3A">
            <w:pPr>
              <w:spacing w:line="480" w:lineRule="auto"/>
              <w:rPr>
                <w:color w:val="000000"/>
                <w:sz w:val="20"/>
                <w:szCs w:val="22"/>
              </w:rPr>
            </w:pPr>
            <w:r>
              <w:rPr>
                <w:color w:val="000000"/>
                <w:sz w:val="20"/>
                <w:szCs w:val="22"/>
              </w:rPr>
              <w:t>11.43</w:t>
            </w:r>
          </w:p>
        </w:tc>
        <w:tc>
          <w:tcPr>
            <w:tcW w:w="661" w:type="dxa"/>
            <w:hideMark/>
          </w:tcPr>
          <w:p w:rsidR="005F01BE" w:rsidRDefault="003E2C3A">
            <w:pPr>
              <w:spacing w:line="480" w:lineRule="auto"/>
              <w:rPr>
                <w:color w:val="000000"/>
                <w:sz w:val="20"/>
                <w:szCs w:val="22"/>
              </w:rPr>
            </w:pPr>
            <w:r>
              <w:rPr>
                <w:color w:val="000000"/>
                <w:sz w:val="20"/>
                <w:szCs w:val="22"/>
              </w:rPr>
              <w:t>34.33</w:t>
            </w:r>
          </w:p>
        </w:tc>
        <w:tc>
          <w:tcPr>
            <w:tcW w:w="733" w:type="dxa"/>
            <w:hideMark/>
          </w:tcPr>
          <w:p w:rsidR="005F01BE" w:rsidRDefault="003E2C3A">
            <w:pPr>
              <w:spacing w:line="480" w:lineRule="auto"/>
              <w:rPr>
                <w:color w:val="000000"/>
                <w:sz w:val="20"/>
                <w:szCs w:val="22"/>
              </w:rPr>
            </w:pPr>
            <w:r>
              <w:rPr>
                <w:color w:val="000000"/>
                <w:sz w:val="20"/>
                <w:szCs w:val="22"/>
              </w:rPr>
              <w:t>59.56</w:t>
            </w:r>
          </w:p>
        </w:tc>
        <w:tc>
          <w:tcPr>
            <w:tcW w:w="745" w:type="dxa"/>
            <w:hideMark/>
          </w:tcPr>
          <w:p w:rsidR="005F01BE" w:rsidRDefault="003E2C3A">
            <w:pPr>
              <w:spacing w:line="480" w:lineRule="auto"/>
              <w:rPr>
                <w:color w:val="000000"/>
                <w:sz w:val="20"/>
                <w:szCs w:val="22"/>
              </w:rPr>
            </w:pPr>
            <w:r>
              <w:rPr>
                <w:color w:val="000000"/>
                <w:sz w:val="20"/>
                <w:szCs w:val="22"/>
              </w:rPr>
              <w:t>19.83</w:t>
            </w:r>
          </w:p>
        </w:tc>
        <w:tc>
          <w:tcPr>
            <w:tcW w:w="902" w:type="dxa"/>
            <w:hideMark/>
          </w:tcPr>
          <w:p w:rsidR="005F01BE" w:rsidRDefault="003E2C3A">
            <w:pPr>
              <w:spacing w:line="480" w:lineRule="auto"/>
              <w:rPr>
                <w:color w:val="000000"/>
                <w:sz w:val="20"/>
                <w:szCs w:val="22"/>
              </w:rPr>
            </w:pPr>
            <w:r>
              <w:rPr>
                <w:color w:val="000000"/>
                <w:sz w:val="20"/>
                <w:szCs w:val="22"/>
              </w:rPr>
              <w:t>33.30</w:t>
            </w:r>
          </w:p>
        </w:tc>
      </w:tr>
      <w:tr w:rsidR="005F01BE">
        <w:trPr>
          <w:trHeight w:val="313"/>
          <w:jc w:val="center"/>
        </w:trPr>
        <w:tc>
          <w:tcPr>
            <w:tcW w:w="552"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7</w:t>
            </w:r>
          </w:p>
        </w:tc>
        <w:tc>
          <w:tcPr>
            <w:tcW w:w="1119"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Group 7</w:t>
            </w:r>
          </w:p>
        </w:tc>
        <w:tc>
          <w:tcPr>
            <w:tcW w:w="830"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3.60</w:t>
            </w:r>
          </w:p>
        </w:tc>
        <w:tc>
          <w:tcPr>
            <w:tcW w:w="673"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30</w:t>
            </w:r>
          </w:p>
        </w:tc>
        <w:tc>
          <w:tcPr>
            <w:tcW w:w="1022"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70</w:t>
            </w:r>
          </w:p>
        </w:tc>
        <w:tc>
          <w:tcPr>
            <w:tcW w:w="649"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NIL</w:t>
            </w:r>
          </w:p>
        </w:tc>
        <w:tc>
          <w:tcPr>
            <w:tcW w:w="745"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NIL</w:t>
            </w:r>
          </w:p>
        </w:tc>
        <w:tc>
          <w:tcPr>
            <w:tcW w:w="806"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NIL</w:t>
            </w:r>
          </w:p>
        </w:tc>
        <w:tc>
          <w:tcPr>
            <w:tcW w:w="899"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5.65</w:t>
            </w:r>
          </w:p>
        </w:tc>
        <w:tc>
          <w:tcPr>
            <w:tcW w:w="709"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11.20</w:t>
            </w:r>
          </w:p>
        </w:tc>
        <w:tc>
          <w:tcPr>
            <w:tcW w:w="661"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32.50</w:t>
            </w:r>
          </w:p>
        </w:tc>
        <w:tc>
          <w:tcPr>
            <w:tcW w:w="733"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57.55</w:t>
            </w:r>
          </w:p>
        </w:tc>
        <w:tc>
          <w:tcPr>
            <w:tcW w:w="745"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19.85</w:t>
            </w:r>
          </w:p>
        </w:tc>
        <w:tc>
          <w:tcPr>
            <w:tcW w:w="902" w:type="dxa"/>
            <w:tcBorders>
              <w:bottom w:val="single" w:sz="4" w:space="0" w:color="auto"/>
            </w:tcBorders>
            <w:hideMark/>
          </w:tcPr>
          <w:p w:rsidR="005F01BE" w:rsidRDefault="003E2C3A">
            <w:pPr>
              <w:spacing w:line="480" w:lineRule="auto"/>
              <w:rPr>
                <w:color w:val="000000"/>
                <w:sz w:val="20"/>
                <w:szCs w:val="22"/>
              </w:rPr>
            </w:pPr>
            <w:r>
              <w:rPr>
                <w:color w:val="000000"/>
                <w:sz w:val="20"/>
                <w:szCs w:val="22"/>
              </w:rPr>
              <w:t>34.50</w:t>
            </w:r>
          </w:p>
        </w:tc>
      </w:tr>
    </w:tbl>
    <w:p w:rsidR="005F01BE" w:rsidRDefault="005F01BE">
      <w:pPr>
        <w:spacing w:after="0" w:line="480" w:lineRule="auto"/>
        <w:rPr>
          <w:b/>
          <w:color w:val="000000"/>
          <w:sz w:val="24"/>
          <w:szCs w:val="26"/>
        </w:rPr>
      </w:pPr>
    </w:p>
    <w:p w:rsidR="005F01BE" w:rsidRDefault="003E2C3A">
      <w:pPr>
        <w:spacing w:after="0" w:line="480" w:lineRule="auto"/>
        <w:rPr>
          <w:bCs/>
          <w:color w:val="000000"/>
          <w:sz w:val="24"/>
          <w:szCs w:val="26"/>
        </w:rPr>
      </w:pPr>
      <w:r>
        <w:rPr>
          <w:b/>
          <w:color w:val="000000"/>
          <w:sz w:val="24"/>
          <w:szCs w:val="26"/>
        </w:rPr>
        <w:t xml:space="preserve">Keys: </w:t>
      </w:r>
      <w:r>
        <w:rPr>
          <w:bCs/>
          <w:color w:val="000000"/>
          <w:sz w:val="24"/>
          <w:szCs w:val="26"/>
        </w:rPr>
        <w:t xml:space="preserve">WBC: White Blood Cell, BASO: Basophil, PCV: Packed Cell Volume, NEU: </w:t>
      </w:r>
      <w:r>
        <w:rPr>
          <w:bCs/>
          <w:color w:val="000000"/>
          <w:sz w:val="24"/>
          <w:szCs w:val="26"/>
        </w:rPr>
        <w:t>Neutrophil, Eosin: Eosinophil, MCV: Mean Cell Volume, Lymph: Lymphocyte, RBC: Red Blood Cell, MCH: Mean Cell Haemoglgbin, MONO: Monocyte, MCHC: Mean Cell Haemoglgbin Concentration, Hgb: Haemologbin.</w:t>
      </w:r>
    </w:p>
    <w:p w:rsidR="005F01BE" w:rsidRDefault="005F01BE">
      <w:pPr>
        <w:rPr>
          <w:color w:val="000000"/>
          <w:sz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spacing w:after="0" w:line="240" w:lineRule="auto"/>
        <w:jc w:val="both"/>
        <w:rPr>
          <w:rFonts w:eastAsia="Times New Roman"/>
          <w:b/>
          <w:bCs/>
          <w:color w:val="000000"/>
          <w:sz w:val="24"/>
          <w:szCs w:val="26"/>
        </w:rPr>
      </w:pPr>
    </w:p>
    <w:p w:rsidR="005F01BE" w:rsidRDefault="005F01BE">
      <w:pPr>
        <w:rPr>
          <w:sz w:val="26"/>
        </w:rPr>
      </w:pPr>
    </w:p>
    <w:p w:rsidR="005F01BE" w:rsidRDefault="005F01BE">
      <w:pPr>
        <w:rPr>
          <w:sz w:val="26"/>
        </w:rPr>
      </w:pPr>
    </w:p>
    <w:p w:rsidR="005F01BE" w:rsidRDefault="005F01BE">
      <w:pPr>
        <w:rPr>
          <w:sz w:val="26"/>
        </w:rPr>
      </w:pPr>
    </w:p>
    <w:p w:rsidR="005F01BE" w:rsidRDefault="005F01BE">
      <w:pPr>
        <w:rPr>
          <w:sz w:val="26"/>
        </w:rPr>
      </w:pPr>
    </w:p>
    <w:p w:rsidR="005F01BE" w:rsidRDefault="005F01BE">
      <w:pPr>
        <w:rPr>
          <w:sz w:val="26"/>
        </w:rPr>
      </w:pPr>
    </w:p>
    <w:p w:rsidR="005F01BE" w:rsidRDefault="005F01BE">
      <w:pPr>
        <w:rPr>
          <w:sz w:val="26"/>
        </w:rPr>
      </w:pPr>
    </w:p>
    <w:p w:rsidR="005F01BE" w:rsidRDefault="005F01BE">
      <w:pPr>
        <w:rPr>
          <w:sz w:val="26"/>
        </w:rPr>
      </w:pPr>
    </w:p>
    <w:p w:rsidR="005F01BE" w:rsidRDefault="005F01BE">
      <w:pPr>
        <w:rPr>
          <w:sz w:val="26"/>
        </w:rPr>
      </w:pPr>
    </w:p>
    <w:p w:rsidR="005F01BE" w:rsidRDefault="003E2C3A">
      <w:pPr>
        <w:pStyle w:val="NormalWeb"/>
        <w:spacing w:line="480" w:lineRule="auto"/>
        <w:jc w:val="center"/>
        <w:rPr>
          <w:b/>
          <w:color w:val="000000"/>
          <w:szCs w:val="26"/>
        </w:rPr>
      </w:pPr>
      <w:r>
        <w:rPr>
          <w:b/>
          <w:color w:val="000000"/>
          <w:szCs w:val="26"/>
        </w:rPr>
        <w:t>CHAPTER FIVE</w:t>
      </w:r>
    </w:p>
    <w:p w:rsidR="005F01BE" w:rsidRDefault="003E2C3A">
      <w:pPr>
        <w:pStyle w:val="NormalWeb"/>
        <w:spacing w:line="480" w:lineRule="auto"/>
        <w:rPr>
          <w:b/>
          <w:color w:val="000000"/>
          <w:szCs w:val="26"/>
        </w:rPr>
      </w:pPr>
      <w:r>
        <w:rPr>
          <w:b/>
          <w:color w:val="000000"/>
          <w:szCs w:val="26"/>
        </w:rPr>
        <w:t>5.0 DISCUSSION</w:t>
      </w:r>
    </w:p>
    <w:p w:rsidR="005F01BE" w:rsidRDefault="003E2C3A">
      <w:pPr>
        <w:pStyle w:val="NormalWeb"/>
        <w:spacing w:line="480" w:lineRule="auto"/>
        <w:ind w:firstLine="720"/>
        <w:rPr>
          <w:b/>
          <w:color w:val="000000"/>
          <w:szCs w:val="26"/>
        </w:rPr>
      </w:pPr>
      <w:r>
        <w:rPr>
          <w:color w:val="000000"/>
          <w:szCs w:val="26"/>
        </w:rPr>
        <w:t xml:space="preserve">The present study investigated the physiological, nutritional, hematological, and phytochemical impacts of </w:t>
      </w:r>
      <w:r>
        <w:rPr>
          <w:rStyle w:val="Emphasis"/>
          <w:color w:val="000000"/>
          <w:szCs w:val="26"/>
        </w:rPr>
        <w:t>Sida acuta</w:t>
      </w:r>
      <w:r>
        <w:rPr>
          <w:color w:val="000000"/>
          <w:szCs w:val="26"/>
        </w:rPr>
        <w:t xml:space="preserve"> extracts, with results demonstrating both consistency and reinforcement of earlier findings reported in similar research.</w:t>
      </w:r>
    </w:p>
    <w:p w:rsidR="005F01BE" w:rsidRDefault="003E2C3A">
      <w:pPr>
        <w:pStyle w:val="NormalWeb"/>
        <w:spacing w:line="480" w:lineRule="auto"/>
        <w:rPr>
          <w:b/>
          <w:color w:val="000000"/>
          <w:szCs w:val="26"/>
        </w:rPr>
      </w:pPr>
      <w:r>
        <w:rPr>
          <w:b/>
          <w:color w:val="000000"/>
          <w:szCs w:val="26"/>
        </w:rPr>
        <w:t xml:space="preserve">5.1 Body Weight </w:t>
      </w:r>
      <w:r>
        <w:rPr>
          <w:b/>
          <w:color w:val="000000"/>
          <w:szCs w:val="26"/>
        </w:rPr>
        <w:t>Gain in Experimental Animals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The analysis of body weight gain in experimental animals over a 14-day period revealed that most groups showed appreciable increases, especially Groups 1, 4, and 6, suggesting positive anabolic or nutritive properties of </w:t>
      </w:r>
      <w:r>
        <w:rPr>
          <w:rFonts w:eastAsia="Times New Roman"/>
          <w:i/>
          <w:iCs/>
          <w:color w:val="000000"/>
          <w:sz w:val="24"/>
          <w:szCs w:val="26"/>
        </w:rPr>
        <w:t>Sida a</w:t>
      </w:r>
      <w:r>
        <w:rPr>
          <w:rFonts w:eastAsia="Times New Roman"/>
          <w:i/>
          <w:iCs/>
          <w:color w:val="000000"/>
          <w:sz w:val="24"/>
          <w:szCs w:val="26"/>
        </w:rPr>
        <w:t>cuta</w:t>
      </w:r>
      <w:r>
        <w:rPr>
          <w:rFonts w:eastAsia="Times New Roman"/>
          <w:color w:val="000000"/>
          <w:sz w:val="24"/>
          <w:szCs w:val="26"/>
        </w:rPr>
        <w:t xml:space="preserve"> at moderate doses. Notably, Group 3 experienced a slight weight loss, and Group 7 exhibited stable weight with minimal reduction. These findings echo the results of Ibeagi et al. (2023), who demonstrated that low to moderate doses of </w:t>
      </w:r>
      <w:r>
        <w:rPr>
          <w:rFonts w:eastAsia="Times New Roman"/>
          <w:i/>
          <w:iCs/>
          <w:color w:val="000000"/>
          <w:sz w:val="24"/>
          <w:szCs w:val="26"/>
        </w:rPr>
        <w:t>Sida acuta</w:t>
      </w:r>
      <w:r>
        <w:rPr>
          <w:rFonts w:eastAsia="Times New Roman"/>
          <w:color w:val="000000"/>
          <w:sz w:val="24"/>
          <w:szCs w:val="26"/>
        </w:rPr>
        <w:t xml:space="preserve"> enhanc</w:t>
      </w:r>
      <w:r>
        <w:rPr>
          <w:rFonts w:eastAsia="Times New Roman"/>
          <w:color w:val="000000"/>
          <w:sz w:val="24"/>
          <w:szCs w:val="26"/>
        </w:rPr>
        <w:t xml:space="preserve">ed growth performance in Wistar rats. Similarly, Idakwoji et al. (2022) reported comparable weight fluctuations depending on dosage and duration of administration, affirming that </w:t>
      </w:r>
      <w:r>
        <w:rPr>
          <w:rFonts w:eastAsia="Times New Roman"/>
          <w:i/>
          <w:iCs/>
          <w:color w:val="000000"/>
          <w:sz w:val="24"/>
          <w:szCs w:val="26"/>
        </w:rPr>
        <w:t>Sida acuta</w:t>
      </w:r>
      <w:r>
        <w:rPr>
          <w:rFonts w:eastAsia="Times New Roman"/>
          <w:color w:val="000000"/>
          <w:sz w:val="24"/>
          <w:szCs w:val="26"/>
        </w:rPr>
        <w:t xml:space="preserve"> possesses nutritive properties that can promote weight gain, but p</w:t>
      </w:r>
      <w:r>
        <w:rPr>
          <w:rFonts w:eastAsia="Times New Roman"/>
          <w:color w:val="000000"/>
          <w:sz w:val="24"/>
          <w:szCs w:val="26"/>
        </w:rPr>
        <w:t>otentially leads to metabolic stress or suppressed appetite at high concentrations.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The proximate composition revealed high levels of crude protein (13.56%–13.78%) and dietary fiber (27.52%–29.22%), moderate carbohydrate levels (30.68%–31.64%), and relativ</w:t>
      </w:r>
      <w:r>
        <w:rPr>
          <w:rFonts w:eastAsia="Times New Roman"/>
          <w:color w:val="000000"/>
          <w:sz w:val="24"/>
          <w:szCs w:val="26"/>
        </w:rPr>
        <w:t xml:space="preserve">ely low fat content (7.07%–7.21%). These values are consistent with findings by Nwankpa et al. (2015), who highlighted the nutritional potential of </w:t>
      </w:r>
      <w:r>
        <w:rPr>
          <w:rFonts w:eastAsia="Times New Roman"/>
          <w:i/>
          <w:iCs/>
          <w:color w:val="000000"/>
          <w:sz w:val="24"/>
          <w:szCs w:val="26"/>
        </w:rPr>
        <w:t>Sida acuta</w:t>
      </w:r>
      <w:r>
        <w:rPr>
          <w:rFonts w:eastAsia="Times New Roman"/>
          <w:color w:val="000000"/>
          <w:sz w:val="24"/>
          <w:szCs w:val="26"/>
        </w:rPr>
        <w:t xml:space="preserve"> in animal feed formulations. The protein content positions the plant as a viable source of dietar</w:t>
      </w:r>
      <w:r>
        <w:rPr>
          <w:rFonts w:eastAsia="Times New Roman"/>
          <w:color w:val="000000"/>
          <w:sz w:val="24"/>
          <w:szCs w:val="26"/>
        </w:rPr>
        <w:t>y nitrogen, while the high fiber content suggests benefits in gastrointestinal health and possible roles in satiety and lipid metabolism.</w:t>
      </w:r>
    </w:p>
    <w:p w:rsidR="005F01BE" w:rsidRDefault="003E2C3A">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 xml:space="preserve">5.2 Phytochemical </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The phytochemical screening revealed the presence of important bioactive compounds such as saponins</w:t>
      </w:r>
      <w:r>
        <w:rPr>
          <w:rFonts w:eastAsia="Times New Roman"/>
          <w:color w:val="000000"/>
          <w:sz w:val="24"/>
          <w:szCs w:val="26"/>
        </w:rPr>
        <w:t>, tannins, flavonoids, phenols, and glycosides. These compounds are known for a range of therapeutic activities, including antioxidant, anti-inflammatory, and antimicrobial effects. The findings support those of Owoeye and Salami (2024), who demonstrated t</w:t>
      </w:r>
      <w:r>
        <w:rPr>
          <w:rFonts w:eastAsia="Times New Roman"/>
          <w:color w:val="000000"/>
          <w:sz w:val="24"/>
          <w:szCs w:val="26"/>
        </w:rPr>
        <w:t xml:space="preserve">he antioxidant potential of </w:t>
      </w:r>
      <w:r>
        <w:rPr>
          <w:rFonts w:eastAsia="Times New Roman"/>
          <w:i/>
          <w:iCs/>
          <w:color w:val="000000"/>
          <w:sz w:val="24"/>
          <w:szCs w:val="26"/>
        </w:rPr>
        <w:t>Sida acuta</w:t>
      </w:r>
      <w:r>
        <w:rPr>
          <w:rFonts w:eastAsia="Times New Roman"/>
          <w:color w:val="000000"/>
          <w:sz w:val="24"/>
          <w:szCs w:val="26"/>
        </w:rPr>
        <w:t xml:space="preserve"> in reducing oxidative stress in rats. These phytochemicals provide pharmacological value that supports the ethnomedicinal use of the plant in traditional medicine.</w:t>
      </w:r>
    </w:p>
    <w:p w:rsidR="005F01BE" w:rsidRDefault="003E2C3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Saponins was</w:t>
      </w:r>
      <w:r>
        <w:rPr>
          <w:rFonts w:eastAsia="Times New Roman"/>
          <w:bCs/>
          <w:color w:val="000000"/>
          <w:sz w:val="24"/>
          <w:szCs w:val="26"/>
        </w:rPr>
        <w:t xml:space="preserve"> found to be present in the Sample respectively. Saponins are secondary metabolites that have been reported to be useful in soaps, medicinal, fire extinguisher, speciously as dietary supplements, for synthesis of steroids, and in carbonated beverages (Akan</w:t>
      </w:r>
      <w:r>
        <w:rPr>
          <w:rFonts w:eastAsia="Times New Roman"/>
          <w:bCs/>
          <w:color w:val="000000"/>
          <w:sz w:val="24"/>
          <w:szCs w:val="26"/>
        </w:rPr>
        <w:t xml:space="preserve">gbe </w:t>
      </w:r>
      <w:r>
        <w:rPr>
          <w:rFonts w:eastAsia="Times New Roman"/>
          <w:bCs/>
          <w:i/>
          <w:color w:val="000000"/>
          <w:sz w:val="24"/>
          <w:szCs w:val="26"/>
        </w:rPr>
        <w:t>et al</w:t>
      </w:r>
      <w:r>
        <w:rPr>
          <w:rFonts w:eastAsia="Times New Roman"/>
          <w:bCs/>
          <w:color w:val="000000"/>
          <w:sz w:val="24"/>
          <w:szCs w:val="26"/>
        </w:rPr>
        <w:t xml:space="preserve">., 2019). Present of saponins in the sample and </w:t>
      </w:r>
      <w:r>
        <w:rPr>
          <w:rFonts w:eastAsia="Times New Roman"/>
          <w:bCs/>
          <w:color w:val="000000"/>
          <w:sz w:val="24"/>
          <w:szCs w:val="26"/>
        </w:rPr>
        <w:lastRenderedPageBreak/>
        <w:t>implies that the extracts can be useful in soap industry as well as antimicrobial agents. They are used by plants for their growths, aroma of oils and defense against microorganisms.</w:t>
      </w:r>
    </w:p>
    <w:p w:rsidR="005F01BE" w:rsidRDefault="003E2C3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Tannins was foun</w:t>
      </w:r>
      <w:r>
        <w:rPr>
          <w:rFonts w:eastAsia="Times New Roman"/>
          <w:bCs/>
          <w:color w:val="000000"/>
          <w:sz w:val="24"/>
          <w:szCs w:val="26"/>
        </w:rPr>
        <w:t xml:space="preserve">d to be present in the Sample. Tannins are a class of astringent, polyphenol biomolecules that binds to and precipitate proteins and various other organic compounds including amino acids and alkaloids (Akange </w:t>
      </w:r>
      <w:r>
        <w:rPr>
          <w:rFonts w:eastAsia="Times New Roman"/>
          <w:bCs/>
          <w:i/>
          <w:color w:val="000000"/>
          <w:sz w:val="24"/>
          <w:szCs w:val="26"/>
        </w:rPr>
        <w:t>et al</w:t>
      </w:r>
      <w:r>
        <w:rPr>
          <w:rFonts w:eastAsia="Times New Roman"/>
          <w:bCs/>
          <w:color w:val="000000"/>
          <w:sz w:val="24"/>
          <w:szCs w:val="26"/>
        </w:rPr>
        <w:t xml:space="preserve">., 2019). The presence of tannins reveals </w:t>
      </w:r>
      <w:r>
        <w:rPr>
          <w:rFonts w:eastAsia="Times New Roman"/>
          <w:bCs/>
          <w:color w:val="000000"/>
          <w:sz w:val="24"/>
          <w:szCs w:val="26"/>
        </w:rPr>
        <w:t>that the extracts exhibit medicinal properties and can be useful for pharmacological purposes.</w:t>
      </w:r>
    </w:p>
    <w:p w:rsidR="005F01BE" w:rsidRDefault="003E2C3A">
      <w:pPr>
        <w:spacing w:before="100" w:beforeAutospacing="1" w:after="100" w:afterAutospacing="1" w:line="480" w:lineRule="auto"/>
        <w:ind w:firstLine="720"/>
        <w:outlineLvl w:val="3"/>
        <w:rPr>
          <w:rFonts w:eastAsia="Times New Roman"/>
          <w:bCs/>
          <w:color w:val="000000"/>
          <w:sz w:val="24"/>
          <w:szCs w:val="26"/>
        </w:rPr>
      </w:pPr>
      <w:r>
        <w:rPr>
          <w:rFonts w:eastAsia="Times New Roman"/>
          <w:bCs/>
          <w:color w:val="000000"/>
          <w:sz w:val="24"/>
          <w:szCs w:val="26"/>
        </w:rPr>
        <w:t xml:space="preserve">Flavonoid was found to be presence in the sample respectively. Flavonoids are powerful antioxidants with anti-inflammatory and immune system benefits (kimar </w:t>
      </w:r>
      <w:r>
        <w:rPr>
          <w:rFonts w:eastAsia="Times New Roman"/>
          <w:bCs/>
          <w:i/>
          <w:color w:val="000000"/>
          <w:sz w:val="24"/>
          <w:szCs w:val="26"/>
        </w:rPr>
        <w:t xml:space="preserve">et </w:t>
      </w:r>
      <w:r>
        <w:rPr>
          <w:rFonts w:eastAsia="Times New Roman"/>
          <w:bCs/>
          <w:i/>
          <w:color w:val="000000"/>
          <w:sz w:val="24"/>
          <w:szCs w:val="26"/>
        </w:rPr>
        <w:t>al</w:t>
      </w:r>
      <w:r>
        <w:rPr>
          <w:rFonts w:eastAsia="Times New Roman"/>
          <w:bCs/>
          <w:color w:val="000000"/>
          <w:sz w:val="24"/>
          <w:szCs w:val="26"/>
        </w:rPr>
        <w:t>., 2018). Presence of flavonoids in all samples is an indication that the extracts have medicinal benefits. They are used by plants for their growths, aroma of oils and defense against microorganisms.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Alkaloid was found to be present in Sample. Certain a</w:t>
      </w:r>
      <w:r>
        <w:rPr>
          <w:rFonts w:eastAsia="Times New Roman"/>
          <w:color w:val="000000"/>
          <w:sz w:val="24"/>
          <w:szCs w:val="26"/>
        </w:rPr>
        <w:t xml:space="preserve">lkaloids act as cardiac or respiratory stimulants, treat arrhythmias, or irregular rhythms of the heartbeat. Many alkaloids affect respiration, but in a complicated manner such that severe respiratory depression may follow stimulation (ching </w:t>
      </w:r>
      <w:r>
        <w:rPr>
          <w:rFonts w:eastAsia="Times New Roman"/>
          <w:i/>
          <w:color w:val="000000"/>
          <w:sz w:val="24"/>
          <w:szCs w:val="26"/>
        </w:rPr>
        <w:t>et al</w:t>
      </w:r>
      <w:r>
        <w:rPr>
          <w:rFonts w:eastAsia="Times New Roman"/>
          <w:color w:val="000000"/>
          <w:sz w:val="24"/>
          <w:szCs w:val="26"/>
        </w:rPr>
        <w:t>., 2001).</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lastRenderedPageBreak/>
        <w:t xml:space="preserve">Phenol was found to be present in the sample. Phenolic compounds are secondary metabolites that are involved in adaptation processes in plants during stress conditions such as wounding, infection or exposure to UV radiation (Gupta </w:t>
      </w:r>
      <w:r>
        <w:rPr>
          <w:rFonts w:eastAsia="Times New Roman"/>
          <w:i/>
          <w:color w:val="000000"/>
          <w:sz w:val="24"/>
          <w:szCs w:val="26"/>
        </w:rPr>
        <w:t>et al</w:t>
      </w:r>
      <w:r>
        <w:rPr>
          <w:rFonts w:eastAsia="Times New Roman"/>
          <w:color w:val="000000"/>
          <w:sz w:val="24"/>
          <w:szCs w:val="26"/>
        </w:rPr>
        <w:t>., 2017).</w:t>
      </w:r>
    </w:p>
    <w:p w:rsidR="005F01BE" w:rsidRDefault="003E2C3A">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5.3 Proxi</w:t>
      </w:r>
      <w:r>
        <w:rPr>
          <w:rFonts w:eastAsia="Times New Roman"/>
          <w:b/>
          <w:color w:val="000000"/>
          <w:sz w:val="24"/>
          <w:szCs w:val="26"/>
        </w:rPr>
        <w:t>mate Analysis</w:t>
      </w:r>
    </w:p>
    <w:p w:rsidR="005F01BE" w:rsidRDefault="003E2C3A">
      <w:pPr>
        <w:spacing w:before="100" w:beforeAutospacing="1" w:after="100" w:afterAutospacing="1" w:line="480" w:lineRule="auto"/>
        <w:ind w:firstLine="720"/>
        <w:jc w:val="both"/>
        <w:rPr>
          <w:color w:val="000000"/>
          <w:sz w:val="24"/>
          <w:szCs w:val="26"/>
        </w:rPr>
      </w:pPr>
      <w:r>
        <w:rPr>
          <w:color w:val="000000"/>
          <w:sz w:val="24"/>
          <w:szCs w:val="26"/>
        </w:rPr>
        <w:t xml:space="preserve">The proximate analysis revealed that sample of </w:t>
      </w:r>
      <w:r>
        <w:rPr>
          <w:rStyle w:val="Emphasis"/>
          <w:color w:val="000000"/>
          <w:sz w:val="24"/>
          <w:szCs w:val="26"/>
        </w:rPr>
        <w:t>Sida acuta</w:t>
      </w:r>
      <w:r>
        <w:rPr>
          <w:color w:val="000000"/>
          <w:sz w:val="24"/>
          <w:szCs w:val="26"/>
        </w:rPr>
        <w:t xml:space="preserve"> is rich in macronutrients, </w:t>
      </w:r>
      <w:r>
        <w:rPr>
          <w:rStyle w:val="Emphasis"/>
          <w:color w:val="000000"/>
          <w:sz w:val="24"/>
          <w:szCs w:val="26"/>
        </w:rPr>
        <w:t>Sida acuta</w:t>
      </w:r>
      <w:r>
        <w:rPr>
          <w:color w:val="000000"/>
          <w:sz w:val="24"/>
          <w:szCs w:val="26"/>
        </w:rPr>
        <w:t xml:space="preserve"> particularly crude protein, making them suitable for nutritional applications.  exhibited slightly higher protein contents, suggesting better suit</w:t>
      </w:r>
      <w:r>
        <w:rPr>
          <w:color w:val="000000"/>
          <w:sz w:val="24"/>
          <w:szCs w:val="26"/>
        </w:rPr>
        <w:t xml:space="preserve">ability for energy and protein supplementation. The moderate crude lipid content indicates a low-fat profile, which may be beneficial for individuals on low-fat diets. High crude fiber content, especially in </w:t>
      </w:r>
      <w:r>
        <w:rPr>
          <w:rStyle w:val="Emphasis"/>
          <w:color w:val="000000"/>
          <w:sz w:val="24"/>
          <w:szCs w:val="26"/>
        </w:rPr>
        <w:t>Sida acuta</w:t>
      </w:r>
      <w:r>
        <w:rPr>
          <w:color w:val="000000"/>
          <w:sz w:val="24"/>
          <w:szCs w:val="26"/>
        </w:rPr>
        <w:t xml:space="preserve">, highlights the potential of </w:t>
      </w:r>
      <w:r>
        <w:rPr>
          <w:rStyle w:val="Emphasis"/>
          <w:color w:val="000000"/>
          <w:sz w:val="24"/>
          <w:szCs w:val="26"/>
        </w:rPr>
        <w:t>Sida acu</w:t>
      </w:r>
      <w:r>
        <w:rPr>
          <w:rStyle w:val="Emphasis"/>
          <w:color w:val="000000"/>
          <w:sz w:val="24"/>
          <w:szCs w:val="26"/>
        </w:rPr>
        <w:t>ta</w:t>
      </w:r>
      <w:r>
        <w:rPr>
          <w:color w:val="000000"/>
          <w:sz w:val="24"/>
          <w:szCs w:val="26"/>
        </w:rPr>
        <w:t xml:space="preserve"> in promoting digestive health, although excessive fiber might reduce nutrient bioavailability. Low moisture content in both samples implies good shelf stability and reduced susceptibility to microbial spoilage.</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and was found to have hi</w:t>
      </w:r>
      <w:r>
        <w:rPr>
          <w:rFonts w:eastAsia="Times New Roman"/>
          <w:color w:val="000000"/>
          <w:sz w:val="24"/>
          <w:szCs w:val="26"/>
        </w:rPr>
        <w:t xml:space="preserve">ghest moisture content. The moisture content is the amount of water in the </w:t>
      </w:r>
      <w:r>
        <w:rPr>
          <w:rFonts w:eastAsia="Times New Roman"/>
          <w:i/>
          <w:color w:val="000000"/>
          <w:sz w:val="24"/>
          <w:szCs w:val="26"/>
        </w:rPr>
        <w:t>Sida Acuta</w:t>
      </w:r>
      <w:r>
        <w:rPr>
          <w:rFonts w:eastAsia="Times New Roman"/>
          <w:color w:val="000000"/>
          <w:sz w:val="24"/>
          <w:szCs w:val="26"/>
        </w:rPr>
        <w:t xml:space="preserve"> and is usually expressed as a percentage. The low moisture content will increase the shelf life by preventing oxidation (Sanderson, 2007).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with the present findings. Similarly, the work of Ogbaji et al. (2018) reported a range of 12.5%–14.2%, indicating that environmental factors and soil </w:t>
      </w:r>
      <w:r>
        <w:rPr>
          <w:rFonts w:eastAsia="Times New Roman"/>
          <w:color w:val="000000"/>
          <w:sz w:val="24"/>
          <w:szCs w:val="26"/>
        </w:rPr>
        <w:lastRenderedPageBreak/>
        <w:t>conditions m</w:t>
      </w:r>
      <w:r>
        <w:rPr>
          <w:rFonts w:eastAsia="Times New Roman"/>
          <w:color w:val="000000"/>
          <w:sz w:val="24"/>
          <w:szCs w:val="26"/>
        </w:rPr>
        <w:t xml:space="preserve">ay slightly affect protein accumulation but generally confirm the plant’s nutritional reliability. </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Sample </w:t>
      </w:r>
      <w:r>
        <w:rPr>
          <w:rStyle w:val="Emphasis"/>
          <w:color w:val="000000"/>
          <w:sz w:val="24"/>
          <w:szCs w:val="26"/>
        </w:rPr>
        <w:t>Sida acuta</w:t>
      </w:r>
      <w:r>
        <w:rPr>
          <w:rFonts w:eastAsia="Times New Roman"/>
          <w:color w:val="000000"/>
          <w:sz w:val="24"/>
          <w:szCs w:val="26"/>
        </w:rPr>
        <w:t xml:space="preserve"> contained 13.56% crude protein. These values demonstrate that </w:t>
      </w:r>
      <w:r>
        <w:rPr>
          <w:rFonts w:eastAsia="Times New Roman"/>
          <w:i/>
          <w:iCs/>
          <w:color w:val="000000"/>
          <w:sz w:val="24"/>
          <w:szCs w:val="26"/>
        </w:rPr>
        <w:t>Sida acuta</w:t>
      </w:r>
      <w:r>
        <w:rPr>
          <w:rFonts w:eastAsia="Times New Roman"/>
          <w:color w:val="000000"/>
          <w:sz w:val="24"/>
          <w:szCs w:val="26"/>
        </w:rPr>
        <w:t xml:space="preserve"> is a good source of plant-based protein. Protein plays an essenti</w:t>
      </w:r>
      <w:r>
        <w:rPr>
          <w:rFonts w:eastAsia="Times New Roman"/>
          <w:color w:val="000000"/>
          <w:sz w:val="24"/>
          <w:szCs w:val="26"/>
        </w:rPr>
        <w:t xml:space="preserve">al role in body repair, enzyme synthesis, and muscle development, which makes </w:t>
      </w:r>
      <w:r>
        <w:rPr>
          <w:rFonts w:eastAsia="Times New Roman"/>
          <w:i/>
          <w:iCs/>
          <w:color w:val="000000"/>
          <w:sz w:val="24"/>
          <w:szCs w:val="26"/>
        </w:rPr>
        <w:t>Sida acuta</w:t>
      </w:r>
      <w:r>
        <w:rPr>
          <w:rFonts w:eastAsia="Times New Roman"/>
          <w:color w:val="000000"/>
          <w:sz w:val="24"/>
          <w:szCs w:val="26"/>
        </w:rPr>
        <w:t xml:space="preserve"> a promising supplement in both animal feed and human diets. (Ibeagi </w:t>
      </w:r>
      <w:r>
        <w:rPr>
          <w:rFonts w:eastAsia="Times New Roman"/>
          <w:i/>
          <w:color w:val="000000"/>
          <w:sz w:val="24"/>
          <w:szCs w:val="26"/>
        </w:rPr>
        <w:t>et al</w:t>
      </w:r>
      <w:r>
        <w:rPr>
          <w:rFonts w:eastAsia="Times New Roman"/>
          <w:color w:val="000000"/>
          <w:sz w:val="24"/>
          <w:szCs w:val="26"/>
        </w:rPr>
        <w:t xml:space="preserve">. 2023) reported a protein content of 13.4% in </w:t>
      </w:r>
      <w:r>
        <w:rPr>
          <w:rFonts w:eastAsia="Times New Roman"/>
          <w:i/>
          <w:iCs/>
          <w:color w:val="000000"/>
          <w:sz w:val="24"/>
          <w:szCs w:val="26"/>
        </w:rPr>
        <w:t>Sida acuta</w:t>
      </w:r>
      <w:r>
        <w:rPr>
          <w:rFonts w:eastAsia="Times New Roman"/>
          <w:color w:val="000000"/>
          <w:sz w:val="24"/>
          <w:szCs w:val="26"/>
        </w:rPr>
        <w:t xml:space="preserve"> leaf extract, which closely aligns w</w:t>
      </w:r>
      <w:r>
        <w:rPr>
          <w:rFonts w:eastAsia="Times New Roman"/>
          <w:color w:val="000000"/>
          <w:sz w:val="24"/>
          <w:szCs w:val="26"/>
        </w:rPr>
        <w:t>ith the present findings. Similarly, the work of Ogbaji et al. (2018) reported a range of 12.5%–14.2%, indicating that environmental factors and soil conditions may slightly affect protein accumulation but generally confirm the plant’s nutritional reliabil</w:t>
      </w:r>
      <w:r>
        <w:rPr>
          <w:rFonts w:eastAsia="Times New Roman"/>
          <w:color w:val="000000"/>
          <w:sz w:val="24"/>
          <w:szCs w:val="26"/>
        </w:rPr>
        <w:t>ity.</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The lipid contents of </w:t>
      </w:r>
      <w:r>
        <w:rPr>
          <w:rStyle w:val="Emphasis"/>
          <w:color w:val="000000"/>
          <w:sz w:val="24"/>
          <w:szCs w:val="26"/>
        </w:rPr>
        <w:t>Sida acuta</w:t>
      </w:r>
      <w:r>
        <w:rPr>
          <w:rFonts w:eastAsia="Times New Roman"/>
          <w:color w:val="000000"/>
          <w:sz w:val="24"/>
          <w:szCs w:val="26"/>
        </w:rPr>
        <w:t xml:space="preserve"> was 7.14%, respectively. Though relatively low, these values suggest a modest energy contribution and the presence of essential fatty acids, which are crucial for maintaining cellular integrity and hormone production. </w:t>
      </w:r>
      <w:r>
        <w:rPr>
          <w:rFonts w:eastAsia="Times New Roman"/>
          <w:color w:val="000000"/>
          <w:sz w:val="24"/>
          <w:szCs w:val="26"/>
        </w:rPr>
        <w:t xml:space="preserve">According to (Oko </w:t>
      </w:r>
      <w:r>
        <w:rPr>
          <w:rFonts w:eastAsia="Times New Roman"/>
          <w:i/>
          <w:color w:val="000000"/>
          <w:sz w:val="24"/>
          <w:szCs w:val="26"/>
        </w:rPr>
        <w:t>et al</w:t>
      </w:r>
      <w:r>
        <w:rPr>
          <w:rFonts w:eastAsia="Times New Roman"/>
          <w:color w:val="000000"/>
          <w:sz w:val="24"/>
          <w:szCs w:val="26"/>
        </w:rPr>
        <w:t xml:space="preserve">. 2016), the lipid content of </w:t>
      </w:r>
      <w:r>
        <w:rPr>
          <w:rFonts w:eastAsia="Times New Roman"/>
          <w:i/>
          <w:iCs/>
          <w:color w:val="000000"/>
          <w:sz w:val="24"/>
          <w:szCs w:val="26"/>
        </w:rPr>
        <w:t>Sida acuta</w:t>
      </w:r>
      <w:r>
        <w:rPr>
          <w:rFonts w:eastAsia="Times New Roman"/>
          <w:color w:val="000000"/>
          <w:sz w:val="24"/>
          <w:szCs w:val="26"/>
        </w:rPr>
        <w:t xml:space="preserve"> was estimated at 6.85%, slightly lower but within range. Their findings also emphasized the plant’s potential as a low-fat energy source, reinforcing its desirability in diets meant to manage </w:t>
      </w:r>
      <w:r>
        <w:rPr>
          <w:rFonts w:eastAsia="Times New Roman"/>
          <w:color w:val="000000"/>
          <w:sz w:val="24"/>
          <w:szCs w:val="26"/>
        </w:rPr>
        <w:t>obesity or cardiovascular risk.</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 xml:space="preserve">Ash content represents the total mineral matter in the plant. </w:t>
      </w:r>
      <w:r>
        <w:rPr>
          <w:rStyle w:val="Emphasis"/>
          <w:color w:val="000000"/>
          <w:sz w:val="24"/>
          <w:szCs w:val="26"/>
        </w:rPr>
        <w:t>Sida acuta</w:t>
      </w:r>
      <w:r>
        <w:rPr>
          <w:rFonts w:eastAsia="Times New Roman"/>
          <w:color w:val="000000"/>
          <w:sz w:val="24"/>
          <w:szCs w:val="26"/>
        </w:rPr>
        <w:t xml:space="preserve"> recorded 11.39%, respectively. These values indicate high inorganic matter, pointing to rich </w:t>
      </w:r>
      <w:r>
        <w:rPr>
          <w:rFonts w:eastAsia="Times New Roman"/>
          <w:color w:val="000000"/>
          <w:sz w:val="24"/>
          <w:szCs w:val="26"/>
        </w:rPr>
        <w:lastRenderedPageBreak/>
        <w:t>mineral content such as calcium, potassium, and magnesium.</w:t>
      </w:r>
      <w:r>
        <w:rPr>
          <w:rFonts w:eastAsia="Times New Roman"/>
          <w:color w:val="000000"/>
          <w:sz w:val="24"/>
          <w:szCs w:val="26"/>
        </w:rPr>
        <w:t xml:space="preserve"> (Ajayi </w:t>
      </w:r>
      <w:r>
        <w:rPr>
          <w:rFonts w:eastAsia="Times New Roman"/>
          <w:i/>
          <w:color w:val="000000"/>
          <w:sz w:val="24"/>
          <w:szCs w:val="26"/>
        </w:rPr>
        <w:t>et al</w:t>
      </w:r>
      <w:r>
        <w:rPr>
          <w:rFonts w:eastAsia="Times New Roman"/>
          <w:color w:val="000000"/>
          <w:sz w:val="24"/>
          <w:szCs w:val="26"/>
        </w:rPr>
        <w:t xml:space="preserve">., 2017) found ash content in </w:t>
      </w:r>
      <w:r>
        <w:rPr>
          <w:rFonts w:eastAsia="Times New Roman"/>
          <w:i/>
          <w:iCs/>
          <w:color w:val="000000"/>
          <w:sz w:val="24"/>
          <w:szCs w:val="26"/>
        </w:rPr>
        <w:t>Sida acuta</w:t>
      </w:r>
      <w:r>
        <w:rPr>
          <w:rFonts w:eastAsia="Times New Roman"/>
          <w:color w:val="000000"/>
          <w:sz w:val="24"/>
          <w:szCs w:val="26"/>
        </w:rPr>
        <w:t xml:space="preserve"> to be around 10.8%, which corroborates the mineral-rich nature of the plant. This makes the plant highly beneficial in addressing micronutrient deficiencies.</w:t>
      </w:r>
    </w:p>
    <w:p w:rsidR="005F01BE" w:rsidRDefault="003E2C3A">
      <w:pPr>
        <w:spacing w:before="100" w:beforeAutospacing="1" w:after="100" w:afterAutospacing="1" w:line="480" w:lineRule="auto"/>
        <w:ind w:firstLine="720"/>
        <w:jc w:val="both"/>
        <w:rPr>
          <w:rFonts w:eastAsia="Times New Roman"/>
          <w:color w:val="000000"/>
          <w:sz w:val="24"/>
          <w:szCs w:val="26"/>
        </w:rPr>
      </w:pPr>
      <w:r>
        <w:rPr>
          <w:rFonts w:eastAsia="Times New Roman"/>
          <w:color w:val="000000"/>
          <w:sz w:val="24"/>
          <w:szCs w:val="26"/>
        </w:rPr>
        <w:t>Fibre content was significant lower at 27.52</w:t>
      </w:r>
      <w:r>
        <w:rPr>
          <w:rFonts w:eastAsia="Times New Roman"/>
          <w:color w:val="000000"/>
          <w:sz w:val="24"/>
          <w:szCs w:val="26"/>
        </w:rPr>
        <w:t xml:space="preserve">%. High fibre promotes digestive health and helps regulate blood sugar and cholesterol levels. In alignment with the findings of (Chukwuma </w:t>
      </w:r>
      <w:r>
        <w:rPr>
          <w:rFonts w:eastAsia="Times New Roman"/>
          <w:i/>
          <w:color w:val="000000"/>
          <w:sz w:val="24"/>
          <w:szCs w:val="26"/>
        </w:rPr>
        <w:t>et al</w:t>
      </w:r>
      <w:r>
        <w:rPr>
          <w:rFonts w:eastAsia="Times New Roman"/>
          <w:color w:val="000000"/>
          <w:sz w:val="24"/>
          <w:szCs w:val="26"/>
        </w:rPr>
        <w:t xml:space="preserve">., 2020), who reported a fibre content of approximately 28.9%, this study reinforces </w:t>
      </w:r>
      <w:r>
        <w:rPr>
          <w:rFonts w:eastAsia="Times New Roman"/>
          <w:i/>
          <w:iCs/>
          <w:color w:val="000000"/>
          <w:sz w:val="24"/>
          <w:szCs w:val="26"/>
        </w:rPr>
        <w:t>Sida acuta’s</w:t>
      </w:r>
      <w:r>
        <w:rPr>
          <w:rFonts w:eastAsia="Times New Roman"/>
          <w:color w:val="000000"/>
          <w:sz w:val="24"/>
          <w:szCs w:val="26"/>
        </w:rPr>
        <w:t xml:space="preserve"> use in promoti</w:t>
      </w:r>
      <w:r>
        <w:rPr>
          <w:rFonts w:eastAsia="Times New Roman"/>
          <w:color w:val="000000"/>
          <w:sz w:val="24"/>
          <w:szCs w:val="26"/>
        </w:rPr>
        <w:t>ng gastrointestinal health and satiety in both humans and animals.</w:t>
      </w:r>
    </w:p>
    <w:p w:rsidR="005F01BE" w:rsidRDefault="003E2C3A">
      <w:pPr>
        <w:spacing w:before="100" w:beforeAutospacing="1" w:after="100" w:afterAutospacing="1" w:line="480" w:lineRule="auto"/>
        <w:outlineLvl w:val="3"/>
        <w:rPr>
          <w:rFonts w:eastAsia="Times New Roman"/>
          <w:b/>
          <w:bCs/>
          <w:color w:val="000000"/>
          <w:sz w:val="24"/>
          <w:szCs w:val="26"/>
        </w:rPr>
      </w:pPr>
      <w:r>
        <w:rPr>
          <w:rFonts w:eastAsia="Times New Roman"/>
          <w:b/>
          <w:bCs/>
          <w:color w:val="000000"/>
          <w:sz w:val="24"/>
          <w:szCs w:val="26"/>
        </w:rPr>
        <w:t>5.4 Hematological Findings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Hematological analysis revealed variations across the different experimental groups. White blood cell (WBC) counts were highest in Group 4 (10.33 × 10</w:t>
      </w:r>
      <w:r>
        <w:rPr>
          <w:rFonts w:ascii="Cambria Math" w:eastAsia="Times New Roman" w:hAnsi="Cambria Math" w:cs="Cambria Math"/>
          <w:color w:val="000000"/>
          <w:sz w:val="24"/>
          <w:szCs w:val="26"/>
        </w:rPr>
        <w:t>⁹</w:t>
      </w:r>
      <w:r>
        <w:rPr>
          <w:rFonts w:eastAsia="Times New Roman"/>
          <w:color w:val="000000"/>
          <w:sz w:val="24"/>
          <w:szCs w:val="26"/>
        </w:rPr>
        <w:t>/L) and low</w:t>
      </w:r>
      <w:r>
        <w:rPr>
          <w:rFonts w:eastAsia="Times New Roman"/>
          <w:color w:val="000000"/>
          <w:sz w:val="24"/>
          <w:szCs w:val="26"/>
        </w:rPr>
        <w:t>est in Group 6 (1.98 × 10</w:t>
      </w:r>
      <w:r>
        <w:rPr>
          <w:rFonts w:ascii="Cambria Math" w:eastAsia="Times New Roman" w:hAnsi="Cambria Math" w:cs="Cambria Math"/>
          <w:color w:val="000000"/>
          <w:sz w:val="24"/>
          <w:szCs w:val="26"/>
        </w:rPr>
        <w:t>⁹</w:t>
      </w:r>
      <w:r>
        <w:rPr>
          <w:rFonts w:eastAsia="Times New Roman"/>
          <w:color w:val="000000"/>
          <w:sz w:val="24"/>
          <w:szCs w:val="26"/>
        </w:rPr>
        <w:t>/L), suggesting that higher doses of the extract may exert immunosuppressive effects. This observation agrees with earlier findings by Adeoye and Omotayo (2020), who reported a decline in WBC levels following administration of hig</w:t>
      </w:r>
      <w:r>
        <w:rPr>
          <w:rFonts w:eastAsia="Times New Roman"/>
          <w:color w:val="000000"/>
          <w:sz w:val="24"/>
          <w:szCs w:val="26"/>
        </w:rPr>
        <w:t>h doses of plant extracts, indicating potential immune modulation or toxicity.</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On the other hand, red blood cell (RBC) counts, hemoglobin (Hb) levels, and packed cell volume (PCV) were relatively stable, with moderate doses contributing to improved erythro</w:t>
      </w:r>
      <w:r>
        <w:rPr>
          <w:rFonts w:eastAsia="Times New Roman"/>
          <w:color w:val="000000"/>
          <w:sz w:val="24"/>
          <w:szCs w:val="26"/>
        </w:rPr>
        <w:t xml:space="preserve">poiesis. Groups 2 and 4 demonstrated the highest Hb and PCV values, </w:t>
      </w:r>
      <w:r>
        <w:rPr>
          <w:rFonts w:eastAsia="Times New Roman"/>
          <w:color w:val="000000"/>
          <w:sz w:val="24"/>
          <w:szCs w:val="26"/>
        </w:rPr>
        <w:lastRenderedPageBreak/>
        <w:t xml:space="preserve">implyin g a stimulatory effect on red cell production. These results reinforce the findings of Owoeye and Salami (2024), who found that </w:t>
      </w:r>
      <w:r>
        <w:rPr>
          <w:rFonts w:eastAsia="Times New Roman"/>
          <w:i/>
          <w:iCs/>
          <w:color w:val="000000"/>
          <w:sz w:val="24"/>
          <w:szCs w:val="26"/>
        </w:rPr>
        <w:t>Sida acuta</w:t>
      </w:r>
      <w:r>
        <w:rPr>
          <w:rFonts w:eastAsia="Times New Roman"/>
          <w:color w:val="000000"/>
          <w:sz w:val="24"/>
          <w:szCs w:val="26"/>
        </w:rPr>
        <w:t xml:space="preserve"> supports hematopoiesis and may help manag</w:t>
      </w:r>
      <w:r>
        <w:rPr>
          <w:rFonts w:eastAsia="Times New Roman"/>
          <w:color w:val="000000"/>
          <w:sz w:val="24"/>
          <w:szCs w:val="26"/>
        </w:rPr>
        <w:t>e conditions like anemia at appropriate doses.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Importantly, mean corpuscular volume (MCV), mean corpuscular hemoglobin (MCH), and mean corpuscular hemoglobin concentration (MCHC) remained within normal physiological ranges. However, slightly reduced MCV va</w:t>
      </w:r>
      <w:r>
        <w:rPr>
          <w:rFonts w:eastAsia="Times New Roman"/>
          <w:color w:val="000000"/>
          <w:sz w:val="24"/>
          <w:szCs w:val="26"/>
        </w:rPr>
        <w:t>lues in Groups 6 and 1 may suggest early signs of microcytic anemia at high extract doses, underscoring the importance of dosage regulation.</w:t>
      </w:r>
    </w:p>
    <w:p w:rsidR="005F01BE" w:rsidRDefault="003E2C3A">
      <w:pPr>
        <w:spacing w:before="100" w:beforeAutospacing="1" w:after="100" w:afterAutospacing="1" w:line="480" w:lineRule="auto"/>
        <w:rPr>
          <w:rFonts w:eastAsia="Times New Roman"/>
          <w:b/>
          <w:color w:val="000000"/>
          <w:sz w:val="24"/>
          <w:szCs w:val="26"/>
        </w:rPr>
      </w:pPr>
      <w:r>
        <w:rPr>
          <w:rFonts w:eastAsia="Times New Roman"/>
          <w:b/>
          <w:color w:val="000000"/>
          <w:sz w:val="24"/>
          <w:szCs w:val="26"/>
        </w:rPr>
        <w:t>5.5 Mineral Contents</w:t>
      </w:r>
    </w:p>
    <w:p w:rsidR="005F01BE" w:rsidRDefault="003E2C3A">
      <w:pPr>
        <w:spacing w:before="100" w:beforeAutospacing="1" w:after="100" w:afterAutospacing="1" w:line="480" w:lineRule="auto"/>
        <w:ind w:firstLine="720"/>
        <w:rPr>
          <w:rFonts w:eastAsia="Times New Roman"/>
          <w:color w:val="000000"/>
          <w:sz w:val="24"/>
          <w:szCs w:val="26"/>
        </w:rPr>
      </w:pPr>
      <w:r>
        <w:rPr>
          <w:rFonts w:eastAsia="Times New Roman"/>
          <w:color w:val="000000"/>
          <w:sz w:val="24"/>
          <w:szCs w:val="26"/>
        </w:rPr>
        <w:t xml:space="preserve">Mineral analysis indicated that </w:t>
      </w:r>
      <w:r>
        <w:rPr>
          <w:rFonts w:eastAsia="Times New Roman"/>
          <w:i/>
          <w:iCs/>
          <w:color w:val="000000"/>
          <w:sz w:val="24"/>
          <w:szCs w:val="26"/>
        </w:rPr>
        <w:t>Sida acuta</w:t>
      </w:r>
      <w:r>
        <w:rPr>
          <w:rFonts w:eastAsia="Times New Roman"/>
          <w:color w:val="000000"/>
          <w:sz w:val="24"/>
          <w:szCs w:val="26"/>
        </w:rPr>
        <w:t xml:space="preserve"> contains appreciable levels of iron (2.023 mg/100g), copper (1.0948 mg/100g), potassium (5.833 mg/100g), magnesium (5.376 mg/100g), and calcium (4.031 mg/100g). These minerals are essential for physiological functions such as hemoglobin formation, electro</w:t>
      </w:r>
      <w:r>
        <w:rPr>
          <w:rFonts w:eastAsia="Times New Roman"/>
          <w:color w:val="000000"/>
          <w:sz w:val="24"/>
          <w:szCs w:val="26"/>
        </w:rPr>
        <w:t>lyte balance, muscle contraction, and nervous system regulation. The high potassium-to-sodium ratio is particularly noteworthy as it suggests cardiovascular benefits, including potential blood pressure-lowering effects. These findings are corroborated by A</w:t>
      </w:r>
      <w:r>
        <w:rPr>
          <w:rFonts w:eastAsia="Times New Roman"/>
          <w:color w:val="000000"/>
          <w:sz w:val="24"/>
          <w:szCs w:val="26"/>
        </w:rPr>
        <w:t xml:space="preserve">jayi et al. (2017), who emphasized the rich mineral profile of </w:t>
      </w:r>
      <w:r>
        <w:rPr>
          <w:rFonts w:eastAsia="Times New Roman"/>
          <w:i/>
          <w:iCs/>
          <w:color w:val="000000"/>
          <w:sz w:val="24"/>
          <w:szCs w:val="26"/>
        </w:rPr>
        <w:t>Sida acuta</w:t>
      </w:r>
      <w:r>
        <w:rPr>
          <w:rFonts w:eastAsia="Times New Roman"/>
          <w:color w:val="000000"/>
          <w:sz w:val="24"/>
          <w:szCs w:val="26"/>
        </w:rPr>
        <w:t xml:space="preserve"> in nutritional and medicinal contexts.</w:t>
      </w:r>
    </w:p>
    <w:p w:rsidR="005F01BE" w:rsidRDefault="003E2C3A">
      <w:pPr>
        <w:pStyle w:val="NormalWeb"/>
        <w:spacing w:line="480" w:lineRule="auto"/>
        <w:jc w:val="both"/>
        <w:rPr>
          <w:color w:val="000000"/>
          <w:szCs w:val="26"/>
        </w:rPr>
      </w:pPr>
      <w:r>
        <w:rPr>
          <w:b/>
          <w:color w:val="000000"/>
          <w:szCs w:val="26"/>
        </w:rPr>
        <w:t>5.6</w:t>
      </w:r>
      <w:r>
        <w:rPr>
          <w:color w:val="000000"/>
          <w:szCs w:val="26"/>
        </w:rPr>
        <w:tab/>
      </w:r>
      <w:r>
        <w:rPr>
          <w:rStyle w:val="Strong"/>
          <w:color w:val="000000"/>
          <w:szCs w:val="26"/>
        </w:rPr>
        <w:t>Ulcerated</w:t>
      </w:r>
      <w:r>
        <w:rPr>
          <w:rStyle w:val="Strong"/>
          <w:color w:val="000000"/>
          <w:szCs w:val="26"/>
        </w:rPr>
        <w:tab/>
        <w:t>Area</w:t>
      </w:r>
      <w:r>
        <w:rPr>
          <w:color w:val="000000"/>
          <w:szCs w:val="26"/>
        </w:rPr>
        <w:br/>
        <w:t xml:space="preserve">Measurement of ulcerated regions revealed a clear distinction between groups in terms of </w:t>
      </w:r>
      <w:r>
        <w:rPr>
          <w:color w:val="000000"/>
          <w:szCs w:val="26"/>
        </w:rPr>
        <w:lastRenderedPageBreak/>
        <w:t>mucosal damage. Group 4 exhibited t</w:t>
      </w:r>
      <w:r>
        <w:rPr>
          <w:color w:val="000000"/>
          <w:szCs w:val="26"/>
        </w:rPr>
        <w:t>he largest ulcerated areas, with lengths ranging from 1.3 cm to 3.0 cm and breadths from 0.6 cm to 1.2 cm, indicating substantial mucosal injury. Group 3 also presented considerable ulceration, particularly in breadth (up to 1.5 cm), suggesting similar sus</w:t>
      </w:r>
      <w:r>
        <w:rPr>
          <w:color w:val="000000"/>
          <w:szCs w:val="26"/>
        </w:rPr>
        <w:t>ceptibility or lower protection against ulcerogenic agents. Conversely, Groups 2, 6, and 7 showed significantly smaller ulcerated areas, implying better protective or healing effects, possibly due to the administration of Sida acuta extract or other therap</w:t>
      </w:r>
      <w:r>
        <w:rPr>
          <w:color w:val="000000"/>
          <w:szCs w:val="26"/>
        </w:rPr>
        <w:t>eutic agents. Group 1, presumed to be the control, recorded no ulceration, reinforcing the idea that the experimental ulcer induction was treatment-specific.</w:t>
      </w:r>
    </w:p>
    <w:p w:rsidR="005F01BE" w:rsidRDefault="003E2C3A">
      <w:pPr>
        <w:pStyle w:val="NormalWeb"/>
        <w:spacing w:line="480" w:lineRule="auto"/>
        <w:rPr>
          <w:b/>
          <w:bCs/>
          <w:color w:val="000000"/>
          <w:szCs w:val="26"/>
        </w:rPr>
      </w:pPr>
      <w:r>
        <w:rPr>
          <w:rStyle w:val="Strong"/>
          <w:color w:val="000000"/>
          <w:szCs w:val="26"/>
        </w:rPr>
        <w:t xml:space="preserve">5.7 Stomach Area </w:t>
      </w:r>
      <w:r>
        <w:rPr>
          <w:color w:val="000000"/>
          <w:szCs w:val="26"/>
        </w:rPr>
        <w:br/>
        <w:t xml:space="preserve">Stomach length and breadth remained relatively stable across groups, indicating </w:t>
      </w:r>
      <w:r>
        <w:rPr>
          <w:color w:val="000000"/>
          <w:szCs w:val="26"/>
        </w:rPr>
        <w:t>that ulceration or treatment with Sida acuta did not significantly alter overall stomach dimensions. Group 2 recorded the highest stomach size (4.23 cm by 3.60 cm), while Group 6 had the smallest breadth (2.53 cm). These differences, though mild, may refle</w:t>
      </w:r>
      <w:r>
        <w:rPr>
          <w:color w:val="000000"/>
          <w:szCs w:val="26"/>
        </w:rPr>
        <w:t>ct slight variations in tissue response to treatment or inflammation. Importantly, no gastric atrophy or gross morphological distortion was observed.</w:t>
      </w:r>
    </w:p>
    <w:p w:rsidR="005F01BE" w:rsidRDefault="003E2C3A">
      <w:pPr>
        <w:pStyle w:val="NormalWeb"/>
        <w:spacing w:line="480" w:lineRule="auto"/>
        <w:rPr>
          <w:b/>
          <w:bCs/>
          <w:color w:val="000000"/>
          <w:szCs w:val="26"/>
        </w:rPr>
      </w:pPr>
      <w:r>
        <w:rPr>
          <w:rStyle w:val="Strong"/>
          <w:color w:val="000000"/>
          <w:szCs w:val="26"/>
        </w:rPr>
        <w:t xml:space="preserve">5.8 Total Tannin Content </w:t>
      </w:r>
      <w:r>
        <w:rPr>
          <w:color w:val="000000"/>
          <w:szCs w:val="26"/>
        </w:rPr>
        <w:br/>
        <w:t>Phytochemical analysis using UV spectrophotometry confirmed the presence of tann</w:t>
      </w:r>
      <w:r>
        <w:rPr>
          <w:color w:val="000000"/>
          <w:szCs w:val="26"/>
        </w:rPr>
        <w:t xml:space="preserve">ins in Sida acuta extract, with high absorbance values recorded in both liver and tail extracts (0.9116–1.3847 nm). The consistency in absorbance across replicates validates the </w:t>
      </w:r>
      <w:r>
        <w:rPr>
          <w:color w:val="000000"/>
          <w:szCs w:val="26"/>
        </w:rPr>
        <w:lastRenderedPageBreak/>
        <w:t>presence of substantial tannin content. Tannins are known for their astringent</w:t>
      </w:r>
      <w:r>
        <w:rPr>
          <w:color w:val="000000"/>
          <w:szCs w:val="26"/>
        </w:rPr>
        <w:t>, antioxidant, and anti-ulcerogenic properties, which may account for the reduced ulceration observed in certain treatment groups (e.g., Groups 2, 6, and 7). These findings reinforce previous reports on the protective role of tannins against gastrointestin</w:t>
      </w:r>
      <w:r>
        <w:rPr>
          <w:color w:val="000000"/>
          <w:szCs w:val="26"/>
        </w:rPr>
        <w:t>al damage and support the therapeutic potential of Sida acuta.</w:t>
      </w:r>
    </w:p>
    <w:p w:rsidR="005F01BE" w:rsidRDefault="005F01BE">
      <w:pPr>
        <w:spacing w:before="100" w:beforeAutospacing="1" w:after="100" w:afterAutospacing="1" w:line="480" w:lineRule="auto"/>
        <w:rPr>
          <w:rFonts w:eastAsia="Times New Roman"/>
          <w:color w:val="000000"/>
          <w:sz w:val="24"/>
          <w:szCs w:val="26"/>
        </w:rPr>
      </w:pPr>
    </w:p>
    <w:p w:rsidR="005F01BE" w:rsidRDefault="005F01BE">
      <w:pPr>
        <w:spacing w:before="100" w:beforeAutospacing="1" w:after="100" w:afterAutospacing="1"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5F01BE">
      <w:pPr>
        <w:spacing w:after="0" w:line="480" w:lineRule="auto"/>
        <w:rPr>
          <w:rFonts w:eastAsia="Times New Roman"/>
          <w:color w:val="000000"/>
          <w:sz w:val="24"/>
          <w:szCs w:val="26"/>
        </w:rPr>
      </w:pPr>
    </w:p>
    <w:p w:rsidR="005F01BE" w:rsidRDefault="003E2C3A">
      <w:pPr>
        <w:pStyle w:val="NormalWeb"/>
        <w:rPr>
          <w:b/>
          <w:color w:val="000000"/>
          <w:sz w:val="22"/>
        </w:rPr>
      </w:pPr>
      <w:r>
        <w:rPr>
          <w:b/>
          <w:color w:val="000000"/>
          <w:sz w:val="22"/>
        </w:rPr>
        <w:t>CONCLUSION</w:t>
      </w:r>
    </w:p>
    <w:p w:rsidR="005F01BE" w:rsidRDefault="003E2C3A">
      <w:pPr>
        <w:pStyle w:val="NormalWeb"/>
        <w:spacing w:line="480" w:lineRule="auto"/>
        <w:ind w:firstLine="720"/>
        <w:jc w:val="both"/>
        <w:rPr>
          <w:color w:val="000000"/>
          <w:szCs w:val="26"/>
        </w:rPr>
      </w:pPr>
      <w:r>
        <w:rPr>
          <w:color w:val="000000"/>
          <w:szCs w:val="26"/>
        </w:rPr>
        <w:t xml:space="preserve">The present study comprehensively evaluated the </w:t>
      </w:r>
      <w:r>
        <w:rPr>
          <w:rStyle w:val="Strong"/>
          <w:b w:val="0"/>
          <w:color w:val="000000"/>
          <w:szCs w:val="26"/>
        </w:rPr>
        <w:t>physiological, nutritional, hematological, and phytochemical impacts</w:t>
      </w:r>
      <w:r>
        <w:rPr>
          <w:b/>
          <w:color w:val="000000"/>
          <w:szCs w:val="26"/>
        </w:rPr>
        <w:t xml:space="preserve"> </w:t>
      </w:r>
      <w:r>
        <w:rPr>
          <w:color w:val="000000"/>
          <w:szCs w:val="26"/>
        </w:rPr>
        <w:t xml:space="preserve">of </w:t>
      </w:r>
      <w:r>
        <w:rPr>
          <w:rStyle w:val="Emphasis"/>
          <w:color w:val="000000"/>
          <w:szCs w:val="26"/>
        </w:rPr>
        <w:t>Sida acuta</w:t>
      </w:r>
      <w:r>
        <w:rPr>
          <w:color w:val="000000"/>
          <w:szCs w:val="26"/>
        </w:rPr>
        <w:t xml:space="preserve"> extracts on experimental animals, yielding results that strongly align with findings from earlier studies, thus reinforcing the plant’s therapeutic and nutritional potential.</w:t>
      </w:r>
    </w:p>
    <w:p w:rsidR="005F01BE" w:rsidRDefault="003E2C3A">
      <w:pPr>
        <w:pStyle w:val="NormalWeb"/>
        <w:spacing w:line="480" w:lineRule="auto"/>
        <w:jc w:val="both"/>
        <w:rPr>
          <w:color w:val="000000"/>
          <w:szCs w:val="26"/>
        </w:rPr>
      </w:pPr>
      <w:r>
        <w:rPr>
          <w:color w:val="000000"/>
          <w:szCs w:val="26"/>
        </w:rPr>
        <w:t xml:space="preserve">The </w:t>
      </w:r>
      <w:r>
        <w:rPr>
          <w:rStyle w:val="Strong"/>
          <w:b w:val="0"/>
          <w:color w:val="000000"/>
          <w:szCs w:val="26"/>
        </w:rPr>
        <w:t>weight gain analysis</w:t>
      </w:r>
      <w:r>
        <w:rPr>
          <w:color w:val="000000"/>
          <w:szCs w:val="26"/>
        </w:rPr>
        <w:t xml:space="preserve"> demonstrated that </w:t>
      </w:r>
      <w:r>
        <w:rPr>
          <w:rStyle w:val="Emphasis"/>
          <w:color w:val="000000"/>
          <w:szCs w:val="26"/>
        </w:rPr>
        <w:t>Sida acuta</w:t>
      </w:r>
      <w:r>
        <w:rPr>
          <w:color w:val="000000"/>
          <w:szCs w:val="26"/>
        </w:rPr>
        <w:t xml:space="preserve"> supports body mass increas</w:t>
      </w:r>
      <w:r>
        <w:rPr>
          <w:color w:val="000000"/>
          <w:szCs w:val="26"/>
        </w:rPr>
        <w:t xml:space="preserve">e, particularly at moderate dosages, echoing the conclusions that Groups 1, 4, and 6 showing significant weight gain. The </w:t>
      </w:r>
      <w:r>
        <w:rPr>
          <w:rStyle w:val="Strong"/>
          <w:b w:val="0"/>
          <w:color w:val="000000"/>
          <w:szCs w:val="26"/>
        </w:rPr>
        <w:t>proximate analysis</w:t>
      </w:r>
      <w:r>
        <w:rPr>
          <w:color w:val="000000"/>
          <w:szCs w:val="26"/>
        </w:rPr>
        <w:t xml:space="preserve"> confirmed that </w:t>
      </w:r>
      <w:r>
        <w:rPr>
          <w:rStyle w:val="Emphasis"/>
          <w:color w:val="000000"/>
          <w:szCs w:val="26"/>
        </w:rPr>
        <w:t>Sida acuta</w:t>
      </w:r>
      <w:r>
        <w:rPr>
          <w:color w:val="000000"/>
          <w:szCs w:val="26"/>
        </w:rPr>
        <w:t xml:space="preserve"> is a rich source of crude protein. The </w:t>
      </w:r>
      <w:r>
        <w:rPr>
          <w:rStyle w:val="Strong"/>
          <w:b w:val="0"/>
          <w:color w:val="000000"/>
          <w:szCs w:val="26"/>
        </w:rPr>
        <w:t>phytochemical screening</w:t>
      </w:r>
      <w:r>
        <w:rPr>
          <w:color w:val="000000"/>
          <w:szCs w:val="26"/>
        </w:rPr>
        <w:t xml:space="preserve"> further validated the presence of potent bioactive compounds saponins, tannins, flavonoids, phenols, and glycosides known for their </w:t>
      </w:r>
      <w:r>
        <w:rPr>
          <w:rStyle w:val="Strong"/>
          <w:b w:val="0"/>
          <w:color w:val="000000"/>
          <w:szCs w:val="26"/>
        </w:rPr>
        <w:t>antioxidant, antimicrobial, anti-inflammatory, and cardioprotective</w:t>
      </w:r>
      <w:r>
        <w:rPr>
          <w:color w:val="000000"/>
          <w:szCs w:val="26"/>
        </w:rPr>
        <w:t xml:space="preserve"> properties. From a </w:t>
      </w:r>
      <w:r>
        <w:rPr>
          <w:rStyle w:val="Strong"/>
          <w:b w:val="0"/>
          <w:color w:val="000000"/>
          <w:szCs w:val="26"/>
        </w:rPr>
        <w:t>hematological standpoint</w:t>
      </w:r>
      <w:r>
        <w:rPr>
          <w:color w:val="000000"/>
          <w:szCs w:val="26"/>
        </w:rPr>
        <w:t>, the extrac</w:t>
      </w:r>
      <w:r>
        <w:rPr>
          <w:color w:val="000000"/>
          <w:szCs w:val="26"/>
        </w:rPr>
        <w:t xml:space="preserve">t positively influenced red blood cell production, hemoglobin concentration, and packed cell volume, particularly at moderate doses (Groups 2 and 4). These effects suggest </w:t>
      </w:r>
      <w:r>
        <w:rPr>
          <w:rStyle w:val="Emphasis"/>
          <w:color w:val="000000"/>
          <w:szCs w:val="26"/>
        </w:rPr>
        <w:t>Sida acuta’s</w:t>
      </w:r>
      <w:r>
        <w:rPr>
          <w:color w:val="000000"/>
          <w:szCs w:val="26"/>
        </w:rPr>
        <w:t xml:space="preserve"> role in supporting erythropoiesis and managing conditions like anemia. </w:t>
      </w:r>
      <w:r>
        <w:rPr>
          <w:color w:val="000000"/>
          <w:szCs w:val="26"/>
        </w:rPr>
        <w:t xml:space="preserve">The </w:t>
      </w:r>
      <w:r>
        <w:rPr>
          <w:rStyle w:val="Strong"/>
          <w:b w:val="0"/>
          <w:color w:val="000000"/>
          <w:szCs w:val="26"/>
        </w:rPr>
        <w:t>mineral composition</w:t>
      </w:r>
      <w:r>
        <w:rPr>
          <w:color w:val="000000"/>
          <w:szCs w:val="26"/>
        </w:rPr>
        <w:t xml:space="preserve"> of </w:t>
      </w:r>
      <w:r>
        <w:rPr>
          <w:rStyle w:val="Emphasis"/>
          <w:color w:val="000000"/>
          <w:szCs w:val="26"/>
        </w:rPr>
        <w:t>Sida acuta</w:t>
      </w:r>
      <w:r>
        <w:rPr>
          <w:color w:val="000000"/>
          <w:szCs w:val="26"/>
        </w:rPr>
        <w:t xml:space="preserve"> (Fe, Cu, Zn, K, Mg, Ca) further adds to its nutritional value, supporting metabolic functions, hematopoiesis, and cardiovascular health. </w:t>
      </w:r>
    </w:p>
    <w:p w:rsidR="005F01BE" w:rsidRDefault="005F01BE">
      <w:pPr>
        <w:pStyle w:val="NormalWeb"/>
        <w:spacing w:line="480" w:lineRule="auto"/>
        <w:jc w:val="both"/>
        <w:rPr>
          <w:b/>
          <w:color w:val="000000"/>
          <w:szCs w:val="26"/>
        </w:rPr>
      </w:pPr>
    </w:p>
    <w:p w:rsidR="005F01BE" w:rsidRDefault="005F01BE">
      <w:pPr>
        <w:pStyle w:val="NormalWeb"/>
        <w:spacing w:line="480" w:lineRule="auto"/>
        <w:jc w:val="both"/>
        <w:rPr>
          <w:b/>
          <w:color w:val="000000"/>
          <w:szCs w:val="26"/>
        </w:rPr>
      </w:pPr>
    </w:p>
    <w:p w:rsidR="005F01BE" w:rsidRDefault="003E2C3A">
      <w:pPr>
        <w:pStyle w:val="NormalWeb"/>
        <w:spacing w:line="480" w:lineRule="auto"/>
        <w:jc w:val="both"/>
        <w:rPr>
          <w:b/>
          <w:color w:val="000000"/>
          <w:szCs w:val="26"/>
        </w:rPr>
      </w:pPr>
      <w:r>
        <w:rPr>
          <w:b/>
          <w:color w:val="000000"/>
          <w:szCs w:val="26"/>
        </w:rPr>
        <w:t xml:space="preserve">RECOMMENDATION </w:t>
      </w:r>
      <w:r>
        <w:rPr>
          <w:rStyle w:val="Strong"/>
          <w:bCs w:val="0"/>
          <w:color w:val="000000"/>
          <w:sz w:val="22"/>
        </w:rPr>
        <w:t>FUTURE RESEARCHERS</w:t>
      </w:r>
    </w:p>
    <w:p w:rsidR="005F01BE" w:rsidRDefault="003E2C3A">
      <w:pPr>
        <w:pStyle w:val="NormalWeb"/>
        <w:spacing w:line="480" w:lineRule="auto"/>
        <w:ind w:firstLine="360"/>
        <w:jc w:val="both"/>
        <w:rPr>
          <w:color w:val="000000"/>
        </w:rPr>
      </w:pPr>
      <w:r>
        <w:rPr>
          <w:color w:val="000000"/>
        </w:rPr>
        <w:t>In view of the comprehensive findings from t</w:t>
      </w:r>
      <w:r>
        <w:rPr>
          <w:color w:val="000000"/>
        </w:rPr>
        <w:t xml:space="preserve">his study on the physiological, nutritional, hematological, and phytochemical impacts of </w:t>
      </w:r>
      <w:r>
        <w:rPr>
          <w:rStyle w:val="Emphasis"/>
          <w:color w:val="000000"/>
        </w:rPr>
        <w:t>Sida acuta</w:t>
      </w:r>
      <w:r>
        <w:rPr>
          <w:color w:val="000000"/>
        </w:rPr>
        <w:t>, the following recommendations are made to guide future research efforts:</w:t>
      </w:r>
    </w:p>
    <w:p w:rsidR="005F01BE" w:rsidRDefault="003E2C3A">
      <w:pPr>
        <w:pStyle w:val="NormalWeb"/>
        <w:spacing w:line="480" w:lineRule="auto"/>
        <w:jc w:val="both"/>
        <w:rPr>
          <w:rStyle w:val="Strong"/>
          <w:color w:val="000000"/>
        </w:rPr>
      </w:pPr>
      <w:r>
        <w:rPr>
          <w:rStyle w:val="Strong"/>
          <w:color w:val="000000"/>
        </w:rPr>
        <w:t>Conduct Clinical Trials and Human Studies</w:t>
      </w:r>
    </w:p>
    <w:p w:rsidR="005F01BE" w:rsidRDefault="003E2C3A">
      <w:pPr>
        <w:pStyle w:val="NormalWeb"/>
        <w:spacing w:line="480" w:lineRule="auto"/>
        <w:ind w:firstLine="720"/>
        <w:jc w:val="both"/>
        <w:rPr>
          <w:b/>
          <w:bCs/>
          <w:color w:val="000000"/>
        </w:rPr>
      </w:pPr>
      <w:r>
        <w:rPr>
          <w:color w:val="000000"/>
        </w:rPr>
        <w:t xml:space="preserve">Future researchers are encouraged to extend this investigation beyond animal models to human clinical trials. This would validate the safety, efficacy, and dosage thresholds of </w:t>
      </w:r>
      <w:r>
        <w:rPr>
          <w:rStyle w:val="Emphasis"/>
          <w:color w:val="000000"/>
        </w:rPr>
        <w:t>Sida acuta</w:t>
      </w:r>
      <w:r>
        <w:rPr>
          <w:color w:val="000000"/>
        </w:rPr>
        <w:t xml:space="preserve"> in treating conditions such as anemia and nutritional deficiencies i</w:t>
      </w:r>
      <w:r>
        <w:rPr>
          <w:color w:val="000000"/>
        </w:rPr>
        <w:t>n humans.</w:t>
      </w:r>
    </w:p>
    <w:p w:rsidR="005F01BE" w:rsidRDefault="003E2C3A">
      <w:pPr>
        <w:pStyle w:val="NormalWeb"/>
        <w:spacing w:line="480" w:lineRule="auto"/>
        <w:jc w:val="both"/>
        <w:rPr>
          <w:rStyle w:val="Strong"/>
          <w:color w:val="000000"/>
        </w:rPr>
      </w:pPr>
      <w:r>
        <w:rPr>
          <w:rStyle w:val="Strong"/>
          <w:color w:val="000000"/>
        </w:rPr>
        <w:t>Isolate and Characterize Active Componds</w:t>
      </w:r>
    </w:p>
    <w:p w:rsidR="005F01BE" w:rsidRDefault="003E2C3A">
      <w:pPr>
        <w:pStyle w:val="NormalWeb"/>
        <w:spacing w:line="480" w:lineRule="auto"/>
        <w:ind w:firstLine="720"/>
        <w:jc w:val="both"/>
        <w:rPr>
          <w:color w:val="000000"/>
        </w:rPr>
      </w:pPr>
      <w:r>
        <w:rPr>
          <w:color w:val="000000"/>
        </w:rPr>
        <w:t xml:space="preserve">While the study confirmed the presence of several bioactive compounds, further research should focus on isolating, purifying, and characterizing these phytochemicals. This could lead to the development of </w:t>
      </w:r>
      <w:r>
        <w:rPr>
          <w:color w:val="000000"/>
        </w:rPr>
        <w:t xml:space="preserve">novel drugs or therapeutic agents from </w:t>
      </w:r>
      <w:r>
        <w:rPr>
          <w:rStyle w:val="Emphasis"/>
          <w:color w:val="000000"/>
        </w:rPr>
        <w:t>Sida acuta</w:t>
      </w:r>
      <w:r>
        <w:rPr>
          <w:color w:val="000000"/>
        </w:rPr>
        <w:t>.</w:t>
      </w:r>
    </w:p>
    <w:p w:rsidR="005F01BE" w:rsidRDefault="003E2C3A">
      <w:pPr>
        <w:pStyle w:val="NormalWeb"/>
        <w:spacing w:line="480" w:lineRule="auto"/>
        <w:jc w:val="both"/>
        <w:rPr>
          <w:rStyle w:val="Strong"/>
          <w:b w:val="0"/>
          <w:bCs w:val="0"/>
          <w:color w:val="000000"/>
        </w:rPr>
      </w:pPr>
      <w:r>
        <w:rPr>
          <w:rStyle w:val="Strong"/>
          <w:color w:val="000000"/>
        </w:rPr>
        <w:t xml:space="preserve">Evaluate Long-Term Toxicity and Safety Profile </w:t>
      </w:r>
    </w:p>
    <w:p w:rsidR="005F01BE" w:rsidRDefault="003E2C3A">
      <w:pPr>
        <w:pStyle w:val="NormalWeb"/>
        <w:spacing w:line="480" w:lineRule="auto"/>
        <w:ind w:firstLine="720"/>
        <w:jc w:val="both"/>
        <w:rPr>
          <w:color w:val="000000"/>
        </w:rPr>
      </w:pPr>
      <w:r>
        <w:rPr>
          <w:color w:val="000000"/>
        </w:rPr>
        <w:lastRenderedPageBreak/>
        <w:t xml:space="preserve">Long-term administration and chronic toxicity studies are needed to assess the potential side effects or cumulative impacts of </w:t>
      </w:r>
      <w:r>
        <w:rPr>
          <w:rStyle w:val="Emphasis"/>
          <w:color w:val="000000"/>
        </w:rPr>
        <w:t>Sida acuta</w:t>
      </w:r>
      <w:r>
        <w:rPr>
          <w:color w:val="000000"/>
        </w:rPr>
        <w:t xml:space="preserve"> extract, particular</w:t>
      </w:r>
      <w:r>
        <w:rPr>
          <w:color w:val="000000"/>
        </w:rPr>
        <w:t>ly at higher doses. This will help define its safety margin and therapeutic window.</w:t>
      </w:r>
    </w:p>
    <w:p w:rsidR="005F01BE" w:rsidRDefault="003E2C3A">
      <w:pPr>
        <w:pStyle w:val="NormalWeb"/>
        <w:jc w:val="both"/>
        <w:rPr>
          <w:b/>
          <w:bCs/>
          <w:color w:val="000000"/>
        </w:rPr>
      </w:pPr>
      <w:r>
        <w:rPr>
          <w:rStyle w:val="Strong"/>
          <w:color w:val="000000"/>
        </w:rPr>
        <w:t>Investigate Synergistic Effects with Other Herbs or Drugs</w:t>
      </w:r>
    </w:p>
    <w:p w:rsidR="005F01BE" w:rsidRDefault="003E2C3A">
      <w:pPr>
        <w:pStyle w:val="NormalWeb"/>
        <w:spacing w:line="480" w:lineRule="auto"/>
        <w:ind w:firstLine="720"/>
        <w:jc w:val="both"/>
        <w:rPr>
          <w:color w:val="000000"/>
        </w:rPr>
      </w:pPr>
      <w:r>
        <w:rPr>
          <w:color w:val="000000"/>
        </w:rPr>
        <w:t xml:space="preserve">It would be beneficial to explore potential synergistic or antagonistic interactions between </w:t>
      </w:r>
      <w:r>
        <w:rPr>
          <w:rStyle w:val="Emphasis"/>
          <w:color w:val="000000"/>
        </w:rPr>
        <w:t>Sida acuta</w:t>
      </w:r>
      <w:r>
        <w:rPr>
          <w:color w:val="000000"/>
        </w:rPr>
        <w:t xml:space="preserve"> and other </w:t>
      </w:r>
      <w:r>
        <w:rPr>
          <w:color w:val="000000"/>
        </w:rPr>
        <w:t>medicinal plants or conventional pharmaceuticals. This could broaden its application in integrated medicine.</w:t>
      </w:r>
    </w:p>
    <w:p w:rsidR="005F01BE" w:rsidRDefault="003E2C3A">
      <w:pPr>
        <w:pStyle w:val="NormalWeb"/>
        <w:spacing w:line="480" w:lineRule="auto"/>
        <w:jc w:val="both"/>
        <w:rPr>
          <w:color w:val="000000"/>
        </w:rPr>
      </w:pPr>
      <w:r>
        <w:rPr>
          <w:rStyle w:val="Strong"/>
          <w:color w:val="000000"/>
        </w:rPr>
        <w:t>Broaden the Scope of Nutritional and Functional Assessments</w:t>
      </w:r>
    </w:p>
    <w:p w:rsidR="005F01BE" w:rsidRDefault="003E2C3A">
      <w:pPr>
        <w:pStyle w:val="NormalWeb"/>
        <w:spacing w:line="480" w:lineRule="auto"/>
        <w:ind w:firstLine="720"/>
        <w:jc w:val="both"/>
        <w:rPr>
          <w:color w:val="000000"/>
        </w:rPr>
      </w:pPr>
      <w:r>
        <w:rPr>
          <w:color w:val="000000"/>
        </w:rPr>
        <w:t>Researchers are advised to assess additional nutritional indices and organ-specific eff</w:t>
      </w:r>
      <w:r>
        <w:rPr>
          <w:color w:val="000000"/>
        </w:rPr>
        <w:t xml:space="preserve">ects (e.g., liver and kidney function tests), to better understand the systemic effects of </w:t>
      </w:r>
      <w:r>
        <w:rPr>
          <w:rStyle w:val="Emphasis"/>
          <w:color w:val="000000"/>
        </w:rPr>
        <w:t>Sida acuta</w:t>
      </w:r>
      <w:r>
        <w:rPr>
          <w:color w:val="000000"/>
        </w:rPr>
        <w:t xml:space="preserve"> and its suitability as a functional food or supplement.</w:t>
      </w:r>
    </w:p>
    <w:p w:rsidR="005F01BE" w:rsidRDefault="003E2C3A">
      <w:pPr>
        <w:pStyle w:val="NormalWeb"/>
        <w:spacing w:line="480" w:lineRule="auto"/>
        <w:jc w:val="both"/>
        <w:rPr>
          <w:color w:val="000000"/>
        </w:rPr>
      </w:pPr>
      <w:r>
        <w:rPr>
          <w:rStyle w:val="Strong"/>
          <w:color w:val="000000"/>
        </w:rPr>
        <w:t>Utilize Omics-Based Approaches</w:t>
      </w:r>
    </w:p>
    <w:p w:rsidR="005F01BE" w:rsidRDefault="003E2C3A">
      <w:pPr>
        <w:pStyle w:val="NormalWeb"/>
        <w:spacing w:line="480" w:lineRule="auto"/>
        <w:ind w:firstLine="720"/>
        <w:jc w:val="both"/>
        <w:rPr>
          <w:b/>
          <w:bCs/>
          <w:color w:val="000000"/>
        </w:rPr>
      </w:pPr>
      <w:r>
        <w:rPr>
          <w:color w:val="000000"/>
        </w:rPr>
        <w:t>Integrating genomics, proteomics, and metabolomics into future stud</w:t>
      </w:r>
      <w:r>
        <w:rPr>
          <w:color w:val="000000"/>
        </w:rPr>
        <w:t xml:space="preserve">ies may help uncover more comprehensive insights into the biological pathways influenced by </w:t>
      </w:r>
      <w:r>
        <w:rPr>
          <w:rStyle w:val="Emphasis"/>
          <w:color w:val="000000"/>
        </w:rPr>
        <w:t>Sida acuta</w:t>
      </w:r>
      <w:r>
        <w:rPr>
          <w:color w:val="000000"/>
        </w:rPr>
        <w:t>, and identify potential biomarkers of efficacy or toxicity.</w:t>
      </w:r>
    </w:p>
    <w:p w:rsidR="005F01BE" w:rsidRDefault="003E2C3A">
      <w:pPr>
        <w:pStyle w:val="NormalWeb"/>
        <w:spacing w:line="480" w:lineRule="auto"/>
        <w:ind w:firstLine="720"/>
        <w:jc w:val="both"/>
        <w:rPr>
          <w:color w:val="000000"/>
        </w:rPr>
      </w:pPr>
      <w:r>
        <w:rPr>
          <w:color w:val="000000"/>
        </w:rPr>
        <w:t xml:space="preserve">By pursuing these directions, future research can further elucidate the therapeutic potential of </w:t>
      </w:r>
      <w:r>
        <w:rPr>
          <w:rStyle w:val="Emphasis"/>
          <w:color w:val="000000"/>
        </w:rPr>
        <w:t>Sida acuta</w:t>
      </w:r>
      <w:r>
        <w:rPr>
          <w:color w:val="000000"/>
        </w:rPr>
        <w:t>, support its safe application in traditional and modern medicine, and contribute to the development of novel plant-based interventions.</w:t>
      </w:r>
    </w:p>
    <w:p w:rsidR="005F01BE" w:rsidRDefault="005F01BE">
      <w:pPr>
        <w:pStyle w:val="NormalWeb"/>
        <w:spacing w:line="480" w:lineRule="auto"/>
        <w:jc w:val="both"/>
        <w:rPr>
          <w:color w:val="000000"/>
          <w:szCs w:val="26"/>
        </w:rPr>
      </w:pPr>
    </w:p>
    <w:p w:rsidR="005F01BE" w:rsidRDefault="005F01BE">
      <w:pPr>
        <w:pStyle w:val="NormalWeb"/>
        <w:spacing w:line="480" w:lineRule="auto"/>
        <w:jc w:val="both"/>
        <w:rPr>
          <w:color w:val="000000"/>
          <w:szCs w:val="26"/>
        </w:rPr>
      </w:pPr>
    </w:p>
    <w:p w:rsidR="005F01BE" w:rsidRDefault="003E2C3A">
      <w:pPr>
        <w:pStyle w:val="NormalWeb"/>
        <w:spacing w:line="480" w:lineRule="auto"/>
        <w:jc w:val="both"/>
        <w:rPr>
          <w:b/>
          <w:color w:val="000000"/>
          <w:szCs w:val="26"/>
        </w:rPr>
      </w:pPr>
      <w:r>
        <w:rPr>
          <w:b/>
          <w:color w:val="000000"/>
          <w:szCs w:val="26"/>
        </w:rPr>
        <w:t>REFERENCE</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Adegboye, M. F., Akinpelu, D. A., &amp; Okoh, A. I. (2021). Antibacterial and antifungal activities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Journal of Medicinal Plants Research, 15</w:t>
      </w:r>
      <w:r>
        <w:rPr>
          <w:rFonts w:eastAsia="Times New Roman"/>
          <w:color w:val="000000"/>
          <w:sz w:val="24"/>
          <w:szCs w:val="26"/>
        </w:rPr>
        <w:t>(3), 45-55.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Adegboye, M. F., Akinpelu, D. A., &amp; Okoh, A. I. (2021). Antibacterial and antifungal</w:t>
      </w:r>
      <w:r>
        <w:rPr>
          <w:color w:val="000000"/>
          <w:szCs w:val="26"/>
        </w:rPr>
        <w:t xml:space="preserve"> activities of </w:t>
      </w:r>
      <w:r>
        <w:rPr>
          <w:rStyle w:val="Emphasis"/>
          <w:color w:val="000000"/>
          <w:szCs w:val="26"/>
        </w:rPr>
        <w:t>Sida acuta</w:t>
      </w:r>
      <w:r>
        <w:rPr>
          <w:color w:val="000000"/>
          <w:szCs w:val="26"/>
        </w:rPr>
        <w:t xml:space="preserve"> extracts. </w:t>
      </w:r>
      <w:r>
        <w:rPr>
          <w:rStyle w:val="Emphasis"/>
          <w:color w:val="000000"/>
          <w:szCs w:val="26"/>
        </w:rPr>
        <w:t>Journal of Medicinal Plants Research, 15</w:t>
      </w:r>
      <w:r>
        <w:rPr>
          <w:color w:val="000000"/>
          <w:szCs w:val="26"/>
        </w:rPr>
        <w:t>(3), 45-55.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Adegboye, M. F., Akinpelu, D. A., &amp; Okoh, A. I. (2021). Mineral composition and nutritional evaluation of </w:t>
      </w:r>
      <w:r>
        <w:rPr>
          <w:rStyle w:val="Emphasis"/>
          <w:color w:val="000000"/>
          <w:szCs w:val="26"/>
        </w:rPr>
        <w:t>Sida acuta</w:t>
      </w:r>
      <w:r>
        <w:rPr>
          <w:color w:val="000000"/>
          <w:szCs w:val="26"/>
        </w:rPr>
        <w:t xml:space="preserve">. </w:t>
      </w:r>
      <w:r>
        <w:rPr>
          <w:rStyle w:val="Emphasis"/>
          <w:color w:val="000000"/>
          <w:szCs w:val="26"/>
        </w:rPr>
        <w:t>Journal of Medicinal Plants Research, 15</w:t>
      </w:r>
      <w:r>
        <w:rPr>
          <w:color w:val="000000"/>
          <w:szCs w:val="26"/>
        </w:rPr>
        <w:t>(3), 45-55</w:t>
      </w:r>
      <w:r>
        <w:rPr>
          <w:color w:val="000000"/>
          <w:szCs w:val="26"/>
        </w:rPr>
        <w:t>.</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Adegboye, M. F., Oladipo, J. O., &amp; Oloyede, F. A. (2021). Antibacterial activity of </w:t>
      </w:r>
      <w:r>
        <w:rPr>
          <w:rStyle w:val="Emphasis"/>
          <w:color w:val="000000"/>
          <w:szCs w:val="26"/>
        </w:rPr>
        <w:t>Sida acuta</w:t>
      </w:r>
      <w:r>
        <w:rPr>
          <w:color w:val="000000"/>
          <w:szCs w:val="26"/>
        </w:rPr>
        <w:t xml:space="preserve"> extracts against clinical pathogens. </w:t>
      </w:r>
      <w:r>
        <w:rPr>
          <w:rStyle w:val="Emphasis"/>
          <w:color w:val="000000"/>
          <w:szCs w:val="26"/>
        </w:rPr>
        <w:t>Journal of Medicinal Plants Research, 15</w:t>
      </w:r>
      <w:r>
        <w:rPr>
          <w:color w:val="000000"/>
          <w:szCs w:val="26"/>
        </w:rPr>
        <w:t>(3), 45-52.</w:t>
      </w:r>
    </w:p>
    <w:p w:rsidR="005F01BE" w:rsidRDefault="003E2C3A">
      <w:pPr>
        <w:spacing w:after="0" w:line="480" w:lineRule="auto"/>
        <w:ind w:left="720" w:hanging="720"/>
        <w:jc w:val="both"/>
        <w:rPr>
          <w:color w:val="000000"/>
          <w:sz w:val="24"/>
          <w:szCs w:val="26"/>
        </w:rPr>
      </w:pPr>
      <w:r>
        <w:rPr>
          <w:color w:val="000000"/>
          <w:sz w:val="24"/>
          <w:szCs w:val="26"/>
        </w:rPr>
        <w:t>Adeniyi, S., Orjiekwe, C., Ehiagbonare, J. and Arimah, B. (2010). Prel</w:t>
      </w:r>
      <w:r>
        <w:rPr>
          <w:color w:val="000000"/>
          <w:sz w:val="24"/>
          <w:szCs w:val="26"/>
        </w:rPr>
        <w:t>iminary phytochemical analysis and insecticidal activity of ethanolic extracts of four tropical plants (</w:t>
      </w:r>
      <w:r>
        <w:rPr>
          <w:i/>
          <w:color w:val="000000"/>
          <w:sz w:val="24"/>
          <w:szCs w:val="26"/>
        </w:rPr>
        <w:t>Vernonia amygdalina, Sida acuta, Ocimum gratissimum</w:t>
      </w:r>
      <w:r>
        <w:rPr>
          <w:color w:val="000000"/>
          <w:sz w:val="24"/>
          <w:szCs w:val="26"/>
        </w:rPr>
        <w:t xml:space="preserve"> </w:t>
      </w:r>
      <w:r>
        <w:rPr>
          <w:i/>
          <w:color w:val="000000"/>
          <w:sz w:val="24"/>
          <w:szCs w:val="26"/>
        </w:rPr>
        <w:t xml:space="preserve">and </w:t>
      </w:r>
      <w:r>
        <w:rPr>
          <w:i/>
          <w:color w:val="000000"/>
          <w:sz w:val="24"/>
          <w:szCs w:val="26"/>
        </w:rPr>
        <w:lastRenderedPageBreak/>
        <w:t>Telfaria occidentalis</w:t>
      </w:r>
      <w:r>
        <w:rPr>
          <w:color w:val="000000"/>
          <w:sz w:val="24"/>
          <w:szCs w:val="26"/>
        </w:rPr>
        <w:t>) against beans weevil (</w:t>
      </w:r>
      <w:r>
        <w:rPr>
          <w:i/>
          <w:color w:val="000000"/>
          <w:sz w:val="24"/>
          <w:szCs w:val="26"/>
        </w:rPr>
        <w:t>Acanthscelides obtectus</w:t>
      </w:r>
      <w:r>
        <w:rPr>
          <w:color w:val="000000"/>
          <w:sz w:val="24"/>
          <w:szCs w:val="26"/>
        </w:rPr>
        <w:t xml:space="preserve">). </w:t>
      </w:r>
      <w:r>
        <w:rPr>
          <w:i/>
          <w:color w:val="000000"/>
          <w:sz w:val="24"/>
          <w:szCs w:val="26"/>
        </w:rPr>
        <w:t>Int. J. Phys. Sci.,</w:t>
      </w:r>
      <w:r>
        <w:rPr>
          <w:color w:val="000000"/>
          <w:sz w:val="24"/>
          <w:szCs w:val="26"/>
        </w:rPr>
        <w:t xml:space="preserve"> 5(6):</w:t>
      </w:r>
      <w:r>
        <w:rPr>
          <w:color w:val="000000"/>
          <w:sz w:val="24"/>
          <w:szCs w:val="26"/>
        </w:rPr>
        <w:t>753-762.</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Adepoju, F. G., Tota-Bolarinwa, B. T., Abikoye, P. O., Okeke, G. O., &amp; Alafe, H. S.</w:t>
      </w:r>
      <w:r>
        <w:rPr>
          <w:rFonts w:eastAsia="Times New Roman"/>
          <w:color w:val="000000"/>
          <w:sz w:val="24"/>
          <w:szCs w:val="26"/>
        </w:rPr>
        <w:t> (2023). Clinical and demographic review of corneal ulcers in University of Ilorin Teaching Hospital. </w:t>
      </w:r>
      <w:r>
        <w:rPr>
          <w:rFonts w:eastAsia="Times New Roman"/>
          <w:i/>
          <w:iCs/>
          <w:color w:val="000000"/>
          <w:sz w:val="24"/>
          <w:szCs w:val="26"/>
          <w:bdr w:val="single" w:sz="2" w:space="0" w:color="E5E7EB" w:frame="1"/>
        </w:rPr>
        <w:t>Nigerian Journal of Ophthalmology</w:t>
      </w:r>
      <w:r>
        <w:rPr>
          <w:rFonts w:eastAsia="Times New Roman"/>
          <w:color w:val="000000"/>
          <w:sz w:val="24"/>
          <w:szCs w:val="26"/>
        </w:rPr>
        <w:t>, 31, 2.</w:t>
      </w:r>
    </w:p>
    <w:p w:rsidR="005F01BE" w:rsidRDefault="003E2C3A">
      <w:pPr>
        <w:spacing w:after="0" w:line="480" w:lineRule="auto"/>
        <w:ind w:left="720" w:hanging="720"/>
        <w:jc w:val="both"/>
        <w:rPr>
          <w:color w:val="000000"/>
          <w:sz w:val="24"/>
          <w:szCs w:val="26"/>
        </w:rPr>
      </w:pPr>
      <w:r>
        <w:rPr>
          <w:color w:val="000000"/>
          <w:sz w:val="24"/>
          <w:szCs w:val="26"/>
        </w:rPr>
        <w:t xml:space="preserve">Agréus L, Hellström PM, Talley NJ. (2016). Towards a healthy stomach? Helicobacter pylori prevalence has dramatically decreased over 23 years in adults in a Swedish community. </w:t>
      </w:r>
      <w:r>
        <w:rPr>
          <w:i/>
          <w:color w:val="000000"/>
          <w:sz w:val="24"/>
          <w:szCs w:val="26"/>
        </w:rPr>
        <w:t>United European Gastroenterol.</w:t>
      </w:r>
      <w:r>
        <w:rPr>
          <w:color w:val="000000"/>
          <w:sz w:val="24"/>
          <w:szCs w:val="26"/>
        </w:rPr>
        <w:t xml:space="preserve"> 4:686-96.</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Ajayi, T. O., Adebayo, O. A., &amp; Ojo, A.</w:t>
      </w:r>
      <w:r>
        <w:rPr>
          <w:color w:val="000000"/>
          <w:szCs w:val="26"/>
        </w:rPr>
        <w:t xml:space="preserve"> A. (2022). Toxicological evaluation of </w:t>
      </w:r>
      <w:r>
        <w:rPr>
          <w:rStyle w:val="Emphasis"/>
          <w:color w:val="000000"/>
          <w:szCs w:val="26"/>
        </w:rPr>
        <w:t>Sida acuta</w:t>
      </w:r>
      <w:r>
        <w:rPr>
          <w:color w:val="000000"/>
          <w:szCs w:val="26"/>
        </w:rPr>
        <w:t xml:space="preserve"> leaf extract in rodents. </w:t>
      </w:r>
      <w:r>
        <w:rPr>
          <w:rStyle w:val="Emphasis"/>
          <w:color w:val="000000"/>
          <w:szCs w:val="26"/>
        </w:rPr>
        <w:t>Toxicology Reports, 9</w:t>
      </w:r>
      <w:r>
        <w:rPr>
          <w:color w:val="000000"/>
          <w:szCs w:val="26"/>
        </w:rPr>
        <w:t>, 34-42.</w:t>
      </w:r>
    </w:p>
    <w:p w:rsidR="005F01BE" w:rsidRDefault="003E2C3A">
      <w:pPr>
        <w:spacing w:after="0" w:line="480" w:lineRule="auto"/>
        <w:ind w:left="720" w:hanging="720"/>
        <w:jc w:val="both"/>
        <w:rPr>
          <w:color w:val="000000"/>
          <w:sz w:val="24"/>
          <w:szCs w:val="26"/>
        </w:rPr>
      </w:pPr>
      <w:r>
        <w:rPr>
          <w:color w:val="000000"/>
          <w:sz w:val="24"/>
          <w:szCs w:val="26"/>
        </w:rPr>
        <w:t>Akaneme, F.I. (2008) Identification and Preliminary Phytochemical Analysis of Herbs That Can Arrest Threatened Miscarriage in Orba and Nsukka Towns of</w:t>
      </w:r>
      <w:r>
        <w:rPr>
          <w:color w:val="000000"/>
          <w:sz w:val="24"/>
          <w:szCs w:val="26"/>
        </w:rPr>
        <w:t xml:space="preserve"> Enugu State. </w:t>
      </w:r>
      <w:r>
        <w:rPr>
          <w:i/>
          <w:color w:val="000000"/>
          <w:sz w:val="24"/>
          <w:szCs w:val="26"/>
        </w:rPr>
        <w:t>African Journal of Biotechnology, 7</w:t>
      </w:r>
      <w:r>
        <w:rPr>
          <w:color w:val="000000"/>
          <w:sz w:val="24"/>
          <w:szCs w:val="26"/>
        </w:rPr>
        <w:t xml:space="preserve">, 6-11. </w:t>
      </w:r>
    </w:p>
    <w:p w:rsidR="005F01BE" w:rsidRDefault="003E2C3A">
      <w:pPr>
        <w:spacing w:after="0" w:line="480" w:lineRule="auto"/>
        <w:ind w:left="720" w:hanging="720"/>
        <w:jc w:val="both"/>
        <w:rPr>
          <w:color w:val="000000"/>
          <w:sz w:val="24"/>
          <w:szCs w:val="26"/>
        </w:rPr>
      </w:pPr>
      <w:r>
        <w:rPr>
          <w:color w:val="000000"/>
          <w:sz w:val="24"/>
          <w:szCs w:val="26"/>
        </w:rPr>
        <w:t>Akilandeswari, S., Senthamarai, R., Valarmathi, R., Shanthi, S., Prema, S., (2010). Screening of gastric antiulcer activity of Sida acuta Burm. International Journal of Pharm Tech Research 2, 1644-1</w:t>
      </w:r>
      <w:r>
        <w:rPr>
          <w:color w:val="000000"/>
          <w:sz w:val="24"/>
          <w:szCs w:val="26"/>
        </w:rPr>
        <w:t>648.</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Akinpelu, B. A., Odetunde, J. A., &amp; Adeyemi, F. O. (2021). Hypoglycemic effect of </w:t>
      </w:r>
      <w:r>
        <w:rPr>
          <w:rStyle w:val="Emphasis"/>
          <w:color w:val="000000"/>
          <w:szCs w:val="26"/>
        </w:rPr>
        <w:t>Sida acuta</w:t>
      </w:r>
      <w:r>
        <w:rPr>
          <w:color w:val="000000"/>
          <w:szCs w:val="26"/>
        </w:rPr>
        <w:t xml:space="preserve"> leaf extract in diabetic rats. </w:t>
      </w:r>
      <w:r>
        <w:rPr>
          <w:rStyle w:val="Emphasis"/>
          <w:color w:val="000000"/>
          <w:szCs w:val="26"/>
        </w:rPr>
        <w:t>African Journal of Traditional, Complementary, and Alternative Medicines, 18</w:t>
      </w:r>
      <w:r>
        <w:rPr>
          <w:color w:val="000000"/>
          <w:szCs w:val="26"/>
        </w:rPr>
        <w:t>(2), 121-130.</w:t>
      </w:r>
    </w:p>
    <w:p w:rsidR="005F01BE" w:rsidRDefault="003E2C3A">
      <w:pPr>
        <w:spacing w:after="0" w:line="480" w:lineRule="auto"/>
        <w:ind w:left="720" w:hanging="720"/>
        <w:jc w:val="both"/>
        <w:rPr>
          <w:color w:val="000000"/>
          <w:sz w:val="24"/>
          <w:szCs w:val="26"/>
        </w:rPr>
      </w:pPr>
      <w:r>
        <w:rPr>
          <w:color w:val="000000"/>
          <w:sz w:val="24"/>
          <w:szCs w:val="26"/>
        </w:rPr>
        <w:t>Armstrong, D. G., Boulton, A. J., &amp; B</w:t>
      </w:r>
      <w:r>
        <w:rPr>
          <w:color w:val="000000"/>
          <w:sz w:val="24"/>
          <w:szCs w:val="26"/>
        </w:rPr>
        <w:t>us, S. A. (2020). Diabetic foot ulcers and their recurrence. The New England Journal of Medicine, 382(10), 982-992.</w:t>
      </w:r>
    </w:p>
    <w:p w:rsidR="005F01BE" w:rsidRDefault="003E2C3A">
      <w:pPr>
        <w:spacing w:after="0" w:line="480" w:lineRule="auto"/>
        <w:ind w:left="720" w:hanging="720"/>
        <w:jc w:val="both"/>
        <w:rPr>
          <w:color w:val="000000"/>
          <w:sz w:val="24"/>
          <w:szCs w:val="26"/>
        </w:rPr>
      </w:pPr>
      <w:r>
        <w:rPr>
          <w:color w:val="000000"/>
          <w:sz w:val="24"/>
          <w:szCs w:val="26"/>
        </w:rPr>
        <w:lastRenderedPageBreak/>
        <w:t xml:space="preserve">Armstrong, D. G., Boulton, A. J., &amp; Bus, S. A. (2021). Diabetic foot ulcers and their recurrence. New England Journal of Medicine, 376(24), </w:t>
      </w:r>
      <w:r>
        <w:rPr>
          <w:color w:val="000000"/>
          <w:sz w:val="24"/>
          <w:szCs w:val="26"/>
        </w:rPr>
        <w:t>2367-2375.</w:t>
      </w:r>
    </w:p>
    <w:p w:rsidR="005F01BE" w:rsidRDefault="003E2C3A">
      <w:pPr>
        <w:spacing w:after="0" w:line="480" w:lineRule="auto"/>
        <w:ind w:left="720" w:hanging="720"/>
        <w:jc w:val="both"/>
        <w:rPr>
          <w:color w:val="000000"/>
          <w:sz w:val="24"/>
          <w:szCs w:val="26"/>
        </w:rPr>
      </w:pPr>
      <w:r>
        <w:rPr>
          <w:color w:val="000000"/>
          <w:sz w:val="24"/>
          <w:szCs w:val="26"/>
        </w:rPr>
        <w:t xml:space="preserve">Asha A, Farsana S. and Baiju EC. (2018). Phytochemical profiling and antibacterial activity of selected Sida species against common human pathogenic bacteria: An in vitro study. </w:t>
      </w:r>
      <w:r>
        <w:rPr>
          <w:i/>
          <w:color w:val="000000"/>
          <w:sz w:val="24"/>
          <w:szCs w:val="26"/>
        </w:rPr>
        <w:t>Journal of Pharmacognosy and Phytochemistry.</w:t>
      </w:r>
      <w:r>
        <w:rPr>
          <w:color w:val="000000"/>
          <w:sz w:val="24"/>
          <w:szCs w:val="26"/>
        </w:rPr>
        <w:t xml:space="preserve"> 7(3):1201-5.</w:t>
      </w:r>
    </w:p>
    <w:p w:rsidR="005F01BE" w:rsidRDefault="003E2C3A">
      <w:pPr>
        <w:spacing w:after="0" w:line="480" w:lineRule="auto"/>
        <w:ind w:left="720" w:hanging="720"/>
        <w:jc w:val="both"/>
        <w:rPr>
          <w:color w:val="000000"/>
          <w:sz w:val="24"/>
          <w:szCs w:val="26"/>
        </w:rPr>
      </w:pPr>
      <w:r>
        <w:rPr>
          <w:color w:val="000000"/>
          <w:sz w:val="24"/>
          <w:szCs w:val="26"/>
        </w:rPr>
        <w:t>Atkin, L.</w:t>
      </w:r>
      <w:r>
        <w:rPr>
          <w:color w:val="000000"/>
          <w:sz w:val="24"/>
          <w:szCs w:val="26"/>
        </w:rPr>
        <w:t xml:space="preserve"> (2019). Understanding the role of dressings in pressure ulcer prevention and management. </w:t>
      </w:r>
      <w:r>
        <w:rPr>
          <w:i/>
          <w:color w:val="000000"/>
          <w:sz w:val="24"/>
          <w:szCs w:val="26"/>
        </w:rPr>
        <w:t>British Journal of Community Nursing,</w:t>
      </w:r>
      <w:r>
        <w:rPr>
          <w:color w:val="000000"/>
          <w:sz w:val="24"/>
          <w:szCs w:val="26"/>
        </w:rPr>
        <w:t xml:space="preserve"> 24(6), S6-S10.</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Australian Journal of General Practice</w:t>
      </w:r>
      <w:r>
        <w:rPr>
          <w:rFonts w:eastAsia="Times New Roman"/>
          <w:color w:val="000000"/>
          <w:sz w:val="24"/>
          <w:szCs w:val="26"/>
        </w:rPr>
        <w:t>. (2022). Corneal ulcers. Retrieved from </w:t>
      </w:r>
      <w:hyperlink r:id="rId86" w:tgtFrame="_blank" w:history="1">
        <w:r>
          <w:rPr>
            <w:rFonts w:eastAsia="Times New Roman"/>
            <w:color w:val="000000"/>
            <w:sz w:val="24"/>
            <w:szCs w:val="26"/>
            <w:bdr w:val="single" w:sz="2" w:space="0" w:color="E5E7EB" w:frame="1"/>
          </w:rPr>
          <w:t>https://www1.racgp.org.au/ajgp/2022/november/corneal-ulcers</w:t>
        </w:r>
      </w:hyperlink>
    </w:p>
    <w:p w:rsidR="005F01BE" w:rsidRDefault="003E2C3A">
      <w:pPr>
        <w:spacing w:after="0" w:line="480" w:lineRule="auto"/>
        <w:ind w:left="720" w:hanging="720"/>
        <w:jc w:val="both"/>
        <w:rPr>
          <w:color w:val="000000"/>
          <w:sz w:val="24"/>
          <w:szCs w:val="26"/>
        </w:rPr>
      </w:pPr>
      <w:r>
        <w:rPr>
          <w:color w:val="000000"/>
          <w:sz w:val="24"/>
          <w:szCs w:val="26"/>
        </w:rPr>
        <w:t>Baranoski, S., &amp; Ayello, E. A. (2020). Wound care essentials: Practice principles. Lippincott Williams &amp; Wilkins.</w:t>
      </w:r>
    </w:p>
    <w:p w:rsidR="005F01BE" w:rsidRDefault="003E2C3A">
      <w:pPr>
        <w:spacing w:after="0" w:line="480" w:lineRule="auto"/>
        <w:ind w:left="720" w:hanging="720"/>
        <w:jc w:val="both"/>
        <w:rPr>
          <w:color w:val="000000"/>
          <w:sz w:val="24"/>
          <w:szCs w:val="26"/>
        </w:rPr>
      </w:pPr>
      <w:r>
        <w:rPr>
          <w:color w:val="000000"/>
          <w:sz w:val="24"/>
          <w:szCs w:val="26"/>
        </w:rPr>
        <w:t>Bella S, Luzzati R, Mearelli</w:t>
      </w:r>
      <w:r>
        <w:rPr>
          <w:color w:val="000000"/>
          <w:sz w:val="24"/>
          <w:szCs w:val="26"/>
        </w:rPr>
        <w:t xml:space="preserve"> F, Papa G, Spazzapan L, Nunnari A, et al. (2024-06-01). "Antiinfective management of infected skin ulcers" (https://www.ncbi.nlm.nih.gov/pmc/articles/PM Specific typ See also References C11142418) . Le Infezioni in Medicina. 32 (2): 138–147.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Bennett, R. N</w:t>
      </w:r>
      <w:r>
        <w:rPr>
          <w:color w:val="000000"/>
          <w:szCs w:val="26"/>
        </w:rPr>
        <w:t xml:space="preserve">., &amp; Wallsgrove, R. M. (2019). Secondary metabolites in plant defense mechanisms. </w:t>
      </w:r>
      <w:r>
        <w:rPr>
          <w:rStyle w:val="Emphasis"/>
          <w:color w:val="000000"/>
          <w:szCs w:val="26"/>
        </w:rPr>
        <w:t>New Phytologist, 146</w:t>
      </w:r>
      <w:r>
        <w:rPr>
          <w:color w:val="000000"/>
          <w:szCs w:val="26"/>
        </w:rPr>
        <w:t>(2), 351-360.</w:t>
      </w:r>
    </w:p>
    <w:p w:rsidR="005F01BE" w:rsidRDefault="003E2C3A">
      <w:pPr>
        <w:spacing w:after="0" w:line="480" w:lineRule="auto"/>
        <w:ind w:left="720" w:hanging="720"/>
        <w:jc w:val="both"/>
        <w:rPr>
          <w:color w:val="000000"/>
          <w:sz w:val="24"/>
          <w:szCs w:val="26"/>
        </w:rPr>
      </w:pPr>
      <w:r>
        <w:rPr>
          <w:color w:val="000000"/>
          <w:sz w:val="24"/>
          <w:szCs w:val="26"/>
        </w:rPr>
        <w:t>Bergstrom, N., Braden, B. J., &amp; Laguzza, A. (2018). The Braden Scale for Predicting Pressure Sore Risk. Nursing Research, 41(2), 77-84.</w:t>
      </w:r>
    </w:p>
    <w:p w:rsidR="005F01BE" w:rsidRDefault="003E2C3A">
      <w:pPr>
        <w:spacing w:after="0" w:line="480" w:lineRule="auto"/>
        <w:ind w:left="720" w:hanging="720"/>
        <w:jc w:val="both"/>
        <w:rPr>
          <w:color w:val="000000"/>
          <w:sz w:val="24"/>
          <w:szCs w:val="26"/>
        </w:rPr>
      </w:pPr>
      <w:r>
        <w:rPr>
          <w:color w:val="000000"/>
          <w:sz w:val="24"/>
          <w:szCs w:val="26"/>
        </w:rPr>
        <w:lastRenderedPageBreak/>
        <w:t>Bjar</w:t>
      </w:r>
      <w:r>
        <w:rPr>
          <w:color w:val="000000"/>
          <w:sz w:val="24"/>
          <w:szCs w:val="26"/>
        </w:rPr>
        <w:t>nsholt, T., Kirketerp-Møller, K., Jensen, P. Ø., Madsen, K. G., Phipps, R., Krogfelt, K., ... &amp; Høiby, N. (2008). Why chronic wounds will not heal: A novel hypothesis. Wound Repair and Regeneration, 16(1), 2-10.</w:t>
      </w:r>
    </w:p>
    <w:p w:rsidR="005F01BE" w:rsidRDefault="003E2C3A">
      <w:pPr>
        <w:spacing w:after="0" w:line="480" w:lineRule="auto"/>
        <w:ind w:left="720" w:hanging="720"/>
        <w:jc w:val="both"/>
        <w:rPr>
          <w:color w:val="000000"/>
          <w:sz w:val="24"/>
          <w:szCs w:val="26"/>
        </w:rPr>
      </w:pPr>
      <w:r>
        <w:rPr>
          <w:color w:val="000000"/>
          <w:sz w:val="24"/>
          <w:szCs w:val="26"/>
        </w:rPr>
        <w:t>Boateng, J. S., &amp; Catanzano, O. (2015). Adva</w:t>
      </w:r>
      <w:r>
        <w:rPr>
          <w:color w:val="000000"/>
          <w:sz w:val="24"/>
          <w:szCs w:val="26"/>
        </w:rPr>
        <w:t>nced therapeutic dressings for effective wound healing—a review. Journal of Pharmaceutical Sciences, 104(11), 3653-3680.</w:t>
      </w:r>
    </w:p>
    <w:p w:rsidR="005F01BE" w:rsidRDefault="003E2C3A">
      <w:pPr>
        <w:spacing w:after="0" w:line="480" w:lineRule="auto"/>
        <w:ind w:left="720" w:hanging="720"/>
        <w:jc w:val="both"/>
        <w:rPr>
          <w:rFonts w:eastAsia="Times New Roman"/>
          <w:color w:val="000000"/>
          <w:sz w:val="24"/>
          <w:szCs w:val="26"/>
        </w:rPr>
      </w:pPr>
      <w:r>
        <w:rPr>
          <w:color w:val="000000"/>
          <w:sz w:val="24"/>
          <w:szCs w:val="26"/>
        </w:rPr>
        <w:t>Chen J, Falla TJ, Liu H, et al. Development of protegrins for the treatment and prevention of oral mucositis: structure-activity relati</w:t>
      </w:r>
      <w:r>
        <w:rPr>
          <w:color w:val="000000"/>
          <w:sz w:val="24"/>
          <w:szCs w:val="26"/>
        </w:rPr>
        <w:t>onships of synthetic protegrin analogues. Biopolymers 2000; 55: 88–98.</w:t>
      </w:r>
    </w:p>
    <w:p w:rsidR="005F01BE" w:rsidRDefault="003E2C3A">
      <w:pPr>
        <w:spacing w:after="0" w:line="480" w:lineRule="auto"/>
        <w:ind w:left="720" w:hanging="720"/>
        <w:jc w:val="both"/>
        <w:rPr>
          <w:color w:val="000000"/>
          <w:sz w:val="24"/>
          <w:szCs w:val="26"/>
        </w:rPr>
      </w:pPr>
      <w:r>
        <w:rPr>
          <w:color w:val="000000"/>
          <w:sz w:val="24"/>
          <w:szCs w:val="26"/>
        </w:rPr>
        <w:t xml:space="preserve">Conte, M. S., Bradbury, A. W., Kolh, P., White, J. V., Dick, F., Fitridge, R., ... &amp; Mills, J. L. (2019). Global vascular guidelines on chronic limb-threatening ischemia. European </w:t>
      </w:r>
      <w:r>
        <w:rPr>
          <w:color w:val="000000"/>
          <w:sz w:val="24"/>
          <w:szCs w:val="26"/>
        </w:rPr>
        <w:t>Journal of Vascular and Endovascular Surgery, 58(1), S1-S109.</w:t>
      </w:r>
    </w:p>
    <w:p w:rsidR="005F01BE" w:rsidRDefault="003E2C3A">
      <w:pPr>
        <w:spacing w:after="0" w:line="480" w:lineRule="auto"/>
        <w:ind w:left="720" w:hanging="720"/>
        <w:jc w:val="both"/>
        <w:rPr>
          <w:color w:val="000000"/>
          <w:sz w:val="24"/>
          <w:szCs w:val="26"/>
        </w:rPr>
      </w:pPr>
      <w:r>
        <w:rPr>
          <w:color w:val="000000"/>
          <w:sz w:val="24"/>
          <w:szCs w:val="26"/>
        </w:rPr>
        <w:t>Crispian Scully and Rosemary Shotts (2000). Mouth ulcers and other causes of orofacial soreness and pain. BMJ 321:162-165.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Daglia, M. (2017). Polyphenols as antimicrobial agents. </w:t>
      </w:r>
      <w:r>
        <w:rPr>
          <w:rStyle w:val="Emphasis"/>
          <w:color w:val="000000"/>
          <w:szCs w:val="26"/>
        </w:rPr>
        <w:t>Current Opinion</w:t>
      </w:r>
      <w:r>
        <w:rPr>
          <w:rStyle w:val="Emphasis"/>
          <w:color w:val="000000"/>
          <w:szCs w:val="26"/>
        </w:rPr>
        <w:t xml:space="preserve"> in Biotechnology, 23</w:t>
      </w:r>
      <w:r>
        <w:rPr>
          <w:color w:val="000000"/>
          <w:szCs w:val="26"/>
        </w:rPr>
        <w:t>(2), 174-181.</w:t>
      </w:r>
    </w:p>
    <w:p w:rsidR="005F01BE" w:rsidRDefault="003E2C3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Dinda, B., Das, N., Dinda, S., Dinda, M., &amp; SilSarma, I. (2015). </w:t>
      </w:r>
      <w:r>
        <w:rPr>
          <w:i/>
          <w:iCs/>
          <w:color w:val="000000"/>
          <w:sz w:val="24"/>
          <w:szCs w:val="26"/>
          <w:shd w:val="clear" w:color="auto" w:fill="FFFFFF"/>
        </w:rPr>
        <w:t>The genus Sida L. – A traditional medicine: Its ethnopharmacological, phytochemical and pharmacological data for commercial exploitation in herbal drugs ind</w:t>
      </w:r>
      <w:r>
        <w:rPr>
          <w:i/>
          <w:iCs/>
          <w:color w:val="000000"/>
          <w:sz w:val="24"/>
          <w:szCs w:val="26"/>
          <w:shd w:val="clear" w:color="auto" w:fill="FFFFFF"/>
        </w:rPr>
        <w:t>ustry. Journal of Ethnopharmacology, 176, 135–176.</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lastRenderedPageBreak/>
        <w:t xml:space="preserve">Edeoga, H. O., Okwu, D. E., &amp; Mbaebie, B. O. (2020). Phytochemical constituents of some Nigerian medicinal plants. </w:t>
      </w:r>
      <w:r>
        <w:rPr>
          <w:rStyle w:val="Emphasis"/>
          <w:color w:val="000000"/>
          <w:szCs w:val="26"/>
        </w:rPr>
        <w:t>Journal of Medicinal Plants Research, 14</w:t>
      </w:r>
      <w:r>
        <w:rPr>
          <w:color w:val="000000"/>
          <w:szCs w:val="26"/>
        </w:rPr>
        <w:t>(1), 23-29.</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Edeoga, H. O., Okwu, D. E., &amp; Mbaebie,</w:t>
      </w:r>
      <w:r>
        <w:rPr>
          <w:color w:val="000000"/>
          <w:szCs w:val="26"/>
        </w:rPr>
        <w:t xml:space="preserve"> B. O. (2020). Phytochemical constituents of some Nigerian medicinal plants. </w:t>
      </w:r>
      <w:r>
        <w:rPr>
          <w:rStyle w:val="Emphasis"/>
          <w:color w:val="000000"/>
          <w:szCs w:val="26"/>
        </w:rPr>
        <w:t>Journal of Medicinal Plants Research, 14</w:t>
      </w:r>
      <w:r>
        <w:rPr>
          <w:color w:val="000000"/>
          <w:szCs w:val="26"/>
        </w:rPr>
        <w:t>(1), 23-29.</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Edeoga, H. O., Okwu, D. E., &amp; Mbaebie, B. O. (2020). Phytochemical constituents of </w:t>
      </w:r>
      <w:r>
        <w:rPr>
          <w:rFonts w:eastAsia="Times New Roman"/>
          <w:i/>
          <w:iCs/>
          <w:color w:val="000000"/>
          <w:sz w:val="24"/>
          <w:szCs w:val="26"/>
        </w:rPr>
        <w:t>Sida acuta</w:t>
      </w:r>
      <w:r>
        <w:rPr>
          <w:rFonts w:eastAsia="Times New Roman"/>
          <w:color w:val="000000"/>
          <w:sz w:val="24"/>
          <w:szCs w:val="26"/>
        </w:rPr>
        <w:t xml:space="preserve"> and their antioxidant potential. </w:t>
      </w:r>
      <w:r>
        <w:rPr>
          <w:rFonts w:eastAsia="Times New Roman"/>
          <w:i/>
          <w:iCs/>
          <w:color w:val="000000"/>
          <w:sz w:val="24"/>
          <w:szCs w:val="26"/>
        </w:rPr>
        <w:t>African Journal of Biotechnology, 19</w:t>
      </w:r>
      <w:r>
        <w:rPr>
          <w:rFonts w:eastAsia="Times New Roman"/>
          <w:color w:val="000000"/>
          <w:sz w:val="24"/>
          <w:szCs w:val="26"/>
        </w:rPr>
        <w:t>(2), 89-97.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Edeoga, H. O., Okwu, D. E., &amp; Mbaebie, B. O. (2020). Phytochemical constituents of </w:t>
      </w:r>
      <w:r>
        <w:rPr>
          <w:rStyle w:val="Emphasis"/>
          <w:color w:val="000000"/>
          <w:szCs w:val="26"/>
        </w:rPr>
        <w:t>Sida acuta</w:t>
      </w:r>
      <w:r>
        <w:rPr>
          <w:color w:val="000000"/>
          <w:szCs w:val="26"/>
        </w:rPr>
        <w:t xml:space="preserve"> and their antioxidant potential. </w:t>
      </w:r>
      <w:r>
        <w:rPr>
          <w:rStyle w:val="Emphasis"/>
          <w:color w:val="000000"/>
          <w:szCs w:val="26"/>
        </w:rPr>
        <w:t>African Journal of Biotechnology, 19</w:t>
      </w:r>
      <w:r>
        <w:rPr>
          <w:color w:val="000000"/>
          <w:szCs w:val="26"/>
        </w:rPr>
        <w:t>(2), 89-97.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Edeoga, H. O., Okwu, D. E., &amp;</w:t>
      </w:r>
      <w:r>
        <w:rPr>
          <w:color w:val="000000"/>
          <w:szCs w:val="26"/>
        </w:rPr>
        <w:t xml:space="preserve"> Mbaebie, B. O. (2020). Phytochemical constituents and mineral composition of </w:t>
      </w:r>
      <w:r>
        <w:rPr>
          <w:rStyle w:val="Emphasis"/>
          <w:color w:val="000000"/>
          <w:szCs w:val="26"/>
        </w:rPr>
        <w:t>Sida acuta</w:t>
      </w:r>
      <w:r>
        <w:rPr>
          <w:color w:val="000000"/>
          <w:szCs w:val="26"/>
        </w:rPr>
        <w:t xml:space="preserve">. </w:t>
      </w:r>
      <w:r>
        <w:rPr>
          <w:rStyle w:val="Emphasis"/>
          <w:color w:val="000000"/>
          <w:szCs w:val="26"/>
        </w:rPr>
        <w:t>African Journal of Biotechnology, 19</w:t>
      </w:r>
      <w:r>
        <w:rPr>
          <w:color w:val="000000"/>
          <w:szCs w:val="26"/>
        </w:rPr>
        <w:t>(2), 89-97.</w:t>
      </w:r>
    </w:p>
    <w:p w:rsidR="005F01BE" w:rsidRDefault="003E2C3A">
      <w:pPr>
        <w:spacing w:after="0" w:line="480" w:lineRule="auto"/>
        <w:ind w:left="720" w:hanging="720"/>
        <w:jc w:val="both"/>
        <w:rPr>
          <w:color w:val="000000"/>
          <w:sz w:val="24"/>
          <w:szCs w:val="26"/>
        </w:rPr>
      </w:pPr>
      <w:r>
        <w:rPr>
          <w:color w:val="000000"/>
          <w:sz w:val="24"/>
          <w:szCs w:val="26"/>
        </w:rPr>
        <w:t>Edwards, R., &amp; Harding, K. G. (2020). Bacteria and wound healing. Current Opinion in Infectious Diseases, 17(2), 91-96</w:t>
      </w:r>
      <w:r>
        <w:rPr>
          <w:color w:val="000000"/>
          <w:sz w:val="24"/>
          <w:szCs w:val="26"/>
        </w:rPr>
        <w:t>.</w:t>
      </w:r>
    </w:p>
    <w:p w:rsidR="005F01BE" w:rsidRDefault="003E2C3A">
      <w:pPr>
        <w:spacing w:after="0" w:line="480" w:lineRule="auto"/>
        <w:ind w:left="720" w:hanging="720"/>
        <w:jc w:val="both"/>
        <w:rPr>
          <w:color w:val="000000"/>
          <w:sz w:val="24"/>
          <w:szCs w:val="26"/>
        </w:rPr>
      </w:pPr>
      <w:r>
        <w:rPr>
          <w:color w:val="000000"/>
          <w:sz w:val="24"/>
          <w:szCs w:val="26"/>
        </w:rPr>
        <w:t>Ekpo MA, Etim PC. Antimicrobial activity of ethanolic and aqueous extracts of Sida acuta on microorganisms from skin infections. J Med Plants Res. 2009;3(9):621-24.</w:t>
      </w:r>
    </w:p>
    <w:p w:rsidR="005F01BE" w:rsidRDefault="003E2C3A">
      <w:pPr>
        <w:spacing w:after="0" w:line="480" w:lineRule="auto"/>
        <w:ind w:left="720" w:hanging="720"/>
        <w:jc w:val="both"/>
        <w:rPr>
          <w:color w:val="000000"/>
          <w:sz w:val="24"/>
          <w:szCs w:val="26"/>
          <w:shd w:val="clear" w:color="auto" w:fill="FFFFFF"/>
        </w:rPr>
      </w:pPr>
      <w:r>
        <w:rPr>
          <w:color w:val="000000"/>
          <w:sz w:val="24"/>
          <w:szCs w:val="26"/>
          <w:shd w:val="clear" w:color="auto" w:fill="FFFFFF"/>
        </w:rPr>
        <w:lastRenderedPageBreak/>
        <w:t>Ekwealor, C. C., Okorie, C. C., Ukoha, C. C., &amp; Mba, A. N. (2020). In Vivo Study of Heali</w:t>
      </w:r>
      <w:r>
        <w:rPr>
          <w:color w:val="000000"/>
          <w:sz w:val="24"/>
          <w:szCs w:val="26"/>
          <w:shd w:val="clear" w:color="auto" w:fill="FFFFFF"/>
        </w:rPr>
        <w:t>ng Effects of Sida acuta Leaf Extracts on Helicobacter pylori Induced Ulceration in Mice. </w:t>
      </w:r>
      <w:r>
        <w:rPr>
          <w:i/>
          <w:color w:val="000000"/>
          <w:sz w:val="24"/>
          <w:szCs w:val="26"/>
          <w:shd w:val="clear" w:color="auto" w:fill="FFFFFF"/>
        </w:rPr>
        <w:t>Journal of Biosciences and Medicines</w:t>
      </w:r>
      <w:r>
        <w:rPr>
          <w:color w:val="000000"/>
          <w:sz w:val="24"/>
          <w:szCs w:val="26"/>
          <w:shd w:val="clear" w:color="auto" w:fill="FFFFFF"/>
        </w:rPr>
        <w:t>, </w:t>
      </w:r>
      <w:r>
        <w:rPr>
          <w:i/>
          <w:color w:val="000000"/>
          <w:sz w:val="24"/>
          <w:szCs w:val="26"/>
          <w:shd w:val="clear" w:color="auto" w:fill="FFFFFF"/>
        </w:rPr>
        <w:t>8</w:t>
      </w:r>
      <w:r>
        <w:rPr>
          <w:color w:val="000000"/>
          <w:sz w:val="24"/>
          <w:szCs w:val="26"/>
          <w:shd w:val="clear" w:color="auto" w:fill="FFFFFF"/>
        </w:rPr>
        <w:t>(9), 1-14.</w:t>
      </w:r>
    </w:p>
    <w:p w:rsidR="005F01BE" w:rsidRDefault="003E2C3A">
      <w:pPr>
        <w:spacing w:after="0" w:line="480" w:lineRule="auto"/>
        <w:ind w:left="720" w:hanging="720"/>
        <w:jc w:val="both"/>
        <w:rPr>
          <w:color w:val="000000"/>
          <w:sz w:val="24"/>
          <w:szCs w:val="26"/>
        </w:rPr>
      </w:pPr>
      <w:r>
        <w:rPr>
          <w:color w:val="000000"/>
          <w:sz w:val="24"/>
          <w:szCs w:val="26"/>
        </w:rPr>
        <w:t>Eming, S. A., Martin, P., &amp; Tomic-Canic, M. (2014). Wound repair and regeneration: Mechanisms, signaling, and transl</w:t>
      </w:r>
      <w:r>
        <w:rPr>
          <w:color w:val="000000"/>
          <w:sz w:val="24"/>
          <w:szCs w:val="26"/>
        </w:rPr>
        <w:t>ation. Science Translational Medicine, 6(265), 265sr6.</w:t>
      </w:r>
    </w:p>
    <w:p w:rsidR="005F01BE" w:rsidRDefault="003E2C3A">
      <w:pPr>
        <w:spacing w:after="0" w:line="480" w:lineRule="auto"/>
        <w:ind w:left="720" w:hanging="720"/>
        <w:jc w:val="both"/>
        <w:rPr>
          <w:color w:val="000000"/>
          <w:sz w:val="24"/>
          <w:szCs w:val="26"/>
        </w:rPr>
      </w:pPr>
      <w:r>
        <w:rPr>
          <w:color w:val="000000"/>
          <w:sz w:val="24"/>
          <w:szCs w:val="26"/>
        </w:rPr>
        <w:t>Eming, S. A., Martin, P., &amp; Tomic-Canic, M. (2019). Wound repair and regeneration: Mechanisms, signaling, and translation. Science Translational Medicine, 6(265), 265sr6.</w:t>
      </w:r>
    </w:p>
    <w:p w:rsidR="005F01BE" w:rsidRDefault="003E2C3A">
      <w:pPr>
        <w:spacing w:after="0" w:line="480" w:lineRule="auto"/>
        <w:ind w:left="720" w:hanging="720"/>
        <w:jc w:val="both"/>
        <w:rPr>
          <w:color w:val="000000"/>
          <w:sz w:val="24"/>
          <w:szCs w:val="26"/>
        </w:rPr>
      </w:pPr>
      <w:r>
        <w:rPr>
          <w:color w:val="000000"/>
          <w:sz w:val="24"/>
          <w:szCs w:val="26"/>
        </w:rPr>
        <w:t>Emwal A, Kumar MS. Development</w:t>
      </w:r>
      <w:r>
        <w:rPr>
          <w:color w:val="000000"/>
          <w:sz w:val="24"/>
          <w:szCs w:val="26"/>
        </w:rPr>
        <w:t xml:space="preserve"> of quality control parameters for the standardization of Leaves and bark of Sida acuta Burm. f. Indian Journal of Pharmaceutical and Biological Research. 2014 Oct 1;2(4):89.</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Ezekwesili, C. N., Nwodo, O. F., Obidoa, O., &amp; Aboh, F. O. (2018). Gastroprotecti</w:t>
      </w:r>
      <w:r>
        <w:rPr>
          <w:rFonts w:eastAsia="Times New Roman"/>
          <w:color w:val="000000"/>
          <w:sz w:val="24"/>
          <w:szCs w:val="26"/>
        </w:rPr>
        <w:t xml:space="preserve">ve effects of </w:t>
      </w:r>
      <w:r>
        <w:rPr>
          <w:rFonts w:eastAsia="Times New Roman"/>
          <w:i/>
          <w:iCs/>
          <w:color w:val="000000"/>
          <w:sz w:val="24"/>
          <w:szCs w:val="26"/>
        </w:rPr>
        <w:t>Sida acuta</w:t>
      </w:r>
      <w:r>
        <w:rPr>
          <w:rFonts w:eastAsia="Times New Roman"/>
          <w:color w:val="000000"/>
          <w:sz w:val="24"/>
          <w:szCs w:val="26"/>
        </w:rPr>
        <w:t xml:space="preserve"> flavonoids. </w:t>
      </w:r>
      <w:r>
        <w:rPr>
          <w:rFonts w:eastAsia="Times New Roman"/>
          <w:i/>
          <w:iCs/>
          <w:color w:val="000000"/>
          <w:sz w:val="24"/>
          <w:szCs w:val="26"/>
        </w:rPr>
        <w:t>International Journal of Herbal Medicine, 10</w:t>
      </w:r>
      <w:r>
        <w:rPr>
          <w:rFonts w:eastAsia="Times New Roman"/>
          <w:color w:val="000000"/>
          <w:sz w:val="24"/>
          <w:szCs w:val="26"/>
        </w:rPr>
        <w:t>(4), 102-110.</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Gastroprotective effects of </w:t>
      </w:r>
      <w:r>
        <w:rPr>
          <w:rStyle w:val="Emphasis"/>
          <w:color w:val="000000"/>
          <w:szCs w:val="26"/>
        </w:rPr>
        <w:t>Sida acuta</w:t>
      </w:r>
      <w:r>
        <w:rPr>
          <w:color w:val="000000"/>
          <w:szCs w:val="26"/>
        </w:rPr>
        <w:t xml:space="preserve"> phenols. </w:t>
      </w:r>
      <w:r>
        <w:rPr>
          <w:rStyle w:val="Emphasis"/>
          <w:color w:val="000000"/>
          <w:szCs w:val="26"/>
        </w:rPr>
        <w:t>International Journal of Herbal Medicine, 10</w:t>
      </w:r>
      <w:r>
        <w:rPr>
          <w:color w:val="000000"/>
          <w:szCs w:val="26"/>
        </w:rPr>
        <w:t>(4</w:t>
      </w:r>
      <w:r>
        <w:rPr>
          <w:color w:val="000000"/>
          <w:szCs w:val="26"/>
        </w:rPr>
        <w:t>), 102-110.</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Nwodo, O. F., Obidoa, O., &amp; Aboh, F. O. (2018). Selenium and antioxidant properties of </w:t>
      </w:r>
      <w:r>
        <w:rPr>
          <w:rStyle w:val="Emphasis"/>
          <w:color w:val="000000"/>
          <w:szCs w:val="26"/>
        </w:rPr>
        <w:t>Sida acuta</w:t>
      </w:r>
      <w:r>
        <w:rPr>
          <w:color w:val="000000"/>
          <w:szCs w:val="26"/>
        </w:rPr>
        <w:t xml:space="preserve">. </w:t>
      </w:r>
      <w:r>
        <w:rPr>
          <w:rStyle w:val="Emphasis"/>
          <w:color w:val="000000"/>
          <w:szCs w:val="26"/>
        </w:rPr>
        <w:t>International Journal of Herbal Medicine, 10</w:t>
      </w:r>
      <w:r>
        <w:rPr>
          <w:color w:val="000000"/>
          <w:szCs w:val="26"/>
        </w:rPr>
        <w:t>(4), 102-110.</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lastRenderedPageBreak/>
        <w:t>Ezekwesili, C. N., Okoli, J. C., &amp; Nwafor, P. A. (2018). Gastroprote</w:t>
      </w:r>
      <w:r>
        <w:rPr>
          <w:color w:val="000000"/>
          <w:szCs w:val="26"/>
        </w:rPr>
        <w:t xml:space="preserv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 xml:space="preserve">(4), </w:t>
      </w:r>
      <w:r>
        <w:rPr>
          <w:color w:val="000000"/>
          <w:szCs w:val="26"/>
        </w:rPr>
        <w:t>311-317.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Ezekwesili, C. N., Okoli, J. C., &amp; Nwafor, P. A. (2018). Gastroprotective effects of </w:t>
      </w:r>
      <w:r>
        <w:rPr>
          <w:rStyle w:val="Emphasis"/>
          <w:color w:val="000000"/>
          <w:szCs w:val="26"/>
        </w:rPr>
        <w:t>Sida acuta</w:t>
      </w:r>
      <w:r>
        <w:rPr>
          <w:color w:val="000000"/>
          <w:szCs w:val="26"/>
        </w:rPr>
        <w:t xml:space="preserve"> in experimental ulcer models. </w:t>
      </w:r>
      <w:r>
        <w:rPr>
          <w:rStyle w:val="Emphasis"/>
          <w:color w:val="000000"/>
          <w:szCs w:val="26"/>
        </w:rPr>
        <w:t>Pharmacognosy Research, 10</w:t>
      </w:r>
      <w:r>
        <w:rPr>
          <w:color w:val="000000"/>
          <w:szCs w:val="26"/>
        </w:rPr>
        <w:t>(4), 311-317.</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Fitzpatrick, S. G., Cohen, D. M., &amp; Clark, A. N. (2019). </w:t>
      </w:r>
      <w:r>
        <w:rPr>
          <w:rFonts w:eastAsia="Times New Roman"/>
          <w:i/>
          <w:iCs/>
          <w:color w:val="000000"/>
          <w:sz w:val="24"/>
          <w:szCs w:val="26"/>
        </w:rPr>
        <w:t>Ulcerated Lesions of the</w:t>
      </w:r>
      <w:r>
        <w:rPr>
          <w:rFonts w:eastAsia="Times New Roman"/>
          <w:i/>
          <w:iCs/>
          <w:color w:val="000000"/>
          <w:sz w:val="24"/>
          <w:szCs w:val="26"/>
        </w:rPr>
        <w:t xml:space="preserve"> Oral Mucosa: Clinical and Histologic Review. Head and Neck Pathology, 13(1), 91–102.</w:t>
      </w:r>
      <w:r>
        <w:rPr>
          <w:rFonts w:eastAsia="Times New Roman"/>
          <w:color w:val="000000"/>
          <w:sz w:val="24"/>
          <w:szCs w:val="26"/>
        </w:rPr>
        <w:t> </w:t>
      </w:r>
    </w:p>
    <w:p w:rsidR="005F01BE" w:rsidRDefault="003E2C3A">
      <w:pPr>
        <w:spacing w:after="0" w:line="480" w:lineRule="auto"/>
        <w:ind w:left="720" w:hanging="720"/>
        <w:jc w:val="both"/>
        <w:rPr>
          <w:color w:val="000000"/>
          <w:sz w:val="24"/>
          <w:szCs w:val="26"/>
        </w:rPr>
      </w:pPr>
      <w:r>
        <w:rPr>
          <w:color w:val="000000"/>
          <w:sz w:val="24"/>
          <w:szCs w:val="26"/>
        </w:rPr>
        <w:t>Ford AC, Forman D, Hunt RH, Yuan Y, Moayyedi P. Helicobacter pylori eradication therapy to prevent gastric cancer in healthy asymptomatic infected individuals: systemati</w:t>
      </w:r>
      <w:r>
        <w:rPr>
          <w:color w:val="000000"/>
          <w:sz w:val="24"/>
          <w:szCs w:val="26"/>
        </w:rPr>
        <w:t>c review and meta-analysis of randomised controlled trials. BMJ 2014;348:g3174.</w:t>
      </w:r>
    </w:p>
    <w:p w:rsidR="005F01BE" w:rsidRDefault="003E2C3A">
      <w:pPr>
        <w:spacing w:after="0" w:line="480" w:lineRule="auto"/>
        <w:ind w:left="720" w:hanging="720"/>
        <w:jc w:val="both"/>
        <w:rPr>
          <w:color w:val="000000"/>
          <w:sz w:val="24"/>
          <w:szCs w:val="26"/>
        </w:rPr>
      </w:pPr>
      <w:r>
        <w:rPr>
          <w:color w:val="000000"/>
          <w:sz w:val="24"/>
          <w:szCs w:val="26"/>
        </w:rPr>
        <w:t xml:space="preserve">Fowkes, F. G., Rudan, D., Rudan, I., Aboyans, V., Denenberg, J. O., McDermott, M. M., ... &amp; Criqui, M. H. (2020). Comparison of global estimates of prevalence and risk factors </w:t>
      </w:r>
      <w:r>
        <w:rPr>
          <w:color w:val="000000"/>
          <w:sz w:val="24"/>
          <w:szCs w:val="26"/>
        </w:rPr>
        <w:t>for peripheral artery disease. Lancet, 382(9901), 1329-1340.</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&amp; Kennedy, D. O. (2019). The role of tannins in health benefits. </w:t>
      </w:r>
      <w:r>
        <w:rPr>
          <w:rStyle w:val="Emphasis"/>
          <w:color w:val="000000"/>
          <w:szCs w:val="26"/>
        </w:rPr>
        <w:t>Molecular Nutrition &amp; Food Research, 63</w:t>
      </w:r>
      <w:r>
        <w:rPr>
          <w:color w:val="000000"/>
          <w:szCs w:val="26"/>
        </w:rPr>
        <w:t>(8), 1801234.</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 xml:space="preserve">Fraga, C. G., Croft, K. D., Kennedy, D. O., &amp; </w:t>
      </w:r>
      <w:r>
        <w:rPr>
          <w:rFonts w:eastAsia="Times New Roman"/>
          <w:color w:val="000000"/>
          <w:sz w:val="24"/>
          <w:szCs w:val="26"/>
        </w:rPr>
        <w:t xml:space="preserve">Tomás-Barberán, F. A. (2019). The role of flavonoids in disease prevention and health promotion. </w:t>
      </w:r>
      <w:r>
        <w:rPr>
          <w:rFonts w:eastAsia="Times New Roman"/>
          <w:i/>
          <w:iCs/>
          <w:color w:val="000000"/>
          <w:sz w:val="24"/>
          <w:szCs w:val="26"/>
        </w:rPr>
        <w:t>BioFactors, 45</w:t>
      </w:r>
      <w:r>
        <w:rPr>
          <w:rFonts w:eastAsia="Times New Roman"/>
          <w:color w:val="000000"/>
          <w:sz w:val="24"/>
          <w:szCs w:val="26"/>
        </w:rPr>
        <w:t>(2), 205-217.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lastRenderedPageBreak/>
        <w:t>Fraga, C. G., Croft, K. D., Kennedy, D. O., &amp; Tomás-Barberán, F. A. (2019). The role of phenolic compounds in disease prevention an</w:t>
      </w:r>
      <w:r>
        <w:rPr>
          <w:color w:val="000000"/>
          <w:szCs w:val="26"/>
        </w:rPr>
        <w:t xml:space="preserve">d health promotion. </w:t>
      </w:r>
      <w:r>
        <w:rPr>
          <w:rStyle w:val="Emphasis"/>
          <w:color w:val="000000"/>
          <w:szCs w:val="26"/>
        </w:rPr>
        <w:t>BioFactors, 45</w:t>
      </w:r>
      <w:r>
        <w:rPr>
          <w:color w:val="000000"/>
          <w:szCs w:val="26"/>
        </w:rPr>
        <w:t>(2), 205-217.</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Fraga, C. G., Croft, K. D., Kennedy, D. O., &amp; Tomás-Barberán, F. A. (2019). Role of minerals in plant-derived nutrition and disease prevention. </w:t>
      </w:r>
      <w:r>
        <w:rPr>
          <w:rStyle w:val="Emphasis"/>
          <w:color w:val="000000"/>
          <w:szCs w:val="26"/>
        </w:rPr>
        <w:t>BioFactors, 45</w:t>
      </w:r>
      <w:r>
        <w:rPr>
          <w:color w:val="000000"/>
          <w:szCs w:val="26"/>
        </w:rPr>
        <w:t>(2), 205-217.</w:t>
      </w:r>
    </w:p>
    <w:p w:rsidR="005F01BE" w:rsidRDefault="003E2C3A">
      <w:pPr>
        <w:spacing w:after="0" w:line="480" w:lineRule="auto"/>
        <w:ind w:left="720" w:hanging="720"/>
        <w:jc w:val="both"/>
        <w:rPr>
          <w:color w:val="000000"/>
          <w:sz w:val="24"/>
          <w:szCs w:val="26"/>
        </w:rPr>
      </w:pPr>
      <w:r>
        <w:rPr>
          <w:color w:val="000000"/>
          <w:sz w:val="24"/>
          <w:szCs w:val="26"/>
        </w:rPr>
        <w:t>Gorecki, C., Closs, S. J., Nixon, J.</w:t>
      </w:r>
      <w:r>
        <w:rPr>
          <w:color w:val="000000"/>
          <w:sz w:val="24"/>
          <w:szCs w:val="26"/>
        </w:rPr>
        <w:t>, &amp; Briggs, M. (2019). Patient-reported pressure ulcer pain: A mixed-methods systematic review. Palliative Medicine, 33(4), 291-309.</w:t>
      </w:r>
    </w:p>
    <w:p w:rsidR="005F01BE" w:rsidRDefault="003E2C3A">
      <w:pPr>
        <w:spacing w:after="0" w:line="480" w:lineRule="auto"/>
        <w:ind w:left="720" w:hanging="720"/>
        <w:jc w:val="both"/>
        <w:rPr>
          <w:color w:val="000000"/>
          <w:sz w:val="24"/>
          <w:szCs w:val="26"/>
        </w:rPr>
      </w:pPr>
      <w:r>
        <w:rPr>
          <w:color w:val="000000"/>
          <w:sz w:val="24"/>
          <w:szCs w:val="26"/>
        </w:rPr>
        <w:t>Gorecki, C., Closs, S. J., Nixon, J., &amp; Briggs, M. (2019). Patient-reported pressure ulcer pain: A mixed-methods systematic</w:t>
      </w:r>
      <w:r>
        <w:rPr>
          <w:color w:val="000000"/>
          <w:sz w:val="24"/>
          <w:szCs w:val="26"/>
        </w:rPr>
        <w:t xml:space="preserve"> review. Palliative Medicine, 33(4), 291-309.</w:t>
      </w:r>
    </w:p>
    <w:p w:rsidR="005F01BE" w:rsidRDefault="003E2C3A">
      <w:pPr>
        <w:spacing w:after="0" w:line="480" w:lineRule="auto"/>
        <w:ind w:left="720" w:hanging="720"/>
        <w:jc w:val="both"/>
        <w:rPr>
          <w:color w:val="000000"/>
          <w:sz w:val="24"/>
          <w:szCs w:val="26"/>
        </w:rPr>
      </w:pPr>
      <w:r>
        <w:rPr>
          <w:color w:val="000000"/>
          <w:sz w:val="24"/>
          <w:szCs w:val="26"/>
        </w:rPr>
        <w:t>Goren, A., Ruppert, K., Degenholtz, H. B., &amp; Greer, N. (2019). Smoking and wound healing. Advances in Wound Care, 4(7), 471-482.</w:t>
      </w:r>
    </w:p>
    <w:p w:rsidR="005F01BE" w:rsidRDefault="003E2C3A">
      <w:pPr>
        <w:spacing w:after="0" w:line="480" w:lineRule="auto"/>
        <w:ind w:left="720" w:hanging="720"/>
        <w:jc w:val="both"/>
        <w:rPr>
          <w:color w:val="000000"/>
          <w:sz w:val="24"/>
          <w:szCs w:val="26"/>
        </w:rPr>
      </w:pPr>
      <w:r>
        <w:rPr>
          <w:color w:val="000000"/>
          <w:sz w:val="24"/>
          <w:szCs w:val="26"/>
        </w:rPr>
        <w:t xml:space="preserve">Guest, J. F., Ayoub, N., McIlwraith, T., Uchegbu, I., Gerrish, A., Weidlich, D., </w:t>
      </w:r>
      <w:r>
        <w:rPr>
          <w:color w:val="000000"/>
          <w:sz w:val="24"/>
          <w:szCs w:val="26"/>
        </w:rPr>
        <w:t>... &amp; Vowden, P. (2015). Health economic burden that wounds impose on the National Health Service in the UK. BMJ Open, 5(12), e009283.</w:t>
      </w:r>
    </w:p>
    <w:p w:rsidR="005F01BE" w:rsidRDefault="003E2C3A">
      <w:pPr>
        <w:spacing w:after="0" w:line="480" w:lineRule="auto"/>
        <w:ind w:left="720" w:hanging="720"/>
        <w:jc w:val="both"/>
        <w:rPr>
          <w:color w:val="000000"/>
          <w:sz w:val="24"/>
          <w:szCs w:val="26"/>
        </w:rPr>
      </w:pPr>
      <w:r>
        <w:rPr>
          <w:color w:val="000000"/>
          <w:sz w:val="24"/>
          <w:szCs w:val="26"/>
        </w:rPr>
        <w:t>Guo, S., &amp; DiPietro, L. A. (2010). Factors affecting wound healing. Journal of Dental Research, 89(3), 219-229.</w:t>
      </w:r>
    </w:p>
    <w:p w:rsidR="005F01BE" w:rsidRDefault="003E2C3A">
      <w:pPr>
        <w:spacing w:after="0" w:line="480" w:lineRule="auto"/>
        <w:ind w:left="720" w:hanging="720"/>
        <w:jc w:val="both"/>
        <w:rPr>
          <w:color w:val="000000"/>
          <w:sz w:val="24"/>
          <w:szCs w:val="26"/>
        </w:rPr>
      </w:pPr>
      <w:r>
        <w:rPr>
          <w:color w:val="000000"/>
          <w:sz w:val="24"/>
          <w:szCs w:val="26"/>
        </w:rPr>
        <w:t>Gupta, S.</w:t>
      </w:r>
      <w:r>
        <w:rPr>
          <w:color w:val="000000"/>
          <w:sz w:val="24"/>
          <w:szCs w:val="26"/>
        </w:rPr>
        <w:t>, Baharestani, M. M., &amp; Baranoski, S. (2020). Skin ulcers and their treatment: A clinical perspective. Journal of Clinical Dermatology, 18(4), 523-533.</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Tannins and human health: A review. </w:t>
      </w:r>
      <w:r>
        <w:rPr>
          <w:rStyle w:val="Emphasis"/>
          <w:color w:val="000000"/>
          <w:szCs w:val="26"/>
        </w:rPr>
        <w:t>Phytochemistry, 50</w:t>
      </w:r>
      <w:r>
        <w:rPr>
          <w:color w:val="000000"/>
          <w:szCs w:val="26"/>
        </w:rPr>
        <w:t>(5), 1105</w:t>
      </w:r>
      <w:r>
        <w:rPr>
          <w:color w:val="000000"/>
          <w:szCs w:val="26"/>
        </w:rPr>
        <w:t>-1115.</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Hagerman, A. E., &amp; Butler, L. G. (2020). The role of flavonoids in cardiovascular health. </w:t>
      </w:r>
      <w:r>
        <w:rPr>
          <w:rFonts w:eastAsia="Times New Roman"/>
          <w:i/>
          <w:iCs/>
          <w:color w:val="000000"/>
          <w:sz w:val="24"/>
          <w:szCs w:val="26"/>
        </w:rPr>
        <w:t>Phytochemistry, 24</w:t>
      </w:r>
      <w:r>
        <w:rPr>
          <w:rFonts w:eastAsia="Times New Roman"/>
          <w:color w:val="000000"/>
          <w:sz w:val="24"/>
          <w:szCs w:val="26"/>
        </w:rPr>
        <w:t>(1), 45-59.</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Hagerman, A. E., &amp; Butler, L. G. (2020). The role of phenols in cardiovascular health. </w:t>
      </w:r>
      <w:r>
        <w:rPr>
          <w:rStyle w:val="Emphasis"/>
          <w:color w:val="000000"/>
          <w:szCs w:val="26"/>
        </w:rPr>
        <w:t>Phytochemistry, 24</w:t>
      </w:r>
      <w:r>
        <w:rPr>
          <w:color w:val="000000"/>
          <w:szCs w:val="26"/>
        </w:rPr>
        <w:t>(1), 45-59.</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Hagerman, A.</w:t>
      </w:r>
      <w:r>
        <w:rPr>
          <w:color w:val="000000"/>
          <w:szCs w:val="26"/>
        </w:rPr>
        <w:t xml:space="preserve"> E., &amp; Butler, L. G. (2020). Trace minerals in medicinal plants: The role of iron, zinc, and copper. </w:t>
      </w:r>
      <w:r>
        <w:rPr>
          <w:rStyle w:val="Emphasis"/>
          <w:color w:val="000000"/>
          <w:szCs w:val="26"/>
        </w:rPr>
        <w:t>Phytochemistry, 24</w:t>
      </w:r>
      <w:r>
        <w:rPr>
          <w:color w:val="000000"/>
          <w:szCs w:val="26"/>
        </w:rPr>
        <w:t>(1), 45-59.</w:t>
      </w:r>
    </w:p>
    <w:p w:rsidR="005F01BE" w:rsidRDefault="003E2C3A">
      <w:pPr>
        <w:spacing w:after="0" w:line="480" w:lineRule="auto"/>
        <w:ind w:left="720" w:hanging="720"/>
        <w:jc w:val="both"/>
        <w:rPr>
          <w:color w:val="000000"/>
          <w:sz w:val="24"/>
          <w:szCs w:val="26"/>
        </w:rPr>
      </w:pPr>
      <w:r>
        <w:rPr>
          <w:color w:val="000000"/>
          <w:sz w:val="24"/>
          <w:szCs w:val="26"/>
        </w:rPr>
        <w:t xml:space="preserve">Jaul, E., Barron, J., Rosenzweig, J. P., &amp; Menczel, J. (2018). An overview of comorbidities and the development of pressure </w:t>
      </w:r>
      <w:r>
        <w:rPr>
          <w:color w:val="000000"/>
          <w:sz w:val="24"/>
          <w:szCs w:val="26"/>
        </w:rPr>
        <w:t>ulcers among older adults. BMC Geriatrics, 18(1), 1-11.</w:t>
      </w:r>
    </w:p>
    <w:p w:rsidR="005F01BE" w:rsidRDefault="003E2C3A">
      <w:pPr>
        <w:spacing w:after="0" w:line="480" w:lineRule="auto"/>
        <w:ind w:left="720" w:hanging="720"/>
        <w:jc w:val="both"/>
        <w:rPr>
          <w:color w:val="000000"/>
          <w:sz w:val="24"/>
          <w:szCs w:val="26"/>
        </w:rPr>
      </w:pPr>
      <w:r>
        <w:rPr>
          <w:rStyle w:val="Strong"/>
          <w:b w:val="0"/>
          <w:color w:val="000000"/>
          <w:sz w:val="24"/>
          <w:szCs w:val="26"/>
          <w:bdr w:val="single" w:sz="2" w:space="0" w:color="E5E7EB" w:frame="1"/>
        </w:rPr>
        <w:t>Johnson T.R.,</w:t>
      </w:r>
      <w:r>
        <w:rPr>
          <w:rStyle w:val="Strong"/>
          <w:color w:val="000000"/>
          <w:sz w:val="24"/>
          <w:szCs w:val="26"/>
          <w:bdr w:val="single" w:sz="2" w:space="0" w:color="E5E7EB" w:frame="1"/>
        </w:rPr>
        <w:t xml:space="preserve"> </w:t>
      </w:r>
      <w:r>
        <w:rPr>
          <w:color w:val="000000"/>
          <w:sz w:val="24"/>
          <w:szCs w:val="26"/>
        </w:rPr>
        <w:t>(2023). Fungal Corneal Ulcers: Epidemiology and Management. </w:t>
      </w:r>
      <w:r>
        <w:rPr>
          <w:rStyle w:val="Emphasis"/>
          <w:color w:val="000000"/>
          <w:sz w:val="24"/>
          <w:szCs w:val="26"/>
          <w:bdr w:val="single" w:sz="2" w:space="0" w:color="E5E7EB" w:frame="1"/>
        </w:rPr>
        <w:t>International Journal of Ophthalmology</w:t>
      </w:r>
      <w:r>
        <w:rPr>
          <w:color w:val="000000"/>
          <w:sz w:val="24"/>
          <w:szCs w:val="26"/>
        </w:rPr>
        <w:t>, Volume 16, Issue 1, pp. 1-8.</w:t>
      </w:r>
    </w:p>
    <w:p w:rsidR="005F01BE" w:rsidRDefault="003E2C3A">
      <w:pPr>
        <w:spacing w:after="0" w:line="480" w:lineRule="auto"/>
        <w:ind w:left="720" w:hanging="720"/>
        <w:jc w:val="both"/>
        <w:rPr>
          <w:color w:val="000000"/>
          <w:sz w:val="24"/>
          <w:szCs w:val="26"/>
        </w:rPr>
      </w:pPr>
      <w:r>
        <w:rPr>
          <w:color w:val="000000"/>
          <w:sz w:val="24"/>
          <w:szCs w:val="26"/>
        </w:rPr>
        <w:t>KALYANAKRISHNAN RAMAKRISHNAN, MD, FRCSE, and ROBERT C. SA</w:t>
      </w:r>
      <w:r>
        <w:rPr>
          <w:color w:val="000000"/>
          <w:sz w:val="24"/>
          <w:szCs w:val="26"/>
        </w:rPr>
        <w:t xml:space="preserve">LINAS, MD (2007). Peptic Ulcer Disease. American Academy of Family Physicians, 76:1005-1013. </w:t>
      </w:r>
    </w:p>
    <w:p w:rsidR="005F01BE" w:rsidRDefault="003E2C3A">
      <w:pPr>
        <w:spacing w:after="0" w:line="480" w:lineRule="auto"/>
        <w:ind w:left="720" w:hanging="720"/>
        <w:jc w:val="both"/>
        <w:rPr>
          <w:color w:val="000000"/>
          <w:sz w:val="24"/>
          <w:szCs w:val="26"/>
        </w:rPr>
      </w:pPr>
      <w:r>
        <w:rPr>
          <w:color w:val="000000"/>
          <w:sz w:val="24"/>
          <w:szCs w:val="26"/>
          <w:shd w:val="clear" w:color="auto" w:fill="FFFFFF"/>
          <w:lang w:val="fr-FR"/>
        </w:rPr>
        <w:t xml:space="preserve">Karou, S. D., Nadembega, W. M., Ilboudo, D. P., Ouermi, D., Gbeassor, M., De Souza, C., &amp; Simpore, J. (2007). </w:t>
      </w:r>
      <w:r>
        <w:rPr>
          <w:color w:val="000000"/>
          <w:sz w:val="24"/>
          <w:szCs w:val="26"/>
          <w:shd w:val="clear" w:color="auto" w:fill="FFFFFF"/>
        </w:rPr>
        <w:t>Sida acuta Burm. f.: a medicinal plant with numerous</w:t>
      </w:r>
      <w:r>
        <w:rPr>
          <w:color w:val="000000"/>
          <w:sz w:val="24"/>
          <w:szCs w:val="26"/>
          <w:shd w:val="clear" w:color="auto" w:fill="FFFFFF"/>
        </w:rPr>
        <w:t xml:space="preserve"> potencies. </w:t>
      </w:r>
      <w:r>
        <w:rPr>
          <w:i/>
          <w:color w:val="000000"/>
          <w:sz w:val="24"/>
          <w:szCs w:val="26"/>
          <w:shd w:val="clear" w:color="auto" w:fill="FFFFFF"/>
        </w:rPr>
        <w:t>African Journal of Biotechnology</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(25).</w:t>
      </w:r>
      <w:r>
        <w:rPr>
          <w:color w:val="000000"/>
          <w:sz w:val="24"/>
          <w:szCs w:val="26"/>
        </w:rPr>
        <w:t xml:space="preserve"> </w:t>
      </w:r>
    </w:p>
    <w:p w:rsidR="005F01BE" w:rsidRDefault="003E2C3A">
      <w:pPr>
        <w:spacing w:after="0" w:line="480" w:lineRule="auto"/>
        <w:ind w:left="720" w:hanging="720"/>
        <w:jc w:val="both"/>
        <w:rPr>
          <w:color w:val="000000"/>
          <w:sz w:val="24"/>
          <w:szCs w:val="26"/>
          <w:shd w:val="clear" w:color="auto" w:fill="FFFFFF"/>
        </w:rPr>
      </w:pPr>
      <w:r>
        <w:rPr>
          <w:color w:val="000000"/>
          <w:sz w:val="24"/>
          <w:szCs w:val="26"/>
          <w:shd w:val="clear" w:color="auto" w:fill="FFFFFF"/>
        </w:rPr>
        <w:t>Kayode, J. (2006). Conservation of indigenous medicinal botanicals in Ekiti State, Nigeria. </w:t>
      </w:r>
      <w:r>
        <w:rPr>
          <w:i/>
          <w:color w:val="000000"/>
          <w:sz w:val="24"/>
          <w:szCs w:val="26"/>
          <w:shd w:val="clear" w:color="auto" w:fill="FFFFFF"/>
        </w:rPr>
        <w:t>Journal of Zhejiang University Science B</w:t>
      </w:r>
      <w:r>
        <w:rPr>
          <w:color w:val="000000"/>
          <w:sz w:val="24"/>
          <w:szCs w:val="26"/>
          <w:shd w:val="clear" w:color="auto" w:fill="FFFFFF"/>
        </w:rPr>
        <w:t>, </w:t>
      </w:r>
      <w:r>
        <w:rPr>
          <w:i/>
          <w:color w:val="000000"/>
          <w:sz w:val="24"/>
          <w:szCs w:val="26"/>
          <w:shd w:val="clear" w:color="auto" w:fill="FFFFFF"/>
        </w:rPr>
        <w:t>7</w:t>
      </w:r>
      <w:r>
        <w:rPr>
          <w:color w:val="000000"/>
          <w:sz w:val="24"/>
          <w:szCs w:val="26"/>
          <w:shd w:val="clear" w:color="auto" w:fill="FFFFFF"/>
        </w:rPr>
        <w:t>, 713-718.</w:t>
      </w:r>
    </w:p>
    <w:p w:rsidR="005F01BE" w:rsidRDefault="003E2C3A">
      <w:pPr>
        <w:spacing w:after="0" w:line="480" w:lineRule="auto"/>
        <w:ind w:left="720" w:hanging="720"/>
        <w:jc w:val="both"/>
        <w:rPr>
          <w:color w:val="000000"/>
          <w:sz w:val="24"/>
          <w:szCs w:val="26"/>
        </w:rPr>
      </w:pPr>
      <w:r>
        <w:rPr>
          <w:color w:val="000000"/>
          <w:sz w:val="24"/>
          <w:szCs w:val="26"/>
        </w:rPr>
        <w:lastRenderedPageBreak/>
        <w:t>Khare, C.P. (2008). Indian medicinal plants: an illustra</w:t>
      </w:r>
      <w:r>
        <w:rPr>
          <w:color w:val="000000"/>
          <w:sz w:val="24"/>
          <w:szCs w:val="26"/>
        </w:rPr>
        <w:t>ted dictionary (Vol. I). Springer Science and Business Media.</w:t>
      </w:r>
    </w:p>
    <w:p w:rsidR="005F01BE" w:rsidRDefault="003E2C3A">
      <w:pPr>
        <w:spacing w:after="0" w:line="480" w:lineRule="auto"/>
        <w:ind w:left="720" w:hanging="720"/>
        <w:jc w:val="both"/>
        <w:rPr>
          <w:color w:val="000000"/>
          <w:sz w:val="24"/>
          <w:szCs w:val="26"/>
        </w:rPr>
      </w:pPr>
      <w:r>
        <w:rPr>
          <w:color w:val="000000"/>
          <w:sz w:val="24"/>
          <w:szCs w:val="26"/>
        </w:rPr>
        <w:t>Khare, M., Srivastava, S.K., Singh, A.K., 2002. Chemistry and pharmacology of genus Sida (Malvaceae)—a review. Journal of Medicinal and Aromatic Plant Science 24, 430–440.</w:t>
      </w:r>
    </w:p>
    <w:p w:rsidR="005F01BE" w:rsidRDefault="003E2C3A">
      <w:pPr>
        <w:spacing w:after="0" w:line="480" w:lineRule="auto"/>
        <w:ind w:left="720" w:hanging="720"/>
        <w:jc w:val="both"/>
        <w:rPr>
          <w:color w:val="000000"/>
          <w:sz w:val="24"/>
          <w:szCs w:val="26"/>
        </w:rPr>
      </w:pPr>
      <w:r>
        <w:rPr>
          <w:color w:val="000000"/>
          <w:sz w:val="24"/>
          <w:szCs w:val="26"/>
        </w:rPr>
        <w:t>Kumar V, Fausto N, Abb</w:t>
      </w:r>
      <w:r>
        <w:rPr>
          <w:color w:val="000000"/>
          <w:sz w:val="24"/>
          <w:szCs w:val="26"/>
        </w:rPr>
        <w:t>as A (2004). Robbins &amp; Cotran Pathologic Basis of Disease (7th ed.). Saunders. p. 1230. ISBN 0-7216-0187-1.</w:t>
      </w:r>
    </w:p>
    <w:p w:rsidR="005F01BE" w:rsidRDefault="003E2C3A">
      <w:pPr>
        <w:spacing w:after="0" w:line="480" w:lineRule="auto"/>
        <w:ind w:left="720" w:hanging="720"/>
        <w:jc w:val="both"/>
        <w:rPr>
          <w:color w:val="000000"/>
          <w:sz w:val="24"/>
          <w:szCs w:val="26"/>
        </w:rPr>
      </w:pPr>
      <w:r>
        <w:rPr>
          <w:color w:val="000000"/>
          <w:sz w:val="24"/>
          <w:szCs w:val="26"/>
        </w:rPr>
        <w:t>Kumar V, Fausto N, Abbas A (2004). Robbins &amp; Cotran Pathologic Basis of Disease (7th ed.). Saunders. p. 1230. ISBN 0-7216-0187-1.</w:t>
      </w:r>
    </w:p>
    <w:p w:rsidR="005F01BE" w:rsidRDefault="003E2C3A">
      <w:pPr>
        <w:spacing w:after="0" w:line="480" w:lineRule="auto"/>
        <w:ind w:left="720" w:hanging="720"/>
        <w:jc w:val="both"/>
        <w:rPr>
          <w:color w:val="000000"/>
          <w:sz w:val="24"/>
          <w:szCs w:val="26"/>
        </w:rPr>
      </w:pPr>
      <w:r>
        <w:rPr>
          <w:color w:val="000000"/>
          <w:sz w:val="24"/>
          <w:szCs w:val="26"/>
        </w:rPr>
        <w:t xml:space="preserve">Kurata JH, Nogawa </w:t>
      </w:r>
      <w:r>
        <w:rPr>
          <w:color w:val="000000"/>
          <w:sz w:val="24"/>
          <w:szCs w:val="26"/>
        </w:rPr>
        <w:t xml:space="preserve">AN. Meta-analysis of risk factors for peptic ulcer. Nonsteroidal anti-inflammatory drugs, Helicobacter pylori, and smoking. J Clin Gastroenterol 1997;24:2-17. </w:t>
      </w:r>
    </w:p>
    <w:p w:rsidR="005F01BE" w:rsidRDefault="003E2C3A">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w:t>
      </w:r>
      <w:r>
        <w:rPr>
          <w:color w:val="000000"/>
          <w:sz w:val="24"/>
          <w:szCs w:val="26"/>
        </w:rPr>
        <w:t xml:space="preserve"> of peptic ulcer disease. Gastroenterology, 160(6), 1832-1851.</w:t>
      </w:r>
    </w:p>
    <w:p w:rsidR="005F01BE" w:rsidRDefault="003E2C3A">
      <w:pPr>
        <w:spacing w:after="0" w:line="480" w:lineRule="auto"/>
        <w:ind w:left="720" w:hanging="720"/>
        <w:jc w:val="both"/>
        <w:rPr>
          <w:color w:val="000000"/>
          <w:sz w:val="24"/>
          <w:szCs w:val="26"/>
        </w:rPr>
      </w:pPr>
      <w:r>
        <w:rPr>
          <w:color w:val="000000"/>
          <w:sz w:val="24"/>
          <w:szCs w:val="26"/>
        </w:rPr>
        <w:t>Laine, L., Jensen, D. M., &amp; Saini, S. D. (2021). Clinical practice guidelines for the management of peptic ulcer disease. Gastroenterology, 160(6), 1832-1851.</w:t>
      </w:r>
    </w:p>
    <w:p w:rsidR="005F01BE" w:rsidRDefault="003E2C3A">
      <w:pPr>
        <w:spacing w:after="0" w:line="480" w:lineRule="auto"/>
        <w:ind w:left="720" w:hanging="720"/>
        <w:jc w:val="both"/>
        <w:rPr>
          <w:color w:val="000000"/>
          <w:sz w:val="24"/>
          <w:szCs w:val="26"/>
        </w:rPr>
      </w:pPr>
      <w:r>
        <w:rPr>
          <w:color w:val="000000"/>
          <w:sz w:val="24"/>
          <w:szCs w:val="26"/>
        </w:rPr>
        <w:t>Lanas, A., &amp; Chan, F. K. (2017). P</w:t>
      </w:r>
      <w:r>
        <w:rPr>
          <w:color w:val="000000"/>
          <w:sz w:val="24"/>
          <w:szCs w:val="26"/>
        </w:rPr>
        <w:t>eptic ulcer disease. The Lancet, 390(10094), 613-624.</w:t>
      </w:r>
    </w:p>
    <w:p w:rsidR="005F01BE" w:rsidRDefault="003E2C3A">
      <w:pPr>
        <w:spacing w:after="0" w:line="480" w:lineRule="auto"/>
        <w:ind w:left="720" w:hanging="720"/>
        <w:jc w:val="both"/>
        <w:rPr>
          <w:color w:val="000000"/>
          <w:sz w:val="24"/>
          <w:szCs w:val="26"/>
        </w:rPr>
      </w:pPr>
      <w:r>
        <w:rPr>
          <w:color w:val="000000"/>
          <w:sz w:val="24"/>
          <w:szCs w:val="26"/>
        </w:rPr>
        <w:t>Lanas, A., &amp; Chan, F. K. (2017). Peptic ulcer disease. The Lancet, 390(10094), 613-624.</w:t>
      </w:r>
    </w:p>
    <w:p w:rsidR="005F01BE" w:rsidRDefault="003E2C3A">
      <w:pPr>
        <w:spacing w:after="0" w:line="480" w:lineRule="auto"/>
        <w:ind w:left="720" w:hanging="720"/>
        <w:jc w:val="both"/>
        <w:rPr>
          <w:color w:val="000000"/>
          <w:sz w:val="24"/>
          <w:szCs w:val="26"/>
        </w:rPr>
      </w:pPr>
      <w:r>
        <w:rPr>
          <w:color w:val="000000"/>
          <w:sz w:val="24"/>
          <w:szCs w:val="26"/>
        </w:rPr>
        <w:t>Lauret ME, Rodriguez-Pelaez M, Perez I, Rodrigo L (2015) Peptic Ulcer Disease. J Gastro Hepato Dis 1(1): 105.</w:t>
      </w:r>
    </w:p>
    <w:p w:rsidR="005F01BE" w:rsidRDefault="003E2C3A">
      <w:pPr>
        <w:spacing w:after="0" w:line="480" w:lineRule="auto"/>
        <w:ind w:left="720" w:hanging="720"/>
        <w:jc w:val="both"/>
        <w:rPr>
          <w:color w:val="000000"/>
          <w:sz w:val="24"/>
          <w:szCs w:val="26"/>
        </w:rPr>
      </w:pPr>
      <w:r>
        <w:rPr>
          <w:color w:val="000000"/>
          <w:sz w:val="24"/>
          <w:szCs w:val="26"/>
        </w:rPr>
        <w:lastRenderedPageBreak/>
        <w:t>Lies</w:t>
      </w:r>
      <w:r>
        <w:rPr>
          <w:color w:val="000000"/>
          <w:sz w:val="24"/>
          <w:szCs w:val="26"/>
        </w:rPr>
        <w:t>egang, T. J. (2019). Bacterial and fungal keratitis. Clinical Microbiology Reviews, 32(3), e00103-18.</w:t>
      </w:r>
    </w:p>
    <w:p w:rsidR="005F01BE" w:rsidRDefault="003E2C3A">
      <w:pPr>
        <w:spacing w:after="0" w:line="480" w:lineRule="auto"/>
        <w:ind w:left="720" w:hanging="720"/>
        <w:jc w:val="both"/>
        <w:rPr>
          <w:color w:val="000000"/>
          <w:sz w:val="24"/>
          <w:szCs w:val="26"/>
        </w:rPr>
      </w:pPr>
      <w:r>
        <w:rPr>
          <w:color w:val="000000"/>
          <w:sz w:val="24"/>
          <w:szCs w:val="26"/>
        </w:rPr>
        <w:t>Liesegang, T. J. (2019). Bacterial and fungal keratitis. Clinical Microbiology Reviews, 32(3), e00103-18.</w:t>
      </w:r>
    </w:p>
    <w:p w:rsidR="005F01BE" w:rsidRDefault="003E2C3A">
      <w:pPr>
        <w:spacing w:after="0" w:line="480" w:lineRule="auto"/>
        <w:ind w:left="720" w:hanging="720"/>
        <w:jc w:val="both"/>
        <w:rPr>
          <w:color w:val="000000"/>
          <w:sz w:val="24"/>
          <w:szCs w:val="26"/>
        </w:rPr>
      </w:pPr>
      <w:r>
        <w:rPr>
          <w:color w:val="000000"/>
          <w:sz w:val="24"/>
          <w:szCs w:val="26"/>
        </w:rPr>
        <w:t xml:space="preserve">Malairajan, P., Gopalakrishnan, G., Narasimhan, </w:t>
      </w:r>
      <w:r>
        <w:rPr>
          <w:color w:val="000000"/>
          <w:sz w:val="24"/>
          <w:szCs w:val="26"/>
        </w:rPr>
        <w:t>S., JessikalaVeni, K., 2006. Antiulcer activity of Sida acuta Burm. Natural Product Sciences 12, 150-152.</w:t>
      </w:r>
    </w:p>
    <w:p w:rsidR="005F01BE" w:rsidRDefault="003E2C3A">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w:t>
      </w:r>
      <w:r>
        <w:rPr>
          <w:color w:val="000000"/>
          <w:sz w:val="24"/>
          <w:szCs w:val="26"/>
        </w:rPr>
        <w:t xml:space="preserve"> Gastroenterology &amp; Hepatology, 14(3), 140-150.</w:t>
      </w:r>
    </w:p>
    <w:p w:rsidR="005F01BE" w:rsidRDefault="003E2C3A">
      <w:pPr>
        <w:spacing w:after="0" w:line="480" w:lineRule="auto"/>
        <w:ind w:left="720" w:hanging="720"/>
        <w:jc w:val="both"/>
        <w:rPr>
          <w:color w:val="000000"/>
          <w:sz w:val="24"/>
          <w:szCs w:val="26"/>
        </w:rPr>
      </w:pPr>
      <w:r>
        <w:rPr>
          <w:color w:val="000000"/>
          <w:sz w:val="24"/>
          <w:szCs w:val="26"/>
        </w:rPr>
        <w:t>Malfertheiner, P., Kandulski, A., &amp; Venerito, M. (2017). Helicobacter pylori infection and the pathophysiology of peptic ulcer disease. Nature Reviews Gastroenterology &amp; Hepatology, 14(3), 140-150.</w:t>
      </w:r>
    </w:p>
    <w:p w:rsidR="005F01BE" w:rsidRDefault="003E2C3A">
      <w:pPr>
        <w:spacing w:after="0" w:line="480" w:lineRule="auto"/>
        <w:ind w:left="720" w:hanging="720"/>
        <w:jc w:val="both"/>
        <w:rPr>
          <w:color w:val="000000"/>
          <w:sz w:val="24"/>
          <w:szCs w:val="26"/>
        </w:rPr>
      </w:pPr>
      <w:r>
        <w:rPr>
          <w:color w:val="000000"/>
          <w:sz w:val="24"/>
          <w:szCs w:val="26"/>
        </w:rPr>
        <w:t>Mann A, Gb</w:t>
      </w:r>
      <w:r>
        <w:rPr>
          <w:color w:val="000000"/>
          <w:sz w:val="24"/>
          <w:szCs w:val="26"/>
        </w:rPr>
        <w:t>ate M, Umar AN (2003). Sida acuta subspecie acuta. Medicinal and economic palnt of Nupeland, Jube Evans Books and Publication, p. 241.</w:t>
      </w:r>
    </w:p>
    <w:p w:rsidR="005F01BE" w:rsidRDefault="003E2C3A">
      <w:pPr>
        <w:spacing w:after="0" w:line="480" w:lineRule="auto"/>
        <w:ind w:left="720" w:hanging="720"/>
        <w:jc w:val="both"/>
        <w:rPr>
          <w:color w:val="000000"/>
          <w:sz w:val="24"/>
          <w:szCs w:val="26"/>
        </w:rPr>
      </w:pPr>
      <w:r>
        <w:rPr>
          <w:color w:val="000000"/>
          <w:sz w:val="24"/>
          <w:szCs w:val="26"/>
        </w:rPr>
        <w:t>Mantovani G, Massa E, Astara G, et al. Phase II clinical trial of local use of GM-CSF for prevention and treatment of che</w:t>
      </w:r>
      <w:r>
        <w:rPr>
          <w:color w:val="000000"/>
          <w:sz w:val="24"/>
          <w:szCs w:val="26"/>
        </w:rPr>
        <w:t xml:space="preserve">motherapy- and concomitant chemoradiotherapyinduced severe oral mucositis in advanced head and neck cancer patients: an evaluation of effectiveness, safety and costs. Oncol Rep 2003; 10: 197–206. </w:t>
      </w:r>
    </w:p>
    <w:p w:rsidR="005F01BE" w:rsidRDefault="003E2C3A">
      <w:pPr>
        <w:spacing w:after="0" w:line="480" w:lineRule="auto"/>
        <w:ind w:left="720" w:hanging="720"/>
        <w:jc w:val="both"/>
        <w:rPr>
          <w:color w:val="000000"/>
          <w:sz w:val="24"/>
          <w:szCs w:val="26"/>
        </w:rPr>
      </w:pPr>
      <w:r>
        <w:rPr>
          <w:color w:val="000000"/>
          <w:sz w:val="24"/>
          <w:szCs w:val="26"/>
        </w:rPr>
        <w:t>Martin, P. (1997). Wound healing—aiming for perfect skin re</w:t>
      </w:r>
      <w:r>
        <w:rPr>
          <w:color w:val="000000"/>
          <w:sz w:val="24"/>
          <w:szCs w:val="26"/>
        </w:rPr>
        <w:t>generation. Science, 276(5309), 75-81.</w:t>
      </w:r>
    </w:p>
    <w:p w:rsidR="005F01BE" w:rsidRDefault="003E2C3A">
      <w:pPr>
        <w:spacing w:after="0" w:line="480" w:lineRule="auto"/>
        <w:ind w:left="720" w:hanging="720"/>
        <w:jc w:val="both"/>
        <w:rPr>
          <w:color w:val="000000"/>
          <w:sz w:val="24"/>
          <w:szCs w:val="26"/>
        </w:rPr>
      </w:pPr>
      <w:r>
        <w:rPr>
          <w:color w:val="000000"/>
          <w:sz w:val="24"/>
          <w:szCs w:val="26"/>
        </w:rPr>
        <w:lastRenderedPageBreak/>
        <w:t xml:space="preserve">Máthé, Á. and Khan, I.A. (2022). Introduction to Medicinal and Aromatic Plants in India. In Á. Máthé &amp; I. A. Khan (Eds.), </w:t>
      </w:r>
      <w:r>
        <w:rPr>
          <w:i/>
          <w:color w:val="000000"/>
          <w:sz w:val="24"/>
          <w:szCs w:val="26"/>
        </w:rPr>
        <w:t>Springer International Publishing, 1</w:t>
      </w:r>
      <w:r>
        <w:rPr>
          <w:color w:val="000000"/>
          <w:sz w:val="24"/>
          <w:szCs w:val="26"/>
        </w:rPr>
        <w:t>, 1-34.</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Mbagwu, F. N., &amp; Okoro, U. M. (2017). Anti-inflamma</w:t>
      </w:r>
      <w:r>
        <w:rPr>
          <w:rFonts w:eastAsia="Times New Roman"/>
          <w:color w:val="000000"/>
          <w:sz w:val="24"/>
          <w:szCs w:val="26"/>
        </w:rPr>
        <w:t xml:space="preserve">tory and analgesic effects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Pharmacognosy Research, 9</w:t>
      </w:r>
      <w:r>
        <w:rPr>
          <w:rFonts w:eastAsia="Times New Roman"/>
          <w:color w:val="000000"/>
          <w:sz w:val="24"/>
          <w:szCs w:val="26"/>
        </w:rPr>
        <w:t>(1), 20-28.</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Mbagwu, F. N., &amp; Okoro, U. M. (2017). Anti-inflammatory and analgesic effects of </w:t>
      </w:r>
      <w:r>
        <w:rPr>
          <w:rStyle w:val="Emphasis"/>
          <w:color w:val="000000"/>
          <w:szCs w:val="26"/>
        </w:rPr>
        <w:t>Sida acuta</w:t>
      </w:r>
      <w:r>
        <w:rPr>
          <w:color w:val="000000"/>
          <w:szCs w:val="26"/>
        </w:rPr>
        <w:t xml:space="preserve"> phenols. </w:t>
      </w:r>
      <w:r>
        <w:rPr>
          <w:rStyle w:val="Emphasis"/>
          <w:color w:val="000000"/>
          <w:szCs w:val="26"/>
        </w:rPr>
        <w:t>Pharmacognosy Research, 9</w:t>
      </w:r>
      <w:r>
        <w:rPr>
          <w:color w:val="000000"/>
          <w:szCs w:val="26"/>
        </w:rPr>
        <w:t>(1), 20-28.</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Mbagwu, F. N., &amp; Okoro, U. M. (2017). I</w:t>
      </w:r>
      <w:r>
        <w:rPr>
          <w:color w:val="000000"/>
          <w:szCs w:val="26"/>
        </w:rPr>
        <w:t xml:space="preserve">ron content and nutritional significance of </w:t>
      </w:r>
      <w:r>
        <w:rPr>
          <w:rStyle w:val="Emphasis"/>
          <w:color w:val="000000"/>
          <w:szCs w:val="26"/>
        </w:rPr>
        <w:t>Sida acuta</w:t>
      </w:r>
      <w:r>
        <w:rPr>
          <w:color w:val="000000"/>
          <w:szCs w:val="26"/>
        </w:rPr>
        <w:t xml:space="preserve">. </w:t>
      </w:r>
      <w:r>
        <w:rPr>
          <w:rStyle w:val="Emphasis"/>
          <w:color w:val="000000"/>
          <w:szCs w:val="26"/>
        </w:rPr>
        <w:t>Pharmacognosy Research, 9</w:t>
      </w:r>
      <w:r>
        <w:rPr>
          <w:color w:val="000000"/>
          <w:szCs w:val="26"/>
        </w:rPr>
        <w:t>(1), 20-28.</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Mbagwu,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Mbagwu</w:t>
      </w:r>
      <w:r>
        <w:rPr>
          <w:color w:val="000000"/>
          <w:szCs w:val="26"/>
        </w:rPr>
        <w:t xml:space="preserve">, H. O., &amp; Okoro, F. A. (2017). Anti-inflammatory and analgesic activities of </w:t>
      </w:r>
      <w:r>
        <w:rPr>
          <w:rStyle w:val="Emphasis"/>
          <w:color w:val="000000"/>
          <w:szCs w:val="26"/>
        </w:rPr>
        <w:t>Sida acuta</w:t>
      </w:r>
      <w:r>
        <w:rPr>
          <w:color w:val="000000"/>
          <w:szCs w:val="26"/>
        </w:rPr>
        <w:t xml:space="preserve"> in Wistar rats. </w:t>
      </w:r>
      <w:r>
        <w:rPr>
          <w:rStyle w:val="Emphasis"/>
          <w:color w:val="000000"/>
          <w:szCs w:val="26"/>
        </w:rPr>
        <w:t>Journal of Ethnopharmacology, 12</w:t>
      </w:r>
      <w:r>
        <w:rPr>
          <w:color w:val="000000"/>
          <w:szCs w:val="26"/>
        </w:rPr>
        <w:t>(5), 167-174.</w:t>
      </w:r>
    </w:p>
    <w:p w:rsidR="005F01BE" w:rsidRDefault="003E2C3A">
      <w:pPr>
        <w:spacing w:after="0" w:line="480" w:lineRule="auto"/>
        <w:ind w:left="720" w:hanging="720"/>
        <w:jc w:val="both"/>
        <w:rPr>
          <w:color w:val="000000"/>
          <w:sz w:val="24"/>
          <w:szCs w:val="26"/>
        </w:rPr>
      </w:pPr>
      <w:r>
        <w:rPr>
          <w:color w:val="000000"/>
          <w:sz w:val="24"/>
          <w:szCs w:val="26"/>
        </w:rPr>
        <w:t>Mohan M, Natarajan R, Kaur K, Gurnani B. Treatment approach to corneal ulcer. TNOA J Ophthalmic Sci Res 2</w:t>
      </w:r>
      <w:r>
        <w:rPr>
          <w:color w:val="000000"/>
          <w:sz w:val="24"/>
          <w:szCs w:val="26"/>
        </w:rPr>
        <w:t>023;61:396-407.</w:t>
      </w:r>
    </w:p>
    <w:p w:rsidR="005F01BE" w:rsidRDefault="003E2C3A">
      <w:pPr>
        <w:spacing w:after="0" w:line="480" w:lineRule="auto"/>
        <w:ind w:left="720" w:hanging="720"/>
        <w:jc w:val="both"/>
        <w:rPr>
          <w:color w:val="000000"/>
          <w:sz w:val="24"/>
          <w:szCs w:val="26"/>
          <w:shd w:val="clear" w:color="auto" w:fill="FFFFFF"/>
        </w:rPr>
      </w:pPr>
      <w:r>
        <w:rPr>
          <w:color w:val="000000"/>
          <w:sz w:val="24"/>
          <w:szCs w:val="26"/>
          <w:shd w:val="clear" w:color="auto" w:fill="FFFFFF"/>
        </w:rPr>
        <w:t>Mohideen, S., Sasikala, E., &amp; Gopal, V. (2002). Pharmacognostic studies on Sida acuta burm. f. </w:t>
      </w:r>
      <w:r>
        <w:rPr>
          <w:i/>
          <w:color w:val="000000"/>
          <w:sz w:val="24"/>
          <w:szCs w:val="26"/>
          <w:shd w:val="clear" w:color="auto" w:fill="FFFFFF"/>
        </w:rPr>
        <w:t>Ancient science of life</w:t>
      </w:r>
      <w:r>
        <w:rPr>
          <w:color w:val="000000"/>
          <w:sz w:val="24"/>
          <w:szCs w:val="26"/>
          <w:shd w:val="clear" w:color="auto" w:fill="FFFFFF"/>
        </w:rPr>
        <w:t>, </w:t>
      </w:r>
      <w:r>
        <w:rPr>
          <w:i/>
          <w:color w:val="000000"/>
          <w:sz w:val="24"/>
          <w:szCs w:val="26"/>
          <w:shd w:val="clear" w:color="auto" w:fill="FFFFFF"/>
        </w:rPr>
        <w:t>22</w:t>
      </w:r>
      <w:r>
        <w:rPr>
          <w:color w:val="000000"/>
          <w:sz w:val="24"/>
          <w:szCs w:val="26"/>
          <w:shd w:val="clear" w:color="auto" w:fill="FFFFFF"/>
        </w:rPr>
        <w:t>(1), 57-66.</w:t>
      </w:r>
    </w:p>
    <w:p w:rsidR="005F01BE" w:rsidRDefault="003E2C3A">
      <w:pPr>
        <w:spacing w:after="0" w:line="480" w:lineRule="auto"/>
        <w:ind w:left="720" w:hanging="720"/>
        <w:jc w:val="both"/>
        <w:rPr>
          <w:color w:val="000000"/>
          <w:sz w:val="24"/>
          <w:szCs w:val="26"/>
        </w:rPr>
      </w:pPr>
      <w:r>
        <w:rPr>
          <w:color w:val="000000"/>
          <w:sz w:val="24"/>
          <w:szCs w:val="26"/>
        </w:rPr>
        <w:t>Mustoe, T. A., O’Shaughnessy, K., &amp; Kloeters, O. (2006).</w:t>
      </w:r>
      <w:r>
        <w:rPr>
          <w:color w:val="000000"/>
          <w:sz w:val="24"/>
          <w:szCs w:val="26"/>
        </w:rPr>
        <w:t xml:space="preserve"> Chronic wound pathogenesis and current treatment strategies: A unifying hypothesis. Plastic and Reconstructive Surgery, 117(7S), 35S-41S.</w:t>
      </w:r>
    </w:p>
    <w:p w:rsidR="005F01BE" w:rsidRDefault="003E2C3A">
      <w:pPr>
        <w:spacing w:after="0" w:line="480" w:lineRule="auto"/>
        <w:ind w:left="720" w:hanging="720"/>
        <w:jc w:val="both"/>
        <w:rPr>
          <w:color w:val="000000"/>
          <w:sz w:val="24"/>
          <w:szCs w:val="26"/>
        </w:rPr>
      </w:pPr>
      <w:r>
        <w:rPr>
          <w:color w:val="000000"/>
          <w:sz w:val="24"/>
          <w:szCs w:val="26"/>
        </w:rPr>
        <w:lastRenderedPageBreak/>
        <w:t xml:space="preserve">Nilsson C, Sillen A, Eriksson L, Strand ML, Enroth H, Normark S, et al. Correlation between cag pathogenicity island </w:t>
      </w:r>
      <w:r>
        <w:rPr>
          <w:color w:val="000000"/>
          <w:sz w:val="24"/>
          <w:szCs w:val="26"/>
        </w:rPr>
        <w:t>composition and Helicobacter pylori-associated gastroduodenal disease. Infect Immun 2003;71:6573-81.</w:t>
      </w:r>
    </w:p>
    <w:p w:rsidR="005F01BE" w:rsidRDefault="003E2C3A">
      <w:pPr>
        <w:spacing w:after="0" w:line="480" w:lineRule="auto"/>
        <w:ind w:left="720" w:hanging="720"/>
        <w:jc w:val="both"/>
        <w:rPr>
          <w:color w:val="000000"/>
          <w:sz w:val="24"/>
          <w:szCs w:val="26"/>
        </w:rPr>
      </w:pPr>
      <w:r>
        <w:rPr>
          <w:color w:val="000000"/>
          <w:sz w:val="24"/>
          <w:szCs w:val="26"/>
        </w:rPr>
        <w:t>Nussbaum, S. R., Carter, M. J., Fife, C. E., DaVanzo, J., Haught, R., Nusgart, M., &amp; Cartwright, D. (2018). An economic evaluation of the impact, cost, and</w:t>
      </w:r>
      <w:r>
        <w:rPr>
          <w:color w:val="000000"/>
          <w:sz w:val="24"/>
          <w:szCs w:val="26"/>
        </w:rPr>
        <w:t xml:space="preserve"> Medicare policy implications of chronic nonhealing wounds. Value in Health, 21(1), 27-32.</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Ogunyemi, E. A., Salawu, O. T., &amp; Adebayo, A. M. (2019). Chemical composition and medicinal potentials of </w:t>
      </w:r>
      <w:r>
        <w:rPr>
          <w:rStyle w:val="Emphasis"/>
          <w:color w:val="000000"/>
          <w:szCs w:val="26"/>
        </w:rPr>
        <w:t>Sida acuta</w:t>
      </w:r>
      <w:r>
        <w:rPr>
          <w:color w:val="000000"/>
          <w:szCs w:val="26"/>
        </w:rPr>
        <w:t xml:space="preserve">. </w:t>
      </w:r>
      <w:r>
        <w:rPr>
          <w:rStyle w:val="Emphasis"/>
          <w:color w:val="000000"/>
          <w:szCs w:val="26"/>
        </w:rPr>
        <w:t>Phytotherapy Research, 33</w:t>
      </w:r>
      <w:r>
        <w:rPr>
          <w:color w:val="000000"/>
          <w:szCs w:val="26"/>
        </w:rPr>
        <w:t>(9), 1435-1442.</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Ogunyemi, O. M., Adewoyin, F. B., &amp; Olukemi, O. A. (2019). Phytochemical screening and biological</w:t>
      </w:r>
      <w:r>
        <w:rPr>
          <w:rFonts w:eastAsia="Times New Roman"/>
          <w:color w:val="000000"/>
          <w:sz w:val="24"/>
          <w:szCs w:val="26"/>
        </w:rPr>
        <w:t xml:space="preserve"> activities of </w:t>
      </w:r>
      <w:r>
        <w:rPr>
          <w:rFonts w:eastAsia="Times New Roman"/>
          <w:i/>
          <w:iCs/>
          <w:color w:val="000000"/>
          <w:sz w:val="24"/>
          <w:szCs w:val="26"/>
        </w:rPr>
        <w:t>Sida acuta</w:t>
      </w:r>
      <w:r>
        <w:rPr>
          <w:rFonts w:eastAsia="Times New Roman"/>
          <w:color w:val="000000"/>
          <w:sz w:val="24"/>
          <w:szCs w:val="26"/>
        </w:rPr>
        <w:t xml:space="preserve">. </w:t>
      </w:r>
      <w:r>
        <w:rPr>
          <w:rFonts w:eastAsia="Times New Roman"/>
          <w:i/>
          <w:iCs/>
          <w:color w:val="000000"/>
          <w:sz w:val="24"/>
          <w:szCs w:val="26"/>
        </w:rPr>
        <w:t>Journal of Ethnopharmacology, 25</w:t>
      </w:r>
      <w:r>
        <w:rPr>
          <w:rFonts w:eastAsia="Times New Roman"/>
          <w:color w:val="000000"/>
          <w:sz w:val="24"/>
          <w:szCs w:val="26"/>
        </w:rPr>
        <w:t>(3), 65-74.</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Ogunyemi, O. M., Adewoyin, F. B., &amp; Olukemi, O. A. (2019). Phytochemical screening and biological activities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Ogunyemi, O. M., </w:t>
      </w:r>
      <w:r>
        <w:rPr>
          <w:color w:val="000000"/>
          <w:szCs w:val="26"/>
        </w:rPr>
        <w:t xml:space="preserve">Adewoyin, F. B., &amp; Olukemi, O. A. (2019). Phytochemical screening and mineral analysis of </w:t>
      </w:r>
      <w:r>
        <w:rPr>
          <w:rStyle w:val="Emphasis"/>
          <w:color w:val="000000"/>
          <w:szCs w:val="26"/>
        </w:rPr>
        <w:t>Sida acuta</w:t>
      </w:r>
      <w:r>
        <w:rPr>
          <w:color w:val="000000"/>
          <w:szCs w:val="26"/>
        </w:rPr>
        <w:t xml:space="preserve">. </w:t>
      </w:r>
      <w:r>
        <w:rPr>
          <w:rStyle w:val="Emphasis"/>
          <w:color w:val="000000"/>
          <w:szCs w:val="26"/>
        </w:rPr>
        <w:t>Journal of Ethnopharmacology, 25</w:t>
      </w:r>
      <w:r>
        <w:rPr>
          <w:color w:val="000000"/>
          <w:szCs w:val="26"/>
        </w:rPr>
        <w:t>(3), 65-74.</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Okokon, J. E., Udoh, A. M., &amp; Akpan, A. B. (2018). Medicinal properties of </w:t>
      </w:r>
      <w:r>
        <w:rPr>
          <w:rStyle w:val="Emphasis"/>
          <w:color w:val="000000"/>
          <w:szCs w:val="26"/>
        </w:rPr>
        <w:t>Sida acuta</w:t>
      </w:r>
      <w:r>
        <w:rPr>
          <w:color w:val="000000"/>
          <w:szCs w:val="26"/>
        </w:rPr>
        <w:t xml:space="preserve">: A review. </w:t>
      </w:r>
      <w:r>
        <w:rPr>
          <w:rStyle w:val="Emphasis"/>
          <w:color w:val="000000"/>
          <w:szCs w:val="26"/>
        </w:rPr>
        <w:t xml:space="preserve">Journal of </w:t>
      </w:r>
      <w:r>
        <w:rPr>
          <w:rStyle w:val="Emphasis"/>
          <w:color w:val="000000"/>
          <w:szCs w:val="26"/>
        </w:rPr>
        <w:t>Natural Products, 81</w:t>
      </w:r>
      <w:r>
        <w:rPr>
          <w:color w:val="000000"/>
          <w:szCs w:val="26"/>
        </w:rPr>
        <w:t>(2), 74-88.</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 xml:space="preserve">Olajide, O. A., Awe, S. O., &amp; Makinde, J. M. (2019). Antimicrobial activity of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Planta Medica, 85</w:t>
      </w:r>
      <w:r>
        <w:rPr>
          <w:rFonts w:eastAsia="Times New Roman"/>
          <w:color w:val="000000"/>
          <w:sz w:val="24"/>
          <w:szCs w:val="26"/>
        </w:rPr>
        <w:t>(4), 56-62.</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Antimicrobial activity of </w:t>
      </w:r>
      <w:r>
        <w:rPr>
          <w:rStyle w:val="Emphasis"/>
          <w:color w:val="000000"/>
          <w:szCs w:val="26"/>
        </w:rPr>
        <w:t>Sida acuta</w:t>
      </w:r>
      <w:r>
        <w:rPr>
          <w:color w:val="000000"/>
          <w:szCs w:val="26"/>
        </w:rPr>
        <w:t xml:space="preserve"> extra</w:t>
      </w:r>
      <w:r>
        <w:rPr>
          <w:color w:val="000000"/>
          <w:szCs w:val="26"/>
        </w:rPr>
        <w:t xml:space="preserve">cts. </w:t>
      </w:r>
      <w:r>
        <w:rPr>
          <w:rStyle w:val="Emphasis"/>
          <w:color w:val="000000"/>
          <w:szCs w:val="26"/>
        </w:rPr>
        <w:t>Planta Medica, 85</w:t>
      </w:r>
      <w:r>
        <w:rPr>
          <w:color w:val="000000"/>
          <w:szCs w:val="26"/>
        </w:rPr>
        <w:t>(4), 56-62.</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Olajide, O. A., Awe, S. O., &amp; Makinde, J. M. (2019). Sodium and potassium balance in medicinal plants: The case of </w:t>
      </w:r>
      <w:r>
        <w:rPr>
          <w:rStyle w:val="Emphasis"/>
          <w:color w:val="000000"/>
          <w:szCs w:val="26"/>
        </w:rPr>
        <w:t>Sida acuta</w:t>
      </w:r>
      <w:r>
        <w:rPr>
          <w:color w:val="000000"/>
          <w:szCs w:val="26"/>
        </w:rPr>
        <w:t xml:space="preserve">. </w:t>
      </w:r>
      <w:r>
        <w:rPr>
          <w:rStyle w:val="Emphasis"/>
          <w:color w:val="000000"/>
          <w:szCs w:val="26"/>
        </w:rPr>
        <w:t>Planta Medica, 85</w:t>
      </w:r>
      <w:r>
        <w:rPr>
          <w:color w:val="000000"/>
          <w:szCs w:val="26"/>
        </w:rPr>
        <w:t>(4), 56-62.</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Olajide, S. O., Balogun, A. G., &amp; Adeyeye, O. T. (2019). Antifunga</w:t>
      </w:r>
      <w:r>
        <w:rPr>
          <w:color w:val="000000"/>
          <w:szCs w:val="26"/>
        </w:rPr>
        <w:t xml:space="preserve">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Phytomedicine, 12</w:t>
      </w:r>
      <w:r>
        <w:rPr>
          <w:color w:val="000000"/>
          <w:szCs w:val="26"/>
        </w:rPr>
        <w:t>(1), 56-65.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Olajide, S. O., Balogun, A. G., &amp; Adeyeye, O. T. (2019). Antifungal activity of </w:t>
      </w:r>
      <w:r>
        <w:rPr>
          <w:rStyle w:val="Emphasis"/>
          <w:color w:val="000000"/>
          <w:szCs w:val="26"/>
        </w:rPr>
        <w:t>Sida acuta</w:t>
      </w:r>
      <w:r>
        <w:rPr>
          <w:color w:val="000000"/>
          <w:szCs w:val="26"/>
        </w:rPr>
        <w:t xml:space="preserve"> against pathogenic fungi. </w:t>
      </w:r>
      <w:r>
        <w:rPr>
          <w:rStyle w:val="Emphasis"/>
          <w:color w:val="000000"/>
          <w:szCs w:val="26"/>
        </w:rPr>
        <w:t>International Journal of Phytomedi</w:t>
      </w:r>
      <w:r>
        <w:rPr>
          <w:rStyle w:val="Emphasis"/>
          <w:color w:val="000000"/>
          <w:szCs w:val="26"/>
        </w:rPr>
        <w:t>cine, 12</w:t>
      </w:r>
      <w:r>
        <w:rPr>
          <w:color w:val="000000"/>
          <w:szCs w:val="26"/>
        </w:rPr>
        <w:t>(1), 56-65.</w:t>
      </w:r>
    </w:p>
    <w:p w:rsidR="005F01BE" w:rsidRDefault="003E2C3A">
      <w:pPr>
        <w:spacing w:after="0" w:line="480" w:lineRule="auto"/>
        <w:ind w:left="720" w:hanging="720"/>
        <w:jc w:val="both"/>
        <w:rPr>
          <w:color w:val="000000"/>
          <w:sz w:val="24"/>
          <w:szCs w:val="26"/>
        </w:rPr>
      </w:pPr>
      <w:r>
        <w:rPr>
          <w:color w:val="000000"/>
          <w:sz w:val="24"/>
          <w:szCs w:val="26"/>
        </w:rPr>
        <w:t>Pastar, I., Stojadinovic, O., Yin, N. C., Ramirez, H., Nusbaum, A. G., Sawaya, A., ... &amp; Tomic-Canic, M. (2014). Epithelialization in wound healing: A comprehensive review. Advances in Wound Care, 3(7), 445-464.</w:t>
      </w:r>
    </w:p>
    <w:p w:rsidR="005F01BE" w:rsidRDefault="003E2C3A">
      <w:pPr>
        <w:spacing w:after="0" w:line="480" w:lineRule="auto"/>
        <w:ind w:left="720" w:hanging="720"/>
        <w:jc w:val="both"/>
        <w:rPr>
          <w:color w:val="000000"/>
          <w:sz w:val="24"/>
          <w:szCs w:val="26"/>
        </w:rPr>
      </w:pPr>
      <w:r>
        <w:rPr>
          <w:color w:val="000000"/>
          <w:sz w:val="24"/>
          <w:szCs w:val="26"/>
        </w:rPr>
        <w:t>Philip, B. K., Muralidha</w:t>
      </w:r>
      <w:r>
        <w:rPr>
          <w:color w:val="000000"/>
          <w:sz w:val="24"/>
          <w:szCs w:val="26"/>
        </w:rPr>
        <w:t>ran, A., Natarajan, B., Varadamurthy, S., Venkataraman, S., 2008. Preliminary evaluation of anti-pyretic and anti-ulcerogenic activities of Sida cordifolia methanolic extract. Fitoterapia 79, 229-231.</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PMC</w:t>
      </w:r>
      <w:r>
        <w:rPr>
          <w:rFonts w:eastAsia="Times New Roman"/>
          <w:color w:val="000000"/>
          <w:sz w:val="24"/>
          <w:szCs w:val="26"/>
        </w:rPr>
        <w:t>. (2007). Corneal Ulcer: Diagnosis and Management. R</w:t>
      </w:r>
      <w:r>
        <w:rPr>
          <w:rFonts w:eastAsia="Times New Roman"/>
          <w:color w:val="000000"/>
          <w:sz w:val="24"/>
          <w:szCs w:val="26"/>
        </w:rPr>
        <w:t>etrieved from </w:t>
      </w:r>
      <w:hyperlink r:id="rId87" w:tgtFrame="_blank" w:history="1">
        <w:r>
          <w:rPr>
            <w:rFonts w:eastAsia="Times New Roman"/>
            <w:color w:val="000000"/>
            <w:sz w:val="24"/>
            <w:szCs w:val="26"/>
            <w:bdr w:val="single" w:sz="2" w:space="0" w:color="E5E7EB" w:frame="1"/>
          </w:rPr>
          <w:t>https://pmc.ncbi.nlm.nih.gov/articles/PMC1706003/</w:t>
        </w:r>
      </w:hyperlink>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lastRenderedPageBreak/>
        <w:t>Porter, S. R., &amp; Leao, J. C. (2005). </w:t>
      </w:r>
      <w:r>
        <w:rPr>
          <w:rFonts w:eastAsia="Times New Roman"/>
          <w:i/>
          <w:iCs/>
          <w:color w:val="000000"/>
          <w:sz w:val="24"/>
          <w:szCs w:val="26"/>
        </w:rPr>
        <w:t>Review article: oral ulcers and its relevance to systemic disorders. Alimenta</w:t>
      </w:r>
      <w:r>
        <w:rPr>
          <w:rFonts w:eastAsia="Times New Roman"/>
          <w:i/>
          <w:iCs/>
          <w:color w:val="000000"/>
          <w:sz w:val="24"/>
          <w:szCs w:val="26"/>
        </w:rPr>
        <w:t>ry Pharmacology and Therapeutics, 21(4), 295–306.</w:t>
      </w:r>
      <w:r>
        <w:rPr>
          <w:rFonts w:eastAsia="Times New Roman"/>
          <w:color w:val="000000"/>
          <w:sz w:val="24"/>
          <w:szCs w:val="26"/>
        </w:rPr>
        <w:t> </w:t>
      </w:r>
    </w:p>
    <w:p w:rsidR="005F01BE" w:rsidRDefault="003E2C3A">
      <w:pPr>
        <w:spacing w:after="0" w:line="480" w:lineRule="auto"/>
        <w:ind w:left="720" w:hanging="720"/>
        <w:jc w:val="both"/>
        <w:rPr>
          <w:color w:val="000000"/>
          <w:sz w:val="24"/>
          <w:szCs w:val="26"/>
        </w:rPr>
      </w:pPr>
      <w:r>
        <w:rPr>
          <w:color w:val="000000"/>
          <w:sz w:val="24"/>
          <w:szCs w:val="26"/>
        </w:rPr>
        <w:t>Raimi, M.M.; Oyekanmi, A.M. and Adegoke, B.M. (2014). Proximate, phytochemical and micronutrient composition of Sida acuta. IOSR J. Appl. Chem., 7(2):93-98.</w:t>
      </w:r>
    </w:p>
    <w:p w:rsidR="005F01BE" w:rsidRDefault="003E2C3A">
      <w:pPr>
        <w:spacing w:after="0" w:line="480" w:lineRule="auto"/>
        <w:ind w:left="720" w:hanging="720"/>
        <w:jc w:val="both"/>
        <w:rPr>
          <w:color w:val="000000"/>
          <w:sz w:val="24"/>
          <w:szCs w:val="26"/>
        </w:rPr>
      </w:pPr>
      <w:r>
        <w:rPr>
          <w:color w:val="000000"/>
          <w:sz w:val="24"/>
          <w:szCs w:val="26"/>
        </w:rPr>
        <w:t xml:space="preserve">Raja JM, Maturana MA, Kayali S, Khouzam A, </w:t>
      </w:r>
      <w:r>
        <w:rPr>
          <w:color w:val="000000"/>
          <w:sz w:val="24"/>
          <w:szCs w:val="26"/>
        </w:rPr>
        <w:t>Efeovbokhan N. Diabetic foot ulcer: A comprehensive review of pathophysiology and management modalities. </w:t>
      </w:r>
      <w:r>
        <w:rPr>
          <w:rStyle w:val="Emphasis"/>
          <w:color w:val="000000"/>
          <w:sz w:val="24"/>
          <w:szCs w:val="26"/>
        </w:rPr>
        <w:t>World J Clin Cases</w:t>
      </w:r>
      <w:r>
        <w:rPr>
          <w:color w:val="000000"/>
          <w:sz w:val="24"/>
          <w:szCs w:val="26"/>
        </w:rPr>
        <w:t xml:space="preserve"> 2023; 11(8): 1684-1693 </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ResearchGate</w:t>
      </w:r>
      <w:r>
        <w:rPr>
          <w:rFonts w:eastAsia="Times New Roman"/>
          <w:color w:val="000000"/>
          <w:sz w:val="24"/>
          <w:szCs w:val="26"/>
        </w:rPr>
        <w:t>. (2023). Treatment approach to corneal ulcer- Major Review. Retrieved from </w:t>
      </w:r>
      <w:hyperlink r:id="rId88" w:tgtFrame="_blank" w:history="1">
        <w:r>
          <w:rPr>
            <w:rFonts w:eastAsia="Times New Roman"/>
            <w:color w:val="000000"/>
            <w:sz w:val="24"/>
            <w:szCs w:val="26"/>
            <w:bdr w:val="single" w:sz="2" w:space="0" w:color="E5E7EB" w:frame="1"/>
          </w:rPr>
          <w:t>https://www.researchgate.net/publication/376854727_Treatment_approach_to_corneal_ulcer-_Major_Review</w:t>
        </w:r>
      </w:hyperlink>
    </w:p>
    <w:p w:rsidR="005F01BE" w:rsidRDefault="003E2C3A">
      <w:pPr>
        <w:spacing w:after="0" w:line="480" w:lineRule="auto"/>
        <w:ind w:left="720" w:hanging="720"/>
        <w:jc w:val="both"/>
        <w:rPr>
          <w:color w:val="000000"/>
          <w:sz w:val="24"/>
          <w:szCs w:val="26"/>
        </w:rPr>
      </w:pPr>
      <w:r>
        <w:rPr>
          <w:color w:val="000000"/>
          <w:sz w:val="24"/>
          <w:szCs w:val="26"/>
        </w:rPr>
        <w:t xml:space="preserve">Sadeghian, G., Ziaei, H., &amp; Nilforoushzadeh, </w:t>
      </w:r>
      <w:r>
        <w:rPr>
          <w:color w:val="000000"/>
          <w:sz w:val="24"/>
          <w:szCs w:val="26"/>
        </w:rPr>
        <w:t>M. A. (2020). Cutaneous infections leading to ulceration. Journal of Cutaneous Medicine and Surgery, 24(1), 12-21.</w:t>
      </w:r>
    </w:p>
    <w:p w:rsidR="005F01BE" w:rsidRDefault="003E2C3A">
      <w:pPr>
        <w:spacing w:after="0" w:line="480" w:lineRule="auto"/>
        <w:ind w:left="720" w:hanging="720"/>
        <w:jc w:val="both"/>
        <w:rPr>
          <w:color w:val="000000"/>
          <w:sz w:val="24"/>
          <w:szCs w:val="26"/>
        </w:rPr>
      </w:pPr>
      <w:r>
        <w:rPr>
          <w:color w:val="000000"/>
          <w:sz w:val="24"/>
          <w:szCs w:val="26"/>
        </w:rPr>
        <w:t>Scully C, Epstein J, Sonis S. Oral mucositis: a challenging complication of radiotherapy, chemotherapy, and radiochemotherapy: Part 2. diagno</w:t>
      </w:r>
      <w:r>
        <w:rPr>
          <w:color w:val="000000"/>
          <w:sz w:val="24"/>
          <w:szCs w:val="26"/>
        </w:rPr>
        <w:t>sis and management of mucositis. Head Neck 2004; 26: 77–84.</w:t>
      </w:r>
    </w:p>
    <w:p w:rsidR="005F01BE" w:rsidRDefault="003E2C3A">
      <w:pPr>
        <w:spacing w:after="0" w:line="480" w:lineRule="auto"/>
        <w:ind w:left="720" w:hanging="720"/>
        <w:jc w:val="both"/>
        <w:rPr>
          <w:color w:val="000000"/>
          <w:sz w:val="24"/>
          <w:szCs w:val="26"/>
        </w:rPr>
      </w:pPr>
      <w:r>
        <w:rPr>
          <w:color w:val="000000"/>
          <w:sz w:val="24"/>
          <w:szCs w:val="26"/>
        </w:rPr>
        <w:t>Scully C, Felix D H. Oral medicine – update for the dental practitioner. 2. Mouth ulcers of more serious connotation. Br Dent J 2005; 199: 339-343.</w:t>
      </w:r>
    </w:p>
    <w:p w:rsidR="005F01BE" w:rsidRDefault="003E2C3A">
      <w:pPr>
        <w:spacing w:after="0" w:line="480" w:lineRule="auto"/>
        <w:ind w:left="720" w:hanging="720"/>
        <w:jc w:val="both"/>
        <w:rPr>
          <w:color w:val="000000"/>
          <w:sz w:val="24"/>
          <w:szCs w:val="26"/>
        </w:rPr>
      </w:pPr>
      <w:r>
        <w:rPr>
          <w:color w:val="000000"/>
          <w:sz w:val="24"/>
          <w:szCs w:val="26"/>
        </w:rPr>
        <w:t>Sen, C. K., Gordillo, G. M., Roy, S., Kirsner, R</w:t>
      </w:r>
      <w:r>
        <w:rPr>
          <w:color w:val="000000"/>
          <w:sz w:val="24"/>
          <w:szCs w:val="26"/>
        </w:rPr>
        <w:t>., Lambert, L., Hunt, T. K., ... &amp; Longaker, M. T. (2009). Human skin wounds: A major and snowballing threat to public health and the economy. Wound Repair and Regeneration, 17(6), 763-771.</w:t>
      </w:r>
    </w:p>
    <w:p w:rsidR="005F01BE" w:rsidRDefault="003E2C3A">
      <w:pPr>
        <w:spacing w:after="0" w:line="480" w:lineRule="auto"/>
        <w:ind w:left="720" w:hanging="720"/>
        <w:jc w:val="both"/>
        <w:rPr>
          <w:color w:val="000000"/>
          <w:sz w:val="24"/>
          <w:szCs w:val="26"/>
        </w:rPr>
      </w:pPr>
      <w:r>
        <w:rPr>
          <w:color w:val="000000"/>
          <w:sz w:val="24"/>
          <w:szCs w:val="26"/>
        </w:rPr>
        <w:lastRenderedPageBreak/>
        <w:t xml:space="preserve">Shittu, Alagbe JO. Phyto-Nutritional Profiles of Broom Weed (Sida </w:t>
      </w:r>
      <w:r>
        <w:rPr>
          <w:color w:val="000000"/>
          <w:sz w:val="24"/>
          <w:szCs w:val="26"/>
        </w:rPr>
        <w:t>acuta) Leaf Extract. Ann Clin Toxicol. 2020; 3(2): 1032.</w:t>
      </w:r>
    </w:p>
    <w:p w:rsidR="005F01BE" w:rsidRDefault="003E2C3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Simplice, D. K., Wendyam, M. N., Denise, P. I., Djeneba, O., Messanvi, G., Comlan, D. S., &amp; Jacques, S. (2007). </w:t>
      </w:r>
      <w:r>
        <w:rPr>
          <w:i/>
          <w:iCs/>
          <w:color w:val="000000"/>
          <w:sz w:val="24"/>
          <w:szCs w:val="26"/>
          <w:shd w:val="clear" w:color="auto" w:fill="FFFFFF"/>
        </w:rPr>
        <w:t>Sida acuta Burm. f.: a medicinal plant with numerous potencies. African Journal of Biot</w:t>
      </w:r>
      <w:r>
        <w:rPr>
          <w:i/>
          <w:iCs/>
          <w:color w:val="000000"/>
          <w:sz w:val="24"/>
          <w:szCs w:val="26"/>
          <w:shd w:val="clear" w:color="auto" w:fill="FFFFFF"/>
        </w:rPr>
        <w:t>echnology, 6(25), 2953–2959.</w:t>
      </w:r>
    </w:p>
    <w:p w:rsidR="005F01BE" w:rsidRDefault="003E2C3A">
      <w:pPr>
        <w:spacing w:after="0" w:line="480" w:lineRule="auto"/>
        <w:ind w:left="720" w:hanging="720"/>
        <w:jc w:val="both"/>
        <w:rPr>
          <w:i/>
          <w:iCs/>
          <w:color w:val="000000"/>
          <w:sz w:val="24"/>
          <w:szCs w:val="26"/>
          <w:shd w:val="clear" w:color="auto" w:fill="FFFFFF"/>
        </w:rPr>
      </w:pPr>
      <w:r>
        <w:rPr>
          <w:color w:val="000000"/>
          <w:sz w:val="24"/>
          <w:szCs w:val="26"/>
          <w:shd w:val="clear" w:color="auto" w:fill="FFFFFF"/>
        </w:rPr>
        <w:t>Sreedevi, C. D., Latha, P. G., Ancy, P., Suja, S. R., Shyamal, S., Shine, V. J., … Rajasekharan, S. (2009). </w:t>
      </w:r>
      <w:r>
        <w:rPr>
          <w:i/>
          <w:iCs/>
          <w:color w:val="000000"/>
          <w:sz w:val="24"/>
          <w:szCs w:val="26"/>
          <w:shd w:val="clear" w:color="auto" w:fill="FFFFFF"/>
        </w:rPr>
        <w:t>Hepatoprotective studies on Sida acuta Burm. f. Journal of Ethnopharmacology, 124(2), 171–175.</w:t>
      </w:r>
    </w:p>
    <w:p w:rsidR="005F01BE" w:rsidRDefault="003E2C3A">
      <w:pPr>
        <w:spacing w:after="0" w:line="480" w:lineRule="auto"/>
        <w:ind w:left="720" w:hanging="720"/>
        <w:jc w:val="both"/>
        <w:rPr>
          <w:color w:val="000000"/>
          <w:sz w:val="24"/>
          <w:szCs w:val="26"/>
        </w:rPr>
      </w:pPr>
      <w:r>
        <w:rPr>
          <w:color w:val="000000"/>
          <w:sz w:val="24"/>
          <w:szCs w:val="26"/>
          <w:shd w:val="clear" w:color="auto" w:fill="FFFFFF"/>
        </w:rPr>
        <w:t>Srinivasan, N., &amp; Murali</w:t>
      </w:r>
      <w:r>
        <w:rPr>
          <w:color w:val="000000"/>
          <w:sz w:val="24"/>
          <w:szCs w:val="26"/>
          <w:shd w:val="clear" w:color="auto" w:fill="FFFFFF"/>
        </w:rPr>
        <w:t>, R. (2022). An overview of the traditional importance, phytochemistry, and pharmacological properties of Sida acuta Burm. f. </w:t>
      </w:r>
      <w:r>
        <w:rPr>
          <w:i/>
          <w:color w:val="000000"/>
          <w:sz w:val="24"/>
          <w:szCs w:val="26"/>
          <w:shd w:val="clear" w:color="auto" w:fill="FFFFFF"/>
        </w:rPr>
        <w:t>Annals of Phytomedicine</w:t>
      </w:r>
      <w:r>
        <w:rPr>
          <w:color w:val="000000"/>
          <w:sz w:val="24"/>
          <w:szCs w:val="26"/>
          <w:shd w:val="clear" w:color="auto" w:fill="FFFFFF"/>
        </w:rPr>
        <w:t>, </w:t>
      </w:r>
      <w:r>
        <w:rPr>
          <w:i/>
          <w:color w:val="000000"/>
          <w:sz w:val="24"/>
          <w:szCs w:val="26"/>
          <w:shd w:val="clear" w:color="auto" w:fill="FFFFFF"/>
        </w:rPr>
        <w:t>11</w:t>
      </w:r>
      <w:r>
        <w:rPr>
          <w:color w:val="000000"/>
          <w:sz w:val="24"/>
          <w:szCs w:val="26"/>
          <w:shd w:val="clear" w:color="auto" w:fill="FFFFFF"/>
        </w:rPr>
        <w:t>(2), 245-54.</w:t>
      </w:r>
      <w:r>
        <w:rPr>
          <w:color w:val="000000"/>
          <w:sz w:val="24"/>
          <w:szCs w:val="26"/>
        </w:rPr>
        <w:t xml:space="preserve"> </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StatPearls - NCBI Bookshelf</w:t>
      </w:r>
      <w:r>
        <w:rPr>
          <w:rFonts w:eastAsia="Times New Roman"/>
          <w:color w:val="000000"/>
          <w:sz w:val="24"/>
          <w:szCs w:val="26"/>
        </w:rPr>
        <w:t>. (2023). Corneal Ulcer. Retrieved from </w:t>
      </w:r>
      <w:hyperlink r:id="rId89" w:tgtFrame="_blank" w:history="1">
        <w:r>
          <w:rPr>
            <w:rFonts w:eastAsia="Times New Roman"/>
            <w:color w:val="000000"/>
            <w:sz w:val="24"/>
            <w:szCs w:val="26"/>
            <w:bdr w:val="single" w:sz="2" w:space="0" w:color="E5E7EB" w:frame="1"/>
          </w:rPr>
          <w:t>https://www.ncbi.nlm.nih.gov/books/NBK539689/</w:t>
        </w:r>
      </w:hyperlink>
    </w:p>
    <w:p w:rsidR="005F01BE" w:rsidRDefault="003E2C3A">
      <w:pPr>
        <w:spacing w:after="0" w:line="480" w:lineRule="auto"/>
        <w:ind w:left="720" w:hanging="720"/>
        <w:jc w:val="both"/>
        <w:rPr>
          <w:color w:val="000000"/>
          <w:sz w:val="24"/>
          <w:szCs w:val="26"/>
        </w:rPr>
      </w:pPr>
      <w:r>
        <w:rPr>
          <w:color w:val="000000"/>
          <w:sz w:val="24"/>
          <w:szCs w:val="26"/>
        </w:rPr>
        <w:t>Stern, A., &amp; Neuman, M. (2019). Pathophysiology and prevention of pressure ulcers. International Journal of Nursing Studies, 97, 19-28.</w:t>
      </w:r>
    </w:p>
    <w:p w:rsidR="005F01BE" w:rsidRDefault="003E2C3A">
      <w:pPr>
        <w:spacing w:after="0" w:line="480" w:lineRule="auto"/>
        <w:ind w:left="720" w:hanging="720"/>
        <w:jc w:val="both"/>
        <w:rPr>
          <w:rFonts w:eastAsia="Times New Roman"/>
          <w:color w:val="000000"/>
          <w:sz w:val="24"/>
          <w:szCs w:val="26"/>
        </w:rPr>
      </w:pPr>
      <w:r>
        <w:rPr>
          <w:color w:val="000000"/>
          <w:sz w:val="24"/>
          <w:szCs w:val="26"/>
        </w:rPr>
        <w:t xml:space="preserve">Stokman MA, </w:t>
      </w:r>
      <w:r>
        <w:rPr>
          <w:color w:val="000000"/>
          <w:sz w:val="24"/>
          <w:szCs w:val="26"/>
        </w:rPr>
        <w:t>Spijkervet FK, Burlage FR, et al. Oral mucositis and selective elimination of oral flora in head and neck cancer patients receiving radiotherapy: a double-blind randomised clinical trial. Br J Cancer 2003; 88: 1012–6.</w:t>
      </w:r>
    </w:p>
    <w:p w:rsidR="005F01BE" w:rsidRDefault="003E2C3A">
      <w:pPr>
        <w:spacing w:after="0" w:line="480" w:lineRule="auto"/>
        <w:ind w:left="720" w:hanging="720"/>
        <w:jc w:val="both"/>
        <w:rPr>
          <w:color w:val="000000"/>
          <w:sz w:val="24"/>
          <w:szCs w:val="26"/>
        </w:rPr>
      </w:pPr>
      <w:r>
        <w:rPr>
          <w:color w:val="000000"/>
          <w:sz w:val="24"/>
          <w:szCs w:val="26"/>
        </w:rPr>
        <w:t>Sung JJ, Kuipers EJ, El-Serag HB. Syst</w:t>
      </w:r>
      <w:r>
        <w:rPr>
          <w:color w:val="000000"/>
          <w:sz w:val="24"/>
          <w:szCs w:val="26"/>
        </w:rPr>
        <w:t>ematic review: the global incidence and prevalence of peptic ulcer disease. Aliment Pharmacol Ther 2009;29:938-46.</w:t>
      </w:r>
    </w:p>
    <w:p w:rsidR="005F01BE" w:rsidRDefault="003E2C3A">
      <w:pPr>
        <w:spacing w:after="0" w:line="480" w:lineRule="auto"/>
        <w:ind w:left="720" w:hanging="720"/>
        <w:jc w:val="both"/>
        <w:rPr>
          <w:color w:val="000000"/>
          <w:sz w:val="24"/>
          <w:szCs w:val="26"/>
        </w:rPr>
      </w:pPr>
      <w:r>
        <w:rPr>
          <w:color w:val="000000"/>
          <w:sz w:val="24"/>
          <w:szCs w:val="26"/>
        </w:rPr>
        <w:lastRenderedPageBreak/>
        <w:t>Sung, J. J. Y., Kuipers, E. J., &amp; El-Serag, H. B. (2020). Systematic review: The global incidence and prevalence of peptic ulcer disease. Ali</w:t>
      </w:r>
      <w:r>
        <w:rPr>
          <w:color w:val="000000"/>
          <w:sz w:val="24"/>
          <w:szCs w:val="26"/>
        </w:rPr>
        <w:t>mentary Pharmacology &amp; Therapeutics, 51(7), 713-729.</w:t>
      </w:r>
    </w:p>
    <w:p w:rsidR="005F01BE" w:rsidRDefault="003E2C3A">
      <w:pPr>
        <w:spacing w:after="0" w:line="480" w:lineRule="auto"/>
        <w:ind w:left="720" w:hanging="720"/>
        <w:jc w:val="both"/>
        <w:rPr>
          <w:color w:val="000000"/>
          <w:sz w:val="24"/>
          <w:szCs w:val="26"/>
        </w:rPr>
      </w:pPr>
      <w:r>
        <w:rPr>
          <w:color w:val="000000"/>
          <w:sz w:val="24"/>
          <w:szCs w:val="26"/>
        </w:rPr>
        <w:t>Sung, J. J. Y., Kuipers, E. J., &amp; El-Serag, H. B. (2020). Systematic review: The global incidence and prevalence of peptic ulcer disease. Alimentary Pharmacology &amp; Therapeutics, 51(7), 713-729.</w:t>
      </w:r>
    </w:p>
    <w:p w:rsidR="005F01BE" w:rsidRDefault="003E2C3A">
      <w:pPr>
        <w:spacing w:after="0" w:line="480" w:lineRule="auto"/>
        <w:ind w:left="720" w:hanging="720"/>
        <w:jc w:val="both"/>
        <w:rPr>
          <w:color w:val="000000"/>
          <w:sz w:val="24"/>
          <w:szCs w:val="26"/>
          <w:shd w:val="clear" w:color="auto" w:fill="FFFFFF"/>
        </w:rPr>
      </w:pPr>
      <w:r>
        <w:rPr>
          <w:color w:val="000000"/>
          <w:sz w:val="24"/>
          <w:szCs w:val="26"/>
          <w:shd w:val="clear" w:color="auto" w:fill="FFFFFF"/>
        </w:rPr>
        <w:t>Tcheghebe</w:t>
      </w:r>
      <w:r>
        <w:rPr>
          <w:color w:val="000000"/>
          <w:sz w:val="24"/>
          <w:szCs w:val="26"/>
          <w:shd w:val="clear" w:color="auto" w:fill="FFFFFF"/>
        </w:rPr>
        <w:t>, O. T., Seukep, A. J., &amp; Tatong, F. N. (2017). Ethnomedicinal uses, phytochemical and pharmacological profiles, and toxicity of Sida acuta Burm. F.: a review article. </w:t>
      </w:r>
      <w:r>
        <w:rPr>
          <w:i/>
          <w:color w:val="000000"/>
          <w:sz w:val="24"/>
          <w:szCs w:val="26"/>
          <w:shd w:val="clear" w:color="auto" w:fill="FFFFFF"/>
        </w:rPr>
        <w:t>The Pharma Innovation</w:t>
      </w:r>
      <w:r>
        <w:rPr>
          <w:color w:val="000000"/>
          <w:sz w:val="24"/>
          <w:szCs w:val="26"/>
          <w:shd w:val="clear" w:color="auto" w:fill="FFFFFF"/>
        </w:rPr>
        <w:t>, </w:t>
      </w:r>
      <w:r>
        <w:rPr>
          <w:i/>
          <w:color w:val="000000"/>
          <w:sz w:val="24"/>
          <w:szCs w:val="26"/>
          <w:shd w:val="clear" w:color="auto" w:fill="FFFFFF"/>
        </w:rPr>
        <w:t>6</w:t>
      </w:r>
      <w:r>
        <w:rPr>
          <w:color w:val="000000"/>
          <w:sz w:val="24"/>
          <w:szCs w:val="26"/>
          <w:shd w:val="clear" w:color="auto" w:fill="FFFFFF"/>
        </w:rPr>
        <w:t>(6, Part A), 1.</w:t>
      </w:r>
    </w:p>
    <w:p w:rsidR="005F01BE" w:rsidRDefault="003E2C3A">
      <w:pPr>
        <w:spacing w:after="0" w:line="480" w:lineRule="auto"/>
        <w:ind w:left="720" w:hanging="720"/>
        <w:jc w:val="both"/>
        <w:rPr>
          <w:color w:val="000000"/>
          <w:sz w:val="24"/>
          <w:szCs w:val="26"/>
        </w:rPr>
      </w:pPr>
      <w:r>
        <w:rPr>
          <w:color w:val="000000"/>
          <w:sz w:val="24"/>
          <w:szCs w:val="26"/>
        </w:rPr>
        <w:t>Tejas D. Pimple*1 , Sakshi N. Nagre1 , Bhushan R</w:t>
      </w:r>
      <w:r>
        <w:rPr>
          <w:color w:val="000000"/>
          <w:sz w:val="24"/>
          <w:szCs w:val="26"/>
        </w:rPr>
        <w:t>. Gandhare2 , Sadhana P. Gautam3 , Pooja P. Hulke4 (2024). A Systematic Review On Sida Acuta Burm F.: Morphological Characteristics, Phytoconstituents And Pharmacological Activities. Int. J. of Pharm. Sci., 2024, Vol 2, Issue 2, 256-266.</w:t>
      </w:r>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Uche, C. Z., Nwafo</w:t>
      </w:r>
      <w:r>
        <w:rPr>
          <w:rFonts w:eastAsia="Times New Roman"/>
          <w:color w:val="000000"/>
          <w:sz w:val="24"/>
          <w:szCs w:val="26"/>
        </w:rPr>
        <w:t xml:space="preserve">r, I. G., &amp; Ekong, U. S. (2020). Antioxidant properties of flavonoid-rich </w:t>
      </w:r>
      <w:r>
        <w:rPr>
          <w:rFonts w:eastAsia="Times New Roman"/>
          <w:i/>
          <w:iCs/>
          <w:color w:val="000000"/>
          <w:sz w:val="24"/>
          <w:szCs w:val="26"/>
        </w:rPr>
        <w:t>Sida acuta</w:t>
      </w:r>
      <w:r>
        <w:rPr>
          <w:rFonts w:eastAsia="Times New Roman"/>
          <w:color w:val="000000"/>
          <w:sz w:val="24"/>
          <w:szCs w:val="26"/>
        </w:rPr>
        <w:t xml:space="preserve"> extracts. </w:t>
      </w:r>
      <w:r>
        <w:rPr>
          <w:rFonts w:eastAsia="Times New Roman"/>
          <w:i/>
          <w:iCs/>
          <w:color w:val="000000"/>
          <w:sz w:val="24"/>
          <w:szCs w:val="26"/>
        </w:rPr>
        <w:t>Biochemical Pharmacology, 28</w:t>
      </w:r>
      <w:r>
        <w:rPr>
          <w:rFonts w:eastAsia="Times New Roman"/>
          <w:color w:val="000000"/>
          <w:sz w:val="24"/>
          <w:szCs w:val="26"/>
        </w:rPr>
        <w:t>(3), 112-123.</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Antioxidant properties of phenol-rich </w:t>
      </w:r>
      <w:r>
        <w:rPr>
          <w:rStyle w:val="Emphasis"/>
          <w:color w:val="000000"/>
          <w:szCs w:val="26"/>
        </w:rPr>
        <w:t>Sida acuta</w:t>
      </w:r>
      <w:r>
        <w:rPr>
          <w:color w:val="000000"/>
          <w:szCs w:val="26"/>
        </w:rPr>
        <w:t xml:space="preserve"> extracts. </w:t>
      </w:r>
      <w:r>
        <w:rPr>
          <w:rStyle w:val="Emphasis"/>
          <w:color w:val="000000"/>
          <w:szCs w:val="26"/>
        </w:rPr>
        <w:t>Biochemical Pharmacology, 28</w:t>
      </w:r>
      <w:r>
        <w:rPr>
          <w:color w:val="000000"/>
          <w:szCs w:val="26"/>
        </w:rPr>
        <w:t>(3), 112-123</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Uche, C. Z., Nwafor, I. G., &amp; Ekong, U. S. (2020). Magnesium and calcium content of </w:t>
      </w:r>
      <w:r>
        <w:rPr>
          <w:rStyle w:val="Emphasis"/>
          <w:color w:val="000000"/>
          <w:szCs w:val="26"/>
        </w:rPr>
        <w:t>Sida acuta</w:t>
      </w:r>
      <w:r>
        <w:rPr>
          <w:color w:val="000000"/>
          <w:szCs w:val="26"/>
        </w:rPr>
        <w:t xml:space="preserve"> and their health implications. </w:t>
      </w:r>
      <w:r>
        <w:rPr>
          <w:rStyle w:val="Emphasis"/>
          <w:color w:val="000000"/>
          <w:szCs w:val="26"/>
        </w:rPr>
        <w:t>Biochemical Pharmacology, 28</w:t>
      </w:r>
      <w:r>
        <w:rPr>
          <w:color w:val="000000"/>
          <w:szCs w:val="26"/>
        </w:rPr>
        <w:t>(3), 112-123.</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lastRenderedPageBreak/>
        <w:t>Uche, I. C., Ezenwosu, F. I., &amp; Chukwuma, I. A.</w:t>
      </w:r>
      <w:r>
        <w:rPr>
          <w:color w:val="000000"/>
          <w:szCs w:val="26"/>
        </w:rPr>
        <w:t xml:space="preserve">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Uche, I. 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5F01BE" w:rsidRDefault="003E2C3A">
      <w:pPr>
        <w:pStyle w:val="NormalWeb"/>
        <w:spacing w:before="0" w:beforeAutospacing="0" w:after="0" w:afterAutospacing="0" w:line="480" w:lineRule="auto"/>
        <w:ind w:left="720" w:hanging="720"/>
        <w:jc w:val="both"/>
        <w:rPr>
          <w:color w:val="000000"/>
          <w:szCs w:val="26"/>
        </w:rPr>
      </w:pPr>
      <w:r>
        <w:rPr>
          <w:color w:val="000000"/>
          <w:szCs w:val="26"/>
        </w:rPr>
        <w:t xml:space="preserve">Uche, I. </w:t>
      </w:r>
      <w:r>
        <w:rPr>
          <w:color w:val="000000"/>
          <w:szCs w:val="26"/>
        </w:rPr>
        <w:t xml:space="preserve">C., Ezenwosu, F. I., &amp; Chukwuma, I. A. (2020). Antioxidant potential of </w:t>
      </w:r>
      <w:r>
        <w:rPr>
          <w:rStyle w:val="Emphasis"/>
          <w:color w:val="000000"/>
          <w:szCs w:val="26"/>
        </w:rPr>
        <w:t>Sida acuta</w:t>
      </w:r>
      <w:r>
        <w:rPr>
          <w:color w:val="000000"/>
          <w:szCs w:val="26"/>
        </w:rPr>
        <w:t xml:space="preserve"> extracts. </w:t>
      </w:r>
      <w:r>
        <w:rPr>
          <w:rStyle w:val="Emphasis"/>
          <w:color w:val="000000"/>
          <w:szCs w:val="26"/>
        </w:rPr>
        <w:t>Biomedicine &amp; Pharmacotherapy, 125</w:t>
      </w:r>
      <w:r>
        <w:rPr>
          <w:color w:val="000000"/>
          <w:szCs w:val="26"/>
        </w:rPr>
        <w:t>, 109-115.</w:t>
      </w:r>
    </w:p>
    <w:p w:rsidR="005F01BE" w:rsidRDefault="003E2C3A">
      <w:pPr>
        <w:pBdr>
          <w:top w:val="single" w:sz="2" w:space="0" w:color="E5E7EB"/>
          <w:left w:val="single" w:sz="2" w:space="0" w:color="E5E7EB"/>
          <w:bottom w:val="single" w:sz="2" w:space="0" w:color="E5E7EB"/>
          <w:right w:val="single" w:sz="2" w:space="0" w:color="E5E7EB"/>
        </w:pBdr>
        <w:spacing w:after="0" w:line="480" w:lineRule="auto"/>
        <w:ind w:left="720" w:hanging="720"/>
        <w:jc w:val="both"/>
        <w:rPr>
          <w:rFonts w:eastAsia="Times New Roman"/>
          <w:color w:val="000000"/>
          <w:sz w:val="24"/>
          <w:szCs w:val="26"/>
        </w:rPr>
      </w:pPr>
      <w:r>
        <w:rPr>
          <w:rFonts w:eastAsia="Times New Roman"/>
          <w:bCs/>
          <w:color w:val="000000"/>
          <w:sz w:val="24"/>
          <w:szCs w:val="26"/>
          <w:bdr w:val="single" w:sz="2" w:space="0" w:color="E5E7EB" w:frame="1"/>
        </w:rPr>
        <w:t>World Health Organization</w:t>
      </w:r>
      <w:r>
        <w:rPr>
          <w:rFonts w:eastAsia="Times New Roman"/>
          <w:color w:val="000000"/>
          <w:sz w:val="24"/>
          <w:szCs w:val="26"/>
        </w:rPr>
        <w:t>. (2015). Guidelines for the Management of Corneal Ulcer. Retrieved from </w:t>
      </w:r>
      <w:hyperlink r:id="rId90" w:tgtFrame="_blank" w:history="1">
        <w:r>
          <w:rPr>
            <w:rFonts w:eastAsia="Times New Roman"/>
            <w:color w:val="000000"/>
            <w:sz w:val="24"/>
            <w:szCs w:val="26"/>
            <w:bdr w:val="single" w:sz="2" w:space="0" w:color="E5E7EB" w:frame="1"/>
          </w:rPr>
          <w:t>https://apps.who.int/iris/bitstream/10665/205174/1/B3516.pdf</w:t>
        </w:r>
      </w:hyperlink>
    </w:p>
    <w:p w:rsidR="005F01BE" w:rsidRDefault="003E2C3A">
      <w:pPr>
        <w:spacing w:after="0" w:line="480" w:lineRule="auto"/>
        <w:ind w:left="720" w:hanging="720"/>
        <w:jc w:val="both"/>
        <w:rPr>
          <w:rFonts w:eastAsia="Times New Roman"/>
          <w:color w:val="000000"/>
          <w:sz w:val="24"/>
          <w:szCs w:val="26"/>
        </w:rPr>
      </w:pPr>
      <w:r>
        <w:rPr>
          <w:rFonts w:eastAsia="Times New Roman"/>
          <w:color w:val="000000"/>
          <w:sz w:val="24"/>
          <w:szCs w:val="26"/>
        </w:rPr>
        <w:t>Yogarajah, S., &amp; Setterfield, J. (2021). </w:t>
      </w:r>
      <w:r>
        <w:rPr>
          <w:rFonts w:eastAsia="Times New Roman"/>
          <w:i/>
          <w:iCs/>
          <w:color w:val="000000"/>
          <w:sz w:val="24"/>
          <w:szCs w:val="26"/>
        </w:rPr>
        <w:t>Mouth ulcers and diseases of the oral cavity. Medicine.</w:t>
      </w:r>
      <w:r>
        <w:rPr>
          <w:rFonts w:eastAsia="Times New Roman"/>
          <w:color w:val="000000"/>
          <w:sz w:val="24"/>
          <w:szCs w:val="26"/>
        </w:rPr>
        <w:t> doi:10.1016/j.mpmed.2021.04.0</w:t>
      </w:r>
      <w:r>
        <w:rPr>
          <w:rFonts w:eastAsia="Times New Roman"/>
          <w:color w:val="000000"/>
          <w:sz w:val="24"/>
          <w:szCs w:val="26"/>
        </w:rPr>
        <w:t>03 </w:t>
      </w:r>
    </w:p>
    <w:p w:rsidR="005F01BE" w:rsidRDefault="003E2C3A">
      <w:pPr>
        <w:spacing w:after="0" w:line="480" w:lineRule="auto"/>
        <w:ind w:left="720" w:hanging="720"/>
        <w:jc w:val="both"/>
        <w:rPr>
          <w:color w:val="000000"/>
          <w:sz w:val="24"/>
          <w:szCs w:val="26"/>
        </w:rPr>
      </w:pPr>
      <w:r>
        <w:rPr>
          <w:color w:val="000000"/>
          <w:sz w:val="24"/>
          <w:szCs w:val="26"/>
        </w:rPr>
        <w:t>Zeouk, I. and Bekhti, K. (2020). A critical overview of the traditional, phytochemical and pharmacological aspects of Rhamnus alaternus: A Mediterranean shrub. Adv. Trad. Med., 20(1):1-11.</w:t>
      </w:r>
    </w:p>
    <w:p w:rsidR="005F01BE" w:rsidRDefault="005F01BE">
      <w:pPr>
        <w:pStyle w:val="NormalWeb"/>
        <w:spacing w:line="480" w:lineRule="auto"/>
        <w:jc w:val="both"/>
        <w:rPr>
          <w:b/>
          <w:color w:val="000000"/>
          <w:szCs w:val="26"/>
        </w:rPr>
      </w:pPr>
    </w:p>
    <w:p w:rsidR="005F01BE" w:rsidRDefault="005F01BE">
      <w:pPr>
        <w:pStyle w:val="NormalWeb"/>
        <w:spacing w:line="480" w:lineRule="auto"/>
        <w:jc w:val="both"/>
        <w:rPr>
          <w:b/>
          <w:color w:val="000000"/>
          <w:szCs w:val="26"/>
        </w:rPr>
      </w:pPr>
    </w:p>
    <w:p w:rsidR="005F01BE" w:rsidRDefault="005F01BE">
      <w:pPr>
        <w:pStyle w:val="NormalWeb"/>
        <w:spacing w:line="480" w:lineRule="auto"/>
        <w:jc w:val="both"/>
        <w:rPr>
          <w:b/>
          <w:color w:val="000000"/>
          <w:szCs w:val="26"/>
        </w:rPr>
      </w:pPr>
    </w:p>
    <w:p w:rsidR="005F01BE" w:rsidRDefault="005F01BE">
      <w:pPr>
        <w:pStyle w:val="NormalWeb"/>
        <w:spacing w:line="480" w:lineRule="auto"/>
        <w:jc w:val="both"/>
        <w:rPr>
          <w:b/>
          <w:color w:val="000000"/>
          <w:szCs w:val="26"/>
        </w:rPr>
      </w:pPr>
    </w:p>
    <w:p w:rsidR="005F01BE" w:rsidRDefault="005F01BE">
      <w:pPr>
        <w:pStyle w:val="NormalWeb"/>
        <w:spacing w:line="480" w:lineRule="auto"/>
        <w:jc w:val="both"/>
        <w:rPr>
          <w:b/>
          <w:color w:val="000000"/>
          <w:szCs w:val="26"/>
        </w:rPr>
      </w:pPr>
    </w:p>
    <w:p w:rsidR="005F01BE" w:rsidRDefault="003E2C3A">
      <w:pPr>
        <w:pStyle w:val="NormalWeb"/>
        <w:spacing w:line="480" w:lineRule="auto"/>
        <w:jc w:val="center"/>
        <w:rPr>
          <w:b/>
          <w:color w:val="000000"/>
          <w:szCs w:val="26"/>
        </w:rPr>
      </w:pPr>
      <w:r>
        <w:rPr>
          <w:b/>
          <w:color w:val="000000"/>
          <w:szCs w:val="26"/>
        </w:rPr>
        <w:lastRenderedPageBreak/>
        <w:t>APPENDIX</w:t>
      </w:r>
    </w:p>
    <w:p w:rsidR="005F01BE" w:rsidRDefault="003E2C3A">
      <w:pPr>
        <w:pStyle w:val="NormalWeb"/>
        <w:spacing w:line="480" w:lineRule="auto"/>
        <w:rPr>
          <w:b/>
          <w:color w:val="000000"/>
          <w:szCs w:val="26"/>
        </w:rPr>
      </w:pPr>
      <w:r>
        <w:rPr>
          <w:color w:val="000000"/>
          <w:szCs w:val="26"/>
          <w:shd w:val="clear" w:color="auto" w:fill="FFFFFF"/>
        </w:rPr>
        <w:t xml:space="preserve">English Name is common wireweed. It's also </w:t>
      </w:r>
      <w:r>
        <w:rPr>
          <w:color w:val="000000"/>
          <w:szCs w:val="26"/>
          <w:shd w:val="clear" w:color="auto" w:fill="FFFFFF"/>
        </w:rPr>
        <w:t>sometimes referred to as broom weed.</w:t>
      </w:r>
      <w:r>
        <w:rPr>
          <w:rStyle w:val="uv3um"/>
          <w:color w:val="000000"/>
          <w:szCs w:val="26"/>
          <w:shd w:val="clear" w:color="auto" w:fill="FFFFFF"/>
        </w:rPr>
        <w:t> </w:t>
      </w:r>
    </w:p>
    <w:tbl>
      <w:tblPr>
        <w:tblW w:w="0" w:type="auto"/>
        <w:tblBorders>
          <w:top w:val="single" w:sz="4" w:space="0" w:color="auto"/>
          <w:bottom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64"/>
        <w:gridCol w:w="5543"/>
      </w:tblGrid>
      <w:tr w:rsidR="005F01BE">
        <w:trPr>
          <w:tblHeader/>
        </w:trPr>
        <w:tc>
          <w:tcPr>
            <w:tcW w:w="0" w:type="auto"/>
            <w:tcBorders>
              <w:bottom w:val="single" w:sz="4" w:space="0" w:color="auto"/>
            </w:tcBorders>
            <w:shd w:val="clear" w:color="auto" w:fill="F0F0F0"/>
            <w:vAlign w:val="center"/>
            <w:hideMark/>
          </w:tcPr>
          <w:p w:rsidR="005F01BE" w:rsidRDefault="003E2C3A">
            <w:pPr>
              <w:spacing w:after="0" w:line="480" w:lineRule="auto"/>
              <w:jc w:val="both"/>
              <w:rPr>
                <w:rFonts w:eastAsia="Times New Roman"/>
                <w:b/>
                <w:bCs/>
                <w:color w:val="000000"/>
                <w:sz w:val="24"/>
                <w:szCs w:val="26"/>
              </w:rPr>
            </w:pPr>
            <w:r>
              <w:rPr>
                <w:rFonts w:eastAsia="Times New Roman"/>
                <w:b/>
                <w:bCs/>
                <w:color w:val="000000"/>
                <w:sz w:val="24"/>
                <w:szCs w:val="26"/>
              </w:rPr>
              <w:t>Rank</w:t>
            </w:r>
          </w:p>
        </w:tc>
        <w:tc>
          <w:tcPr>
            <w:tcW w:w="0" w:type="auto"/>
            <w:tcBorders>
              <w:bottom w:val="single" w:sz="4" w:space="0" w:color="auto"/>
            </w:tcBorders>
            <w:shd w:val="clear" w:color="auto" w:fill="F0F0F0"/>
            <w:vAlign w:val="center"/>
            <w:hideMark/>
          </w:tcPr>
          <w:p w:rsidR="005F01BE" w:rsidRDefault="003E2C3A">
            <w:pPr>
              <w:spacing w:after="0" w:line="480" w:lineRule="auto"/>
              <w:jc w:val="both"/>
              <w:rPr>
                <w:rFonts w:eastAsia="Times New Roman"/>
                <w:b/>
                <w:bCs/>
                <w:color w:val="000000"/>
                <w:sz w:val="24"/>
                <w:szCs w:val="26"/>
              </w:rPr>
            </w:pPr>
            <w:r>
              <w:rPr>
                <w:rFonts w:eastAsia="Times New Roman"/>
                <w:b/>
                <w:bCs/>
                <w:color w:val="000000"/>
                <w:sz w:val="24"/>
                <w:szCs w:val="26"/>
              </w:rPr>
              <w:t xml:space="preserve">                            Scientific Name and Common Name</w:t>
            </w:r>
          </w:p>
        </w:tc>
      </w:tr>
      <w:tr w:rsidR="005F01BE">
        <w:tc>
          <w:tcPr>
            <w:tcW w:w="0" w:type="auto"/>
            <w:tcBorders>
              <w:top w:val="single" w:sz="4" w:space="0" w:color="auto"/>
            </w:tcBorders>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Kingdom</w:t>
            </w:r>
          </w:p>
        </w:tc>
        <w:tc>
          <w:tcPr>
            <w:tcW w:w="0" w:type="auto"/>
            <w:tcBorders>
              <w:top w:val="single" w:sz="4" w:space="0" w:color="auto"/>
            </w:tcBorders>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Plantae</w:t>
            </w:r>
            <w:r>
              <w:rPr>
                <w:rFonts w:eastAsia="Times New Roman"/>
                <w:color w:val="000000"/>
                <w:sz w:val="24"/>
                <w:szCs w:val="26"/>
              </w:rPr>
              <w:t> – Plants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Subkingdom</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Tracheobionta</w:t>
            </w:r>
            <w:r>
              <w:rPr>
                <w:rFonts w:eastAsia="Times New Roman"/>
                <w:color w:val="000000"/>
                <w:sz w:val="24"/>
                <w:szCs w:val="26"/>
              </w:rPr>
              <w:t> - Vascular plants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Superdivision</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Spermatophyta</w:t>
            </w:r>
            <w:r>
              <w:rPr>
                <w:rFonts w:eastAsia="Times New Roman"/>
                <w:color w:val="000000"/>
                <w:sz w:val="24"/>
                <w:szCs w:val="26"/>
              </w:rPr>
              <w:t> - Seed plants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Division</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Magnoliophyta</w:t>
            </w:r>
            <w:r>
              <w:rPr>
                <w:rFonts w:eastAsia="Times New Roman"/>
                <w:color w:val="000000"/>
                <w:sz w:val="24"/>
                <w:szCs w:val="26"/>
              </w:rPr>
              <w:t> - Flowering plants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Class</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Magnoliopsida</w:t>
            </w:r>
            <w:r>
              <w:rPr>
                <w:rFonts w:eastAsia="Times New Roman"/>
                <w:color w:val="000000"/>
                <w:sz w:val="24"/>
                <w:szCs w:val="26"/>
              </w:rPr>
              <w:t> – Dicotyledons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Subclass</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Dilleniidae</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Order</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Malvales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Family</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Malvaceae</w:t>
            </w:r>
            <w:r>
              <w:rPr>
                <w:rFonts w:eastAsia="Times New Roman"/>
                <w:color w:val="000000"/>
                <w:sz w:val="24"/>
                <w:szCs w:val="26"/>
              </w:rPr>
              <w:t> Juss. - Mallow family</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Genus</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Sida</w:t>
            </w:r>
            <w:r>
              <w:rPr>
                <w:rFonts w:eastAsia="Times New Roman"/>
                <w:color w:val="000000"/>
                <w:sz w:val="24"/>
                <w:szCs w:val="26"/>
              </w:rPr>
              <w:t> L. – fanpetals</w:t>
            </w:r>
          </w:p>
        </w:tc>
      </w:tr>
      <w:tr w:rsidR="005F01BE">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color w:val="000000"/>
                <w:sz w:val="24"/>
                <w:szCs w:val="26"/>
              </w:rPr>
              <w:t>Species</w:t>
            </w:r>
          </w:p>
        </w:tc>
        <w:tc>
          <w:tcPr>
            <w:tcW w:w="0" w:type="auto"/>
            <w:shd w:val="clear" w:color="auto" w:fill="FFFFFF"/>
            <w:vAlign w:val="center"/>
            <w:hideMark/>
          </w:tcPr>
          <w:p w:rsidR="005F01BE" w:rsidRDefault="003E2C3A">
            <w:pPr>
              <w:spacing w:after="0" w:line="480" w:lineRule="auto"/>
              <w:jc w:val="both"/>
              <w:rPr>
                <w:rFonts w:eastAsia="Times New Roman"/>
                <w:color w:val="000000"/>
                <w:sz w:val="24"/>
                <w:szCs w:val="26"/>
              </w:rPr>
            </w:pPr>
            <w:r>
              <w:rPr>
                <w:rFonts w:eastAsia="Times New Roman"/>
                <w:iCs/>
                <w:color w:val="000000"/>
                <w:sz w:val="24"/>
                <w:szCs w:val="26"/>
              </w:rPr>
              <w:t xml:space="preserve">                           Sida acuta</w:t>
            </w:r>
            <w:r>
              <w:rPr>
                <w:rFonts w:eastAsia="Times New Roman"/>
                <w:color w:val="000000"/>
                <w:sz w:val="24"/>
                <w:szCs w:val="26"/>
              </w:rPr>
              <w:t> Burm. f. - common wireweed</w:t>
            </w:r>
          </w:p>
        </w:tc>
      </w:tr>
    </w:tbl>
    <w:p w:rsidR="005F01BE" w:rsidRDefault="005F01BE">
      <w:pPr>
        <w:pStyle w:val="NormalWeb"/>
        <w:spacing w:line="480" w:lineRule="auto"/>
        <w:rPr>
          <w:b/>
          <w:color w:val="000000"/>
          <w:szCs w:val="26"/>
        </w:rPr>
      </w:pPr>
    </w:p>
    <w:p w:rsidR="005F01BE" w:rsidRDefault="005F01BE">
      <w:pPr>
        <w:pStyle w:val="NormalWeb"/>
        <w:spacing w:line="480" w:lineRule="auto"/>
        <w:rPr>
          <w:b/>
          <w:color w:val="000000"/>
          <w:szCs w:val="26"/>
        </w:rPr>
      </w:pPr>
    </w:p>
    <w:p w:rsidR="005F01BE" w:rsidRDefault="005F01BE">
      <w:pPr>
        <w:pStyle w:val="NormalWeb"/>
        <w:spacing w:line="480" w:lineRule="auto"/>
        <w:rPr>
          <w:b/>
          <w:color w:val="000000"/>
          <w:szCs w:val="26"/>
        </w:rPr>
      </w:pPr>
    </w:p>
    <w:p w:rsidR="005F01BE" w:rsidRDefault="005F01BE">
      <w:pPr>
        <w:pStyle w:val="NormalWeb"/>
        <w:spacing w:line="480" w:lineRule="auto"/>
        <w:rPr>
          <w:b/>
          <w:color w:val="000000"/>
          <w:szCs w:val="26"/>
        </w:rPr>
      </w:pPr>
    </w:p>
    <w:p w:rsidR="005F01BE" w:rsidRDefault="003E2C3A">
      <w:pPr>
        <w:pStyle w:val="NormalWeb"/>
        <w:spacing w:line="480" w:lineRule="auto"/>
        <w:rPr>
          <w:b/>
          <w:color w:val="000000"/>
          <w:szCs w:val="26"/>
        </w:rPr>
      </w:pPr>
      <w:r>
        <w:rPr>
          <w:b/>
          <w:color w:val="000000"/>
          <w:szCs w:val="26"/>
        </w:rPr>
        <w:lastRenderedPageBreak/>
        <w:t>English Name is Wi</w:t>
      </w:r>
      <w:r>
        <w:rPr>
          <w:b/>
          <w:color w:val="000000"/>
          <w:szCs w:val="26"/>
        </w:rPr>
        <w:t>star Albino Rat</w:t>
      </w:r>
    </w:p>
    <w:p w:rsidR="005F01BE" w:rsidRDefault="003E2C3A">
      <w:pPr>
        <w:pStyle w:val="NormalWeb"/>
        <w:pBdr>
          <w:top w:val="single" w:sz="4" w:space="1" w:color="auto"/>
          <w:bottom w:val="single" w:sz="4" w:space="1" w:color="auto"/>
        </w:pBdr>
        <w:spacing w:line="480" w:lineRule="auto"/>
        <w:rPr>
          <w:b/>
          <w:color w:val="000000"/>
          <w:szCs w:val="26"/>
        </w:rPr>
      </w:pPr>
      <w:r>
        <w:rPr>
          <w:b/>
          <w:bCs/>
          <w:color w:val="000000"/>
          <w:szCs w:val="26"/>
        </w:rPr>
        <w:t>Rank</w:t>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r>
      <w:r>
        <w:rPr>
          <w:b/>
          <w:bCs/>
          <w:color w:val="000000"/>
          <w:szCs w:val="26"/>
        </w:rPr>
        <w:tab/>
        <w:t>Scientific Name and Common Name</w:t>
      </w:r>
    </w:p>
    <w:p w:rsidR="005F01BE" w:rsidRDefault="003E2C3A">
      <w:pPr>
        <w:pStyle w:val="NormalWeb"/>
        <w:spacing w:line="480" w:lineRule="auto"/>
        <w:rPr>
          <w:color w:val="000000"/>
          <w:sz w:val="22"/>
        </w:rPr>
      </w:pPr>
      <w:r>
        <w:rPr>
          <w:color w:val="000000"/>
          <w:sz w:val="22"/>
        </w:rPr>
        <w:t xml:space="preserve">Kingdom </w:t>
      </w:r>
      <w:r>
        <w:rPr>
          <w:color w:val="000000"/>
          <w:sz w:val="22"/>
        </w:rPr>
        <w:tab/>
      </w:r>
      <w:r>
        <w:rPr>
          <w:color w:val="000000"/>
          <w:sz w:val="22"/>
        </w:rPr>
        <w:tab/>
      </w:r>
      <w:r>
        <w:rPr>
          <w:color w:val="000000"/>
          <w:sz w:val="22"/>
        </w:rPr>
        <w:tab/>
      </w:r>
      <w:r>
        <w:rPr>
          <w:color w:val="000000"/>
          <w:sz w:val="22"/>
        </w:rPr>
        <w:tab/>
      </w:r>
      <w:r>
        <w:rPr>
          <w:color w:val="000000"/>
          <w:sz w:val="22"/>
        </w:rPr>
        <w:tab/>
        <w:t xml:space="preserve">Animalia </w:t>
      </w:r>
    </w:p>
    <w:p w:rsidR="005F01BE" w:rsidRDefault="003E2C3A">
      <w:pPr>
        <w:pStyle w:val="NormalWeb"/>
        <w:spacing w:line="480" w:lineRule="auto"/>
        <w:rPr>
          <w:color w:val="000000"/>
          <w:sz w:val="22"/>
        </w:rPr>
      </w:pPr>
      <w:r>
        <w:rPr>
          <w:color w:val="000000"/>
          <w:sz w:val="22"/>
        </w:rPr>
        <w:t xml:space="preserve">Phylum </w:t>
      </w:r>
      <w:r>
        <w:rPr>
          <w:color w:val="000000"/>
          <w:sz w:val="22"/>
        </w:rPr>
        <w:tab/>
      </w:r>
      <w:r>
        <w:rPr>
          <w:color w:val="000000"/>
          <w:sz w:val="22"/>
        </w:rPr>
        <w:tab/>
      </w:r>
      <w:r>
        <w:rPr>
          <w:color w:val="000000"/>
          <w:sz w:val="22"/>
        </w:rPr>
        <w:tab/>
      </w:r>
      <w:r>
        <w:rPr>
          <w:color w:val="000000"/>
          <w:sz w:val="22"/>
        </w:rPr>
        <w:tab/>
      </w:r>
      <w:r>
        <w:rPr>
          <w:color w:val="000000"/>
          <w:sz w:val="22"/>
        </w:rPr>
        <w:tab/>
        <w:t>Chordata</w:t>
      </w:r>
    </w:p>
    <w:p w:rsidR="005F01BE" w:rsidRDefault="003E2C3A">
      <w:pPr>
        <w:pStyle w:val="NormalWeb"/>
        <w:spacing w:line="480" w:lineRule="auto"/>
        <w:rPr>
          <w:color w:val="000000"/>
          <w:sz w:val="22"/>
        </w:rPr>
      </w:pPr>
      <w:r>
        <w:rPr>
          <w:color w:val="000000"/>
          <w:sz w:val="22"/>
        </w:rPr>
        <w:t xml:space="preserve">Class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Mammalia </w:t>
      </w:r>
    </w:p>
    <w:p w:rsidR="005F01BE" w:rsidRDefault="003E2C3A">
      <w:pPr>
        <w:pStyle w:val="NormalWeb"/>
        <w:spacing w:line="480" w:lineRule="auto"/>
        <w:rPr>
          <w:color w:val="000000"/>
          <w:sz w:val="22"/>
        </w:rPr>
      </w:pPr>
      <w:r>
        <w:rPr>
          <w:color w:val="000000"/>
          <w:sz w:val="22"/>
        </w:rPr>
        <w:t xml:space="preserve">Order </w:t>
      </w:r>
      <w:r>
        <w:rPr>
          <w:color w:val="000000"/>
          <w:sz w:val="22"/>
        </w:rPr>
        <w:tab/>
      </w:r>
      <w:r>
        <w:rPr>
          <w:color w:val="000000"/>
          <w:sz w:val="22"/>
        </w:rPr>
        <w:tab/>
      </w:r>
      <w:r>
        <w:rPr>
          <w:color w:val="000000"/>
          <w:sz w:val="22"/>
        </w:rPr>
        <w:tab/>
      </w:r>
      <w:r>
        <w:rPr>
          <w:color w:val="000000"/>
          <w:sz w:val="22"/>
        </w:rPr>
        <w:tab/>
      </w:r>
      <w:r>
        <w:rPr>
          <w:color w:val="000000"/>
          <w:sz w:val="22"/>
        </w:rPr>
        <w:tab/>
      </w:r>
      <w:r>
        <w:rPr>
          <w:color w:val="000000"/>
          <w:sz w:val="22"/>
        </w:rPr>
        <w:tab/>
        <w:t xml:space="preserve">Rodentia </w:t>
      </w:r>
    </w:p>
    <w:p w:rsidR="005F01BE" w:rsidRDefault="003E2C3A">
      <w:pPr>
        <w:pStyle w:val="NormalWeb"/>
        <w:spacing w:line="480" w:lineRule="auto"/>
        <w:rPr>
          <w:color w:val="000000"/>
          <w:sz w:val="22"/>
        </w:rPr>
      </w:pPr>
      <w:r>
        <w:rPr>
          <w:color w:val="000000"/>
          <w:sz w:val="22"/>
        </w:rPr>
        <w:t xml:space="preserve">Family </w:t>
      </w:r>
      <w:r>
        <w:rPr>
          <w:color w:val="000000"/>
          <w:sz w:val="22"/>
        </w:rPr>
        <w:tab/>
      </w:r>
      <w:r>
        <w:rPr>
          <w:color w:val="000000"/>
          <w:sz w:val="22"/>
        </w:rPr>
        <w:tab/>
      </w:r>
      <w:r>
        <w:rPr>
          <w:color w:val="000000"/>
          <w:sz w:val="22"/>
        </w:rPr>
        <w:tab/>
      </w:r>
      <w:r>
        <w:rPr>
          <w:color w:val="000000"/>
          <w:sz w:val="22"/>
        </w:rPr>
        <w:tab/>
      </w:r>
      <w:r>
        <w:rPr>
          <w:color w:val="000000"/>
          <w:sz w:val="22"/>
        </w:rPr>
        <w:tab/>
        <w:t xml:space="preserve">Muridae </w:t>
      </w:r>
    </w:p>
    <w:p w:rsidR="005F01BE" w:rsidRDefault="003E2C3A">
      <w:pPr>
        <w:pStyle w:val="NormalWeb"/>
        <w:spacing w:line="480" w:lineRule="auto"/>
        <w:rPr>
          <w:color w:val="000000"/>
          <w:sz w:val="22"/>
        </w:rPr>
      </w:pPr>
      <w:r>
        <w:rPr>
          <w:color w:val="000000"/>
          <w:sz w:val="22"/>
        </w:rPr>
        <w:t>Genus</w:t>
      </w:r>
      <w:r>
        <w:rPr>
          <w:color w:val="000000"/>
          <w:sz w:val="22"/>
        </w:rPr>
        <w:tab/>
        <w:t xml:space="preserve"> </w:t>
      </w:r>
      <w:r>
        <w:rPr>
          <w:color w:val="000000"/>
          <w:sz w:val="22"/>
        </w:rPr>
        <w:tab/>
      </w:r>
      <w:r>
        <w:rPr>
          <w:color w:val="000000"/>
          <w:sz w:val="22"/>
        </w:rPr>
        <w:tab/>
      </w:r>
      <w:r>
        <w:rPr>
          <w:color w:val="000000"/>
          <w:sz w:val="22"/>
        </w:rPr>
        <w:tab/>
      </w:r>
      <w:r>
        <w:rPr>
          <w:color w:val="000000"/>
          <w:sz w:val="22"/>
        </w:rPr>
        <w:tab/>
      </w:r>
      <w:r>
        <w:rPr>
          <w:color w:val="000000"/>
          <w:sz w:val="22"/>
        </w:rPr>
        <w:tab/>
        <w:t xml:space="preserve">Rattus </w:t>
      </w:r>
    </w:p>
    <w:p w:rsidR="005F01BE" w:rsidRDefault="003E2C3A">
      <w:pPr>
        <w:pStyle w:val="NormalWeb"/>
        <w:pBdr>
          <w:bottom w:val="single" w:sz="4" w:space="1" w:color="auto"/>
        </w:pBdr>
        <w:spacing w:line="480" w:lineRule="auto"/>
        <w:rPr>
          <w:color w:val="000000"/>
          <w:sz w:val="22"/>
        </w:rPr>
      </w:pPr>
      <w:r>
        <w:rPr>
          <w:color w:val="000000"/>
          <w:sz w:val="22"/>
        </w:rPr>
        <w:t xml:space="preserve">Species </w:t>
      </w:r>
      <w:r>
        <w:rPr>
          <w:color w:val="000000"/>
          <w:sz w:val="22"/>
        </w:rPr>
        <w:tab/>
      </w:r>
      <w:r>
        <w:rPr>
          <w:color w:val="000000"/>
          <w:sz w:val="22"/>
        </w:rPr>
        <w:tab/>
      </w:r>
      <w:r>
        <w:rPr>
          <w:color w:val="000000"/>
          <w:sz w:val="22"/>
        </w:rPr>
        <w:tab/>
      </w:r>
      <w:r>
        <w:rPr>
          <w:color w:val="000000"/>
          <w:sz w:val="22"/>
        </w:rPr>
        <w:tab/>
      </w:r>
      <w:r>
        <w:rPr>
          <w:color w:val="000000"/>
          <w:sz w:val="22"/>
        </w:rPr>
        <w:tab/>
        <w:t>Rattus norvegicus</w:t>
      </w:r>
    </w:p>
    <w:p w:rsidR="005F01BE" w:rsidRDefault="005F01BE">
      <w:pPr>
        <w:pStyle w:val="NormalWeb"/>
        <w:spacing w:line="480" w:lineRule="auto"/>
        <w:rPr>
          <w:color w:val="000000"/>
          <w:sz w:val="22"/>
        </w:rPr>
      </w:pPr>
    </w:p>
    <w:p w:rsidR="005F01BE" w:rsidRDefault="003E2C3A">
      <w:pPr>
        <w:pStyle w:val="NormalWeb"/>
        <w:spacing w:line="480" w:lineRule="auto"/>
        <w:rPr>
          <w:color w:val="000000"/>
          <w:sz w:val="22"/>
        </w:rPr>
      </w:pPr>
      <w:r>
        <w:rPr>
          <w:noProof/>
          <w:color w:val="000000"/>
          <w:sz w:val="22"/>
        </w:rPr>
        <w:lastRenderedPageBreak/>
        <w:drawing>
          <wp:inline distT="0" distB="0" distL="0" distR="0">
            <wp:extent cx="4486275" cy="3228975"/>
            <wp:effectExtent l="0" t="0" r="9525" b="9525"/>
            <wp:docPr id="1104" name="Picture 6" descr="C:\Users\HP\Downloads\Albino rat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6"/>
                    <pic:cNvPicPr/>
                  </pic:nvPicPr>
                  <pic:blipFill>
                    <a:blip r:embed="rId91" cstate="print"/>
                    <a:srcRect/>
                    <a:stretch/>
                  </pic:blipFill>
                  <pic:spPr>
                    <a:xfrm>
                      <a:off x="0" y="0"/>
                      <a:ext cx="4486275" cy="3228975"/>
                    </a:xfrm>
                    <a:prstGeom prst="rect">
                      <a:avLst/>
                    </a:prstGeom>
                    <a:ln>
                      <a:noFill/>
                    </a:ln>
                  </pic:spPr>
                </pic:pic>
              </a:graphicData>
            </a:graphic>
          </wp:inline>
        </w:drawing>
      </w:r>
    </w:p>
    <w:p w:rsidR="005F01BE" w:rsidRDefault="003E2C3A">
      <w:pPr>
        <w:pStyle w:val="NormalWeb"/>
        <w:spacing w:line="480" w:lineRule="auto"/>
        <w:rPr>
          <w:color w:val="000000"/>
          <w:sz w:val="22"/>
        </w:rPr>
      </w:pPr>
      <w:r>
        <w:rPr>
          <w:noProof/>
          <w:color w:val="000000"/>
          <w:sz w:val="22"/>
        </w:rPr>
        <w:drawing>
          <wp:inline distT="0" distB="0" distL="0" distR="0">
            <wp:extent cx="4572000" cy="3114675"/>
            <wp:effectExtent l="0" t="0" r="0" b="9525"/>
            <wp:docPr id="1105" name="Picture 4" descr="C:\Users\HP\Downloads\albino rat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
                    <pic:cNvPicPr/>
                  </pic:nvPicPr>
                  <pic:blipFill>
                    <a:blip r:embed="rId92" cstate="print"/>
                    <a:srcRect/>
                    <a:stretch/>
                  </pic:blipFill>
                  <pic:spPr>
                    <a:xfrm>
                      <a:off x="0" y="0"/>
                      <a:ext cx="4572000" cy="3114675"/>
                    </a:xfrm>
                    <a:prstGeom prst="rect">
                      <a:avLst/>
                    </a:prstGeom>
                    <a:ln>
                      <a:noFill/>
                    </a:ln>
                  </pic:spPr>
                </pic:pic>
              </a:graphicData>
            </a:graphic>
          </wp:inline>
        </w:drawing>
      </w:r>
    </w:p>
    <w:p w:rsidR="005F01BE" w:rsidRDefault="005F01BE">
      <w:pPr>
        <w:pStyle w:val="NormalWeb"/>
        <w:spacing w:line="480" w:lineRule="auto"/>
        <w:rPr>
          <w:color w:val="000000"/>
          <w:sz w:val="22"/>
        </w:rPr>
      </w:pPr>
    </w:p>
    <w:p w:rsidR="005F01BE" w:rsidRDefault="003E2C3A">
      <w:pPr>
        <w:pStyle w:val="NormalWeb"/>
        <w:spacing w:line="480" w:lineRule="auto"/>
        <w:jc w:val="center"/>
        <w:rPr>
          <w:b/>
          <w:color w:val="000000"/>
          <w:sz w:val="22"/>
        </w:rPr>
      </w:pPr>
      <w:r>
        <w:rPr>
          <w:b/>
          <w:noProof/>
          <w:color w:val="000000"/>
          <w:sz w:val="22"/>
        </w:rPr>
        <w:lastRenderedPageBreak/>
        <w:drawing>
          <wp:inline distT="0" distB="0" distL="0" distR="0">
            <wp:extent cx="4581525" cy="6667500"/>
            <wp:effectExtent l="0" t="0" r="9525" b="0"/>
            <wp:docPr id="1106" name="Picture 21" descr="C:\Users\HP\Downloads\q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21"/>
                    <pic:cNvPicPr/>
                  </pic:nvPicPr>
                  <pic:blipFill>
                    <a:blip r:embed="rId93" cstate="print"/>
                    <a:srcRect/>
                    <a:stretch/>
                  </pic:blipFill>
                  <pic:spPr>
                    <a:xfrm>
                      <a:off x="0" y="0"/>
                      <a:ext cx="4581525" cy="6667500"/>
                    </a:xfrm>
                    <a:prstGeom prst="rect">
                      <a:avLst/>
                    </a:prstGeom>
                    <a:ln>
                      <a:noFill/>
                    </a:ln>
                  </pic:spPr>
                </pic:pic>
              </a:graphicData>
            </a:graphic>
          </wp:inline>
        </w:drawing>
      </w:r>
    </w:p>
    <w:p w:rsidR="005F01BE" w:rsidRDefault="005F01BE">
      <w:pPr>
        <w:pStyle w:val="NormalWeb"/>
        <w:spacing w:line="480" w:lineRule="auto"/>
        <w:jc w:val="center"/>
        <w:rPr>
          <w:b/>
          <w:color w:val="000000"/>
          <w:sz w:val="22"/>
        </w:rPr>
      </w:pPr>
    </w:p>
    <w:p w:rsidR="005F01BE" w:rsidRDefault="003E2C3A">
      <w:pPr>
        <w:pStyle w:val="NormalWeb"/>
        <w:spacing w:line="480" w:lineRule="auto"/>
        <w:jc w:val="center"/>
        <w:rPr>
          <w:b/>
          <w:color w:val="000000"/>
          <w:sz w:val="22"/>
        </w:rPr>
      </w:pPr>
      <w:r>
        <w:rPr>
          <w:b/>
          <w:color w:val="000000"/>
          <w:sz w:val="22"/>
        </w:rPr>
        <w:lastRenderedPageBreak/>
        <w:t>MATERIAL USED</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 xml:space="preserve">Weighing </w:t>
      </w:r>
      <w:r>
        <w:rPr>
          <w:rFonts w:eastAsia="Times New Roman"/>
          <w:b/>
          <w:bCs/>
          <w:color w:val="000000"/>
          <w:sz w:val="24"/>
          <w:szCs w:val="24"/>
        </w:rPr>
        <w:t>balance</w:t>
      </w:r>
      <w:r>
        <w:rPr>
          <w:rFonts w:eastAsia="Times New Roman"/>
          <w:color w:val="000000"/>
          <w:sz w:val="24"/>
          <w:szCs w:val="24"/>
        </w:rPr>
        <w:t xml:space="preserve"> was employed for accurate measurement of solid substances.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color w:val="000000"/>
          <w:sz w:val="24"/>
          <w:szCs w:val="24"/>
        </w:rPr>
        <w:t>B</w:t>
      </w:r>
      <w:r>
        <w:rPr>
          <w:rFonts w:eastAsia="Times New Roman"/>
          <w:b/>
          <w:bCs/>
          <w:color w:val="000000"/>
          <w:sz w:val="24"/>
          <w:szCs w:val="24"/>
        </w:rPr>
        <w:t>lender</w:t>
      </w:r>
      <w:r>
        <w:rPr>
          <w:rFonts w:eastAsia="Times New Roman"/>
          <w:color w:val="000000"/>
          <w:sz w:val="24"/>
          <w:szCs w:val="24"/>
        </w:rPr>
        <w:t xml:space="preserve"> facilitated sample homogenization.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Standard measuring cylinders</w:t>
      </w:r>
      <w:r>
        <w:rPr>
          <w:rFonts w:eastAsia="Times New Roman"/>
          <w:color w:val="000000"/>
          <w:sz w:val="24"/>
          <w:szCs w:val="24"/>
        </w:rPr>
        <w:t xml:space="preserve"> (100 ml and 200 ml).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Beakers</w:t>
      </w:r>
      <w:r>
        <w:rPr>
          <w:rFonts w:eastAsia="Times New Roman"/>
          <w:color w:val="000000"/>
          <w:sz w:val="24"/>
          <w:szCs w:val="24"/>
        </w:rPr>
        <w:t xml:space="preserve">, and </w:t>
      </w:r>
      <w:r>
        <w:rPr>
          <w:rFonts w:eastAsia="Times New Roman"/>
          <w:b/>
          <w:bCs/>
          <w:color w:val="000000"/>
          <w:sz w:val="24"/>
          <w:szCs w:val="24"/>
        </w:rPr>
        <w:t>conical flasks</w:t>
      </w:r>
      <w:r>
        <w:rPr>
          <w:rFonts w:eastAsia="Times New Roman"/>
          <w:color w:val="000000"/>
          <w:sz w:val="24"/>
          <w:szCs w:val="24"/>
        </w:rPr>
        <w:t xml:space="preserve"> were used for measuring and preparing solutions.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Test tubes</w:t>
      </w:r>
      <w:r>
        <w:rPr>
          <w:rFonts w:eastAsia="Times New Roman"/>
          <w:color w:val="000000"/>
          <w:sz w:val="24"/>
          <w:szCs w:val="24"/>
        </w:rPr>
        <w:t>, alo</w:t>
      </w:r>
      <w:r>
        <w:rPr>
          <w:rFonts w:eastAsia="Times New Roman"/>
          <w:color w:val="000000"/>
          <w:sz w:val="24"/>
          <w:szCs w:val="24"/>
        </w:rPr>
        <w:t xml:space="preserve">ng with </w:t>
      </w:r>
      <w:r>
        <w:rPr>
          <w:rFonts w:eastAsia="Times New Roman"/>
          <w:b/>
          <w:bCs/>
          <w:color w:val="000000"/>
          <w:sz w:val="24"/>
          <w:szCs w:val="24"/>
        </w:rPr>
        <w:t>racks</w:t>
      </w:r>
      <w:r>
        <w:rPr>
          <w:rFonts w:eastAsia="Times New Roman"/>
          <w:color w:val="000000"/>
          <w:sz w:val="24"/>
          <w:szCs w:val="24"/>
        </w:rPr>
        <w:t xml:space="preserve"> and </w:t>
      </w:r>
      <w:r>
        <w:rPr>
          <w:rFonts w:eastAsia="Times New Roman"/>
          <w:b/>
          <w:bCs/>
          <w:color w:val="000000"/>
          <w:sz w:val="24"/>
          <w:szCs w:val="24"/>
        </w:rPr>
        <w:t>holders</w:t>
      </w:r>
      <w:r>
        <w:rPr>
          <w:rFonts w:eastAsia="Times New Roman"/>
          <w:color w:val="000000"/>
          <w:sz w:val="24"/>
          <w:szCs w:val="24"/>
        </w:rPr>
        <w:t>, supported sample handling and reaction observations.</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C</w:t>
      </w:r>
      <w:r>
        <w:rPr>
          <w:rFonts w:eastAsia="Times New Roman"/>
          <w:b/>
          <w:bCs/>
          <w:color w:val="000000"/>
          <w:sz w:val="24"/>
          <w:szCs w:val="24"/>
        </w:rPr>
        <w:t>entrifuge</w:t>
      </w:r>
      <w:r>
        <w:rPr>
          <w:rFonts w:eastAsia="Times New Roman"/>
          <w:color w:val="000000"/>
          <w:sz w:val="24"/>
          <w:szCs w:val="24"/>
        </w:rPr>
        <w:t xml:space="preserve"> was used to separate components based on density.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Oven</w:t>
      </w:r>
      <w:r>
        <w:rPr>
          <w:rFonts w:eastAsia="Times New Roman"/>
          <w:color w:val="000000"/>
          <w:sz w:val="24"/>
          <w:szCs w:val="24"/>
        </w:rPr>
        <w:t xml:space="preserve"> assisted in drying and sample preparation.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Filter paper</w:t>
      </w:r>
      <w:r>
        <w:rPr>
          <w:rFonts w:eastAsia="Times New Roman"/>
          <w:color w:val="000000"/>
          <w:sz w:val="24"/>
          <w:szCs w:val="24"/>
        </w:rPr>
        <w:t xml:space="preserve"> was used for filtration.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Glass slides</w:t>
      </w:r>
      <w:r>
        <w:rPr>
          <w:rFonts w:eastAsia="Times New Roman"/>
          <w:color w:val="000000"/>
          <w:sz w:val="24"/>
          <w:szCs w:val="24"/>
        </w:rPr>
        <w:t xml:space="preserve"> aided in micr</w:t>
      </w:r>
      <w:r>
        <w:rPr>
          <w:rFonts w:eastAsia="Times New Roman"/>
          <w:color w:val="000000"/>
          <w:sz w:val="24"/>
          <w:szCs w:val="24"/>
        </w:rPr>
        <w:t xml:space="preserve">oscopic analysis.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Spatula</w:t>
      </w:r>
      <w:r>
        <w:rPr>
          <w:rFonts w:eastAsia="Times New Roman"/>
          <w:color w:val="000000"/>
          <w:sz w:val="24"/>
          <w:szCs w:val="24"/>
        </w:rPr>
        <w:t xml:space="preserve"> was used for transferring powders.</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Spectrophotometer</w:t>
      </w:r>
      <w:r>
        <w:rPr>
          <w:rFonts w:eastAsia="Times New Roman"/>
          <w:color w:val="000000"/>
          <w:sz w:val="24"/>
          <w:szCs w:val="24"/>
        </w:rPr>
        <w:t xml:space="preserve"> measured absorbance during phytochemical analysis.</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Reagent bottles</w:t>
      </w:r>
      <w:r>
        <w:rPr>
          <w:rFonts w:eastAsia="Times New Roman"/>
          <w:color w:val="000000"/>
          <w:sz w:val="24"/>
          <w:szCs w:val="24"/>
        </w:rPr>
        <w:t xml:space="preserve">, </w:t>
      </w:r>
      <w:r>
        <w:rPr>
          <w:rFonts w:eastAsia="Times New Roman"/>
          <w:b/>
          <w:bCs/>
          <w:color w:val="000000"/>
          <w:sz w:val="24"/>
          <w:szCs w:val="24"/>
        </w:rPr>
        <w:t>Petri dishes</w:t>
      </w:r>
      <w:r>
        <w:rPr>
          <w:rFonts w:eastAsia="Times New Roman"/>
          <w:color w:val="000000"/>
          <w:sz w:val="24"/>
          <w:szCs w:val="24"/>
        </w:rPr>
        <w:t xml:space="preserve">, </w:t>
      </w:r>
      <w:r>
        <w:rPr>
          <w:rFonts w:eastAsia="Times New Roman"/>
          <w:b/>
          <w:bCs/>
          <w:color w:val="000000"/>
          <w:sz w:val="24"/>
          <w:szCs w:val="24"/>
        </w:rPr>
        <w:t>cotton wool</w:t>
      </w:r>
      <w:r>
        <w:rPr>
          <w:rFonts w:eastAsia="Times New Roman"/>
          <w:color w:val="000000"/>
          <w:sz w:val="24"/>
          <w:szCs w:val="24"/>
        </w:rPr>
        <w:t xml:space="preserve">, </w:t>
      </w:r>
      <w:r>
        <w:rPr>
          <w:rFonts w:eastAsia="Times New Roman"/>
          <w:b/>
          <w:bCs/>
          <w:color w:val="000000"/>
          <w:sz w:val="24"/>
          <w:szCs w:val="24"/>
        </w:rPr>
        <w:t>foil</w:t>
      </w:r>
      <w:r>
        <w:rPr>
          <w:rFonts w:eastAsia="Times New Roman"/>
          <w:color w:val="000000"/>
          <w:sz w:val="24"/>
          <w:szCs w:val="24"/>
        </w:rPr>
        <w:t xml:space="preserve">, and </w:t>
      </w:r>
      <w:r>
        <w:rPr>
          <w:rFonts w:eastAsia="Times New Roman"/>
          <w:b/>
          <w:bCs/>
          <w:color w:val="000000"/>
          <w:sz w:val="24"/>
          <w:szCs w:val="24"/>
        </w:rPr>
        <w:t>pH paper</w:t>
      </w:r>
      <w:r>
        <w:rPr>
          <w:rFonts w:eastAsia="Times New Roman"/>
          <w:color w:val="000000"/>
          <w:sz w:val="24"/>
          <w:szCs w:val="24"/>
        </w:rPr>
        <w:t xml:space="preserve"> supported storage, culture, and pH monitoring.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lastRenderedPageBreak/>
        <w:t>Hand gloves</w:t>
      </w:r>
      <w:r>
        <w:rPr>
          <w:rFonts w:eastAsia="Times New Roman"/>
          <w:color w:val="000000"/>
          <w:sz w:val="24"/>
          <w:szCs w:val="24"/>
        </w:rPr>
        <w:t xml:space="preserve"> en</w:t>
      </w:r>
      <w:r>
        <w:rPr>
          <w:rFonts w:eastAsia="Times New Roman"/>
          <w:color w:val="000000"/>
          <w:sz w:val="24"/>
          <w:szCs w:val="24"/>
        </w:rPr>
        <w:t xml:space="preserve">sured safety during handling of samples and reagents.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Sample bottles</w:t>
      </w:r>
      <w:r>
        <w:rPr>
          <w:rFonts w:eastAsia="Times New Roman"/>
          <w:color w:val="000000"/>
          <w:sz w:val="24"/>
          <w:szCs w:val="24"/>
        </w:rPr>
        <w:t xml:space="preserve"> including </w:t>
      </w:r>
      <w:r>
        <w:rPr>
          <w:rFonts w:eastAsia="Times New Roman"/>
          <w:b/>
          <w:bCs/>
          <w:color w:val="000000"/>
          <w:sz w:val="24"/>
          <w:szCs w:val="24"/>
        </w:rPr>
        <w:t>EDTA and universal bottles</w:t>
      </w:r>
      <w:r>
        <w:rPr>
          <w:rFonts w:eastAsia="Times New Roman"/>
          <w:color w:val="000000"/>
          <w:sz w:val="24"/>
          <w:szCs w:val="24"/>
        </w:rPr>
        <w:t xml:space="preserve"> were used for blood and liquid sample collection.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Micropipettes</w:t>
      </w:r>
      <w:r>
        <w:rPr>
          <w:rFonts w:eastAsia="Times New Roman"/>
          <w:color w:val="000000"/>
          <w:sz w:val="24"/>
          <w:szCs w:val="24"/>
        </w:rPr>
        <w:t xml:space="preserve">, </w:t>
      </w:r>
      <w:r>
        <w:rPr>
          <w:rFonts w:eastAsia="Times New Roman"/>
          <w:b/>
          <w:bCs/>
          <w:color w:val="000000"/>
          <w:sz w:val="24"/>
          <w:szCs w:val="24"/>
        </w:rPr>
        <w:t>syringes</w:t>
      </w:r>
      <w:r>
        <w:rPr>
          <w:rFonts w:eastAsia="Times New Roman"/>
          <w:color w:val="000000"/>
          <w:sz w:val="24"/>
          <w:szCs w:val="24"/>
        </w:rPr>
        <w:t xml:space="preserve">, and </w:t>
      </w:r>
      <w:r>
        <w:rPr>
          <w:rFonts w:eastAsia="Times New Roman"/>
          <w:b/>
          <w:bCs/>
          <w:color w:val="000000"/>
          <w:sz w:val="24"/>
          <w:szCs w:val="24"/>
        </w:rPr>
        <w:t>needles</w:t>
      </w:r>
      <w:r>
        <w:rPr>
          <w:rFonts w:eastAsia="Times New Roman"/>
          <w:color w:val="000000"/>
          <w:sz w:val="24"/>
          <w:szCs w:val="24"/>
        </w:rPr>
        <w:t xml:space="preserve"> allowed for precise liquid handling.</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37°C water bath</w:t>
      </w:r>
      <w:r>
        <w:rPr>
          <w:rFonts w:eastAsia="Times New Roman"/>
          <w:color w:val="000000"/>
          <w:sz w:val="24"/>
          <w:szCs w:val="24"/>
        </w:rPr>
        <w:t xml:space="preserve"> maintained required incubation temperatures.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color w:val="000000"/>
          <w:sz w:val="24"/>
          <w:szCs w:val="24"/>
        </w:rPr>
        <w:t xml:space="preserve">General </w:t>
      </w:r>
      <w:r>
        <w:rPr>
          <w:rFonts w:eastAsia="Times New Roman"/>
          <w:b/>
          <w:bCs/>
          <w:color w:val="000000"/>
          <w:sz w:val="24"/>
          <w:szCs w:val="24"/>
        </w:rPr>
        <w:t>laboratory glassware</w:t>
      </w:r>
      <w:r>
        <w:rPr>
          <w:rFonts w:eastAsia="Times New Roman"/>
          <w:color w:val="000000"/>
          <w:sz w:val="24"/>
          <w:szCs w:val="24"/>
        </w:rPr>
        <w:t xml:space="preserve">, </w:t>
      </w:r>
      <w:r>
        <w:rPr>
          <w:rFonts w:eastAsia="Times New Roman"/>
          <w:b/>
          <w:bCs/>
          <w:color w:val="000000"/>
          <w:sz w:val="24"/>
          <w:szCs w:val="24"/>
        </w:rPr>
        <w:t>dissecting sets</w:t>
      </w:r>
      <w:r>
        <w:rPr>
          <w:rFonts w:eastAsia="Times New Roman"/>
          <w:color w:val="000000"/>
          <w:sz w:val="24"/>
          <w:szCs w:val="24"/>
        </w:rPr>
        <w:t xml:space="preserve">, </w:t>
      </w:r>
      <w:r>
        <w:rPr>
          <w:rFonts w:eastAsia="Times New Roman"/>
          <w:b/>
          <w:bCs/>
          <w:color w:val="000000"/>
          <w:sz w:val="24"/>
          <w:szCs w:val="24"/>
        </w:rPr>
        <w:t>thermometers</w:t>
      </w:r>
      <w:r>
        <w:rPr>
          <w:rFonts w:eastAsia="Times New Roman"/>
          <w:color w:val="000000"/>
          <w:sz w:val="24"/>
          <w:szCs w:val="24"/>
        </w:rPr>
        <w:t xml:space="preserve">, and </w:t>
      </w:r>
      <w:r>
        <w:rPr>
          <w:rFonts w:eastAsia="Times New Roman"/>
          <w:b/>
          <w:bCs/>
          <w:color w:val="000000"/>
          <w:sz w:val="24"/>
          <w:szCs w:val="24"/>
        </w:rPr>
        <w:t>measuring cylinders</w:t>
      </w:r>
      <w:r>
        <w:rPr>
          <w:rFonts w:eastAsia="Times New Roman"/>
          <w:color w:val="000000"/>
          <w:sz w:val="24"/>
          <w:szCs w:val="24"/>
        </w:rPr>
        <w:t xml:space="preserve"> supported a variety of analytical tasks. </w:t>
      </w:r>
    </w:p>
    <w:p w:rsidR="005F01BE" w:rsidRDefault="003E2C3A">
      <w:pPr>
        <w:spacing w:before="100" w:beforeAutospacing="1" w:after="100" w:afterAutospacing="1" w:line="480" w:lineRule="auto"/>
        <w:jc w:val="both"/>
        <w:rPr>
          <w:rFonts w:eastAsia="Times New Roman"/>
          <w:color w:val="000000"/>
          <w:sz w:val="24"/>
          <w:szCs w:val="24"/>
        </w:rPr>
      </w:pPr>
      <w:r>
        <w:rPr>
          <w:rFonts w:eastAsia="Times New Roman"/>
          <w:b/>
          <w:bCs/>
          <w:color w:val="000000"/>
          <w:sz w:val="24"/>
          <w:szCs w:val="24"/>
        </w:rPr>
        <w:t>Animal cages</w:t>
      </w:r>
      <w:r>
        <w:rPr>
          <w:rFonts w:eastAsia="Times New Roman"/>
          <w:color w:val="000000"/>
          <w:sz w:val="24"/>
          <w:szCs w:val="24"/>
        </w:rPr>
        <w:t xml:space="preserve"> and </w:t>
      </w:r>
      <w:r>
        <w:rPr>
          <w:rFonts w:eastAsia="Times New Roman"/>
          <w:b/>
          <w:bCs/>
          <w:color w:val="000000"/>
          <w:sz w:val="24"/>
          <w:szCs w:val="24"/>
        </w:rPr>
        <w:t>grower’s mash</w:t>
      </w:r>
      <w:r>
        <w:rPr>
          <w:rFonts w:eastAsia="Times New Roman"/>
          <w:color w:val="000000"/>
          <w:sz w:val="24"/>
          <w:szCs w:val="24"/>
        </w:rPr>
        <w:t xml:space="preserve"> were essential for the housing and feeding of experimental animals.</w:t>
      </w:r>
    </w:p>
    <w:p w:rsidR="005F01BE" w:rsidRDefault="005F01BE">
      <w:pPr>
        <w:pStyle w:val="NormalWeb"/>
        <w:spacing w:line="480" w:lineRule="auto"/>
        <w:jc w:val="both"/>
        <w:rPr>
          <w:b/>
          <w:color w:val="000000"/>
        </w:rPr>
      </w:pPr>
    </w:p>
    <w:sectPr w:rsidR="005F01BE">
      <w:pgSz w:w="11520" w:h="1440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C3A" w:rsidRDefault="003E2C3A">
      <w:pPr>
        <w:spacing w:after="0" w:line="240" w:lineRule="auto"/>
      </w:pPr>
      <w:r>
        <w:separator/>
      </w:r>
    </w:p>
  </w:endnote>
  <w:endnote w:type="continuationSeparator" w:id="0">
    <w:p w:rsidR="003E2C3A" w:rsidRDefault="003E2C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01BE" w:rsidRDefault="003E2C3A">
    <w:pPr>
      <w:pStyle w:val="Footer"/>
      <w:jc w:val="center"/>
    </w:pPr>
    <w:r>
      <w:fldChar w:fldCharType="begin"/>
    </w:r>
    <w:r>
      <w:instrText xml:space="preserve"> PAGE   \* MERGEFORMAT </w:instrText>
    </w:r>
    <w:r>
      <w:fldChar w:fldCharType="separate"/>
    </w:r>
    <w:r w:rsidR="00061985">
      <w:rPr>
        <w:noProof/>
      </w:rPr>
      <w:t>48</w:t>
    </w:r>
    <w:r>
      <w:rPr>
        <w:noProof/>
      </w:rPr>
      <w:fldChar w:fldCharType="end"/>
    </w:r>
  </w:p>
  <w:p w:rsidR="005F01BE" w:rsidRDefault="005F01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C3A" w:rsidRDefault="003E2C3A">
      <w:pPr>
        <w:spacing w:after="0" w:line="240" w:lineRule="auto"/>
      </w:pPr>
      <w:r>
        <w:separator/>
      </w:r>
    </w:p>
  </w:footnote>
  <w:footnote w:type="continuationSeparator" w:id="0">
    <w:p w:rsidR="003E2C3A" w:rsidRDefault="003E2C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3DFAE9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multilevel"/>
    <w:tmpl w:val="FFC24EF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0000002"/>
    <w:multiLevelType w:val="multilevel"/>
    <w:tmpl w:val="9E8A8AC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multilevel"/>
    <w:tmpl w:val="B7B4FB8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15:restartNumberingAfterBreak="0">
    <w:nsid w:val="00000004"/>
    <w:multiLevelType w:val="hybridMultilevel"/>
    <w:tmpl w:val="F72AC04E"/>
    <w:lvl w:ilvl="0" w:tplc="7D3CE64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0000005"/>
    <w:multiLevelType w:val="multilevel"/>
    <w:tmpl w:val="3C108242"/>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0000006"/>
    <w:multiLevelType w:val="hybridMultilevel"/>
    <w:tmpl w:val="EA2C5B82"/>
    <w:lvl w:ilvl="0" w:tplc="E3FA8972">
      <w:start w:val="1"/>
      <w:numFmt w:val="lowerRoman"/>
      <w:lvlText w:val="%1."/>
      <w:lvlJc w:val="righ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000007"/>
    <w:multiLevelType w:val="multilevel"/>
    <w:tmpl w:val="667871E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00000008"/>
    <w:multiLevelType w:val="multilevel"/>
    <w:tmpl w:val="ED348DE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9"/>
    <w:multiLevelType w:val="hybridMultilevel"/>
    <w:tmpl w:val="722A3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0A"/>
    <w:multiLevelType w:val="multilevel"/>
    <w:tmpl w:val="B8448BB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15:restartNumberingAfterBreak="0">
    <w:nsid w:val="0000000B"/>
    <w:multiLevelType w:val="multilevel"/>
    <w:tmpl w:val="BB4E25F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C"/>
    <w:multiLevelType w:val="multilevel"/>
    <w:tmpl w:val="5CA4697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5"/>
  </w:num>
  <w:num w:numId="2">
    <w:abstractNumId w:val="0"/>
  </w:num>
  <w:num w:numId="3">
    <w:abstractNumId w:val="2"/>
  </w:num>
  <w:num w:numId="4">
    <w:abstractNumId w:val="8"/>
  </w:num>
  <w:num w:numId="5">
    <w:abstractNumId w:val="12"/>
  </w:num>
  <w:num w:numId="6">
    <w:abstractNumId w:val="7"/>
  </w:num>
  <w:num w:numId="7">
    <w:abstractNumId w:val="3"/>
  </w:num>
  <w:num w:numId="8">
    <w:abstractNumId w:val="6"/>
  </w:num>
  <w:num w:numId="9">
    <w:abstractNumId w:val="1"/>
  </w:num>
  <w:num w:numId="10">
    <w:abstractNumId w:val="4"/>
  </w:num>
  <w:num w:numId="11">
    <w:abstractNumId w:val="11"/>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01BE"/>
    <w:rsid w:val="00061985"/>
    <w:rsid w:val="003E2C3A"/>
    <w:rsid w:val="005F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B13D8A-B26C-43B3-AF18-624AECB5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hAnsi="Times New Roman" w:cs="Times New Roman"/>
      <w:sz w:val="28"/>
      <w:szCs w:val="28"/>
    </w:rPr>
  </w:style>
  <w:style w:type="paragraph" w:styleId="Heading3">
    <w:name w:val="heading 3"/>
    <w:basedOn w:val="Normal"/>
    <w:next w:val="Normal"/>
    <w:link w:val="Heading3Char"/>
    <w:uiPriority w:val="9"/>
    <w:qFormat/>
    <w:pPr>
      <w:keepNext/>
      <w:keepLines/>
      <w:spacing w:before="200" w:after="0"/>
      <w:outlineLvl w:val="2"/>
    </w:pPr>
    <w:rPr>
      <w:rFonts w:ascii="Cambria" w:eastAsia="SimSun" w:hAnsi="Cambria" w:cs="SimSun"/>
      <w:b/>
      <w:bCs/>
      <w:color w:val="4F81BD"/>
    </w:rPr>
  </w:style>
  <w:style w:type="paragraph" w:styleId="Heading4">
    <w:name w:val="heading 4"/>
    <w:basedOn w:val="Normal"/>
    <w:link w:val="Heading4Char"/>
    <w:uiPriority w:val="9"/>
    <w:qFormat/>
    <w:pPr>
      <w:spacing w:before="100" w:beforeAutospacing="1" w:after="100" w:afterAutospacing="1" w:line="240" w:lineRule="auto"/>
      <w:outlineLvl w:val="3"/>
    </w:pPr>
    <w:rPr>
      <w:rFonts w:eastAsia="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CA"/>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Strong">
    <w:name w:val="Strong"/>
    <w:basedOn w:val="DefaultParagraphFont"/>
    <w:uiPriority w:val="22"/>
    <w:qFormat/>
    <w:rPr>
      <w:b/>
      <w:bCs/>
    </w:rPr>
  </w:style>
  <w:style w:type="paragraph" w:styleId="NormalWeb">
    <w:name w:val="Normal (Web)"/>
    <w:basedOn w:val="Normal"/>
    <w:uiPriority w:val="99"/>
    <w:pPr>
      <w:spacing w:before="100" w:beforeAutospacing="1" w:after="100" w:afterAutospacing="1" w:line="240" w:lineRule="auto"/>
    </w:pPr>
    <w:rPr>
      <w:rFonts w:eastAsia="Times New Roman"/>
      <w:sz w:val="24"/>
      <w:szCs w:val="24"/>
    </w:rPr>
  </w:style>
  <w:style w:type="character" w:styleId="Emphasis">
    <w:name w:val="Emphasis"/>
    <w:basedOn w:val="DefaultParagraphFont"/>
    <w:uiPriority w:val="20"/>
    <w:qFormat/>
    <w:rPr>
      <w:i/>
      <w:iCs/>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8"/>
      <w:szCs w:val="28"/>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8"/>
      <w:szCs w:val="28"/>
    </w:rPr>
  </w:style>
  <w:style w:type="character" w:styleId="Hyperlink">
    <w:name w:val="Hyperlink"/>
    <w:basedOn w:val="DefaultParagraphFont"/>
    <w:uiPriority w:val="99"/>
    <w:rPr>
      <w:color w:val="0000FF"/>
      <w:u w:val="single"/>
    </w:rPr>
  </w:style>
  <w:style w:type="character" w:customStyle="1" w:styleId="mord">
    <w:name w:val="mord"/>
    <w:basedOn w:val="DefaultParagraphFont"/>
  </w:style>
  <w:style w:type="character" w:customStyle="1" w:styleId="vlist-s">
    <w:name w:val="vlist-s"/>
    <w:basedOn w:val="DefaultParagraphFont"/>
  </w:style>
  <w:style w:type="character" w:customStyle="1" w:styleId="mrel">
    <w:name w:val="mrel"/>
    <w:basedOn w:val="DefaultParagraphFont"/>
  </w:style>
  <w:style w:type="character" w:customStyle="1" w:styleId="mbin">
    <w:name w:val="mbin"/>
    <w:basedOn w:val="DefaultParagraphFont"/>
  </w:style>
  <w:style w:type="character" w:customStyle="1" w:styleId="A0">
    <w:name w:val="A0"/>
    <w:uiPriority w:val="99"/>
    <w:rPr>
      <w:rFonts w:cs="Trebuchet MS"/>
      <w:color w:val="000000"/>
      <w:sz w:val="20"/>
      <w:szCs w:val="20"/>
    </w:rPr>
  </w:style>
  <w:style w:type="character" w:customStyle="1" w:styleId="A6">
    <w:name w:val="A6"/>
    <w:uiPriority w:val="99"/>
    <w:rPr>
      <w:rFonts w:cs="Trebuchet MS"/>
      <w:color w:val="000000"/>
      <w:sz w:val="11"/>
      <w:szCs w:val="11"/>
    </w:rPr>
  </w:style>
  <w:style w:type="character" w:customStyle="1" w:styleId="Heading3Char">
    <w:name w:val="Heading 3 Char"/>
    <w:basedOn w:val="DefaultParagraphFont"/>
    <w:link w:val="Heading3"/>
    <w:uiPriority w:val="9"/>
    <w:rPr>
      <w:rFonts w:ascii="Cambria" w:eastAsia="SimSun" w:hAnsi="Cambria" w:cs="SimSun"/>
      <w:b/>
      <w:bCs/>
      <w:color w:val="4F81BD"/>
      <w:sz w:val="28"/>
      <w:szCs w:val="28"/>
    </w:rPr>
  </w:style>
  <w:style w:type="character" w:customStyle="1" w:styleId="uv3um">
    <w:name w:val="uv3um"/>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6.emf"/><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oleObject" Target="embeddings/oleObject5.bin"/><Relationship Id="rId47" Type="http://schemas.openxmlformats.org/officeDocument/2006/relationships/image" Target="media/image30.emf"/><Relationship Id="rId50" Type="http://schemas.openxmlformats.org/officeDocument/2006/relationships/oleObject" Target="embeddings/oleObject9.bin"/><Relationship Id="rId55" Type="http://schemas.openxmlformats.org/officeDocument/2006/relationships/image" Target="media/image34.emf"/><Relationship Id="rId63" Type="http://schemas.openxmlformats.org/officeDocument/2006/relationships/image" Target="media/image38.emf"/><Relationship Id="rId68" Type="http://schemas.openxmlformats.org/officeDocument/2006/relationships/oleObject" Target="embeddings/oleObject18.bin"/><Relationship Id="rId76" Type="http://schemas.openxmlformats.org/officeDocument/2006/relationships/image" Target="media/image44.emf"/><Relationship Id="rId84" Type="http://schemas.openxmlformats.org/officeDocument/2006/relationships/image" Target="media/image48.emf"/><Relationship Id="rId89" Type="http://schemas.openxmlformats.org/officeDocument/2006/relationships/hyperlink" Target="https://www.ncbi.nlm.nih.gov/books/NBK539689/" TargetMode="External"/><Relationship Id="rId7" Type="http://schemas.openxmlformats.org/officeDocument/2006/relationships/endnotes" Target="endnotes.xml"/><Relationship Id="rId71" Type="http://schemas.openxmlformats.org/officeDocument/2006/relationships/image" Target="media/image42.emf"/><Relationship Id="rId92" Type="http://schemas.openxmlformats.org/officeDocument/2006/relationships/image" Target="media/image50.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www.sprintmedical.in"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image" Target="media/image25.emf"/><Relationship Id="rId40" Type="http://schemas.openxmlformats.org/officeDocument/2006/relationships/oleObject" Target="embeddings/oleObject4.bin"/><Relationship Id="rId45" Type="http://schemas.openxmlformats.org/officeDocument/2006/relationships/image" Target="media/image29.emf"/><Relationship Id="rId53" Type="http://schemas.openxmlformats.org/officeDocument/2006/relationships/image" Target="media/image33.emf"/><Relationship Id="rId58" Type="http://schemas.openxmlformats.org/officeDocument/2006/relationships/oleObject" Target="embeddings/oleObject13.bin"/><Relationship Id="rId66" Type="http://schemas.openxmlformats.org/officeDocument/2006/relationships/oleObject" Target="embeddings/oleObject17.bin"/><Relationship Id="rId74" Type="http://schemas.openxmlformats.org/officeDocument/2006/relationships/image" Target="media/image43.emf"/><Relationship Id="rId79" Type="http://schemas.openxmlformats.org/officeDocument/2006/relationships/oleObject" Target="embeddings/oleObject24.bin"/><Relationship Id="rId87" Type="http://schemas.openxmlformats.org/officeDocument/2006/relationships/hyperlink" Target="https://pmc.ncbi.nlm.nih.gov/articles/PMC1706003/" TargetMode="External"/><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47.emf"/><Relationship Id="rId90" Type="http://schemas.openxmlformats.org/officeDocument/2006/relationships/hyperlink" Target="https://apps.who.int/iris/bitstream/10665/205174/1/B3516.pdf" TargetMode="External"/><Relationship Id="rId95"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emf"/><Relationship Id="rId43" Type="http://schemas.openxmlformats.org/officeDocument/2006/relationships/image" Target="media/image28.emf"/><Relationship Id="rId48" Type="http://schemas.openxmlformats.org/officeDocument/2006/relationships/oleObject" Target="embeddings/oleObject8.bin"/><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image" Target="media/image41.emf"/><Relationship Id="rId77" Type="http://schemas.openxmlformats.org/officeDocument/2006/relationships/oleObject" Target="embeddings/oleObject23.bin"/><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oleObject" Target="embeddings/oleObject20.bin"/><Relationship Id="rId80" Type="http://schemas.openxmlformats.org/officeDocument/2006/relationships/image" Target="media/image46.emf"/><Relationship Id="rId85" Type="http://schemas.openxmlformats.org/officeDocument/2006/relationships/oleObject" Target="embeddings/oleObject27.bin"/><Relationship Id="rId93" Type="http://schemas.openxmlformats.org/officeDocument/2006/relationships/image" Target="media/image5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emf"/><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image" Target="media/image36.emf"/><Relationship Id="rId67" Type="http://schemas.openxmlformats.org/officeDocument/2006/relationships/image" Target="media/image40.emf"/><Relationship Id="rId20" Type="http://schemas.openxmlformats.org/officeDocument/2006/relationships/image" Target="media/image12.jpeg"/><Relationship Id="rId41" Type="http://schemas.openxmlformats.org/officeDocument/2006/relationships/image" Target="media/image27.emf"/><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oleObject" Target="embeddings/oleObject19.bin"/><Relationship Id="rId75" Type="http://schemas.openxmlformats.org/officeDocument/2006/relationships/oleObject" Target="embeddings/oleObject22.bin"/><Relationship Id="rId83" Type="http://schemas.openxmlformats.org/officeDocument/2006/relationships/oleObject" Target="embeddings/oleObject26.bin"/><Relationship Id="rId88" Type="http://schemas.openxmlformats.org/officeDocument/2006/relationships/hyperlink" Target="https://www.researchgate.net/publication/376854727_Treatment_approach_to_corneal_ulcer-_Major_Review" TargetMode="External"/><Relationship Id="rId91"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oleObject" Target="embeddings/oleObject2.bin"/><Relationship Id="rId49" Type="http://schemas.openxmlformats.org/officeDocument/2006/relationships/image" Target="media/image31.emf"/><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oleObject" Target="embeddings/oleObject14.bin"/><Relationship Id="rId65" Type="http://schemas.openxmlformats.org/officeDocument/2006/relationships/image" Target="media/image39.emf"/><Relationship Id="rId73" Type="http://schemas.openxmlformats.org/officeDocument/2006/relationships/oleObject" Target="embeddings/oleObject21.bin"/><Relationship Id="rId78" Type="http://schemas.openxmlformats.org/officeDocument/2006/relationships/image" Target="media/image45.emf"/><Relationship Id="rId81" Type="http://schemas.openxmlformats.org/officeDocument/2006/relationships/oleObject" Target="embeddings/oleObject25.bin"/><Relationship Id="rId86" Type="http://schemas.openxmlformats.org/officeDocument/2006/relationships/hyperlink" Target="https://www1.racgp.org.au/ajgp/2022/november/corneal-ulcers"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ownloads\UCRL0305032025%20Dr.%20HASSAN%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scatterChart>
        <c:scatterStyle val="lineMarker"/>
        <c:varyColors val="0"/>
        <c:ser>
          <c:idx val="0"/>
          <c:order val="0"/>
          <c:tx>
            <c:strRef>
              <c:f>'[UCRL0305032025 Dr. HASSAN (2).xlsx]Sheet2'!$B$10</c:f>
              <c:strCache>
                <c:ptCount val="1"/>
                <c:pt idx="0">
                  <c:v>ABS(nm)</c:v>
                </c:pt>
              </c:strCache>
            </c:strRef>
          </c:tx>
          <c:spPr>
            <a:ln w="28575">
              <a:noFill/>
            </a:ln>
          </c:spPr>
          <c:trendline>
            <c:trendlineType val="linear"/>
            <c:dispRSqr val="1"/>
            <c:dispEq val="1"/>
            <c:trendlineLbl>
              <c:numFmt formatCode="General" sourceLinked="0"/>
            </c:trendlineLbl>
          </c:trendline>
          <c:xVal>
            <c:numRef>
              <c:f>'[UCRL0305032025 Dr. HASSAN (2).xlsx]Sheet2'!$A$11:$A$14</c:f>
              <c:numCache>
                <c:formatCode>General</c:formatCode>
                <c:ptCount val="4"/>
                <c:pt idx="0">
                  <c:v>1</c:v>
                </c:pt>
                <c:pt idx="1">
                  <c:v>2</c:v>
                </c:pt>
                <c:pt idx="2">
                  <c:v>3</c:v>
                </c:pt>
                <c:pt idx="3">
                  <c:v>4</c:v>
                </c:pt>
              </c:numCache>
            </c:numRef>
          </c:xVal>
          <c:yVal>
            <c:numRef>
              <c:f>'[UCRL0305032025 Dr. HASSAN (2).xlsx]Sheet2'!$B$11:$B$14</c:f>
              <c:numCache>
                <c:formatCode>General</c:formatCode>
                <c:ptCount val="4"/>
                <c:pt idx="0">
                  <c:v>8.0399999999999999E-2</c:v>
                </c:pt>
                <c:pt idx="1">
                  <c:v>0.18959999999999999</c:v>
                </c:pt>
                <c:pt idx="2">
                  <c:v>0.27100000000000002</c:v>
                </c:pt>
                <c:pt idx="3">
                  <c:v>0.4113</c:v>
                </c:pt>
              </c:numCache>
            </c:numRef>
          </c:yVal>
          <c:smooth val="0"/>
        </c:ser>
        <c:dLbls>
          <c:showLegendKey val="0"/>
          <c:showVal val="0"/>
          <c:showCatName val="0"/>
          <c:showSerName val="0"/>
          <c:showPercent val="0"/>
          <c:showBubbleSize val="0"/>
        </c:dLbls>
        <c:axId val="402822672"/>
        <c:axId val="402828552"/>
      </c:scatterChart>
      <c:valAx>
        <c:axId val="402822672"/>
        <c:scaling>
          <c:orientation val="minMax"/>
        </c:scaling>
        <c:delete val="0"/>
        <c:axPos val="b"/>
        <c:numFmt formatCode="General" sourceLinked="1"/>
        <c:majorTickMark val="out"/>
        <c:minorTickMark val="none"/>
        <c:tickLblPos val="nextTo"/>
        <c:crossAx val="402828552"/>
        <c:crosses val="autoZero"/>
        <c:crossBetween val="midCat"/>
      </c:valAx>
      <c:valAx>
        <c:axId val="402828552"/>
        <c:scaling>
          <c:orientation val="minMax"/>
        </c:scaling>
        <c:delete val="0"/>
        <c:axPos val="l"/>
        <c:majorGridlines/>
        <c:numFmt formatCode="General" sourceLinked="1"/>
        <c:majorTickMark val="out"/>
        <c:minorTickMark val="none"/>
        <c:tickLblPos val="nextTo"/>
        <c:crossAx val="402822672"/>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229D-7EBE-4303-9E6D-EE03DDE97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27984</Words>
  <Characters>159515</Characters>
  <Application>Microsoft Office Word</Application>
  <DocSecurity>0</DocSecurity>
  <Lines>1329</Lines>
  <Paragraphs>374</Paragraphs>
  <ScaleCrop>false</ScaleCrop>
  <Company/>
  <LinksUpToDate>false</LinksUpToDate>
  <CharactersWithSpaces>187125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Microsoft account</cp:lastModifiedBy>
  <cp:revision>3</cp:revision>
  <cp:lastPrinted>2025-07-10T10:36:00Z</cp:lastPrinted>
  <dcterms:created xsi:type="dcterms:W3CDTF">2025-09-16T14:24:00Z</dcterms:created>
  <dcterms:modified xsi:type="dcterms:W3CDTF">2025-09-16T14:24:00Z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6d34330458844138a29ff0043faa916d</vt:lpwstr>
  </property>
</Properties>
</file>