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0223BA50"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008C4525">
        <w:rPr>
          <w:rFonts w:ascii="Arial Black" w:eastAsia="Times New Roman" w:hAnsi="Arial Black" w:cs="Times New Roman"/>
          <w:b/>
          <w:sz w:val="36"/>
          <w:szCs w:val="36"/>
        </w:rPr>
        <w:t>IMPACT</w:t>
      </w:r>
      <w:r w:rsidRPr="00657927">
        <w:rPr>
          <w:rFonts w:ascii="Arial Black" w:eastAsia="Times New Roman" w:hAnsi="Arial Black" w:cs="Times New Roman"/>
          <w:b/>
          <w:sz w:val="36"/>
          <w:szCs w:val="36"/>
        </w:rPr>
        <w:t xml:space="preserve">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68CC0A4A" w:rsidR="00657927" w:rsidRPr="00657927" w:rsidRDefault="0048295C" w:rsidP="00657927">
      <w:pPr>
        <w:spacing w:after="0" w:line="276" w:lineRule="auto"/>
        <w:jc w:val="center"/>
        <w:rPr>
          <w:rFonts w:ascii="Arial Black" w:eastAsia="Corsiva" w:hAnsi="Arial Black" w:cs="Corsiva"/>
          <w:b/>
          <w:i/>
          <w:sz w:val="36"/>
          <w:szCs w:val="36"/>
        </w:rPr>
      </w:pPr>
      <w:r>
        <w:rPr>
          <w:rFonts w:ascii="Arial Black" w:eastAsia="Corsiva" w:hAnsi="Arial Black" w:cs="Corsiva"/>
          <w:b/>
          <w:i/>
          <w:sz w:val="36"/>
          <w:szCs w:val="36"/>
        </w:rPr>
        <w:t>MUJEEB MUSA ADISA</w:t>
      </w:r>
      <w:r w:rsidR="00657927">
        <w:rPr>
          <w:rFonts w:ascii="Arial Black" w:eastAsia="Corsiva" w:hAnsi="Arial Black" w:cs="Corsiva"/>
          <w:b/>
          <w:i/>
          <w:sz w:val="36"/>
          <w:szCs w:val="36"/>
        </w:rPr>
        <w:t xml:space="preserve"> </w:t>
      </w:r>
    </w:p>
    <w:p w14:paraId="3B8E9AF8" w14:textId="5E32B6C0"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sidR="00EC455F">
        <w:rPr>
          <w:rFonts w:ascii="Arial Black" w:eastAsia="Bookman Old Style" w:hAnsi="Arial Black" w:cs="Bookman Old Style"/>
          <w:b/>
          <w:sz w:val="32"/>
          <w:szCs w:val="32"/>
        </w:rPr>
        <w:t>3</w:t>
      </w:r>
      <w:r w:rsidR="0048295C">
        <w:rPr>
          <w:rFonts w:ascii="Arial Black" w:eastAsia="Bookman Old Style" w:hAnsi="Arial Black" w:cs="Bookman Old Style"/>
          <w:b/>
          <w:sz w:val="32"/>
          <w:szCs w:val="32"/>
        </w:rPr>
        <w:t>87</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 xml:space="preserve">This project work has been read and approved as meeting part of the requirements of the Department of Business Administration and Management, Institute </w:t>
      </w:r>
      <w:proofErr w:type="gramStart"/>
      <w:r w:rsidRPr="00657927">
        <w:rPr>
          <w:rFonts w:ascii="Times New Roman" w:eastAsia="Times New Roman" w:hAnsi="Times New Roman" w:cs="Times New Roman"/>
          <w:sz w:val="26"/>
          <w:szCs w:val="26"/>
        </w:rPr>
        <w:t>of  Finance</w:t>
      </w:r>
      <w:proofErr w:type="gramEnd"/>
      <w:r w:rsidRPr="00657927">
        <w:rPr>
          <w:rFonts w:ascii="Times New Roman" w:eastAsia="Times New Roman" w:hAnsi="Times New Roman" w:cs="Times New Roman"/>
          <w:sz w:val="26"/>
          <w:szCs w:val="26"/>
        </w:rPr>
        <w:t xml:space="preserv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13DD9CB0"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8C4525">
        <w:rPr>
          <w:rFonts w:ascii="Calibri" w:eastAsia="Calibri" w:hAnsi="Calibri" w:cs="Calibri"/>
          <w:b/>
          <w:sz w:val="26"/>
          <w:szCs w:val="26"/>
        </w:rPr>
        <w:t xml:space="preserve">. </w:t>
      </w:r>
      <w:proofErr w:type="gramStart"/>
      <w:r w:rsidR="008C4525">
        <w:rPr>
          <w:rFonts w:ascii="Calibri" w:eastAsia="Calibri" w:hAnsi="Calibri" w:cs="Calibri"/>
          <w:b/>
          <w:sz w:val="26"/>
          <w:szCs w:val="26"/>
        </w:rPr>
        <w:t>IMAM  R.</w:t>
      </w:r>
      <w:proofErr w:type="gramEnd"/>
      <w:r w:rsidR="008C4525">
        <w:rPr>
          <w:rFonts w:ascii="Calibri" w:eastAsia="Calibri" w:hAnsi="Calibri" w:cs="Calibri"/>
          <w:b/>
          <w:sz w:val="26"/>
          <w:szCs w:val="26"/>
        </w:rPr>
        <w:t xml:space="preserve"> A</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w:t>
      </w:r>
      <w:proofErr w:type="gramStart"/>
      <w:r w:rsidRPr="00657927">
        <w:rPr>
          <w:rFonts w:ascii="Times New Roman" w:eastAsia="Times New Roman" w:hAnsi="Times New Roman" w:cs="Times New Roman"/>
          <w:sz w:val="28"/>
          <w:szCs w:val="28"/>
        </w:rPr>
        <w:t>)  and</w:t>
      </w:r>
      <w:proofErr w:type="gramEnd"/>
      <w:r w:rsidRPr="00657927">
        <w:rPr>
          <w:rFonts w:ascii="Times New Roman" w:eastAsia="Times New Roman" w:hAnsi="Times New Roman" w:cs="Times New Roman"/>
          <w:sz w:val="28"/>
          <w:szCs w:val="28"/>
        </w:rPr>
        <w:t xml:space="preserve">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w:t>
      </w:r>
      <w:proofErr w:type="spellStart"/>
      <w:r w:rsidRPr="00657927">
        <w:rPr>
          <w:rFonts w:ascii="Times New Roman" w:eastAsia="Times New Roman" w:hAnsi="Times New Roman" w:cs="Times New Roman"/>
          <w:sz w:val="28"/>
          <w:szCs w:val="28"/>
        </w:rPr>
        <w:t>programme</w:t>
      </w:r>
      <w:proofErr w:type="spellEnd"/>
      <w:r w:rsidRPr="00657927">
        <w:rPr>
          <w:rFonts w:ascii="Times New Roman" w:eastAsia="Times New Roman" w:hAnsi="Times New Roman" w:cs="Times New Roman"/>
          <w:sz w:val="28"/>
          <w:szCs w:val="28"/>
        </w:rPr>
        <w:t xml:space="preserv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proofErr w:type="spellStart"/>
      <w:r w:rsidRPr="00657927">
        <w:rPr>
          <w:rFonts w:ascii="Bookman Old Style" w:eastAsia="Bookman Old Style" w:hAnsi="Bookman Old Style" w:cs="Bookman Old Style"/>
          <w:sz w:val="26"/>
          <w:szCs w:val="26"/>
        </w:rPr>
        <w:t>i</w:t>
      </w:r>
      <w:proofErr w:type="spellEnd"/>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w:t>
      </w:r>
      <w:proofErr w:type="gramStart"/>
      <w:r w:rsidRPr="00657927">
        <w:rPr>
          <w:rFonts w:ascii="Bookman Old Style" w:eastAsia="Bookman Old Style" w:hAnsi="Bookman Old Style" w:cs="Bookman Old Style"/>
          <w:sz w:val="26"/>
          <w:szCs w:val="26"/>
        </w:rPr>
        <w:t xml:space="preserve">Collection  </w:t>
      </w:r>
      <w:r w:rsidRPr="00657927">
        <w:rPr>
          <w:rFonts w:ascii="Bookman Old Style" w:eastAsia="Bookman Old Style" w:hAnsi="Bookman Old Style" w:cs="Bookman Old Style"/>
          <w:sz w:val="26"/>
          <w:szCs w:val="26"/>
        </w:rPr>
        <w:tab/>
      </w:r>
      <w:proofErr w:type="gramEnd"/>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w:t>
      </w:r>
      <w:proofErr w:type="spellStart"/>
      <w:r w:rsidRPr="00E16323">
        <w:rPr>
          <w:rFonts w:ascii="Times New Roman" w:eastAsia="Times New Roman" w:hAnsi="Times New Roman" w:cs="Times New Roman"/>
          <w:sz w:val="24"/>
          <w:szCs w:val="24"/>
        </w:rPr>
        <w:t>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r</w:t>
      </w:r>
      <w:proofErr w:type="spellEnd"/>
      <w:r w:rsidRPr="00E16323">
        <w:rPr>
          <w:rFonts w:ascii="Times New Roman" w:eastAsia="Times New Roman" w:hAnsi="Times New Roman" w:cs="Times New Roman"/>
          <w:sz w:val="24"/>
          <w:szCs w:val="24"/>
        </w:rPr>
        <w:t xml:space="preserve">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w:t>
      </w:r>
      <w:proofErr w:type="spellStart"/>
      <w:r w:rsidR="00D9080E" w:rsidRPr="00E16323">
        <w:rPr>
          <w:rFonts w:ascii="Times New Roman" w:eastAsia="Times New Roman" w:hAnsi="Times New Roman" w:cs="Times New Roman"/>
          <w:sz w:val="24"/>
          <w:szCs w:val="24"/>
        </w:rPr>
        <w:t>Barbaroux</w:t>
      </w:r>
      <w:proofErr w:type="spellEnd"/>
      <w:r w:rsidR="00D9080E" w:rsidRPr="00E16323">
        <w:rPr>
          <w:rFonts w:ascii="Times New Roman" w:eastAsia="Times New Roman" w:hAnsi="Times New Roman" w:cs="Times New Roman"/>
          <w:sz w:val="24"/>
          <w:szCs w:val="24"/>
        </w:rPr>
        <w:t>,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w:t>
      </w:r>
      <w:proofErr w:type="gramStart"/>
      <w:r w:rsidR="00435D21" w:rsidRPr="00E16323">
        <w:rPr>
          <w:rFonts w:ascii="Times New Roman" w:eastAsia="Times New Roman" w:hAnsi="Times New Roman" w:cs="Times New Roman"/>
          <w:sz w:val="24"/>
          <w:szCs w:val="24"/>
        </w:rPr>
        <w:t>ever increasing</w:t>
      </w:r>
      <w:proofErr w:type="gramEnd"/>
      <w:r w:rsidR="00435D21" w:rsidRPr="00E16323">
        <w:rPr>
          <w:rFonts w:ascii="Times New Roman" w:eastAsia="Times New Roman" w:hAnsi="Times New Roman" w:cs="Times New Roman"/>
          <w:sz w:val="24"/>
          <w:szCs w:val="24"/>
        </w:rPr>
        <w:t xml:space="preserve">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w:t>
      </w:r>
      <w:proofErr w:type="spellStart"/>
      <w:r w:rsidR="0007206D">
        <w:rPr>
          <w:rFonts w:ascii="Times New Roman" w:eastAsia="Times New Roman" w:hAnsi="Times New Roman" w:cs="Times New Roman"/>
          <w:sz w:val="24"/>
          <w:szCs w:val="24"/>
        </w:rPr>
        <w:t>Femstar</w:t>
      </w:r>
      <w:proofErr w:type="spellEnd"/>
      <w:r w:rsidR="0007206D">
        <w:rPr>
          <w:rFonts w:ascii="Times New Roman" w:eastAsia="Times New Roman" w:hAnsi="Times New Roman" w:cs="Times New Roman"/>
          <w:sz w:val="24"/>
          <w:szCs w:val="24"/>
        </w:rPr>
        <w:t xml:space="preserve"> \Nigeria</w:t>
      </w:r>
      <w:r w:rsidR="00801EF1" w:rsidRPr="00E16323">
        <w:rPr>
          <w:rFonts w:ascii="Times New Roman" w:eastAsia="Times New Roman" w:hAnsi="Times New Roman" w:cs="Times New Roman"/>
          <w:sz w:val="24"/>
          <w:szCs w:val="24"/>
        </w:rPr>
        <w:t xml:space="preserve"> Ltd, makers of Limca, </w:t>
      </w:r>
      <w:proofErr w:type="spellStart"/>
      <w:r w:rsidR="00801EF1" w:rsidRPr="00E16323">
        <w:rPr>
          <w:rFonts w:ascii="Times New Roman" w:eastAsia="Times New Roman" w:hAnsi="Times New Roman" w:cs="Times New Roman"/>
          <w:sz w:val="24"/>
          <w:szCs w:val="24"/>
        </w:rPr>
        <w:t>Goldspot</w:t>
      </w:r>
      <w:proofErr w:type="spellEnd"/>
      <w:r w:rsidR="00801EF1" w:rsidRPr="00E16323">
        <w:rPr>
          <w:rFonts w:ascii="Times New Roman" w:eastAsia="Times New Roman" w:hAnsi="Times New Roman" w:cs="Times New Roman"/>
          <w:sz w:val="24"/>
          <w:szCs w:val="24"/>
        </w:rPr>
        <w:t xml:space="preserve">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w:t>
      </w:r>
      <w:proofErr w:type="spellStart"/>
      <w:r w:rsidR="00C4277D">
        <w:rPr>
          <w:rFonts w:ascii="Times New Roman" w:eastAsia="Times New Roman" w:hAnsi="Times New Roman" w:cs="Times New Roman"/>
          <w:sz w:val="24"/>
          <w:szCs w:val="24"/>
        </w:rPr>
        <w:t>each others’</w:t>
      </w:r>
      <w:proofErr w:type="spellEnd"/>
      <w:r w:rsidR="00C4277D">
        <w:rPr>
          <w:rFonts w:ascii="Times New Roman" w:eastAsia="Times New Roman" w:hAnsi="Times New Roman" w:cs="Times New Roman"/>
          <w:sz w:val="24"/>
          <w:szCs w:val="24"/>
        </w:rPr>
        <w:t xml:space="preserve">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Olujide</w:t>
      </w:r>
      <w:proofErr w:type="spellEnd"/>
      <w:r>
        <w:rPr>
          <w:rFonts w:ascii="Times New Roman" w:eastAsia="Times New Roman" w:hAnsi="Times New Roman" w:cs="Times New Roman"/>
          <w:sz w:val="24"/>
          <w:szCs w:val="24"/>
        </w:rPr>
        <w:t xml:space="preserv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proofErr w:type="spellStart"/>
      <w:r w:rsidR="00353FA9">
        <w:rPr>
          <w:rFonts w:ascii="Times New Roman" w:eastAsia="Times New Roman" w:hAnsi="Times New Roman" w:cs="Times New Roman"/>
          <w:sz w:val="24"/>
          <w:szCs w:val="24"/>
        </w:rPr>
        <w:t>Femstar</w:t>
      </w:r>
      <w:proofErr w:type="spellEnd"/>
      <w:r w:rsidR="00353FA9">
        <w:rPr>
          <w:rFonts w:ascii="Times New Roman" w:eastAsia="Times New Roman" w:hAnsi="Times New Roman" w:cs="Times New Roman"/>
          <w:sz w:val="24"/>
          <w:szCs w:val="24"/>
        </w:rPr>
        <w:t xml:space="preserve"> Nigeria Ltd</w:t>
      </w:r>
      <w:r w:rsidR="002F49C2">
        <w:rPr>
          <w:rFonts w:ascii="Times New Roman" w:eastAsia="Times New Roman" w:hAnsi="Times New Roman" w:cs="Times New Roman"/>
          <w:sz w:val="24"/>
          <w:szCs w:val="24"/>
        </w:rPr>
        <w:t xml:space="preserve"> makers of Limca, </w:t>
      </w:r>
      <w:proofErr w:type="spellStart"/>
      <w:r w:rsidR="002F49C2">
        <w:rPr>
          <w:rFonts w:ascii="Times New Roman" w:eastAsia="Times New Roman" w:hAnsi="Times New Roman" w:cs="Times New Roman"/>
          <w:sz w:val="24"/>
          <w:szCs w:val="24"/>
        </w:rPr>
        <w:t>Goldspot</w:t>
      </w:r>
      <w:proofErr w:type="spellEnd"/>
      <w:r w:rsidR="002F49C2">
        <w:rPr>
          <w:rFonts w:ascii="Times New Roman" w:eastAsia="Times New Roman" w:hAnsi="Times New Roman" w:cs="Times New Roman"/>
          <w:sz w:val="24"/>
          <w:szCs w:val="24"/>
        </w:rPr>
        <w:t xml:space="preserve">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spellStart"/>
      <w:proofErr w:type="gram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spellEnd"/>
      <w:proofErr w:type="gram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w:t>
      </w:r>
      <w:proofErr w:type="gramStart"/>
      <w:r w:rsidRPr="00E16323">
        <w:rPr>
          <w:rFonts w:ascii="Times New Roman" w:eastAsia="Times New Roman" w:hAnsi="Times New Roman" w:cs="Times New Roman"/>
          <w:sz w:val="24"/>
          <w:szCs w:val="24"/>
        </w:rPr>
        <w:t>ever changing</w:t>
      </w:r>
      <w:proofErr w:type="gramEnd"/>
      <w:r w:rsidRPr="00E16323">
        <w:rPr>
          <w:rFonts w:ascii="Times New Roman" w:eastAsia="Times New Roman" w:hAnsi="Times New Roman" w:cs="Times New Roman"/>
          <w:sz w:val="24"/>
          <w:szCs w:val="24"/>
        </w:rPr>
        <w:t xml:space="preserve">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 xml:space="preserve">s an </w:t>
      </w:r>
      <w:proofErr w:type="gramStart"/>
      <w:r w:rsidRPr="00E16323">
        <w:rPr>
          <w:rFonts w:ascii="Times New Roman" w:eastAsia="Times New Roman" w:hAnsi="Times New Roman" w:cs="Times New Roman"/>
          <w:sz w:val="24"/>
          <w:szCs w:val="24"/>
        </w:rPr>
        <w:t>ever present</w:t>
      </w:r>
      <w:proofErr w:type="gramEnd"/>
      <w:r w:rsidRPr="00E16323">
        <w:rPr>
          <w:rFonts w:ascii="Times New Roman" w:eastAsia="Times New Roman" w:hAnsi="Times New Roman" w:cs="Times New Roman"/>
          <w:sz w:val="24"/>
          <w:szCs w:val="24"/>
        </w:rPr>
        <w:t xml:space="preserve">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Claver</w:t>
      </w:r>
      <w:proofErr w:type="spellEnd"/>
      <w:r w:rsidRPr="00E16323">
        <w:rPr>
          <w:rFonts w:ascii="Times New Roman" w:eastAsia="Times New Roman" w:hAnsi="Times New Roman" w:cs="Times New Roman"/>
          <w:sz w:val="24"/>
          <w:szCs w:val="24"/>
        </w:rPr>
        <w:t xml:space="preserve">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w:t>
      </w:r>
      <w:proofErr w:type="gramEnd"/>
      <w:r w:rsidR="00D40647">
        <w:rPr>
          <w:rFonts w:ascii="Times New Roman" w:eastAsia="Times New Roman" w:hAnsi="Times New Roman" w:cs="Times New Roman"/>
          <w:sz w:val="24"/>
          <w:szCs w:val="24"/>
        </w:rPr>
        <w:t xml:space="preserve">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proofErr w:type="gramStart"/>
      <w:r w:rsidRPr="00E16323">
        <w:rPr>
          <w:rFonts w:ascii="Times New Roman" w:eastAsia="Times New Roman" w:hAnsi="Times New Roman" w:cs="Times New Roman"/>
          <w:sz w:val="24"/>
          <w:szCs w:val="24"/>
        </w:rPr>
        <w:t>It</w:t>
      </w:r>
      <w:proofErr w:type="gramEnd"/>
      <w:r w:rsidRPr="00E16323">
        <w:rPr>
          <w:rFonts w:ascii="Times New Roman" w:eastAsia="Times New Roman" w:hAnsi="Times New Roman" w:cs="Times New Roman"/>
          <w:sz w:val="24"/>
          <w:szCs w:val="24"/>
        </w:rPr>
        <w:t xml:space="preserve">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w:t>
      </w:r>
      <w:proofErr w:type="gramStart"/>
      <w:r w:rsidR="00F041DC" w:rsidRPr="00E16323">
        <w:rPr>
          <w:rFonts w:ascii="Times New Roman" w:eastAsia="Times New Roman" w:hAnsi="Times New Roman" w:cs="Times New Roman"/>
          <w:sz w:val="24"/>
          <w:szCs w:val="24"/>
        </w:rPr>
        <w:t>is</w:t>
      </w:r>
      <w:proofErr w:type="gramEnd"/>
      <w:r w:rsidR="00F041DC" w:rsidRPr="00E16323">
        <w:rPr>
          <w:rFonts w:ascii="Times New Roman" w:eastAsia="Times New Roman" w:hAnsi="Times New Roman" w:cs="Times New Roman"/>
          <w:sz w:val="24"/>
          <w:szCs w:val="24"/>
        </w:rPr>
        <w:t xml:space="preserve">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lastRenderedPageBreak/>
        <w:t>Olakemi</w:t>
      </w:r>
      <w:proofErr w:type="spellEnd"/>
      <w:r w:rsidRPr="00E16323">
        <w:rPr>
          <w:rFonts w:ascii="Times New Roman" w:eastAsia="Times New Roman" w:hAnsi="Times New Roman" w:cs="Times New Roman"/>
          <w:sz w:val="24"/>
          <w:szCs w:val="24"/>
        </w:rPr>
        <w:t xml:space="preserve">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8E7267">
        <w:rPr>
          <w:rFonts w:ascii="Times New Roman" w:eastAsia="Times New Roman" w:hAnsi="Times New Roman" w:cs="Times New Roman"/>
          <w:sz w:val="24"/>
          <w:szCs w:val="24"/>
        </w:rPr>
        <w:t>trudt</w:t>
      </w:r>
      <w:proofErr w:type="spellEnd"/>
      <w:r w:rsidR="00943BBE" w:rsidRPr="008E7267">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w:t>
      </w:r>
      <w:proofErr w:type="gramStart"/>
      <w:r w:rsidR="00CC5B33" w:rsidRPr="008E7267">
        <w:rPr>
          <w:rFonts w:ascii="Times New Roman" w:eastAsia="Times New Roman" w:hAnsi="Times New Roman" w:cs="Times New Roman"/>
          <w:b/>
          <w:sz w:val="24"/>
          <w:szCs w:val="24"/>
        </w:rPr>
        <w:t>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proofErr w:type="gramEnd"/>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w:t>
      </w:r>
      <w:proofErr w:type="gramStart"/>
      <w:r w:rsidR="004C16AA" w:rsidRPr="008E7267">
        <w:rPr>
          <w:rFonts w:ascii="Times New Roman" w:eastAsia="Times New Roman" w:hAnsi="Times New Roman" w:cs="Times New Roman"/>
          <w:sz w:val="24"/>
          <w:szCs w:val="24"/>
        </w:rPr>
        <w:t>high performance</w:t>
      </w:r>
      <w:proofErr w:type="gramEnd"/>
      <w:r w:rsidR="004C16AA" w:rsidRPr="008E7267">
        <w:rPr>
          <w:rFonts w:ascii="Times New Roman" w:eastAsia="Times New Roman" w:hAnsi="Times New Roman" w:cs="Times New Roman"/>
          <w:sz w:val="24"/>
          <w:szCs w:val="24"/>
        </w:rPr>
        <w:t xml:space="preserv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 xml:space="preserve">as this </w:t>
      </w:r>
      <w:proofErr w:type="gramStart"/>
      <w:r w:rsidR="00B6788B" w:rsidRPr="008E7267">
        <w:rPr>
          <w:rFonts w:ascii="Times New Roman" w:eastAsia="Times New Roman" w:hAnsi="Times New Roman" w:cs="Times New Roman"/>
          <w:sz w:val="24"/>
          <w:szCs w:val="24"/>
        </w:rPr>
        <w:t>suggest</w:t>
      </w:r>
      <w:proofErr w:type="gramEnd"/>
      <w:r w:rsidR="00B6788B" w:rsidRPr="008E7267">
        <w:rPr>
          <w:rFonts w:ascii="Times New Roman" w:eastAsia="Times New Roman" w:hAnsi="Times New Roman" w:cs="Times New Roman"/>
          <w:sz w:val="24"/>
          <w:szCs w:val="24"/>
        </w:rPr>
        <w: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w:t>
      </w:r>
      <w:proofErr w:type="gramStart"/>
      <w:r w:rsidRPr="00E16323">
        <w:rPr>
          <w:rFonts w:ascii="Times New Roman" w:eastAsia="Times New Roman" w:hAnsi="Times New Roman" w:cs="Times New Roman"/>
          <w:sz w:val="24"/>
          <w:szCs w:val="24"/>
        </w:rPr>
        <w:t>more effective and firm</w:t>
      </w:r>
      <w:proofErr w:type="gramEnd"/>
      <w:r w:rsidRPr="00E16323">
        <w:rPr>
          <w:rFonts w:ascii="Times New Roman" w:eastAsia="Times New Roman" w:hAnsi="Times New Roman" w:cs="Times New Roman"/>
          <w:sz w:val="24"/>
          <w:szCs w:val="24"/>
        </w:rPr>
        <w:t xml:space="preserve"> more efficient. It can improve employee and firm performance as well (</w:t>
      </w:r>
      <w:proofErr w:type="spellStart"/>
      <w:r w:rsidRPr="00E16323">
        <w:rPr>
          <w:rFonts w:ascii="Times New Roman" w:eastAsia="Times New Roman" w:hAnsi="Times New Roman" w:cs="Times New Roman"/>
          <w:sz w:val="24"/>
          <w:szCs w:val="24"/>
        </w:rPr>
        <w:t>Moullin</w:t>
      </w:r>
      <w:proofErr w:type="spellEnd"/>
      <w:r w:rsidRPr="00E16323">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Significant improvement in output, quality, productivity and growth </w:t>
      </w:r>
      <w:proofErr w:type="gramStart"/>
      <w:r w:rsidRPr="00E16323">
        <w:rPr>
          <w:rFonts w:ascii="Times New Roman" w:eastAsia="Times New Roman" w:hAnsi="Times New Roman" w:cs="Times New Roman"/>
          <w:sz w:val="24"/>
          <w:szCs w:val="24"/>
        </w:rPr>
        <w:t>are</w:t>
      </w:r>
      <w:proofErr w:type="gramEnd"/>
      <w:r w:rsidRPr="00E16323">
        <w:rPr>
          <w:rFonts w:ascii="Times New Roman" w:eastAsia="Times New Roman" w:hAnsi="Times New Roman" w:cs="Times New Roman"/>
          <w:sz w:val="24"/>
          <w:szCs w:val="24"/>
        </w:rPr>
        <w:t xml:space="preserv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proofErr w:type="gramStart"/>
      <w:r w:rsidRPr="00E16323">
        <w:rPr>
          <w:rFonts w:ascii="Times New Roman" w:hAnsi="Times New Roman" w:cs="Times New Roman"/>
          <w:sz w:val="24"/>
          <w:szCs w:val="24"/>
        </w:rPr>
        <w:t>ever changing</w:t>
      </w:r>
      <w:proofErr w:type="gramEnd"/>
      <w:r w:rsidRPr="00E16323">
        <w:rPr>
          <w:rFonts w:ascii="Times New Roman" w:hAnsi="Times New Roman" w:cs="Times New Roman"/>
          <w:sz w:val="24"/>
          <w:szCs w:val="24"/>
        </w:rPr>
        <w:t xml:space="preserve">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E16323">
        <w:rPr>
          <w:rFonts w:ascii="Times New Roman" w:eastAsia="Times New Roman" w:hAnsi="Times New Roman" w:cs="Times New Roman"/>
          <w:sz w:val="24"/>
          <w:szCs w:val="24"/>
        </w:rPr>
        <w:t>consist</w:t>
      </w:r>
      <w:proofErr w:type="gramEnd"/>
      <w:r w:rsidRPr="00E16323">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proofErr w:type="gramStart"/>
      <w:r w:rsidRPr="00E16323">
        <w:rPr>
          <w:rFonts w:ascii="Times New Roman" w:eastAsia="Times New Roman" w:hAnsi="Times New Roman" w:cs="Times New Roman"/>
          <w:sz w:val="24"/>
          <w:szCs w:val="24"/>
        </w:rPr>
        <w:t>period</w:t>
      </w:r>
      <w:proofErr w:type="gramEnd"/>
      <w:r w:rsidRPr="00E16323">
        <w:rPr>
          <w:rFonts w:ascii="Times New Roman" w:eastAsia="Times New Roman" w:hAnsi="Times New Roman" w:cs="Times New Roman"/>
          <w:sz w:val="24"/>
          <w:szCs w:val="24"/>
        </w:rPr>
        <w:t xml:space="preserve">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proofErr w:type="spellStart"/>
      <w:r w:rsidR="00DB034E">
        <w:rPr>
          <w:rFonts w:ascii="Times New Roman" w:eastAsia="Times New Roman" w:hAnsi="Times New Roman" w:cs="Times New Roman"/>
          <w:sz w:val="24"/>
          <w:szCs w:val="24"/>
        </w:rPr>
        <w:t>kwara</w:t>
      </w:r>
      <w:proofErr w:type="spellEnd"/>
      <w:r w:rsidR="00DB034E">
        <w:rPr>
          <w:rFonts w:ascii="Times New Roman" w:eastAsia="Times New Roman" w:hAnsi="Times New Roman" w:cs="Times New Roman"/>
          <w:sz w:val="24"/>
          <w:szCs w:val="24"/>
        </w:rPr>
        <w:t xml:space="preserve">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w:t>
      </w:r>
      <w:proofErr w:type="gramStart"/>
      <w:r w:rsidRPr="00E16323">
        <w:rPr>
          <w:rFonts w:ascii="Times New Roman" w:hAnsi="Times New Roman" w:cs="Times New Roman"/>
          <w:sz w:val="24"/>
          <w:szCs w:val="24"/>
        </w:rPr>
        <w:t>change</w:t>
      </w:r>
      <w:proofErr w:type="gramEnd"/>
      <w:r w:rsidRPr="00E16323">
        <w:rPr>
          <w:rFonts w:ascii="Times New Roman" w:hAnsi="Times New Roman" w:cs="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proofErr w:type="spellStart"/>
      <w:r w:rsidRPr="00E16323">
        <w:rPr>
          <w:rFonts w:ascii="Times New Roman" w:hAnsi="Times New Roman" w:cs="Times New Roman"/>
          <w:sz w:val="24"/>
          <w:szCs w:val="24"/>
        </w:rPr>
        <w:t>rumour</w:t>
      </w:r>
      <w:proofErr w:type="spellEnd"/>
      <w:r w:rsidRPr="00E16323">
        <w:rPr>
          <w:rFonts w:ascii="Times New Roman" w:hAnsi="Times New Roman" w:cs="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w:t>
      </w:r>
      <w:proofErr w:type="gramStart"/>
      <w:r w:rsidRPr="00E16323">
        <w:rPr>
          <w:rFonts w:ascii="Times New Roman" w:hAnsi="Times New Roman" w:cs="Times New Roman"/>
          <w:sz w:val="24"/>
          <w:szCs w:val="24"/>
        </w:rPr>
        <w:t>confused</w:t>
      </w:r>
      <w:proofErr w:type="gramEnd"/>
      <w:r w:rsidRPr="00E16323">
        <w:rPr>
          <w:rFonts w:ascii="Times New Roman" w:hAnsi="Times New Roman" w:cs="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381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proofErr w:type="gramStart"/>
      <w:r w:rsidRPr="00E16323">
        <w:rPr>
          <w:rFonts w:ascii="Times New Roman" w:hAnsi="Times New Roman" w:cs="Times New Roman"/>
          <w:sz w:val="24"/>
          <w:szCs w:val="24"/>
        </w:rPr>
        <w:t>However</w:t>
      </w:r>
      <w:proofErr w:type="gramEnd"/>
      <w:r w:rsidRPr="00E16323">
        <w:rPr>
          <w:rFonts w:ascii="Times New Roman" w:hAnsi="Times New Roman" w:cs="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w:t>
      </w:r>
      <w:proofErr w:type="gramStart"/>
      <w:r w:rsidRPr="00E16323">
        <w:rPr>
          <w:rFonts w:ascii="Times New Roman" w:hAnsi="Times New Roman" w:cs="Times New Roman"/>
          <w:sz w:val="24"/>
          <w:szCs w:val="24"/>
        </w:rPr>
        <w:t>lead</w:t>
      </w:r>
      <w:proofErr w:type="gramEnd"/>
      <w:r w:rsidRPr="00E16323">
        <w:rPr>
          <w:rFonts w:ascii="Times New Roman" w:hAnsi="Times New Roman" w:cs="Times New Roman"/>
          <w:sz w:val="24"/>
          <w:szCs w:val="24"/>
        </w:rPr>
        <w:t xml:space="preserve">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w:t>
      </w:r>
      <w:proofErr w:type="gramStart"/>
      <w:r w:rsidRPr="00E16323">
        <w:rPr>
          <w:rFonts w:ascii="Times New Roman" w:hAnsi="Times New Roman" w:cs="Times New Roman"/>
          <w:sz w:val="24"/>
          <w:szCs w:val="24"/>
        </w:rPr>
        <w:t>Usually</w:t>
      </w:r>
      <w:proofErr w:type="gramEnd"/>
      <w:r w:rsidRPr="00E16323">
        <w:rPr>
          <w:rFonts w:ascii="Times New Roman" w:hAnsi="Times New Roman" w:cs="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 change and benefits that it </w:t>
      </w:r>
      <w:proofErr w:type="gramStart"/>
      <w:r w:rsidRPr="00E16323">
        <w:rPr>
          <w:rFonts w:ascii="Times New Roman" w:hAnsi="Times New Roman" w:cs="Times New Roman"/>
          <w:sz w:val="24"/>
          <w:szCs w:val="24"/>
        </w:rPr>
        <w:t>brings</w:t>
      </w:r>
      <w:proofErr w:type="gramEnd"/>
      <w:r w:rsidRPr="00E16323">
        <w:rPr>
          <w:rFonts w:ascii="Times New Roman" w:hAnsi="Times New Roman" w:cs="Times New Roman"/>
          <w:sz w:val="24"/>
          <w:szCs w:val="24"/>
        </w:rPr>
        <w:t xml:space="preserve">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Moullins</w:t>
      </w:r>
      <w:proofErr w:type="spellEnd"/>
      <w:r w:rsidRPr="00E16323">
        <w:rPr>
          <w:rFonts w:ascii="Times New Roman" w:eastAsia="Times New Roman" w:hAnsi="Times New Roman" w:cs="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 xml:space="preserve">Workers apprehend technological unemployment. New technology is expected to reduce the proportion of </w:t>
      </w:r>
      <w:proofErr w:type="spellStart"/>
      <w:r w:rsidRPr="00B33DCC">
        <w:rPr>
          <w:rFonts w:ascii="Times New Roman" w:eastAsia="Times New Roman" w:hAnsi="Times New Roman" w:cs="Times New Roman"/>
          <w:sz w:val="24"/>
          <w:szCs w:val="24"/>
        </w:rPr>
        <w:t>labour</w:t>
      </w:r>
      <w:proofErr w:type="spellEnd"/>
      <w:r w:rsidRPr="00B33DCC">
        <w:rPr>
          <w:rFonts w:ascii="Times New Roman" w:eastAsia="Times New Roman" w:hAnsi="Times New Roman" w:cs="Times New Roman"/>
          <w:sz w:val="24"/>
          <w:szCs w:val="24"/>
        </w:rPr>
        <w:t xml:space="preserve">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w:t>
      </w:r>
      <w:proofErr w:type="spellStart"/>
      <w:r w:rsidRPr="00C93155">
        <w:rPr>
          <w:rFonts w:ascii="Times New Roman" w:eastAsia="Times New Roman" w:hAnsi="Times New Roman" w:cs="Times New Roman"/>
          <w:sz w:val="24"/>
          <w:szCs w:val="24"/>
        </w:rPr>
        <w:t>etc</w:t>
      </w:r>
      <w:proofErr w:type="spellEnd"/>
      <w:r w:rsidRPr="00C93155">
        <w:rPr>
          <w:rFonts w:ascii="Times New Roman" w:eastAsia="Times New Roman" w:hAnsi="Times New Roman" w:cs="Times New Roman"/>
          <w:sz w:val="24"/>
          <w:szCs w:val="24"/>
        </w:rPr>
        <w:t xml:space="preserve">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Making managers the change drivers and change initiators is often the best way of securing </w:t>
      </w:r>
      <w:proofErr w:type="spellStart"/>
      <w:r w:rsidRPr="00E16323">
        <w:rPr>
          <w:rFonts w:ascii="Times New Roman" w:eastAsia="Times New Roman" w:hAnsi="Times New Roman" w:cs="Times New Roman"/>
          <w:sz w:val="24"/>
          <w:szCs w:val="24"/>
        </w:rPr>
        <w:t>thie</w:t>
      </w:r>
      <w:proofErr w:type="spellEnd"/>
      <w:r w:rsidRPr="00E16323">
        <w:rPr>
          <w:rFonts w:ascii="Times New Roman" w:eastAsia="Times New Roman" w:hAnsi="Times New Roman" w:cs="Times New Roman"/>
          <w:sz w:val="24"/>
          <w:szCs w:val="24"/>
        </w:rPr>
        <w:t xml:space="preserve"> support. The point here is that by getting managers to be the ones who are implementing the felt change and by giving them </w:t>
      </w:r>
      <w:proofErr w:type="spellStart"/>
      <w:r w:rsidRPr="00E16323">
        <w:rPr>
          <w:rFonts w:ascii="Times New Roman" w:eastAsia="Times New Roman" w:hAnsi="Times New Roman" w:cs="Times New Roman"/>
          <w:sz w:val="24"/>
          <w:szCs w:val="24"/>
        </w:rPr>
        <w:t>centre</w:t>
      </w:r>
      <w:proofErr w:type="spellEnd"/>
      <w:r w:rsidRPr="00E16323">
        <w:rPr>
          <w:rFonts w:ascii="Times New Roman" w:eastAsia="Times New Roman" w:hAnsi="Times New Roman" w:cs="Times New Roman"/>
          <w:sz w:val="24"/>
          <w:szCs w:val="24"/>
        </w:rPr>
        <w:t xml:space="preserv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xml:space="preserve">. As mentioned earlier, if the benefits of change are explained and by persuading that the change does not involve downsizing or other in </w:t>
      </w:r>
      <w:proofErr w:type="spellStart"/>
      <w:r w:rsidRPr="00E16323">
        <w:rPr>
          <w:rFonts w:ascii="Times New Roman" w:eastAsia="Times New Roman" w:hAnsi="Times New Roman" w:cs="Times New Roman"/>
          <w:sz w:val="24"/>
          <w:szCs w:val="24"/>
        </w:rPr>
        <w:t>rooles</w:t>
      </w:r>
      <w:proofErr w:type="spellEnd"/>
      <w:r w:rsidRPr="00E16323">
        <w:rPr>
          <w:rFonts w:ascii="Times New Roman" w:eastAsia="Times New Roman" w:hAnsi="Times New Roman" w:cs="Times New Roman"/>
          <w:sz w:val="24"/>
          <w:szCs w:val="24"/>
        </w:rPr>
        <w:t xml:space="preserve">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 xml:space="preserve">and giving a sense of ownership to managers and taking </w:t>
      </w:r>
      <w:proofErr w:type="spellStart"/>
      <w:r w:rsidRPr="00E16323">
        <w:rPr>
          <w:rFonts w:ascii="Times New Roman" w:eastAsia="Times New Roman" w:hAnsi="Times New Roman" w:cs="Times New Roman"/>
          <w:sz w:val="24"/>
          <w:szCs w:val="24"/>
        </w:rPr>
        <w:t>thir</w:t>
      </w:r>
      <w:proofErr w:type="spellEnd"/>
      <w:r w:rsidRPr="00E16323">
        <w:rPr>
          <w:rFonts w:ascii="Times New Roman" w:eastAsia="Times New Roman" w:hAnsi="Times New Roman" w:cs="Times New Roman"/>
          <w:sz w:val="24"/>
          <w:szCs w:val="24"/>
        </w:rPr>
        <w:t xml:space="preserve">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Personal loss/gain of individuals is </w:t>
      </w:r>
      <w:proofErr w:type="gramStart"/>
      <w:r w:rsidRPr="00E16323">
        <w:rPr>
          <w:rFonts w:ascii="Times New Roman" w:hAnsi="Times New Roman" w:cs="Times New Roman"/>
          <w:sz w:val="24"/>
          <w:szCs w:val="24"/>
        </w:rPr>
        <w:t>acknowledge</w:t>
      </w:r>
      <w:proofErr w:type="gramEnd"/>
      <w:r w:rsidRPr="00E16323">
        <w:rPr>
          <w:rFonts w:ascii="Times New Roman" w:hAnsi="Times New Roman" w:cs="Times New Roman"/>
          <w:sz w:val="24"/>
          <w:szCs w:val="24"/>
        </w:rPr>
        <w:t xml:space="preserv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proofErr w:type="spellStart"/>
      <w:r>
        <w:rPr>
          <w:rFonts w:ascii="Times New Roman" w:hAnsi="Times New Roman" w:cs="Times New Roman"/>
          <w:sz w:val="24"/>
          <w:szCs w:val="24"/>
        </w:rPr>
        <w:t>Upadhaya</w:t>
      </w:r>
      <w:proofErr w:type="spellEnd"/>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xml:space="preserve">, no matter what mission, strategies, or goals are being pursued. Managers at all organizational echelons and in all </w:t>
      </w:r>
      <w:proofErr w:type="gramStart"/>
      <w:r w:rsidR="00913FFE" w:rsidRPr="00E16323">
        <w:rPr>
          <w:rFonts w:ascii="Times New Roman" w:hAnsi="Times New Roman" w:cs="Times New Roman"/>
          <w:sz w:val="24"/>
          <w:szCs w:val="24"/>
        </w:rPr>
        <w:t>work</w:t>
      </w:r>
      <w:proofErr w:type="gramEnd"/>
      <w:r w:rsidR="00913FFE" w:rsidRPr="00E16323">
        <w:rPr>
          <w:rFonts w:ascii="Times New Roman" w:hAnsi="Times New Roman" w:cs="Times New Roman"/>
          <w:sz w:val="24"/>
          <w:szCs w:val="24"/>
        </w:rPr>
        <w:t xml:space="preserve"> areas manage their available assets - people, information, equipment </w:t>
      </w:r>
      <w:proofErr w:type="spellStart"/>
      <w:r w:rsidR="00913FFE" w:rsidRPr="00E16323">
        <w:rPr>
          <w:rFonts w:ascii="Times New Roman" w:hAnsi="Times New Roman" w:cs="Times New Roman"/>
          <w:sz w:val="24"/>
          <w:szCs w:val="24"/>
        </w:rPr>
        <w:t>etc</w:t>
      </w:r>
      <w:proofErr w:type="spellEnd"/>
      <w:r w:rsidR="00913FFE" w:rsidRPr="00E16323">
        <w:rPr>
          <w:rFonts w:ascii="Times New Roman" w:hAnsi="Times New Roman" w:cs="Times New Roman"/>
          <w:sz w:val="24"/>
          <w:szCs w:val="24"/>
        </w:rPr>
        <w:t xml:space="preserve">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 xml:space="preserve">hile, three of these </w:t>
      </w:r>
      <w:proofErr w:type="gramStart"/>
      <w:r w:rsidR="00B83570">
        <w:rPr>
          <w:rFonts w:ascii="Times New Roman" w:hAnsi="Times New Roman" w:cs="Times New Roman"/>
          <w:sz w:val="24"/>
          <w:szCs w:val="24"/>
        </w:rPr>
        <w:t>employees</w:t>
      </w:r>
      <w:proofErr w:type="gramEnd"/>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w:t>
      </w:r>
      <w:proofErr w:type="spellStart"/>
      <w:r w:rsidRPr="00E16323">
        <w:rPr>
          <w:rFonts w:ascii="Times New Roman" w:eastAsia="Times New Roman" w:hAnsi="Times New Roman" w:cs="Times New Roman"/>
          <w:sz w:val="24"/>
          <w:szCs w:val="24"/>
        </w:rPr>
        <w:t>are</w:t>
      </w:r>
      <w:proofErr w:type="spellEnd"/>
      <w:r w:rsidRPr="00E16323">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w:t>
      </w:r>
      <w:proofErr w:type="gramStart"/>
      <w:r w:rsidRPr="00E16323">
        <w:rPr>
          <w:rFonts w:ascii="Times New Roman" w:eastAsia="Times New Roman" w:hAnsi="Times New Roman" w:cs="Times New Roman"/>
          <w:sz w:val="24"/>
          <w:szCs w:val="24"/>
        </w:rPr>
        <w:t>assume</w:t>
      </w:r>
      <w:proofErr w:type="gramEnd"/>
      <w:r w:rsidRPr="00E16323">
        <w:rPr>
          <w:rFonts w:ascii="Times New Roman" w:eastAsia="Times New Roman" w:hAnsi="Times New Roman" w:cs="Times New Roman"/>
          <w:sz w:val="24"/>
          <w:szCs w:val="24"/>
        </w:rPr>
        <w:t xml:space="preserv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Productivity, according to business dictionary is defined as the measure of the efficiency of a person, machine, factory, system,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xml:space="preserve"> in converting inputs (</w:t>
      </w:r>
      <w:proofErr w:type="spellStart"/>
      <w:r w:rsidRPr="00E16323">
        <w:rPr>
          <w:rFonts w:ascii="Times New Roman" w:eastAsia="Times New Roman" w:hAnsi="Times New Roman" w:cs="Times New Roman"/>
          <w:sz w:val="24"/>
          <w:szCs w:val="24"/>
        </w:rPr>
        <w:t>labour</w:t>
      </w:r>
      <w:proofErr w:type="spellEnd"/>
      <w:r w:rsidRPr="00E16323">
        <w:rPr>
          <w:rFonts w:ascii="Times New Roman" w:eastAsia="Times New Roman" w:hAnsi="Times New Roman" w:cs="Times New Roman"/>
          <w:sz w:val="24"/>
          <w:szCs w:val="24"/>
        </w:rPr>
        <w:t xml:space="preserve">, capital, energy, materials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Weihrich</w:t>
      </w:r>
      <w:proofErr w:type="spellEnd"/>
      <w:r w:rsidRPr="00E16323">
        <w:rPr>
          <w:rFonts w:ascii="Times New Roman" w:eastAsia="Times New Roman" w:hAnsi="Times New Roman" w:cs="Times New Roman"/>
          <w:sz w:val="24"/>
          <w:szCs w:val="24"/>
        </w:rPr>
        <w:t xml:space="preserve">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w:t>
      </w:r>
      <w:proofErr w:type="gramStart"/>
      <w:r w:rsidR="002C73F6">
        <w:rPr>
          <w:rFonts w:ascii="Times New Roman" w:hAnsi="Times New Roman" w:cs="Times New Roman"/>
          <w:sz w:val="24"/>
          <w:szCs w:val="24"/>
        </w:rPr>
        <w:t>Change</w:t>
      </w:r>
      <w:proofErr w:type="gramEnd"/>
      <w:r w:rsidR="002C73F6">
        <w:rPr>
          <w:rFonts w:ascii="Times New Roman" w:hAnsi="Times New Roman" w:cs="Times New Roman"/>
          <w:sz w:val="24"/>
          <w:szCs w:val="24"/>
        </w:rPr>
        <w:t xml:space="preserv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 xml:space="preserve">efreezing is the ultimate stage in which people accept or internalize the new ways of working or change, accept it as a part of their life and establish new relationships. For strengthening and reinforcing the new </w:t>
      </w:r>
      <w:proofErr w:type="spellStart"/>
      <w:r w:rsidRPr="00E16323">
        <w:t>behaviour</w:t>
      </w:r>
      <w:proofErr w:type="spellEnd"/>
      <w:r w:rsidRPr="00E16323">
        <w:t xml:space="preserve">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w:t>
      </w:r>
      <w:proofErr w:type="spellStart"/>
      <w:r w:rsidR="00076BE7" w:rsidRPr="00E16323">
        <w:t>Femstar</w:t>
      </w:r>
      <w:proofErr w:type="spellEnd"/>
      <w:r w:rsidR="00076BE7" w:rsidRPr="00E16323">
        <w:t xml:space="preserve">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 xml:space="preserve">ions of </w:t>
      </w:r>
      <w:proofErr w:type="spellStart"/>
      <w:r w:rsidR="00AC664D" w:rsidRPr="00E16323">
        <w:t>Femstar</w:t>
      </w:r>
      <w:proofErr w:type="spellEnd"/>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w:t>
      </w:r>
      <w:proofErr w:type="spellStart"/>
      <w:r w:rsidR="00E248F2" w:rsidRPr="00E16323">
        <w:t>behaviours</w:t>
      </w:r>
      <w:proofErr w:type="spellEnd"/>
      <w:r w:rsidR="00E248F2" w:rsidRPr="00E16323">
        <w:t xml:space="preserve">. For refreezing the </w:t>
      </w:r>
      <w:proofErr w:type="spellStart"/>
      <w:r w:rsidR="00E248F2" w:rsidRPr="00E16323">
        <w:t>behavio</w:t>
      </w:r>
      <w:r w:rsidR="00B53567">
        <w:t>ural</w:t>
      </w:r>
      <w:proofErr w:type="spellEnd"/>
      <w:r w:rsidR="00B53567">
        <w:t xml:space="preserve"> change of the employees, it</w:t>
      </w:r>
      <w:r w:rsidR="00E248F2" w:rsidRPr="00E16323">
        <w:t xml:space="preserve"> introduced performance-based pay, implemented an open system of feedback for guiding and facilitating the employees in accepting the new </w:t>
      </w:r>
      <w:proofErr w:type="spellStart"/>
      <w:r w:rsidR="00E248F2" w:rsidRPr="00E16323">
        <w:t>behaviour</w:t>
      </w:r>
      <w:r w:rsidR="00B53567">
        <w:t>al</w:t>
      </w:r>
      <w:proofErr w:type="spellEnd"/>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Changing the </w:t>
      </w:r>
      <w:proofErr w:type="spellStart"/>
      <w:r w:rsidRPr="00E16323">
        <w:rPr>
          <w:rFonts w:ascii="Times New Roman" w:hAnsi="Times New Roman" w:cs="Times New Roman"/>
          <w:sz w:val="24"/>
          <w:szCs w:val="24"/>
        </w:rPr>
        <w:t>behaviour</w:t>
      </w:r>
      <w:r w:rsidR="00054253" w:rsidRPr="00E16323">
        <w:rPr>
          <w:rFonts w:ascii="Times New Roman" w:hAnsi="Times New Roman" w:cs="Times New Roman"/>
          <w:sz w:val="24"/>
          <w:szCs w:val="24"/>
        </w:rPr>
        <w:t>s</w:t>
      </w:r>
      <w:proofErr w:type="spellEnd"/>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i</w:t>
      </w:r>
      <w:proofErr w:type="spellEnd"/>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 xml:space="preserve">Focus on the </w:t>
      </w:r>
      <w:proofErr w:type="gramStart"/>
      <w:r w:rsidR="009859D0" w:rsidRPr="00A87BA8">
        <w:rPr>
          <w:rFonts w:ascii="Times New Roman" w:eastAsia="Times New Roman" w:hAnsi="Times New Roman" w:cs="Times New Roman"/>
          <w:b/>
          <w:sz w:val="24"/>
          <w:szCs w:val="24"/>
        </w:rPr>
        <w:t>short term</w:t>
      </w:r>
      <w:proofErr w:type="gramEnd"/>
      <w:r w:rsidR="009859D0" w:rsidRPr="00A87BA8">
        <w:rPr>
          <w:rFonts w:ascii="Times New Roman" w:eastAsia="Times New Roman" w:hAnsi="Times New Roman" w:cs="Times New Roman"/>
          <w:b/>
          <w:sz w:val="24"/>
          <w:szCs w:val="24"/>
        </w:rPr>
        <w:t xml:space="preserve"> goals</w:t>
      </w:r>
      <w:r w:rsidR="009859D0" w:rsidRPr="00A87BA8">
        <w:rPr>
          <w:rFonts w:ascii="Times New Roman" w:eastAsia="Times New Roman" w:hAnsi="Times New Roman" w:cs="Times New Roman"/>
          <w:sz w:val="24"/>
          <w:szCs w:val="24"/>
        </w:rPr>
        <w:t xml:space="preserve"> – a good way to achieve success without too much pressure is by focusing on </w:t>
      </w:r>
      <w:proofErr w:type="spellStart"/>
      <w:r w:rsidR="009859D0" w:rsidRPr="00A87BA8">
        <w:rPr>
          <w:rFonts w:ascii="Times New Roman" w:eastAsia="Times New Roman" w:hAnsi="Times New Roman" w:cs="Times New Roman"/>
          <w:sz w:val="24"/>
          <w:szCs w:val="24"/>
        </w:rPr>
        <w:t>shrt</w:t>
      </w:r>
      <w:proofErr w:type="spellEnd"/>
      <w:r w:rsidR="009859D0" w:rsidRPr="00A87BA8">
        <w:rPr>
          <w:rFonts w:ascii="Times New Roman" w:eastAsia="Times New Roman" w:hAnsi="Times New Roman" w:cs="Times New Roman"/>
          <w:sz w:val="24"/>
          <w:szCs w:val="24"/>
        </w:rPr>
        <w:t xml:space="preserve">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 xml:space="preserve">conducted </w:t>
      </w:r>
      <w:proofErr w:type="gramStart"/>
      <w:r w:rsidR="00041E8C" w:rsidRPr="00E16323">
        <w:rPr>
          <w:rFonts w:ascii="Times New Roman" w:eastAsia="Times New Roman" w:hAnsi="Times New Roman" w:cs="Times New Roman"/>
          <w:sz w:val="24"/>
          <w:szCs w:val="24"/>
        </w:rPr>
        <w:t>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proofErr w:type="gramEnd"/>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HBC AG, an anchor bottler for the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company in </w:t>
      </w:r>
      <w:proofErr w:type="gramStart"/>
      <w:r w:rsidRPr="005E0B33">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eight</w:t>
      </w:r>
      <w:proofErr w:type="gramEnd"/>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w:t>
      </w:r>
      <w:proofErr w:type="gramStart"/>
      <w:r>
        <w:rPr>
          <w:rFonts w:ascii="Times New Roman" w:eastAsia="Times New Roman" w:hAnsi="Times New Roman" w:cs="Times New Roman"/>
          <w:sz w:val="24"/>
          <w:szCs w:val="24"/>
        </w:rPr>
        <w:t>eighty one</w:t>
      </w:r>
      <w:proofErr w:type="gramEnd"/>
      <w:r>
        <w:rPr>
          <w:rFonts w:ascii="Times New Roman" w:eastAsia="Times New Roman" w:hAnsi="Times New Roman" w:cs="Times New Roman"/>
          <w:sz w:val="24"/>
          <w:szCs w:val="24"/>
        </w:rPr>
        <w:t xml:space="preserve"> million (581,000,000) consumers in these markets. As the pioneer bottler in the group, Nigerian bottling company Plc prides itself as the bedrock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Helenic</w:t>
      </w:r>
      <w:proofErr w:type="spellEnd"/>
      <w:r>
        <w:rPr>
          <w:rFonts w:ascii="Times New Roman" w:eastAsia="Times New Roman" w:hAnsi="Times New Roman" w:cs="Times New Roman"/>
          <w:sz w:val="24"/>
          <w:szCs w:val="24"/>
        </w:rPr>
        <w:t>, the company is head quartered in Ebute-</w:t>
      </w:r>
      <w:proofErr w:type="gramStart"/>
      <w:r>
        <w:rPr>
          <w:rFonts w:ascii="Times New Roman" w:eastAsia="Times New Roman" w:hAnsi="Times New Roman" w:cs="Times New Roman"/>
          <w:sz w:val="24"/>
          <w:szCs w:val="24"/>
        </w:rPr>
        <w:t>Metta ,</w:t>
      </w:r>
      <w:proofErr w:type="gramEnd"/>
      <w:r>
        <w:rPr>
          <w:rFonts w:ascii="Times New Roman" w:eastAsia="Times New Roman" w:hAnsi="Times New Roman" w:cs="Times New Roman"/>
          <w:sz w:val="24"/>
          <w:szCs w:val="24"/>
        </w:rPr>
        <w:t xml:space="preserve"> Lagos and operate thirteen bottling facilities,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commercial territories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w:t>
      </w:r>
      <w:proofErr w:type="spellStart"/>
      <w:r>
        <w:rPr>
          <w:rFonts w:ascii="Times New Roman" w:eastAsia="Times New Roman" w:hAnsi="Times New Roman" w:cs="Times New Roman"/>
          <w:sz w:val="24"/>
          <w:szCs w:val="24"/>
        </w:rPr>
        <w:t>Levetis</w:t>
      </w:r>
      <w:proofErr w:type="spellEnd"/>
      <w:r>
        <w:rPr>
          <w:rFonts w:ascii="Times New Roman" w:eastAsia="Times New Roman" w:hAnsi="Times New Roman" w:cs="Times New Roman"/>
          <w:sz w:val="24"/>
          <w:szCs w:val="24"/>
        </w:rPr>
        <w:t xml:space="preserve"> Group with the franchise to bottle and sell products of the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company in Nigeria. Two years later, in 1953, the production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 xml:space="preserve">employees of Nigerian </w:t>
      </w:r>
      <w:proofErr w:type="spellStart"/>
      <w:r w:rsidR="001A5164">
        <w:rPr>
          <w:rFonts w:ascii="Times New Roman" w:eastAsia="Times New Roman" w:hAnsi="Times New Roman" w:cs="Times New Roman"/>
          <w:sz w:val="24"/>
          <w:szCs w:val="24"/>
        </w:rPr>
        <w:t>Bottking</w:t>
      </w:r>
      <w:proofErr w:type="spellEnd"/>
      <w:r w:rsidR="001A5164">
        <w:rPr>
          <w:rFonts w:ascii="Times New Roman" w:eastAsia="Times New Roman" w:hAnsi="Times New Roman" w:cs="Times New Roman"/>
          <w:sz w:val="24"/>
          <w:szCs w:val="24"/>
        </w:rPr>
        <w:t xml:space="preserve">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 xml:space="preserve">ne thousand five hundred and </w:t>
      </w:r>
      <w:proofErr w:type="gramStart"/>
      <w:r w:rsidR="001A5164">
        <w:rPr>
          <w:rFonts w:ascii="Times New Roman" w:eastAsia="Times New Roman" w:hAnsi="Times New Roman" w:cs="Times New Roman"/>
          <w:sz w:val="24"/>
          <w:szCs w:val="24"/>
        </w:rPr>
        <w:t>twenty six</w:t>
      </w:r>
      <w:proofErr w:type="gramEnd"/>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w:t>
      </w:r>
      <w:proofErr w:type="gramStart"/>
      <w:r w:rsidR="000E0F6E">
        <w:rPr>
          <w:rFonts w:ascii="Times New Roman" w:eastAsia="Times New Roman" w:hAnsi="Times New Roman" w:cs="Times New Roman"/>
          <w:sz w:val="24"/>
          <w:szCs w:val="24"/>
        </w:rPr>
        <w:t>thirty five</w:t>
      </w:r>
      <w:proofErr w:type="gramEnd"/>
      <w:r w:rsidR="000E0F6E">
        <w:rPr>
          <w:rFonts w:ascii="Times New Roman" w:eastAsia="Times New Roman" w:hAnsi="Times New Roman" w:cs="Times New Roman"/>
          <w:sz w:val="24"/>
          <w:szCs w:val="24"/>
        </w:rPr>
        <w:t xml:space="preser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 xml:space="preserve">using </w:t>
      </w:r>
      <w:proofErr w:type="spellStart"/>
      <w:r w:rsidR="000E0F6E">
        <w:rPr>
          <w:rFonts w:ascii="Times New Roman" w:eastAsia="Times New Roman" w:hAnsi="Times New Roman" w:cs="Times New Roman"/>
          <w:sz w:val="24"/>
          <w:szCs w:val="24"/>
        </w:rPr>
        <w:t>Krejcie</w:t>
      </w:r>
      <w:proofErr w:type="spellEnd"/>
      <w:r w:rsidR="000E0F6E">
        <w:rPr>
          <w:rFonts w:ascii="Times New Roman" w:eastAsia="Times New Roman" w:hAnsi="Times New Roman" w:cs="Times New Roman"/>
          <w:sz w:val="24"/>
          <w:szCs w:val="24"/>
        </w:rPr>
        <w:t xml:space="preserv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w:t>
      </w:r>
      <w:proofErr w:type="gramStart"/>
      <w:r w:rsidR="001938AB">
        <w:rPr>
          <w:rFonts w:ascii="Times New Roman" w:eastAsia="Times New Roman" w:hAnsi="Times New Roman" w:cs="Times New Roman"/>
          <w:sz w:val="24"/>
          <w:szCs w:val="24"/>
        </w:rPr>
        <w:t>five point</w:t>
      </w:r>
      <w:proofErr w:type="gramEnd"/>
      <w:r w:rsidR="001938AB">
        <w:rPr>
          <w:rFonts w:ascii="Times New Roman" w:eastAsia="Times New Roman" w:hAnsi="Times New Roman" w:cs="Times New Roman"/>
          <w:sz w:val="24"/>
          <w:szCs w:val="24"/>
        </w:rPr>
        <w:t xml:space="preserve">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w:t>
      </w:r>
      <w:proofErr w:type="gramStart"/>
      <w:r w:rsidR="00B44D0C">
        <w:rPr>
          <w:rFonts w:ascii="Times New Roman" w:eastAsia="Times New Roman" w:hAnsi="Times New Roman" w:cs="Times New Roman"/>
          <w:sz w:val="24"/>
          <w:szCs w:val="24"/>
        </w:rPr>
        <w:t>…..</w:t>
      </w:r>
      <w:proofErr w:type="gramEnd"/>
      <w:r w:rsidR="00B44D0C">
        <w:rPr>
          <w:rFonts w:ascii="Times New Roman" w:eastAsia="Times New Roman" w:hAnsi="Times New Roman" w:cs="Times New Roman"/>
          <w:sz w:val="24"/>
          <w:szCs w:val="24"/>
        </w:rPr>
        <w:t>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proofErr w:type="spellStart"/>
            <w:proofErr w:type="gramStart"/>
            <w:r w:rsidRPr="00FE390C">
              <w:rPr>
                <w:rFonts w:asciiTheme="majorBidi" w:hAnsiTheme="majorBidi" w:cstheme="majorBidi"/>
                <w:sz w:val="24"/>
                <w:szCs w:val="24"/>
              </w:rPr>
              <w:t>B.Sc</w:t>
            </w:r>
            <w:proofErr w:type="spellEnd"/>
            <w:proofErr w:type="gramEnd"/>
            <w:r w:rsidRPr="00FE390C">
              <w:rPr>
                <w:rFonts w:asciiTheme="majorBidi" w:hAnsiTheme="majorBidi" w:cstheme="majorBidi"/>
                <w:sz w:val="24"/>
                <w:szCs w:val="24"/>
              </w:rPr>
              <w:t xml:space="preserve">/HND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spellStart"/>
      <w:proofErr w:type="gramStart"/>
      <w:r>
        <w:rPr>
          <w:rFonts w:asciiTheme="majorBidi" w:hAnsiTheme="majorBidi" w:cstheme="majorBidi"/>
          <w:sz w:val="24"/>
          <w:szCs w:val="24"/>
        </w:rPr>
        <w:t>B.Sc</w:t>
      </w:r>
      <w:proofErr w:type="spellEnd"/>
      <w:proofErr w:type="gram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table above indicates that 5 of the respondents representing 1.6% were top level managers, 159 (50.8%) were middle level managers, 144 (46.0%) of them were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proofErr w:type="gramStart"/>
            <w:r>
              <w:rPr>
                <w:rFonts w:asciiTheme="majorBidi" w:hAnsiTheme="majorBidi" w:cstheme="majorBidi"/>
                <w:sz w:val="24"/>
                <w:szCs w:val="24"/>
              </w:rPr>
              <w:t xml:space="preserve">Regular  </w:t>
            </w:r>
            <w:r w:rsidR="00A30205">
              <w:rPr>
                <w:rFonts w:asciiTheme="majorBidi" w:hAnsiTheme="majorBidi" w:cstheme="majorBidi"/>
                <w:sz w:val="24"/>
                <w:szCs w:val="24"/>
              </w:rPr>
              <w:t>employment</w:t>
            </w:r>
            <w:proofErr w:type="gramEnd"/>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 xml:space="preserve">y affect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 xml:space="preserve">Valid </w:t>
            </w:r>
            <w:r>
              <w:rPr>
                <w:rFonts w:asciiTheme="majorBidi" w:hAnsiTheme="majorBidi" w:cstheme="majorBidi"/>
                <w:sz w:val="24"/>
                <w:szCs w:val="24"/>
              </w:rPr>
              <w:t>:</w:t>
            </w:r>
            <w:proofErr w:type="gramEnd"/>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Valid  SA</w:t>
            </w:r>
            <w:proofErr w:type="gramEnd"/>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w:t>
      </w:r>
      <w:proofErr w:type="gramStart"/>
      <w:r w:rsidR="00A30205">
        <w:rPr>
          <w:rFonts w:asciiTheme="majorBidi" w:hAnsiTheme="majorBidi" w:cstheme="majorBidi"/>
          <w:bCs/>
          <w:sz w:val="24"/>
          <w:szCs w:val="24"/>
        </w:rPr>
        <w:t>amount</w:t>
      </w:r>
      <w:proofErr w:type="gramEnd"/>
      <w:r w:rsidR="00A30205">
        <w:rPr>
          <w:rFonts w:asciiTheme="majorBidi" w:hAnsiTheme="majorBidi" w:cstheme="majorBidi"/>
          <w:bCs/>
          <w:sz w:val="24"/>
          <w:szCs w:val="24"/>
        </w:rPr>
        <w:t xml:space="preserve">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w:t>
      </w:r>
      <w:proofErr w:type="gramStart"/>
      <w:r>
        <w:rPr>
          <w:rFonts w:asciiTheme="majorBidi" w:hAnsiTheme="majorBidi" w:cstheme="majorBidi"/>
          <w:b/>
          <w:bCs/>
          <w:sz w:val="24"/>
          <w:szCs w:val="24"/>
        </w:rPr>
        <w:t>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proofErr w:type="gramStart"/>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r>
      <w:proofErr w:type="spellStart"/>
      <w:r w:rsidRPr="006359CD">
        <w:rPr>
          <w:rFonts w:asciiTheme="majorBidi" w:hAnsiTheme="majorBidi" w:cstheme="majorBidi"/>
          <w:b/>
          <w:bCs/>
          <w:sz w:val="24"/>
          <w:szCs w:val="24"/>
        </w:rPr>
        <w:t>ANOVA</w:t>
      </w:r>
      <w:r w:rsidRPr="006359CD">
        <w:rPr>
          <w:rFonts w:asciiTheme="majorBidi" w:hAnsiTheme="majorBidi" w:cstheme="majorBidi"/>
          <w:b/>
          <w:bCs/>
          <w:sz w:val="24"/>
          <w:szCs w:val="24"/>
          <w:vertAlign w:val="superscript"/>
        </w:rPr>
        <w:t>a</w:t>
      </w:r>
      <w:proofErr w:type="spellEnd"/>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proofErr w:type="spellStart"/>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roofErr w:type="spellEnd"/>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w:t>
            </w:r>
            <w:proofErr w:type="gramStart"/>
            <w:r w:rsidR="00860983">
              <w:rPr>
                <w:rFonts w:asciiTheme="majorBidi" w:hAnsiTheme="majorBidi" w:cstheme="majorBidi"/>
                <w:sz w:val="24"/>
                <w:szCs w:val="24"/>
              </w:rPr>
              <w:t xml:space="preserve">   (</w:t>
            </w:r>
            <w:proofErr w:type="gramEnd"/>
            <w:r w:rsidR="00860983">
              <w:rPr>
                <w:rFonts w:asciiTheme="majorBidi" w:hAnsiTheme="majorBidi" w:cstheme="majorBidi"/>
                <w:sz w:val="24"/>
                <w:szCs w:val="24"/>
              </w:rPr>
              <w:t>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w:t>
      </w:r>
      <w:proofErr w:type="gramStart"/>
      <w:r w:rsidR="00FA60FD" w:rsidRPr="00712317">
        <w:rPr>
          <w:rFonts w:asciiTheme="majorBidi" w:hAnsiTheme="majorBidi" w:cstheme="majorBidi"/>
          <w:sz w:val="24"/>
          <w:szCs w:val="24"/>
        </w:rPr>
        <w:t>indicate</w:t>
      </w:r>
      <w:proofErr w:type="gramEnd"/>
      <w:r w:rsidR="00FA60FD" w:rsidRPr="00712317">
        <w:rPr>
          <w:rFonts w:asciiTheme="majorBidi" w:hAnsiTheme="majorBidi" w:cstheme="majorBidi"/>
          <w:sz w:val="24"/>
          <w:szCs w:val="24"/>
        </w:rPr>
        <w:t xml:space="preserv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proofErr w:type="spellStart"/>
      <w:r w:rsidR="00FA60FD" w:rsidRPr="006359CD">
        <w:rPr>
          <w:rFonts w:asciiTheme="majorBidi" w:hAnsiTheme="majorBidi" w:cstheme="majorBidi"/>
          <w:b/>
          <w:bCs/>
          <w:sz w:val="24"/>
          <w:szCs w:val="24"/>
        </w:rPr>
        <w:t>ANOVA</w:t>
      </w:r>
      <w:r w:rsidR="00FA60FD" w:rsidRPr="006359CD">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roofErr w:type="spellEnd"/>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proofErr w:type="spellStart"/>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roofErr w:type="spellEnd"/>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But using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 Model for Cultural Change’ </w:t>
      </w:r>
      <w:r w:rsidRPr="00683A62">
        <w:rPr>
          <w:rFonts w:ascii="Times New Roman" w:eastAsia="Times New Roman" w:hAnsi="Times New Roman" w:cs="Times New Roman"/>
          <w:i/>
          <w:sz w:val="24"/>
          <w:szCs w:val="24"/>
        </w:rPr>
        <w:t xml:space="preserve">Journal of </w:t>
      </w:r>
      <w:proofErr w:type="gramStart"/>
      <w:r w:rsidRPr="00683A62">
        <w:rPr>
          <w:rFonts w:ascii="Times New Roman" w:eastAsia="Times New Roman" w:hAnsi="Times New Roman" w:cs="Times New Roman"/>
          <w:i/>
          <w:sz w:val="24"/>
          <w:szCs w:val="24"/>
        </w:rPr>
        <w:t>Management.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Asika, N. (2004), Research Methodology: A Process Approach. </w:t>
      </w:r>
      <w:proofErr w:type="spellStart"/>
      <w:r>
        <w:rPr>
          <w:rFonts w:ascii="Times New Roman" w:eastAsia="Times New Roman" w:hAnsi="Times New Roman" w:cs="Times New Roman"/>
          <w:sz w:val="24"/>
          <w:szCs w:val="24"/>
        </w:rPr>
        <w:t>Unilag</w:t>
      </w:r>
      <w:proofErr w:type="spellEnd"/>
      <w:r>
        <w:rPr>
          <w:rFonts w:ascii="Times New Roman" w:eastAsia="Times New Roman" w:hAnsi="Times New Roman" w:cs="Times New Roman"/>
          <w:sz w:val="24"/>
          <w:szCs w:val="24"/>
        </w:rPr>
        <w:t xml:space="preserve">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Barbaroux</w:t>
      </w:r>
      <w:proofErr w:type="spellEnd"/>
      <w:r>
        <w:rPr>
          <w:rFonts w:ascii="Times New Roman" w:eastAsia="Times New Roman" w:hAnsi="Times New Roman" w:cs="Times New Roman"/>
          <w:sz w:val="24"/>
          <w:szCs w:val="24"/>
        </w:rPr>
        <w:t xml:space="preserve">,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Beinstein</w:t>
      </w:r>
      <w:proofErr w:type="spellEnd"/>
      <w:r w:rsidRPr="00E53401">
        <w:rPr>
          <w:rFonts w:ascii="Times New Roman" w:eastAsia="Times New Roman" w:hAnsi="Times New Roman" w:cs="Times New Roman"/>
          <w:sz w:val="24"/>
          <w:szCs w:val="24"/>
        </w:rPr>
        <w:t>,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Bwibo</w:t>
      </w:r>
      <w:proofErr w:type="spellEnd"/>
      <w:r w:rsidRPr="00E53401">
        <w:rPr>
          <w:rFonts w:ascii="Times New Roman" w:eastAsia="Times New Roman" w:hAnsi="Times New Roman" w:cs="Times New Roman"/>
          <w:sz w:val="24"/>
          <w:szCs w:val="24"/>
        </w:rPr>
        <w:t>,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lastRenderedPageBreak/>
        <w:t>Claver</w:t>
      </w:r>
      <w:proofErr w:type="spellEnd"/>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Ezirim</w:t>
      </w:r>
      <w:proofErr w:type="spellEnd"/>
      <w:r>
        <w:rPr>
          <w:rFonts w:ascii="Times New Roman" w:eastAsia="Times New Roman" w:hAnsi="Times New Roman" w:cs="Times New Roman"/>
          <w:sz w:val="24"/>
          <w:szCs w:val="24"/>
        </w:rPr>
        <w:t xml:space="preserve">, A. (2004), Research Methodology for Management and Social Sciences. </w:t>
      </w:r>
      <w:proofErr w:type="spellStart"/>
      <w:r>
        <w:rPr>
          <w:rFonts w:ascii="Times New Roman" w:eastAsia="Times New Roman" w:hAnsi="Times New Roman" w:cs="Times New Roman"/>
          <w:sz w:val="24"/>
          <w:szCs w:val="24"/>
        </w:rPr>
        <w:t>McComputer</w:t>
      </w:r>
      <w:proofErr w:type="spellEnd"/>
      <w:r>
        <w:rPr>
          <w:rFonts w:ascii="Times New Roman" w:eastAsia="Times New Roman" w:hAnsi="Times New Roman" w:cs="Times New Roman"/>
          <w:sz w:val="24"/>
          <w:szCs w:val="24"/>
        </w:rPr>
        <w:t xml:space="preserve">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 and </w:t>
      </w:r>
      <w:proofErr w:type="gramStart"/>
      <w:r w:rsidRPr="00E53401">
        <w:rPr>
          <w:rFonts w:ascii="Times New Roman" w:eastAsia="Times New Roman" w:hAnsi="Times New Roman" w:cs="Times New Roman"/>
          <w:sz w:val="24"/>
          <w:szCs w:val="24"/>
        </w:rPr>
        <w:t>Pine</w:t>
      </w:r>
      <w:proofErr w:type="gramEnd"/>
      <w:r w:rsidRPr="00E53401">
        <w:rPr>
          <w:rFonts w:ascii="Times New Roman" w:eastAsia="Times New Roman" w:hAnsi="Times New Roman" w:cs="Times New Roman"/>
          <w:sz w:val="24"/>
          <w:szCs w:val="24"/>
        </w:rPr>
        <w:t xml:space="preserve">, (1995), Globalization strategy in the hospitality industry – London: </w:t>
      </w:r>
      <w:proofErr w:type="spellStart"/>
      <w:r w:rsidRPr="00E53401">
        <w:rPr>
          <w:rFonts w:ascii="Times New Roman" w:eastAsia="Times New Roman" w:hAnsi="Times New Roman" w:cs="Times New Roman"/>
          <w:sz w:val="24"/>
          <w:szCs w:val="24"/>
        </w:rPr>
        <w:t>Routleedge</w:t>
      </w:r>
      <w:proofErr w:type="spellEnd"/>
      <w:r w:rsidRPr="00E53401">
        <w:rPr>
          <w:rFonts w:ascii="Times New Roman" w:eastAsia="Times New Roman" w:hAnsi="Times New Roman" w:cs="Times New Roman"/>
          <w:sz w:val="24"/>
          <w:szCs w:val="24"/>
        </w:rPr>
        <w:t>.</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Jick</w:t>
      </w:r>
      <w:proofErr w:type="spellEnd"/>
      <w:r w:rsidRPr="00E53401">
        <w:rPr>
          <w:rFonts w:ascii="Times New Roman" w:eastAsia="Times New Roman" w:hAnsi="Times New Roman" w:cs="Times New Roman"/>
          <w:sz w:val="24"/>
          <w:szCs w:val="24"/>
        </w:rPr>
        <w:t>,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institution, conducting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Female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 xml:space="preserve">Age:    a. 18-25yrs </w:t>
      </w:r>
      <w:proofErr w:type="gramStart"/>
      <w:r w:rsidRPr="00B165B9">
        <w:rPr>
          <w:rFonts w:ascii="Times New Roman" w:hAnsi="Times New Roman" w:cs="Times New Roman"/>
          <w:sz w:val="24"/>
          <w:szCs w:val="24"/>
        </w:rPr>
        <w:t>(    )</w:t>
      </w:r>
      <w:proofErr w:type="gramEnd"/>
      <w:r w:rsidRPr="00B165B9">
        <w:rPr>
          <w:rFonts w:ascii="Times New Roman" w:hAnsi="Times New Roman" w:cs="Times New Roman"/>
          <w:sz w:val="24"/>
          <w:szCs w:val="24"/>
        </w:rPr>
        <w:t xml:space="preserve">   b. 26-40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  41-55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d.  56 and </w:t>
      </w:r>
      <w:proofErr w:type="gramStart"/>
      <w:r w:rsidRPr="00B165B9">
        <w:rPr>
          <w:rFonts w:ascii="Times New Roman" w:hAnsi="Times New Roman" w:cs="Times New Roman"/>
          <w:sz w:val="24"/>
          <w:szCs w:val="24"/>
        </w:rPr>
        <w:t>above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d.  SSCE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w:t>
      </w:r>
      <w:r w:rsidRPr="00B165B9">
        <w:rPr>
          <w:rFonts w:ascii="Times New Roman" w:hAnsi="Times New Roman" w:cs="Times New Roman"/>
          <w:sz w:val="24"/>
          <w:szCs w:val="24"/>
        </w:rPr>
        <w:t>Basic Education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Middle Level Management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Lower </w:t>
      </w:r>
      <w:r w:rsidRPr="00B165B9">
        <w:rPr>
          <w:rFonts w:ascii="Times New Roman" w:hAnsi="Times New Roman" w:cs="Times New Roman"/>
          <w:sz w:val="24"/>
          <w:szCs w:val="24"/>
        </w:rPr>
        <w:t>Level</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Management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Casual Worker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w:t>
      </w:r>
      <w:proofErr w:type="gramStart"/>
      <w:r w:rsidR="007214F3">
        <w:rPr>
          <w:rFonts w:ascii="Times New Roman" w:hAnsi="Times New Roman" w:cs="Times New Roman"/>
          <w:sz w:val="24"/>
          <w:szCs w:val="24"/>
        </w:rPr>
        <w:t>(    )</w:t>
      </w:r>
      <w:proofErr w:type="gramEnd"/>
      <w:r w:rsidR="007214F3">
        <w:rPr>
          <w:rFonts w:ascii="Times New Roman" w:hAnsi="Times New Roman" w:cs="Times New Roman"/>
          <w:sz w:val="24"/>
          <w:szCs w:val="24"/>
        </w:rPr>
        <w:t xml:space="preserve">   b. </w:t>
      </w:r>
      <w:r w:rsidRPr="00B165B9">
        <w:rPr>
          <w:rFonts w:ascii="Times New Roman" w:hAnsi="Times New Roman" w:cs="Times New Roman"/>
          <w:sz w:val="24"/>
          <w:szCs w:val="24"/>
        </w:rPr>
        <w:t xml:space="preserve">Contract </w:t>
      </w:r>
      <w:proofErr w:type="gramStart"/>
      <w:r w:rsidRPr="00B165B9">
        <w:rPr>
          <w:rFonts w:ascii="Times New Roman" w:hAnsi="Times New Roman" w:cs="Times New Roman"/>
          <w:sz w:val="24"/>
          <w:szCs w:val="24"/>
        </w:rPr>
        <w:t>Employment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 xml:space="preserve">   </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6 -10 </w:t>
      </w:r>
      <w:proofErr w:type="gramStart"/>
      <w:r>
        <w:rPr>
          <w:rFonts w:ascii="Times New Roman" w:hAnsi="Times New Roman" w:cs="Times New Roman"/>
          <w:sz w:val="24"/>
          <w:szCs w:val="24"/>
        </w:rPr>
        <w:t>years  (  )</w:t>
      </w:r>
      <w:proofErr w:type="gramEnd"/>
      <w:r>
        <w:rPr>
          <w:rFonts w:ascii="Times New Roman" w:hAnsi="Times New Roman" w:cs="Times New Roman"/>
          <w:sz w:val="24"/>
          <w:szCs w:val="24"/>
        </w:rPr>
        <w:t xml:space="preserve">   c.  11 – 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16 – 20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20 years and </w:t>
      </w:r>
      <w:proofErr w:type="gramStart"/>
      <w:r>
        <w:rPr>
          <w:rFonts w:ascii="Times New Roman" w:hAnsi="Times New Roman" w:cs="Times New Roman"/>
          <w:sz w:val="24"/>
          <w:szCs w:val="24"/>
        </w:rPr>
        <w:t>above  (  )</w:t>
      </w:r>
      <w:proofErr w:type="gramEnd"/>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proofErr w:type="gramStart"/>
            <w:r w:rsidRPr="00175B41">
              <w:rPr>
                <w:rFonts w:ascii="Times New Roman" w:hAnsi="Times New Roman"/>
                <w:sz w:val="24"/>
                <w:szCs w:val="24"/>
              </w:rPr>
              <w:t>Organization</w:t>
            </w:r>
            <w:proofErr w:type="gramEnd"/>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Change </w:t>
            </w:r>
            <w:proofErr w:type="gramStart"/>
            <w:r w:rsidRPr="00421A28">
              <w:rPr>
                <w:rFonts w:ascii="Times New Roman" w:hAnsi="Times New Roman"/>
                <w:sz w:val="24"/>
                <w:szCs w:val="24"/>
              </w:rPr>
              <w:t>in  organizational</w:t>
            </w:r>
            <w:proofErr w:type="gramEnd"/>
            <w:r w:rsidRPr="00421A28">
              <w:rPr>
                <w:rFonts w:ascii="Times New Roman" w:hAnsi="Times New Roman"/>
                <w:sz w:val="24"/>
                <w:szCs w:val="24"/>
              </w:rPr>
              <w:t xml:space="preserve">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Available technology </w:t>
            </w:r>
            <w:proofErr w:type="gramStart"/>
            <w:r w:rsidRPr="00421A28">
              <w:rPr>
                <w:rFonts w:ascii="Times New Roman" w:hAnsi="Times New Roman"/>
                <w:sz w:val="24"/>
                <w:szCs w:val="24"/>
              </w:rPr>
              <w:t>help</w:t>
            </w:r>
            <w:proofErr w:type="gramEnd"/>
            <w:r w:rsidRPr="00421A28">
              <w:rPr>
                <w:rFonts w:ascii="Times New Roman" w:hAnsi="Times New Roman"/>
                <w:sz w:val="24"/>
                <w:szCs w:val="24"/>
              </w:rPr>
              <w:t xml:space="preserve">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 xml:space="preserve">I feel greatly motivated because the structure in the firm </w:t>
            </w:r>
            <w:proofErr w:type="gramStart"/>
            <w:r w:rsidRPr="00B800DB">
              <w:rPr>
                <w:rFonts w:ascii="Times New Roman" w:eastAsia="Times New Roman" w:hAnsi="Times New Roman" w:cs="Times New Roman"/>
                <w:sz w:val="24"/>
                <w:szCs w:val="24"/>
              </w:rPr>
              <w:t>accommodate</w:t>
            </w:r>
            <w:proofErr w:type="gramEnd"/>
            <w:r w:rsidRPr="00B800DB">
              <w:rPr>
                <w:rFonts w:ascii="Times New Roman" w:eastAsia="Times New Roman" w:hAnsi="Times New Roman" w:cs="Times New Roman"/>
                <w:sz w:val="24"/>
                <w:szCs w:val="24"/>
              </w:rPr>
              <w:t xml:space="preserv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26374A58" w:rsidR="00DC14E5" w:rsidRPr="00306B37" w:rsidRDefault="00C20545"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323F9E9">
                      <wp:simplePos x="0" y="0"/>
                      <wp:positionH relativeFrom="column">
                        <wp:posOffset>-114300</wp:posOffset>
                      </wp:positionH>
                      <wp:positionV relativeFrom="paragraph">
                        <wp:posOffset>-8141335</wp:posOffset>
                      </wp:positionV>
                      <wp:extent cx="266700" cy="200025"/>
                      <wp:effectExtent l="6985" t="6350" r="12065" b="12700"/>
                      <wp:wrapNone/>
                      <wp:docPr id="129704744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E49D4"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 xml:space="preserve">You can execute more duties and responsibilities with little </w:t>
            </w:r>
            <w:proofErr w:type="gramStart"/>
            <w:r w:rsidRPr="00B800DB">
              <w:rPr>
                <w:rFonts w:ascii="Times New Roman" w:eastAsia="Times New Roman" w:hAnsi="Times New Roman" w:cs="Times New Roman"/>
                <w:sz w:val="24"/>
                <w:szCs w:val="24"/>
              </w:rPr>
              <w:t>amount</w:t>
            </w:r>
            <w:proofErr w:type="gramEnd"/>
            <w:r w:rsidRPr="00B800DB">
              <w:rPr>
                <w:rFonts w:ascii="Times New Roman" w:eastAsia="Times New Roman" w:hAnsi="Times New Roman" w:cs="Times New Roman"/>
                <w:sz w:val="24"/>
                <w:szCs w:val="24"/>
              </w:rPr>
              <w:t xml:space="preserve">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rofessional skills and know-</w:t>
            </w:r>
            <w:proofErr w:type="gramStart"/>
            <w:r>
              <w:rPr>
                <w:rFonts w:ascii="Times New Roman" w:hAnsi="Times New Roman" w:cs="Times New Roman"/>
                <w:sz w:val="24"/>
                <w:szCs w:val="24"/>
              </w:rPr>
              <w:t xml:space="preserve">how  </w:t>
            </w:r>
            <w:r w:rsidRPr="00B800DB">
              <w:rPr>
                <w:rFonts w:ascii="Times New Roman" w:hAnsi="Times New Roman" w:cs="Times New Roman"/>
                <w:sz w:val="24"/>
                <w:szCs w:val="24"/>
              </w:rPr>
              <w:t>to</w:t>
            </w:r>
            <w:proofErr w:type="gramEnd"/>
            <w:r w:rsidRPr="00B800DB">
              <w:rPr>
                <w:rFonts w:ascii="Times New Roman" w:hAnsi="Times New Roman" w:cs="Times New Roman"/>
                <w:sz w:val="24"/>
                <w:szCs w:val="24"/>
              </w:rPr>
              <w:t xml:space="preserve">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3205" w14:textId="77777777" w:rsidR="004C6533" w:rsidRDefault="004C6533" w:rsidP="00D75A28">
      <w:pPr>
        <w:spacing w:after="0" w:line="240" w:lineRule="auto"/>
      </w:pPr>
      <w:r>
        <w:separator/>
      </w:r>
    </w:p>
  </w:endnote>
  <w:endnote w:type="continuationSeparator" w:id="0">
    <w:p w14:paraId="7B80380B" w14:textId="77777777" w:rsidR="004C6533" w:rsidRDefault="004C6533"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33CD" w14:textId="77777777" w:rsidR="004C6533" w:rsidRDefault="004C6533" w:rsidP="00D75A28">
      <w:pPr>
        <w:spacing w:after="0" w:line="240" w:lineRule="auto"/>
      </w:pPr>
      <w:r>
        <w:separator/>
      </w:r>
    </w:p>
  </w:footnote>
  <w:footnote w:type="continuationSeparator" w:id="0">
    <w:p w14:paraId="77946634" w14:textId="77777777" w:rsidR="004C6533" w:rsidRDefault="004C6533"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4999"/>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295C"/>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5927"/>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C6533"/>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37779"/>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57E"/>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3B2"/>
    <w:rsid w:val="00692411"/>
    <w:rsid w:val="006948F5"/>
    <w:rsid w:val="00694B54"/>
    <w:rsid w:val="006951CC"/>
    <w:rsid w:val="006952CD"/>
    <w:rsid w:val="00695C3D"/>
    <w:rsid w:val="00695F8E"/>
    <w:rsid w:val="00696A29"/>
    <w:rsid w:val="00697AA4"/>
    <w:rsid w:val="006A0493"/>
    <w:rsid w:val="006A0761"/>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3380"/>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2B"/>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525"/>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383E"/>
    <w:rsid w:val="00C144F9"/>
    <w:rsid w:val="00C15C96"/>
    <w:rsid w:val="00C1677D"/>
    <w:rsid w:val="00C17FB4"/>
    <w:rsid w:val="00C20545"/>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3FA5"/>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455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15205</Words>
  <Characters>86673</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2</cp:revision>
  <cp:lastPrinted>2019-02-13T12:55:00Z</cp:lastPrinted>
  <dcterms:created xsi:type="dcterms:W3CDTF">2025-07-07T20:48:00Z</dcterms:created>
  <dcterms:modified xsi:type="dcterms:W3CDTF">2025-07-07T20:48:00Z</dcterms:modified>
</cp:coreProperties>
</file>