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9.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COMPARATIVE STUDY ON THE QUALITY AND CONTAMINATION RISK OF GROUNDWATER AND STORED DRINKING WATER SOURCES (A CASE STUDY OF ELEKO)</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LAOYE AWWAL GORIOLA</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HND/23/ABE/FT/0083</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DEPARTMENT OF AGRICULTURAL AND BIO – ENVIRONMENTAL</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ENGINEERING, INSTITUTE OF TECHNOLOGY, KWARA STATE</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POLYTECHNIC, ILORIN</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INPARITAL FULFILLMENT OF REQUIREMENT FOR THE AWARD OF</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HIGHER NATIONAL DIPLOMA (HND) IN AGRICULTURAL AND BIO-</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ENVIRONMENTAL ENGINEERING TECHNOLOGY.</w:t>
      </w:r>
    </w:p>
    <w:p>
      <w:pPr>
        <w:pStyle w:val="style0"/>
        <w:spacing w:after="0" w:lineRule="auto" w:line="24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SUPERVISE BY:</w:t>
      </w:r>
    </w:p>
    <w:p>
      <w:pPr>
        <w:pStyle w:val="style0"/>
        <w:spacing w:after="0" w:lineRule="auto" w:line="360"/>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ENG.MRS. SHUAIB NA’ALLAH</w:t>
      </w:r>
      <w:r>
        <w:rPr>
          <w:rFonts w:ascii="Times New Roman" w:cs="Times New Roman" w:hAnsi="Times New Roman"/>
          <w:b/>
          <w:sz w:val="24"/>
          <w:szCs w:val="24"/>
        </w:rPr>
        <w:t>, B.O</w:t>
      </w:r>
    </w:p>
    <w:p>
      <w:pPr>
        <w:pStyle w:val="style0"/>
        <w:spacing w:after="0" w:lineRule="auto" w:line="360"/>
        <w:jc w:val="right"/>
        <w:rPr>
          <w:rFonts w:ascii="Times New Roman" w:cs="Times New Roman" w:hAnsi="Times New Roman"/>
          <w:b/>
          <w:sz w:val="24"/>
          <w:szCs w:val="24"/>
        </w:rPr>
      </w:pPr>
      <w:r>
        <w:rPr>
          <w:rFonts w:ascii="Times New Roman" w:cs="Times New Roman" w:hAnsi="Times New Roman"/>
          <w:b/>
          <w:sz w:val="24"/>
          <w:szCs w:val="24"/>
        </w:rPr>
        <w:t>AUGUST, 2025</w:t>
      </w: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597525" cy="7985760"/>
            <wp:effectExtent l="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5597525" cy="7985760"/>
                    </a:xfrm>
                    <a:prstGeom prst="rect"/>
                  </pic:spPr>
                </pic:pic>
              </a:graphicData>
            </a:graphic>
          </wp:inline>
        </w:drawing>
      </w:r>
      <w:r>
        <w:rPr>
          <w:rFonts w:ascii="Times New Roman" w:cs="Times New Roman" w:hAnsi="Times New Roman"/>
          <w:b/>
          <w:sz w:val="24"/>
          <w:szCs w:val="24"/>
        </w:rPr>
        <w:t>DEDICATION</w:t>
      </w:r>
    </w:p>
    <w:p>
      <w:pPr>
        <w:pStyle w:val="style0"/>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Almighty Allah, whose divine guidance and blessings empowe</w:t>
      </w:r>
      <w:r>
        <w:rPr>
          <w:rFonts w:ascii="Times New Roman" w:cs="Times New Roman" w:hAnsi="Times New Roman"/>
          <w:sz w:val="24"/>
          <w:szCs w:val="24"/>
        </w:rPr>
        <w:t>red me throughout this journey.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parents, whose unconditional love, prayers, and support fueled</w:t>
      </w:r>
      <w:r>
        <w:rPr>
          <w:rFonts w:ascii="Times New Roman" w:cs="Times New Roman" w:hAnsi="Times New Roman"/>
          <w:sz w:val="24"/>
          <w:szCs w:val="24"/>
        </w:rPr>
        <w:t xml:space="preserve"> my strength and determination.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family, whose unwavering encouragement, understanding, and patience inspired me to persevere and succeed.</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praise Almighty Allah for His boundless mercy, direction, and fortitude throughout my HND journey. This achievement would have been impossible without His divine intervention.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I'm deeply grateful to my beloved father and mother, whose unconditional love, prayers, and steadfast support have been my pillars of strength. I pray that Allah bless them with good health and prosperity.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I'm thankful to my project supervisor, </w:t>
      </w:r>
      <w:r>
        <w:rPr>
          <w:rFonts w:ascii="Times New Roman" w:cs="Times New Roman" w:hAnsi="Times New Roman"/>
          <w:b/>
          <w:sz w:val="24"/>
          <w:szCs w:val="24"/>
        </w:rPr>
        <w:t xml:space="preserve">Engr. Mrs. Shuaib </w:t>
      </w:r>
      <w:r>
        <w:rPr>
          <w:rFonts w:ascii="Times New Roman" w:cs="Times New Roman" w:hAnsi="Times New Roman"/>
          <w:b/>
          <w:sz w:val="24"/>
          <w:szCs w:val="24"/>
        </w:rPr>
        <w:t>Na'Allah</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B.O</w:t>
      </w:r>
      <w:r>
        <w:rPr>
          <w:rFonts w:ascii="Times New Roman" w:cs="Times New Roman" w:hAnsi="Times New Roman"/>
          <w:sz w:val="24"/>
          <w:szCs w:val="24"/>
        </w:rPr>
        <w:t xml:space="preserve"> for her expert guidance and encouragement, which significantly contributed to the project's success. May Allah richly bless her.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appreciate my lecturers in Agricultural and Bio-Environmental Engineering Technology for imparting valuable knowledge and skills during my HND program. May their efforts be rewarded abundantly.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sz w:val="24"/>
          <w:szCs w:val="24"/>
        </w:rPr>
        <w:t xml:space="preserve"> Lastly, I extend my gratitude to my family, and friends who supported me directly or indirectly throughout this project.</w:t>
      </w:r>
    </w:p>
    <w:p>
      <w:pPr>
        <w:pStyle w:val="style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ix-x</w:t>
      </w:r>
    </w:p>
    <w:p>
      <w:pPr>
        <w:pStyle w:val="style0"/>
        <w:tabs>
          <w:tab w:val="left" w:leader="none" w:pos="851"/>
        </w:tabs>
        <w:spacing w:lineRule="auto" w:line="36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w:t>
      </w:r>
      <w:r>
        <w:rPr>
          <w:rFonts w:ascii="Times New Roman" w:cs="Times New Roman" w:hAnsi="Times New Roman"/>
          <w:sz w:val="24"/>
          <w:szCs w:val="24"/>
        </w:rPr>
        <w:t>i</w:t>
      </w:r>
    </w:p>
    <w:p>
      <w:pPr>
        <w:pStyle w:val="style0"/>
        <w:tabs>
          <w:tab w:val="left" w:leader="none" w:pos="851"/>
        </w:tabs>
        <w:spacing w:lineRule="auto" w:line="360"/>
        <w:rPr>
          <w:rFonts w:ascii="Times New Roman" w:cs="Times New Roman" w:hAnsi="Times New Roman"/>
          <w:sz w:val="24"/>
          <w:szCs w:val="24"/>
        </w:rPr>
      </w:pPr>
      <w:r>
        <w:rPr>
          <w:rFonts w:ascii="Times New Roman" w:cs="Times New Roman" w:hAnsi="Times New Roman"/>
          <w:b/>
          <w:bCs/>
          <w:noProof/>
          <w:sz w:val="24"/>
          <w:szCs w:val="24"/>
        </w:rPr>
        <w:t>CHAPTER ONE: INTRODUCTION</w:t>
      </w:r>
    </w:p>
    <w:p>
      <w:pPr>
        <w:pStyle w:val="style0"/>
        <w:spacing w:lineRule="auto" w:line="360"/>
        <w:jc w:val="both"/>
        <w:rPr>
          <w:rFonts w:ascii="Times New Roman" w:cs="Times New Roman" w:hAnsi="Times New Roman"/>
          <w:bCs/>
          <w:noProof/>
          <w:sz w:val="24"/>
          <w:szCs w:val="24"/>
        </w:rPr>
      </w:pPr>
      <w:r>
        <w:rPr>
          <w:rFonts w:ascii="Times New Roman" w:cs="Times New Roman" w:hAnsi="Times New Roman"/>
          <w:bCs/>
          <w:noProof/>
          <w:sz w:val="24"/>
          <w:szCs w:val="24"/>
        </w:rPr>
        <w:t>1.1</w:t>
      </w:r>
      <w:r>
        <w:rPr>
          <w:rFonts w:ascii="Times New Roman" w:cs="Times New Roman" w:hAnsi="Times New Roman"/>
          <w:bCs/>
          <w:noProof/>
          <w:sz w:val="24"/>
          <w:szCs w:val="24"/>
        </w:rPr>
        <w:tab/>
      </w:r>
      <w:r>
        <w:rPr>
          <w:rFonts w:ascii="Times New Roman" w:cs="Times New Roman" w:hAnsi="Times New Roman"/>
          <w:bCs/>
          <w:noProof/>
          <w:sz w:val="24"/>
          <w:szCs w:val="24"/>
        </w:rPr>
        <w:t>Preamble</w:t>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1-3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 xml:space="preserve">Problem Statement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 xml:space="preserve">Aims and Objectives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3-4</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w:t>
      </w:r>
      <w:r>
        <w:rPr>
          <w:rFonts w:ascii="Times New Roman" w:cs="Times New Roman" w:hAnsi="Times New Roman"/>
          <w:bCs/>
          <w:sz w:val="24"/>
          <w:szCs w:val="24"/>
        </w:rPr>
        <w:tab/>
      </w:r>
      <w:r>
        <w:rPr>
          <w:rFonts w:ascii="Times New Roman" w:cs="Times New Roman" w:hAnsi="Times New Roman"/>
          <w:bCs/>
          <w:sz w:val="24"/>
          <w:szCs w:val="24"/>
        </w:rPr>
        <w:t xml:space="preserve">Scope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1.5 </w:t>
      </w:r>
      <w:r>
        <w:rPr>
          <w:rFonts w:ascii="Times New Roman" w:cs="Times New Roman" w:hAnsi="Times New Roman"/>
          <w:bCs/>
          <w:sz w:val="24"/>
          <w:szCs w:val="24"/>
        </w:rPr>
        <w:tab/>
      </w:r>
      <w:r>
        <w:rPr>
          <w:rFonts w:ascii="Times New Roman" w:cs="Times New Roman" w:hAnsi="Times New Roman"/>
          <w:bCs/>
          <w:sz w:val="24"/>
          <w:szCs w:val="24"/>
        </w:rPr>
        <w:t xml:space="preserve">Justification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4-5</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CHAPTER TWO: </w:t>
      </w: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 xml:space="preserve"> 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sz w:val="24"/>
          <w:szCs w:val="24"/>
        </w:rPr>
        <w:tab/>
      </w:r>
      <w:r>
        <w:rPr>
          <w:rFonts w:ascii="Times New Roman" w:cs="Times New Roman" w:hAnsi="Times New Roman"/>
          <w:sz w:val="24"/>
          <w:szCs w:val="24"/>
        </w:rPr>
        <w:t>Water Quality and Bacterial Contamination in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2.2.1. </w:t>
      </w:r>
      <w:r>
        <w:rPr>
          <w:rFonts w:ascii="Times New Roman" w:cs="Times New Roman" w:hAnsi="Times New Roman"/>
          <w:sz w:val="24"/>
          <w:szCs w:val="24"/>
        </w:rPr>
        <w:tab/>
      </w:r>
      <w:r>
        <w:rPr>
          <w:rFonts w:ascii="Times New Roman" w:cs="Times New Roman" w:hAnsi="Times New Roman"/>
          <w:sz w:val="24"/>
          <w:szCs w:val="24"/>
        </w:rPr>
        <w:t>Sources and Causes of Bacterial Contamination in Water Supplies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2.2.2. </w:t>
      </w:r>
      <w:r>
        <w:rPr>
          <w:rFonts w:ascii="Times New Roman" w:cs="Times New Roman" w:hAnsi="Times New Roman"/>
          <w:sz w:val="24"/>
          <w:szCs w:val="24"/>
        </w:rPr>
        <w:tab/>
      </w:r>
      <w:r>
        <w:rPr>
          <w:rFonts w:ascii="Times New Roman" w:cs="Times New Roman" w:hAnsi="Times New Roman"/>
          <w:sz w:val="24"/>
          <w:szCs w:val="24"/>
        </w:rPr>
        <w:t>Common Bacterial Pathogens Found in Contaminated Drinking Water</w:t>
      </w:r>
      <w:r>
        <w:rPr>
          <w:rFonts w:ascii="Times New Roman" w:cs="Times New Roman" w:hAnsi="Times New Roman"/>
          <w:sz w:val="24"/>
          <w:szCs w:val="24"/>
        </w:rPr>
        <w:tab/>
      </w:r>
      <w:r>
        <w:rPr>
          <w:rFonts w:ascii="Times New Roman" w:cs="Times New Roman" w:hAnsi="Times New Roman"/>
          <w:sz w:val="24"/>
          <w:szCs w:val="24"/>
        </w:rPr>
        <w:t>7-8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 </w:t>
      </w:r>
      <w:r>
        <w:rPr>
          <w:rFonts w:ascii="Times New Roman" w:cs="Times New Roman" w:hAnsi="Times New Roman"/>
          <w:sz w:val="24"/>
          <w:szCs w:val="24"/>
        </w:rPr>
        <w:tab/>
      </w:r>
      <w:r>
        <w:rPr>
          <w:rFonts w:ascii="Times New Roman" w:cs="Times New Roman" w:hAnsi="Times New Roman"/>
          <w:sz w:val="24"/>
          <w:szCs w:val="24"/>
        </w:rPr>
        <w:t>Public Health Implications of Bacterial Contamination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2.2.4. </w:t>
      </w:r>
      <w:r>
        <w:rPr>
          <w:rFonts w:ascii="Times New Roman" w:cs="Times New Roman" w:hAnsi="Times New Roman"/>
          <w:sz w:val="24"/>
          <w:szCs w:val="24"/>
        </w:rPr>
        <w:tab/>
      </w:r>
      <w:r>
        <w:rPr>
          <w:rFonts w:ascii="Times New Roman" w:cs="Times New Roman" w:hAnsi="Times New Roman"/>
          <w:sz w:val="24"/>
          <w:szCs w:val="24"/>
        </w:rPr>
        <w:t>Key Indicators for Assessing Microbial Water Quality</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8-9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2.2.5. </w:t>
      </w:r>
      <w:r>
        <w:rPr>
          <w:rFonts w:ascii="Times New Roman" w:cs="Times New Roman" w:hAnsi="Times New Roman"/>
          <w:sz w:val="24"/>
          <w:szCs w:val="24"/>
        </w:rPr>
        <w:tab/>
      </w:r>
      <w:r>
        <w:rPr>
          <w:rFonts w:ascii="Times New Roman" w:cs="Times New Roman" w:hAnsi="Times New Roman"/>
          <w:sz w:val="24"/>
          <w:szCs w:val="24"/>
        </w:rPr>
        <w:t>Methods for Detecting Bacterial Contamination in Water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2.2.6. </w:t>
      </w:r>
      <w:r>
        <w:rPr>
          <w:rFonts w:ascii="Times New Roman" w:cs="Times New Roman" w:hAnsi="Times New Roman"/>
          <w:sz w:val="24"/>
          <w:szCs w:val="24"/>
        </w:rPr>
        <w:tab/>
      </w:r>
      <w:r>
        <w:rPr>
          <w:rFonts w:ascii="Times New Roman" w:cs="Times New Roman" w:hAnsi="Times New Roman"/>
          <w:sz w:val="24"/>
          <w:szCs w:val="24"/>
        </w:rPr>
        <w:t>Techniques for Treating and Disinfecting Contaminated Water</w:t>
      </w:r>
      <w:r>
        <w:rPr>
          <w:rFonts w:ascii="Times New Roman" w:cs="Times New Roman" w:hAnsi="Times New Roman"/>
          <w:sz w:val="24"/>
          <w:szCs w:val="24"/>
        </w:rPr>
        <w:t xml:space="preserve">                   10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2.2.7. </w:t>
      </w:r>
      <w:r>
        <w:rPr>
          <w:rFonts w:ascii="Times New Roman" w:cs="Times New Roman" w:hAnsi="Times New Roman"/>
          <w:sz w:val="24"/>
          <w:szCs w:val="24"/>
        </w:rPr>
        <w:tab/>
      </w:r>
      <w:r>
        <w:rPr>
          <w:rFonts w:ascii="Times New Roman" w:cs="Times New Roman" w:hAnsi="Times New Roman"/>
          <w:sz w:val="24"/>
          <w:szCs w:val="24"/>
        </w:rPr>
        <w:t>Strategies for Preventing Bacterial Contamination</w:t>
      </w:r>
      <w:r>
        <w:rPr>
          <w:rFonts w:ascii="Times New Roman" w:cs="Times New Roman" w:hAnsi="Times New Roman"/>
          <w:sz w:val="24"/>
          <w:szCs w:val="24"/>
        </w:rPr>
        <w:t xml:space="preserve">                                        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Significance of Protecting Source Water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     Key Approaches to Source Water Protection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2.5   </w:t>
      </w:r>
      <w:r>
        <w:rPr>
          <w:rFonts w:ascii="Times New Roman" w:cs="Times New Roman" w:hAnsi="Times New Roman"/>
          <w:sz w:val="24"/>
          <w:szCs w:val="24"/>
        </w:rPr>
        <w:tab/>
      </w:r>
      <w:r>
        <w:rPr>
          <w:rFonts w:ascii="Times New Roman" w:cs="Times New Roman" w:hAnsi="Times New Roman"/>
          <w:sz w:val="24"/>
          <w:szCs w:val="24"/>
        </w:rPr>
        <w:t>Water Treatment and Disinfection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Water Treatment Techniques</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     Methods of Disinfection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t>Key Elements of a Water Distribution System</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2.8.1</w:t>
      </w:r>
      <w:r>
        <w:rPr>
          <w:rFonts w:ascii="Times New Roman" w:cs="Times New Roman" w:hAnsi="Times New Roman"/>
          <w:sz w:val="24"/>
          <w:szCs w:val="24"/>
        </w:rPr>
        <w:t xml:space="preserve">   Significance of a Water Distribution System</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2.8.2</w:t>
      </w:r>
      <w:r>
        <w:rPr>
          <w:rFonts w:ascii="Times New Roman" w:cs="Times New Roman" w:hAnsi="Times New Roman"/>
          <w:sz w:val="24"/>
          <w:szCs w:val="24"/>
        </w:rPr>
        <w:t xml:space="preserve">   System Maintenance and Operational Management</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 METHODOLOGY</w:t>
      </w:r>
    </w:p>
    <w:p>
      <w:pPr>
        <w:pStyle w:val="style0"/>
        <w:spacing w:lineRule="auto" w:line="360"/>
        <w:ind w:left="720" w:hanging="735"/>
        <w:rPr>
          <w:rStyle w:val="style85"/>
          <w:rFonts w:ascii="Times New Roman" w:cs="Times New Roman" w:hAnsi="Times New Roman"/>
          <w:color w:val="auto"/>
          <w:sz w:val="24"/>
          <w:szCs w:val="24"/>
          <w:u w:val="none"/>
        </w:rPr>
      </w:pPr>
      <w:r>
        <w:rPr>
          <w:rFonts w:ascii="Times New Roman" w:cs="Times New Roman" w:hAnsi="Times New Roman"/>
          <w:sz w:val="26"/>
          <w:szCs w:val="24"/>
        </w:rPr>
        <w:t>3.1.</w:t>
      </w:r>
      <w:r>
        <w:rPr>
          <w:rFonts w:ascii="Times New Roman" w:cs="Times New Roman" w:hAnsi="Times New Roman"/>
          <w:sz w:val="26"/>
          <w:szCs w:val="24"/>
        </w:rPr>
        <w:tab/>
      </w:r>
      <w:r>
        <w:rPr>
          <w:rFonts w:ascii="Times New Roman" w:cs="Times New Roman" w:hAnsi="Times New Roman"/>
          <w:sz w:val="24"/>
          <w:szCs w:val="24"/>
        </w:rPr>
        <w:t>Location of the Study Area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ind w:left="720" w:hanging="735"/>
        <w:rPr>
          <w:sz w:val="24"/>
          <w:szCs w:val="24"/>
        </w:rPr>
      </w:pPr>
      <w:r>
        <w:rPr>
          <w:rStyle w:val="style85"/>
          <w:rFonts w:ascii="Times New Roman" w:cs="Times New Roman" w:hAnsi="Times New Roman"/>
          <w:color w:val="000000"/>
          <w:sz w:val="24"/>
          <w:szCs w:val="24"/>
          <w:u w:val="none"/>
        </w:rPr>
        <w:t>3.2</w:t>
      </w:r>
      <w:r>
        <w:rPr>
          <w:rStyle w:val="style85"/>
          <w:rFonts w:ascii="Times New Roman" w:cs="Times New Roman" w:hAnsi="Times New Roman"/>
          <w:color w:val="000000"/>
          <w:sz w:val="24"/>
          <w:szCs w:val="24"/>
          <w:u w:val="none"/>
        </w:rPr>
        <w:tab/>
      </w:r>
      <w:r>
        <w:rPr>
          <w:rFonts w:ascii="Times New Roman" w:cs="Times New Roman" w:hAnsi="Times New Roman"/>
          <w:sz w:val="24"/>
          <w:szCs w:val="24"/>
        </w:rPr>
        <w:t>Water Sampling Procedure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14-15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Laboratory Analysis of the Water Samples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Analysis of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3.4.1 </w:t>
      </w:r>
      <w:r>
        <w:rPr>
          <w:rFonts w:ascii="Times New Roman" w:cs="Times New Roman" w:hAnsi="Times New Roman"/>
          <w:sz w:val="24"/>
          <w:szCs w:val="24"/>
        </w:rPr>
        <w:tab/>
      </w:r>
      <w:r>
        <w:rPr>
          <w:rFonts w:ascii="Times New Roman" w:cs="Times New Roman" w:hAnsi="Times New Roman"/>
          <w:sz w:val="24"/>
          <w:szCs w:val="24"/>
        </w:rPr>
        <w:t xml:space="preserve">Physical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3.4.2.1 Temperature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3.4.2.2 Color / Odor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3.4.2.3</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3.4.2.4 Filterable solids </w:t>
      </w:r>
      <w:r>
        <w:rPr>
          <w:rFonts w:ascii="Times New Roman" w:cs="Times New Roman" w:hAnsi="Times New Roman"/>
          <w:sz w:val="24"/>
          <w:szCs w:val="24"/>
        </w:rPr>
        <w:t xml:space="preserve">                                                                                              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 Chemical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3.4.3.1 Total hardness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3.4.3.2 Chloride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3.4.3.3 Sulphate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3.4.3.4 Nitrate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3.4.3.5 Trace Elements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 </w:t>
      </w:r>
      <w:r>
        <w:rPr>
          <w:rFonts w:ascii="Times New Roman" w:cs="Times New Roman" w:hAnsi="Times New Roman"/>
          <w:sz w:val="24"/>
          <w:szCs w:val="24"/>
        </w:rPr>
        <w:tab/>
      </w:r>
      <w:r>
        <w:rPr>
          <w:rFonts w:ascii="Times New Roman" w:cs="Times New Roman" w:hAnsi="Times New Roman"/>
          <w:sz w:val="24"/>
          <w:szCs w:val="24"/>
        </w:rPr>
        <w:t xml:space="preserve">Biological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3.4.4.1 Total Viable Counts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3.4.4.2 Coliform Counts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3.4.4.3 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179"/>
        <w:numPr>
          <w:ilvl w:val="3"/>
          <w:numId w:val="1"/>
        </w:numPr>
        <w:spacing w:lineRule="auto" w:line="360"/>
        <w:rPr>
          <w:rFonts w:ascii="Times New Roman" w:cs="Times New Roman" w:hAnsi="Times New Roman"/>
          <w:sz w:val="24"/>
          <w:szCs w:val="24"/>
        </w:rPr>
      </w:pPr>
      <w:r>
        <w:rPr>
          <w:rFonts w:ascii="Times New Roman" w:cs="Times New Roman" w:hAnsi="Times New Roman"/>
          <w:sz w:val="24"/>
          <w:szCs w:val="24"/>
        </w:rPr>
        <w:t xml:space="preserve">Streptococcus </w:t>
      </w:r>
      <w:r>
        <w:rPr>
          <w:rFonts w:ascii="Times New Roman" w:cs="Times New Roman" w:hAnsi="Times New Roman"/>
          <w:sz w:val="24"/>
          <w:szCs w:val="24"/>
        </w:rPr>
        <w:t>Feacalis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360"/>
        <w:ind w:left="720" w:hanging="735"/>
        <w:jc w:val="both"/>
        <w:rPr>
          <w:rFonts w:ascii="Times New Roman" w:cs="Times New Roman" w:hAnsi="Times New Roman"/>
          <w:sz w:val="24"/>
          <w:szCs w:val="24"/>
        </w:rPr>
      </w:pPr>
      <w:r>
        <w:rPr>
          <w:rFonts w:ascii="Times New Roman" w:cs="Times New Roman" w:hAnsi="Times New Roman"/>
          <w:sz w:val="24"/>
          <w:szCs w:val="24"/>
        </w:rPr>
        <w:t>3.5Method of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CHAPTER FOUR: 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Resu</w:t>
      </w:r>
      <w:r>
        <w:rPr>
          <w:rFonts w:ascii="Times New Roman" w:cs="Times New Roman" w:hAnsi="Times New Roman"/>
          <w:sz w:val="24"/>
          <w:szCs w:val="24"/>
        </w:rPr>
        <w:t>lt</w:t>
      </w:r>
      <w:r>
        <w:rPr>
          <w:rFonts w:ascii="Times New Roman" w:cs="Times New Roman" w:hAnsi="Times New Roman"/>
          <w:sz w:val="24"/>
          <w:szCs w:val="24"/>
        </w:rPr>
        <w:t xml:space="preserve">                                                                                                             19-20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Discussion</w:t>
      </w:r>
      <w:r>
        <w:rPr>
          <w:rFonts w:ascii="Times New Roman" w:cs="Times New Roman" w:hAnsi="Times New Roman"/>
          <w:bCs/>
          <w:sz w:val="24"/>
          <w:szCs w:val="24"/>
        </w:rPr>
        <w:t xml:space="preserve">                                                                                                      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rPr>
          <w:rFonts w:ascii="Times New Roman" w:cs="Times New Roman" w:hAnsi="Times New Roman"/>
          <w:bCs/>
          <w:sz w:val="24"/>
          <w:szCs w:val="24"/>
        </w:rPr>
      </w:pPr>
      <w:r>
        <w:rPr>
          <w:rFonts w:ascii="Times New Roman" w:cs="Times New Roman" w:hAnsi="Times New Roman"/>
          <w:sz w:val="24"/>
          <w:szCs w:val="24"/>
        </w:rPr>
        <w:t xml:space="preserve">4.2.2  </w:t>
      </w:r>
      <w:r>
        <w:rPr>
          <w:rFonts w:ascii="Times New Roman" w:cs="Times New Roman" w:hAnsi="Times New Roman"/>
          <w:sz w:val="24"/>
          <w:szCs w:val="24"/>
        </w:rPr>
        <w:tab/>
      </w:r>
      <w:r>
        <w:rPr>
          <w:rFonts w:ascii="Times New Roman" w:cs="Times New Roman" w:hAnsi="Times New Roman"/>
          <w:bCs/>
          <w:sz w:val="24"/>
          <w:szCs w:val="24"/>
        </w:rPr>
        <w:t xml:space="preserve">Comparative </w:t>
      </w:r>
      <w:r>
        <w:rPr>
          <w:rFonts w:ascii="Times New Roman" w:cs="Times New Roman" w:hAnsi="Times New Roman"/>
          <w:bCs/>
          <w:sz w:val="24"/>
          <w:szCs w:val="24"/>
        </w:rPr>
        <w:t>a</w:t>
      </w:r>
      <w:r>
        <w:rPr>
          <w:rFonts w:ascii="Times New Roman" w:cs="Times New Roman" w:hAnsi="Times New Roman"/>
          <w:bCs/>
          <w:sz w:val="24"/>
          <w:szCs w:val="24"/>
        </w:rPr>
        <w:t xml:space="preserve">nalysis of </w:t>
      </w:r>
      <w:r>
        <w:rPr>
          <w:rFonts w:ascii="Times New Roman" w:cs="Times New Roman" w:hAnsi="Times New Roman"/>
          <w:bCs/>
          <w:sz w:val="24"/>
          <w:szCs w:val="24"/>
        </w:rPr>
        <w:t>r</w:t>
      </w:r>
      <w:r>
        <w:rPr>
          <w:rFonts w:ascii="Times New Roman" w:cs="Times New Roman" w:hAnsi="Times New Roman"/>
          <w:bCs/>
          <w:sz w:val="24"/>
          <w:szCs w:val="24"/>
        </w:rPr>
        <w:t xml:space="preserve">aw and </w:t>
      </w:r>
      <w:r>
        <w:rPr>
          <w:rFonts w:ascii="Times New Roman" w:cs="Times New Roman" w:hAnsi="Times New Roman"/>
          <w:bCs/>
          <w:sz w:val="24"/>
          <w:szCs w:val="24"/>
        </w:rPr>
        <w:t>s</w:t>
      </w:r>
      <w:r>
        <w:rPr>
          <w:rFonts w:ascii="Times New Roman" w:cs="Times New Roman" w:hAnsi="Times New Roman"/>
          <w:bCs/>
          <w:sz w:val="24"/>
          <w:szCs w:val="24"/>
        </w:rPr>
        <w:t xml:space="preserve">tored </w:t>
      </w:r>
      <w:r>
        <w:rPr>
          <w:rFonts w:ascii="Times New Roman" w:cs="Times New Roman" w:hAnsi="Times New Roman"/>
          <w:bCs/>
          <w:sz w:val="24"/>
          <w:szCs w:val="24"/>
        </w:rPr>
        <w:t>w</w:t>
      </w:r>
      <w:r>
        <w:rPr>
          <w:rFonts w:ascii="Times New Roman" w:cs="Times New Roman" w:hAnsi="Times New Roman"/>
          <w:bCs/>
          <w:sz w:val="24"/>
          <w:szCs w:val="24"/>
        </w:rPr>
        <w:t xml:space="preserve">ater </w:t>
      </w:r>
      <w:r>
        <w:rPr>
          <w:rFonts w:ascii="Times New Roman" w:cs="Times New Roman" w:hAnsi="Times New Roman"/>
          <w:bCs/>
          <w:sz w:val="24"/>
          <w:szCs w:val="24"/>
        </w:rPr>
        <w:t>t</w:t>
      </w:r>
      <w:r>
        <w:rPr>
          <w:rFonts w:ascii="Times New Roman" w:cs="Times New Roman" w:hAnsi="Times New Roman"/>
          <w:bCs/>
          <w:sz w:val="24"/>
          <w:szCs w:val="24"/>
        </w:rPr>
        <w:t>urbidity</w:t>
      </w:r>
      <w:r>
        <w:rPr>
          <w:rFonts w:ascii="Times New Roman" w:cs="Times New Roman" w:hAnsi="Times New Roman"/>
          <w:bCs/>
          <w:sz w:val="24"/>
          <w:szCs w:val="24"/>
        </w:rPr>
        <w:t xml:space="preserve">                                21</w:t>
      </w:r>
    </w:p>
    <w:p>
      <w:pPr>
        <w:pStyle w:val="style0"/>
        <w:rPr>
          <w:rFonts w:ascii="Times New Roman" w:cs="Times New Roman" w:hAnsi="Times New Roman"/>
          <w:sz w:val="24"/>
          <w:szCs w:val="24"/>
        </w:rPr>
      </w:pPr>
      <w:r>
        <w:rPr>
          <w:rFonts w:ascii="Times New Roman" w:cs="Times New Roman" w:hAnsi="Times New Roman"/>
          <w:sz w:val="24"/>
          <w:szCs w:val="24"/>
        </w:rPr>
        <w:t>4.2.3</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TDS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rPr>
          <w:rFonts w:ascii="Times New Roman" w:cs="Times New Roman" w:hAnsi="Times New Roman"/>
          <w:sz w:val="24"/>
          <w:szCs w:val="24"/>
        </w:rPr>
      </w:pPr>
      <w:r>
        <w:rPr>
          <w:rFonts w:ascii="Times New Roman" w:cs="Times New Roman" w:hAnsi="Times New Roman"/>
          <w:sz w:val="24"/>
          <w:szCs w:val="24"/>
        </w:rPr>
        <w:t>4.2.4</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w:t>
      </w:r>
      <w:r>
        <w:rPr>
          <w:rFonts w:ascii="Times New Roman" w:cs="Times New Roman" w:hAnsi="Times New Roman"/>
          <w:sz w:val="24"/>
          <w:szCs w:val="24"/>
        </w:rPr>
        <w:t xml:space="preserve">lectrical </w:t>
      </w:r>
      <w:r>
        <w:rPr>
          <w:rFonts w:ascii="Times New Roman" w:cs="Times New Roman" w:hAnsi="Times New Roman"/>
          <w:sz w:val="24"/>
          <w:szCs w:val="24"/>
        </w:rPr>
        <w:t>c</w:t>
      </w:r>
      <w:r>
        <w:rPr>
          <w:rFonts w:ascii="Times New Roman" w:cs="Times New Roman" w:hAnsi="Times New Roman"/>
          <w:sz w:val="24"/>
          <w:szCs w:val="24"/>
        </w:rPr>
        <w:t>onductivity</w:t>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4.2.5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i</w:t>
      </w:r>
      <w:r>
        <w:rPr>
          <w:rFonts w:ascii="Times New Roman" w:cs="Times New Roman" w:hAnsi="Times New Roman"/>
          <w:sz w:val="24"/>
          <w:szCs w:val="24"/>
        </w:rPr>
        <w:t>ron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4.2.6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manganese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4.2.7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itrate</w:t>
      </w:r>
      <w:r>
        <w:rPr>
          <w:rFonts w:ascii="Times New Roman" w:cs="Times New Roman" w:hAnsi="Times New Roman"/>
          <w:sz w:val="24"/>
          <w:szCs w:val="24"/>
        </w:rPr>
        <w:t xml:space="preserve">                                   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4.2.8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itrite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23-24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4.2.9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t</w:t>
      </w:r>
      <w:r>
        <w:rPr>
          <w:rFonts w:ascii="Times New Roman" w:cs="Times New Roman" w:hAnsi="Times New Roman"/>
          <w:sz w:val="24"/>
          <w:szCs w:val="24"/>
        </w:rPr>
        <w:t xml:space="preserve">otal </w:t>
      </w:r>
      <w:r>
        <w:rPr>
          <w:rFonts w:ascii="Times New Roman" w:cs="Times New Roman" w:hAnsi="Times New Roman"/>
          <w:sz w:val="24"/>
          <w:szCs w:val="24"/>
        </w:rPr>
        <w:t>h</w:t>
      </w:r>
      <w:r>
        <w:rPr>
          <w:rFonts w:ascii="Times New Roman" w:cs="Times New Roman" w:hAnsi="Times New Roman"/>
          <w:sz w:val="24"/>
          <w:szCs w:val="24"/>
        </w:rPr>
        <w:t>ardness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24-25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4.2.10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coliforms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4.2.11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25-26</w:t>
      </w:r>
    </w:p>
    <w:p>
      <w:pPr>
        <w:pStyle w:val="style0"/>
        <w:spacing w:lineRule="auto" w:line="480"/>
        <w:jc w:val="both"/>
        <w:rPr>
          <w:rFonts w:ascii="Times New Roman" w:cs="Times New Roman" w:hAnsi="Times New Roman"/>
          <w:b/>
          <w:bCs/>
          <w:iCs/>
          <w:sz w:val="24"/>
        </w:rPr>
      </w:pPr>
      <w:r>
        <w:rPr>
          <w:rFonts w:ascii="Times New Roman" w:cs="Times New Roman" w:hAnsi="Times New Roman"/>
          <w:b/>
          <w:bCs/>
          <w:iCs/>
          <w:sz w:val="24"/>
        </w:rPr>
        <w:t>CHAPTER FIVE</w:t>
      </w:r>
      <w:r>
        <w:rPr>
          <w:rFonts w:ascii="Times New Roman" w:cs="Times New Roman" w:hAnsi="Times New Roman"/>
          <w:b/>
          <w:bCs/>
          <w:iCs/>
          <w:sz w:val="24"/>
        </w:rPr>
        <w:t>: CONCLUSION AND RECOMMENDATION</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tabs>
          <w:tab w:val="left" w:leader="none" w:pos="1302"/>
        </w:tabs>
        <w:spacing w:lineRule="auto" w:line="480"/>
        <w:rPr>
          <w:rFonts w:ascii="Times New Roman" w:cs="Times New Roman" w:hAnsi="Times New Roman"/>
          <w:sz w:val="24"/>
        </w:rPr>
      </w:pPr>
      <w:r>
        <w:rPr>
          <w:rFonts w:ascii="Times New Roman" w:cs="Times New Roman" w:hAnsi="Times New Roman"/>
          <w:sz w:val="24"/>
        </w:rPr>
        <w:t xml:space="preserve">5.1    </w:t>
      </w:r>
      <w:r>
        <w:rPr>
          <w:rFonts w:ascii="Times New Roman" w:cs="Times New Roman" w:hAnsi="Times New Roman"/>
          <w:sz w:val="24"/>
        </w:rPr>
        <w:t>Conclusions</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31</w:t>
      </w:r>
    </w:p>
    <w:p>
      <w:pPr>
        <w:pStyle w:val="style0"/>
        <w:tabs>
          <w:tab w:val="left" w:leader="none" w:pos="603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 xml:space="preserve">  </w:t>
      </w: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lineRule="auto" w:line="480"/>
        <w:jc w:val="both"/>
        <w:rPr>
          <w:rFonts w:ascii="Times New Roman" w:cs="Times New Roman" w:hAnsi="Times New Roman"/>
          <w:sz w:val="24"/>
        </w:rPr>
      </w:pPr>
      <w:r>
        <w:rPr>
          <w:rFonts w:ascii="Times New Roman" w:cs="Times New Roman" w:hAnsi="Times New Roman"/>
          <w:b/>
          <w:sz w:val="24"/>
        </w:rPr>
        <w:t>REFERENCES</w:t>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TABLE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w:t>
      </w:r>
      <w:r>
        <w:rPr>
          <w:rFonts w:ascii="Times New Roman" w:cs="Times New Roman" w:hAnsi="Times New Roman"/>
          <w:sz w:val="24"/>
          <w:szCs w:val="24"/>
        </w:rPr>
        <w:t xml:space="preserve">1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Groundwater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FIGURE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after="0"/>
        <w:rPr>
          <w:rFonts w:ascii="Times New Roman" w:cs="Times New Roman" w:hAnsi="Times New Roman"/>
          <w:sz w:val="24"/>
          <w:szCs w:val="24"/>
        </w:rPr>
      </w:pPr>
      <w:r>
        <w:rPr>
          <w:rFonts w:ascii="Times New Roman" w:cs="Times New Roman" w:hAnsi="Times New Roman"/>
          <w:sz w:val="24"/>
          <w:szCs w:val="24"/>
        </w:rPr>
        <w:t>4.1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Colour</w:t>
      </w:r>
      <w:r>
        <w:rPr>
          <w:rFonts w:ascii="Times New Roman" w:cs="Times New Roman" w:hAnsi="Times New Roman"/>
          <w:sz w:val="24"/>
          <w:szCs w:val="24"/>
        </w:rPr>
        <w:t xml:space="preserve"> Units)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4.2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i/>
          <w:iCs/>
          <w:sz w:val="24"/>
          <w:szCs w:val="24"/>
        </w:rPr>
        <w:t>Turbidity</w:t>
      </w:r>
      <w:r>
        <w:rPr>
          <w:rFonts w:ascii="Times New Roman" w:cs="Times New Roman" w:hAnsi="Times New Roman"/>
          <w:sz w:val="24"/>
          <w:szCs w:val="24"/>
        </w:rPr>
        <w:t xml:space="preserve"> N.T.U)</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4.3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after="0"/>
        <w:rPr>
          <w:rFonts w:ascii="Times New Roman" w:cs="Times New Roman" w:hAnsi="Times New Roman"/>
          <w:i/>
          <w:iCs/>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(TDS)</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4.4 Contamination risk of ground 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(Electrical Conductivity)</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4.5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(Iron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4.6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(Manganese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4.7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(Nitrate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4.8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Nitrite )</w:t>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4.9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28</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w:t>
      </w:r>
      <w:r>
        <w:rPr>
          <w:rFonts w:ascii="Times New Roman" w:cs="Times New Roman" w:hAnsi="Times New Roman"/>
          <w:sz w:val="24"/>
          <w:szCs w:val="24"/>
        </w:rPr>
        <w:t>Hardness )</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4.10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(Coliform counts/ 100ml)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via plate count du/ml)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4.12 Contamination risk of groundwater and stored drinking </w:t>
      </w:r>
      <w:r>
        <w:rPr>
          <w:rFonts w:ascii="Times New Roman" w:cs="Times New Roman" w:hAnsi="Times New Roman"/>
          <w:sz w:val="24"/>
          <w:szCs w:val="24"/>
        </w:rPr>
        <w:t>wate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94"/>
        <w:jc w:val="center"/>
        <w:rPr/>
      </w:pPr>
      <w:r>
        <w:rPr>
          <w:rStyle w:val="style87"/>
        </w:rPr>
        <w:t>ABSTRACT</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 xml:space="preserve">Groundwater quality values from wells and boreholes in urban areas often show elevated concentrations of, total dissolved solids (TDS) and total hardness (TH) in groundwater </w:t>
      </w:r>
      <w:r>
        <w:rPr>
          <w:rFonts w:ascii="Times New Roman" w:cs="Times New Roman" w:hAnsi="Times New Roman"/>
          <w:i/>
          <w:iCs/>
          <w:sz w:val="24"/>
          <w:szCs w:val="24"/>
        </w:rPr>
        <w:t>samples  surpass</w:t>
      </w:r>
      <w:r>
        <w:rPr>
          <w:rFonts w:ascii="Times New Roman" w:cs="Times New Roman" w:hAnsi="Times New Roman"/>
          <w:i/>
          <w:iCs/>
          <w:sz w:val="24"/>
          <w:szCs w:val="24"/>
        </w:rPr>
        <w:t xml:space="preserve">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w:t>
      </w:r>
      <w:r>
        <w:rPr>
          <w:rFonts w:ascii="Times New Roman" w:cs="Times New Roman" w:hAnsi="Times New Roman"/>
          <w:i/>
          <w:iCs/>
          <w:sz w:val="24"/>
          <w:szCs w:val="24"/>
        </w:rPr>
        <w:t>counts  increase</w:t>
      </w:r>
      <w:r>
        <w:rPr>
          <w:rFonts w:ascii="Times New Roman" w:cs="Times New Roman" w:hAnsi="Times New Roman"/>
          <w:i/>
          <w:iCs/>
          <w:sz w:val="24"/>
          <w:szCs w:val="24"/>
        </w:rPr>
        <w:t xml:space="preserv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w:t>
      </w:r>
      <w:r>
        <w:rPr>
          <w:rFonts w:ascii="Times New Roman" w:cs="Times New Roman" w:hAnsi="Times New Roman"/>
          <w:i/>
          <w:iCs/>
          <w:sz w:val="24"/>
          <w:szCs w:val="24"/>
        </w:rPr>
        <w:t>.</w:t>
      </w:r>
      <w:r>
        <w:rPr>
          <w:rFonts w:ascii="Times New Roman" w:cs="Times New Roman" w:hAnsi="Times New Roman"/>
          <w:i/>
          <w:iCs/>
          <w:sz w:val="24"/>
          <w:szCs w:val="24"/>
        </w:rPr>
        <w:t xml:space="preserve"> </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bCs/>
          <w:noProof/>
          <w:sz w:val="24"/>
          <w:szCs w:val="24"/>
        </w:rPr>
        <w:sectPr>
          <w:footerReference w:type="default" r:id="rId3"/>
          <w:pgSz w:w="12240" w:h="15840" w:orient="portrait"/>
          <w:pgMar w:top="1440" w:right="1440" w:bottom="1440" w:left="1985" w:header="708" w:footer="1833" w:gutter="0"/>
          <w:pgNumType w:fmt="lowerRoman" w:start="1"/>
          <w:cols w:space="708"/>
          <w:docGrid w:linePitch="360"/>
        </w:sectPr>
      </w:pP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CHAPTER ONE</w:t>
      </w: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INTRODUCTION</w:t>
      </w:r>
    </w:p>
    <w:p>
      <w:pPr>
        <w:pStyle w:val="style0"/>
        <w:spacing w:lineRule="auto" w:line="360"/>
        <w:rPr>
          <w:rFonts w:ascii="Times New Roman" w:cs="Times New Roman" w:hAnsi="Times New Roman"/>
          <w:b/>
          <w:bCs/>
          <w:noProof/>
          <w:sz w:val="24"/>
          <w:szCs w:val="24"/>
        </w:rPr>
      </w:pPr>
      <w:r>
        <w:rPr>
          <w:rFonts w:ascii="Times New Roman" w:cs="Times New Roman" w:hAnsi="Times New Roman"/>
          <w:b/>
          <w:bCs/>
          <w:noProof/>
          <w:sz w:val="24"/>
          <w:szCs w:val="24"/>
        </w:rPr>
        <w:t>1.1</w:t>
      </w:r>
      <w:r>
        <w:rPr>
          <w:rFonts w:ascii="Times New Roman" w:cs="Times New Roman" w:hAnsi="Times New Roman"/>
          <w:b/>
          <w:bCs/>
          <w:noProof/>
          <w:sz w:val="24"/>
          <w:szCs w:val="24"/>
        </w:rPr>
        <w:tab/>
      </w:r>
      <w:r>
        <w:rPr>
          <w:rFonts w:ascii="Times New Roman" w:cs="Times New Roman" w:hAnsi="Times New Roman"/>
          <w:b/>
          <w:bCs/>
          <w:noProof/>
          <w:sz w:val="24"/>
          <w:szCs w:val="24"/>
        </w:rPr>
        <w:t xml:space="preserve"> Preamble</w:t>
      </w:r>
    </w:p>
    <w:p>
      <w:pPr>
        <w:pStyle w:val="style0"/>
        <w:spacing w:lineRule="auto" w:line="360"/>
        <w:ind w:firstLine="720"/>
        <w:jc w:val="both"/>
        <w:rPr>
          <w:rFonts w:ascii="Times New Roman" w:cs="Times New Roman" w:hAnsi="Times New Roman"/>
          <w:i/>
          <w:sz w:val="24"/>
          <w:szCs w:val="24"/>
        </w:rPr>
      </w:pPr>
      <w:r>
        <w:rPr>
          <w:rFonts w:ascii="Times New Roman" w:cs="Times New Roman" w:hAnsi="Times New Roman"/>
          <w:sz w:val="24"/>
          <w:szCs w:val="24"/>
        </w:rPr>
        <w:t>However, drinking water is also the most important source of gastro enteric diseases worldwide, mainly due to the fecal contamination of raw water, failure in the water treatment process or recontamination of drinking water at source and point of use (</w:t>
      </w:r>
      <w:r>
        <w:rPr>
          <w:rFonts w:ascii="Times New Roman" w:cs="Times New Roman" w:hAnsi="Times New Roman"/>
          <w:i/>
          <w:sz w:val="24"/>
          <w:szCs w:val="24"/>
        </w:rPr>
        <w:t xml:space="preserve">WHO, 2003; </w:t>
      </w:r>
      <w:r>
        <w:rPr>
          <w:rFonts w:ascii="Times New Roman" w:cs="Times New Roman" w:hAnsi="Times New Roman"/>
          <w:i/>
          <w:sz w:val="24"/>
          <w:szCs w:val="24"/>
        </w:rPr>
        <w:t>Pironcheva</w:t>
      </w:r>
      <w:r>
        <w:rPr>
          <w:rFonts w:ascii="Times New Roman" w:cs="Times New Roman" w:hAnsi="Times New Roman"/>
          <w:i/>
          <w:sz w:val="24"/>
          <w:szCs w:val="24"/>
        </w:rPr>
        <w:t xml:space="preserve">, 2004; Wright et al., 2004; </w:t>
      </w:r>
      <w:r>
        <w:rPr>
          <w:rFonts w:ascii="Times New Roman" w:cs="Times New Roman" w:hAnsi="Times New Roman"/>
          <w:i/>
          <w:sz w:val="24"/>
          <w:szCs w:val="24"/>
        </w:rPr>
        <w:t>Clasen</w:t>
      </w:r>
      <w:r>
        <w:rPr>
          <w:rFonts w:ascii="Times New Roman" w:cs="Times New Roman" w:hAnsi="Times New Roman"/>
          <w:i/>
          <w:sz w:val="24"/>
          <w:szCs w:val="24"/>
        </w:rPr>
        <w:t xml:space="preserve"> et al., 2006, </w:t>
      </w:r>
      <w:r>
        <w:rPr>
          <w:rFonts w:ascii="Times New Roman" w:cs="Times New Roman" w:hAnsi="Times New Roman"/>
          <w:i/>
          <w:sz w:val="24"/>
          <w:szCs w:val="24"/>
        </w:rPr>
        <w:t>2007;Miner</w:t>
      </w:r>
      <w:r>
        <w:rPr>
          <w:rFonts w:ascii="Times New Roman" w:cs="Times New Roman" w:hAnsi="Times New Roman"/>
          <w:i/>
          <w:sz w:val="24"/>
          <w:szCs w:val="24"/>
        </w:rPr>
        <w:t xml:space="preserve"> et al., 2016). </w:t>
      </w:r>
      <w:r>
        <w:rPr>
          <w:rFonts w:ascii="Times New Roman" w:cs="Times New Roman" w:hAnsi="Times New Roman"/>
          <w:sz w:val="24"/>
          <w:szCs w:val="24"/>
        </w:rPr>
        <w:t xml:space="preserve">About two thirds of </w:t>
      </w:r>
      <w:r>
        <w:rPr>
          <w:rFonts w:ascii="Times New Roman" w:cs="Times New Roman" w:hAnsi="Times New Roman"/>
          <w:sz w:val="24"/>
          <w:szCs w:val="24"/>
        </w:rPr>
        <w:t>drink</w:t>
      </w:r>
      <w:r>
        <w:rPr>
          <w:rFonts w:ascii="Times New Roman" w:cs="Times New Roman" w:hAnsi="Times New Roman"/>
          <w:sz w:val="24"/>
          <w:szCs w:val="24"/>
        </w:rPr>
        <w:t>ng</w:t>
      </w:r>
      <w:r>
        <w:rPr>
          <w:rFonts w:ascii="Times New Roman" w:cs="Times New Roman" w:hAnsi="Times New Roman"/>
          <w:sz w:val="24"/>
          <w:szCs w:val="24"/>
        </w:rPr>
        <w:t xml:space="preserve"> water consumed worldwide is derived from various surface water sources like: lakes, rivers and open wells. Hence, it can easily be contaminated microbiologically by sewage discharges or fecal loading by domestic or wild animals </w:t>
      </w:r>
      <w:r>
        <w:rPr>
          <w:rFonts w:ascii="Times New Roman" w:cs="Times New Roman" w:hAnsi="Times New Roman"/>
          <w:i/>
          <w:sz w:val="24"/>
          <w:szCs w:val="24"/>
        </w:rPr>
        <w:t>(WHO, 2003).</w:t>
      </w:r>
      <w:r>
        <w:rPr>
          <w:rFonts w:ascii="Times New Roman" w:cs="Times New Roman" w:hAnsi="Times New Roman"/>
          <w:sz w:val="24"/>
          <w:szCs w:val="24"/>
        </w:rPr>
        <w:t xml:space="preserve"> As a result, water related diseases continue to be one of the major health problems globally </w:t>
      </w:r>
      <w:r>
        <w:rPr>
          <w:rFonts w:ascii="Times New Roman" w:cs="Times New Roman" w:hAnsi="Times New Roman"/>
          <w:i/>
          <w:sz w:val="24"/>
          <w:szCs w:val="24"/>
        </w:rPr>
        <w:t>(JMP, 2008).</w:t>
      </w:r>
      <w:r>
        <w:rPr>
          <w:rFonts w:ascii="Times New Roman" w:cs="Times New Roman" w:hAnsi="Times New Roman"/>
          <w:sz w:val="24"/>
          <w:szCs w:val="24"/>
        </w:rPr>
        <w:t xml:space="preserve"> It is estimated that globally </w:t>
      </w:r>
      <w:r>
        <w:rPr>
          <w:rFonts w:ascii="Times New Roman" w:cs="Times New Roman" w:hAnsi="Times New Roman"/>
          <w:sz w:val="24"/>
          <w:szCs w:val="24"/>
        </w:rPr>
        <w:t xml:space="preserve">80% of all illnesses are linked </w:t>
      </w:r>
      <w:r>
        <w:rPr>
          <w:rFonts w:ascii="Times New Roman" w:cs="Times New Roman" w:hAnsi="Times New Roman"/>
          <w:sz w:val="24"/>
          <w:szCs w:val="24"/>
        </w:rPr>
        <w:t xml:space="preserve">to use of unsafe and microbiologically poor water quality </w:t>
      </w:r>
      <w:r>
        <w:rPr>
          <w:rFonts w:ascii="Times New Roman" w:cs="Times New Roman" w:hAnsi="Times New Roman"/>
          <w:i/>
          <w:sz w:val="24"/>
          <w:szCs w:val="24"/>
        </w:rPr>
        <w:t xml:space="preserve">(WHO, 2002; </w:t>
      </w:r>
      <w:r>
        <w:rPr>
          <w:rFonts w:ascii="Times New Roman" w:cs="Times New Roman" w:hAnsi="Times New Roman"/>
          <w:i/>
          <w:sz w:val="24"/>
          <w:szCs w:val="24"/>
        </w:rPr>
        <w:t>Mpenyana-Monyatsi</w:t>
      </w:r>
      <w:r>
        <w:rPr>
          <w:rFonts w:ascii="Times New Roman" w:cs="Times New Roman" w:hAnsi="Times New Roman"/>
          <w:i/>
          <w:sz w:val="24"/>
          <w:szCs w:val="24"/>
        </w:rPr>
        <w:t xml:space="preserve"> et al., 2012).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Hence, lack of safe drinking water supply, basic sanit</w:t>
      </w:r>
      <w:r>
        <w:rPr>
          <w:rFonts w:ascii="Times New Roman" w:cs="Times New Roman" w:hAnsi="Times New Roman"/>
          <w:sz w:val="24"/>
          <w:szCs w:val="24"/>
        </w:rPr>
        <w:t xml:space="preserve">ation and hygienic practices </w:t>
      </w:r>
      <w:r>
        <w:rPr>
          <w:rFonts w:ascii="Times New Roman" w:cs="Times New Roman" w:hAnsi="Times New Roman"/>
          <w:sz w:val="24"/>
          <w:szCs w:val="24"/>
        </w:rPr>
        <w:t xml:space="preserve">associated with high morbidity and mortality from </w:t>
      </w:r>
      <w:r>
        <w:rPr>
          <w:rFonts w:ascii="Times New Roman" w:cs="Times New Roman" w:hAnsi="Times New Roman"/>
          <w:sz w:val="24"/>
          <w:szCs w:val="24"/>
        </w:rPr>
        <w:t>fecoora</w:t>
      </w:r>
      <w:r>
        <w:rPr>
          <w:rFonts w:ascii="Times New Roman" w:cs="Times New Roman" w:hAnsi="Times New Roman"/>
          <w:sz w:val="24"/>
          <w:szCs w:val="24"/>
        </w:rPr>
        <w:t>lly</w:t>
      </w:r>
      <w:r>
        <w:rPr>
          <w:rFonts w:ascii="Times New Roman" w:cs="Times New Roman" w:hAnsi="Times New Roman"/>
          <w:sz w:val="24"/>
          <w:szCs w:val="24"/>
        </w:rPr>
        <w:t xml:space="preserve"> transmitted diseases. Abou </w:t>
      </w:r>
      <w:r>
        <w:rPr>
          <w:rFonts w:ascii="Times New Roman" w:cs="Times New Roman" w:hAnsi="Times New Roman"/>
          <w:sz w:val="24"/>
          <w:szCs w:val="24"/>
        </w:rPr>
        <w:t xml:space="preserve">1.1 billion people have no access to safe drinking water and diarrheal disease is highly endemic in these societies. This underlines the need for safe drinking water. However, the effectiveness of interventions aimed at improving the quality of drinking water alone may not solve the problem because people can become infected with organisms that cause diarrhea through multiple pathways. Even in developed countries with improved water supplies, diarrhea is often endemic </w:t>
      </w:r>
      <w:r>
        <w:rPr>
          <w:rFonts w:ascii="Times New Roman" w:cs="Times New Roman" w:hAnsi="Times New Roman"/>
          <w:i/>
          <w:sz w:val="24"/>
          <w:szCs w:val="24"/>
        </w:rPr>
        <w:t xml:space="preserve">(Wright, 2004; </w:t>
      </w:r>
      <w:r>
        <w:rPr>
          <w:rFonts w:ascii="Times New Roman" w:cs="Times New Roman" w:hAnsi="Times New Roman"/>
          <w:i/>
          <w:sz w:val="24"/>
          <w:szCs w:val="24"/>
        </w:rPr>
        <w:t>Colford</w:t>
      </w:r>
      <w:r>
        <w:rPr>
          <w:rFonts w:ascii="Times New Roman" w:cs="Times New Roman" w:hAnsi="Times New Roman"/>
          <w:i/>
          <w:sz w:val="24"/>
          <w:szCs w:val="24"/>
        </w:rPr>
        <w:t xml:space="preserve"> et al., 2006; Roy et al., 2006; </w:t>
      </w:r>
      <w:r>
        <w:rPr>
          <w:rFonts w:ascii="Times New Roman" w:cs="Times New Roman" w:hAnsi="Times New Roman"/>
          <w:i/>
          <w:sz w:val="24"/>
          <w:szCs w:val="24"/>
        </w:rPr>
        <w:t>Clasen</w:t>
      </w:r>
      <w:r>
        <w:rPr>
          <w:rFonts w:ascii="Times New Roman" w:cs="Times New Roman" w:hAnsi="Times New Roman"/>
          <w:i/>
          <w:sz w:val="24"/>
          <w:szCs w:val="24"/>
        </w:rPr>
        <w:t xml:space="preserve"> et al., 2007; Johnson et al., 2016).</w:t>
      </w:r>
      <w:r>
        <w:rPr>
          <w:rFonts w:ascii="Times New Roman" w:cs="Times New Roman" w:hAnsi="Times New Roman"/>
          <w:sz w:val="24"/>
          <w:szCs w:val="24"/>
        </w:rPr>
        <w:t xml:space="preserve"> For example, it has been reported that environmental interventions have shown 15 to 17% median reduction in diarrhea from water quality Interventions </w:t>
      </w:r>
      <w:r>
        <w:rPr>
          <w:rFonts w:ascii="Times New Roman" w:cs="Times New Roman" w:hAnsi="Times New Roman"/>
          <w:i/>
          <w:sz w:val="24"/>
          <w:szCs w:val="24"/>
        </w:rPr>
        <w:t>(</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This indicates that not only water improvements at the source or collection point (protected wells, boreholes, and tap stands) </w:t>
      </w:r>
      <w:r>
        <w:rPr>
          <w:rFonts w:ascii="Times New Roman" w:cs="Times New Roman" w:hAnsi="Times New Roman"/>
          <w:sz w:val="24"/>
          <w:szCs w:val="24"/>
        </w:rPr>
        <w:t xml:space="preserve">but also improvement at household level and other sources are equally important to minimize the risk of water born diarrhea </w:t>
      </w:r>
      <w:r>
        <w:rPr>
          <w:rFonts w:ascii="Times New Roman" w:cs="Times New Roman" w:hAnsi="Times New Roman"/>
          <w:i/>
          <w:sz w:val="24"/>
          <w:szCs w:val="24"/>
        </w:rPr>
        <w:t>(</w:t>
      </w:r>
      <w:r>
        <w:rPr>
          <w:rFonts w:ascii="Times New Roman" w:cs="Times New Roman" w:hAnsi="Times New Roman"/>
          <w:i/>
          <w:sz w:val="24"/>
          <w:szCs w:val="24"/>
        </w:rPr>
        <w:t>Zvidzai</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Ethiopia, with a population of 75 million, more </w:t>
      </w:r>
      <w:r>
        <w:rPr>
          <w:rFonts w:ascii="Times New Roman" w:cs="Times New Roman" w:hAnsi="Times New Roman"/>
          <w:sz w:val="24"/>
          <w:szCs w:val="24"/>
        </w:rPr>
        <w:t xml:space="preserve">than half of the population </w:t>
      </w:r>
      <w:r>
        <w:rPr>
          <w:rFonts w:ascii="Times New Roman" w:cs="Times New Roman" w:hAnsi="Times New Roman"/>
          <w:sz w:val="24"/>
          <w:szCs w:val="24"/>
        </w:rPr>
        <w:t xml:space="preserve">no access to safe water. It is estimated that about 35 million people do not have access to sanitation services and half of the population of the country </w:t>
      </w:r>
      <w:r>
        <w:rPr>
          <w:rFonts w:ascii="Times New Roman" w:cs="Times New Roman" w:hAnsi="Times New Roman"/>
          <w:sz w:val="24"/>
          <w:szCs w:val="24"/>
        </w:rPr>
        <w:t>are</w:t>
      </w:r>
      <w:r>
        <w:rPr>
          <w:rFonts w:ascii="Times New Roman" w:cs="Times New Roman" w:hAnsi="Times New Roman"/>
          <w:sz w:val="24"/>
          <w:szCs w:val="24"/>
        </w:rPr>
        <w:t xml:space="preserve"> suffering from water related </w:t>
      </w:r>
      <w:r>
        <w:rPr>
          <w:rFonts w:ascii="Times New Roman" w:cs="Times New Roman" w:hAnsi="Times New Roman"/>
          <w:i/>
          <w:sz w:val="24"/>
          <w:szCs w:val="24"/>
        </w:rPr>
        <w:t>diseases (UNICEF, 2008).</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Ethiopia is one of the developing countries with a population of 75 million where only 52 and 28% of its population has access to safe water and sanitation coverage, </w:t>
      </w:r>
      <w:r>
        <w:rPr>
          <w:rFonts w:ascii="Times New Roman" w:cs="Times New Roman" w:hAnsi="Times New Roman"/>
          <w:sz w:val="24"/>
          <w:szCs w:val="24"/>
        </w:rPr>
        <w:t xml:space="preserve">respectively </w:t>
      </w:r>
      <w:r>
        <w:rPr>
          <w:rFonts w:ascii="Times New Roman" w:cs="Times New Roman" w:hAnsi="Times New Roman"/>
          <w:i/>
          <w:sz w:val="24"/>
          <w:szCs w:val="24"/>
        </w:rPr>
        <w:t>(</w:t>
      </w:r>
      <w:r>
        <w:rPr>
          <w:rFonts w:ascii="Times New Roman" w:cs="Times New Roman" w:hAnsi="Times New Roman"/>
          <w:i/>
          <w:sz w:val="24"/>
          <w:szCs w:val="24"/>
        </w:rPr>
        <w:t>MoWR</w:t>
      </w:r>
      <w:r>
        <w:rPr>
          <w:rFonts w:ascii="Times New Roman" w:cs="Times New Roman" w:hAnsi="Times New Roman"/>
          <w:i/>
          <w:sz w:val="24"/>
          <w:szCs w:val="24"/>
        </w:rPr>
        <w:t>,  2007</w:t>
      </w:r>
      <w:r>
        <w:rPr>
          <w:rFonts w:ascii="Times New Roman" w:cs="Times New Roman" w:hAnsi="Times New Roman"/>
          <w:i/>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For  this</w:t>
      </w:r>
      <w:r>
        <w:rPr>
          <w:rFonts w:ascii="Times New Roman" w:cs="Times New Roman" w:hAnsi="Times New Roman"/>
          <w:sz w:val="24"/>
          <w:szCs w:val="24"/>
        </w:rPr>
        <w:t xml:space="preserve"> </w:t>
      </w:r>
      <w:r>
        <w:rPr>
          <w:rFonts w:ascii="Times New Roman" w:cs="Times New Roman" w:hAnsi="Times New Roman"/>
          <w:sz w:val="24"/>
          <w:szCs w:val="24"/>
        </w:rPr>
        <w:t xml:space="preserve"> reason,  </w:t>
      </w:r>
      <w:r>
        <w:rPr>
          <w:rFonts w:ascii="Times New Roman" w:cs="Times New Roman" w:hAnsi="Times New Roman"/>
          <w:i/>
          <w:sz w:val="24"/>
          <w:szCs w:val="24"/>
        </w:rPr>
        <w:t>Negera</w:t>
      </w:r>
      <w:r>
        <w:rPr>
          <w:rFonts w:ascii="Times New Roman" w:cs="Times New Roman" w:hAnsi="Times New Roman"/>
          <w:i/>
          <w:sz w:val="24"/>
          <w:szCs w:val="24"/>
        </w:rPr>
        <w:t xml:space="preserve"> et al, 255 . Over 60 to 80%</w:t>
      </w:r>
      <w:r>
        <w:rPr>
          <w:rFonts w:ascii="Times New Roman" w:cs="Times New Roman" w:hAnsi="Times New Roman"/>
          <w:sz w:val="24"/>
          <w:szCs w:val="24"/>
        </w:rPr>
        <w:t xml:space="preserve"> of the population suffers from water-borne and water-related diseases </w:t>
      </w:r>
      <w:r>
        <w:rPr>
          <w:rFonts w:ascii="Times New Roman" w:cs="Times New Roman" w:hAnsi="Times New Roman"/>
          <w:i/>
          <w:sz w:val="24"/>
          <w:szCs w:val="24"/>
        </w:rPr>
        <w:t>(</w:t>
      </w:r>
      <w:r>
        <w:rPr>
          <w:rFonts w:ascii="Times New Roman" w:cs="Times New Roman" w:hAnsi="Times New Roman"/>
          <w:i/>
          <w:sz w:val="24"/>
          <w:szCs w:val="24"/>
        </w:rPr>
        <w:t>MoH</w:t>
      </w:r>
      <w:r>
        <w:rPr>
          <w:rFonts w:ascii="Times New Roman" w:cs="Times New Roman" w:hAnsi="Times New Roman"/>
          <w:i/>
          <w:sz w:val="24"/>
          <w:szCs w:val="24"/>
        </w:rPr>
        <w:t>, 2007).</w:t>
      </w:r>
      <w:r>
        <w:rPr>
          <w:rFonts w:ascii="Times New Roman" w:cs="Times New Roman" w:hAnsi="Times New Roman"/>
          <w:sz w:val="24"/>
          <w:szCs w:val="24"/>
        </w:rPr>
        <w:t xml:space="preserve"> This burdens the country with enormous financial and social costs to take care of such a huge number of people suffering from these debilitating infections. It was also estimated that over half a million children under the age of five die every year from diarrhea related diseases. In other words, for every five children born, one will die from diarrhea before they reach their 5th birthday </w:t>
      </w:r>
      <w:r>
        <w:rPr>
          <w:rFonts w:ascii="Times New Roman" w:cs="Times New Roman" w:hAnsi="Times New Roman"/>
          <w:i/>
          <w:sz w:val="24"/>
          <w:szCs w:val="24"/>
        </w:rPr>
        <w:t xml:space="preserve">(UNICEF, 2008; </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developing countries such as Ethiopia, most of the rural communities are poverty-stricken, lack access to potable water supplies and rely mainly on river, stream, well and pond water sources for their daily water need. Water from these sources is used directly by the inhabitants and the water sources are fecal contaminated and devoid of treatment </w:t>
      </w:r>
      <w:r>
        <w:rPr>
          <w:rFonts w:ascii="Times New Roman" w:cs="Times New Roman" w:hAnsi="Times New Roman"/>
          <w:i/>
          <w:sz w:val="24"/>
          <w:szCs w:val="24"/>
        </w:rPr>
        <w:t>(WHO, 1993).</w:t>
      </w:r>
      <w:r>
        <w:rPr>
          <w:rFonts w:ascii="Times New Roman" w:cs="Times New Roman" w:hAnsi="Times New Roman"/>
          <w:sz w:val="24"/>
          <w:szCs w:val="24"/>
        </w:rPr>
        <w:t xml:space="preserve"> Consequently, a significant proportion of residents in rural communities of Ethiopia are exposed to water-borne di</w:t>
      </w:r>
      <w:r>
        <w:rPr>
          <w:rFonts w:ascii="Times New Roman" w:cs="Times New Roman" w:hAnsi="Times New Roman"/>
          <w:sz w:val="24"/>
          <w:szCs w:val="24"/>
        </w:rPr>
        <w:t xml:space="preserve">sease and their complications. </w:t>
      </w:r>
      <w:r>
        <w:rPr>
          <w:rFonts w:ascii="Times New Roman" w:cs="Times New Roman" w:hAnsi="Times New Roman"/>
          <w:sz w:val="24"/>
          <w:szCs w:val="24"/>
        </w:rPr>
        <w:t>These pathogenic contaminants are derived from home</w:t>
      </w:r>
      <w:r>
        <w:rPr>
          <w:rFonts w:ascii="Times New Roman" w:cs="Times New Roman" w:hAnsi="Times New Roman"/>
          <w:sz w:val="24"/>
          <w:szCs w:val="24"/>
        </w:rPr>
        <w:t xml:space="preserve"> </w:t>
      </w:r>
      <w:r>
        <w:rPr>
          <w:rFonts w:ascii="Times New Roman" w:cs="Times New Roman" w:hAnsi="Times New Roman"/>
          <w:sz w:val="24"/>
          <w:szCs w:val="24"/>
        </w:rPr>
        <w:t>other</w:t>
      </w:r>
      <w:r>
        <w:rPr>
          <w:rFonts w:ascii="Times New Roman" w:cs="Times New Roman" w:hAnsi="Times New Roman"/>
          <w:sz w:val="24"/>
          <w:szCs w:val="24"/>
        </w:rPr>
        <w:t xml:space="preserve"> </w:t>
      </w:r>
      <w:r>
        <w:rPr>
          <w:rFonts w:ascii="Times New Roman" w:cs="Times New Roman" w:hAnsi="Times New Roman"/>
          <w:sz w:val="24"/>
          <w:szCs w:val="24"/>
        </w:rPr>
        <w:t xml:space="preserve">including human beings and resulted in contamination of drinking water sources in areas with poor standards of hygiene and sanitation. The sanitation crisis heightens when it is accompanied by poor health protection system associated with poor life standard </w:t>
      </w:r>
      <w:r>
        <w:rPr>
          <w:rFonts w:ascii="Times New Roman" w:cs="Times New Roman" w:hAnsi="Times New Roman"/>
          <w:i/>
          <w:sz w:val="24"/>
          <w:szCs w:val="24"/>
        </w:rPr>
        <w:t>(Nath, 2003).</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Microbiological water quality can also be deteriorated in the course of collection, transport, and home storage. Thus, access to a safe source alone does not ensure the quality </w:t>
      </w:r>
      <w:r>
        <w:rPr>
          <w:rFonts w:ascii="Times New Roman" w:cs="Times New Roman" w:hAnsi="Times New Roman"/>
          <w:sz w:val="24"/>
          <w:szCs w:val="24"/>
        </w:rPr>
        <w:t xml:space="preserve">of water that is consumed. Furthermore, a better water source does not lead to full health benefits in the absence of improved water storage and sanitation </w:t>
      </w:r>
      <w:r>
        <w:rPr>
          <w:rFonts w:ascii="Times New Roman" w:cs="Times New Roman" w:hAnsi="Times New Roman"/>
          <w:i/>
          <w:sz w:val="24"/>
          <w:szCs w:val="24"/>
        </w:rPr>
        <w:t>(</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Hence, the objective of this study was to assess the bacteriological quality of drinking water from sources and households in the study area and to highlight the possible associated risk factors.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 xml:space="preserve">Problem Statement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 xml:space="preserve">Aims and Objectives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aim of the project is to evaluate and compare the physical, chemical and microbial quality of ground water and stored drinking water in </w:t>
      </w:r>
      <w:r>
        <w:rPr>
          <w:rFonts w:ascii="Times New Roman" w:cs="Times New Roman" w:hAnsi="Times New Roman"/>
          <w:sz w:val="24"/>
          <w:szCs w:val="24"/>
        </w:rPr>
        <w:t>Eleko</w:t>
      </w:r>
      <w:r>
        <w:rPr>
          <w:rFonts w:ascii="Times New Roman" w:cs="Times New Roman" w:hAnsi="Times New Roman"/>
          <w:sz w:val="24"/>
          <w:szCs w:val="24"/>
        </w:rPr>
        <w:t>.</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The specific objective of the project </w:t>
      </w:r>
      <w:r>
        <w:rPr>
          <w:rFonts w:ascii="Times New Roman" w:cs="Times New Roman" w:hAnsi="Times New Roman"/>
          <w:bCs/>
          <w:sz w:val="24"/>
          <w:szCs w:val="24"/>
        </w:rPr>
        <w:t>are</w:t>
      </w:r>
      <w:r>
        <w:rPr>
          <w:rFonts w:ascii="Times New Roman" w:cs="Times New Roman" w:hAnsi="Times New Roman"/>
          <w:bCs/>
          <w:sz w:val="24"/>
          <w:szCs w:val="24"/>
        </w:rPr>
        <w:t xml:space="preserve"> to</w:t>
      </w:r>
      <w:r>
        <w:rPr>
          <w:rFonts w:ascii="Times New Roman" w:cs="Times New Roman" w:hAnsi="Times New Roman"/>
          <w:bCs/>
          <w:sz w:val="24"/>
          <w:szCs w:val="24"/>
        </w:rPr>
        <w:t>:</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Collect and analyze groundwater and stored drinking water samples using standard method</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ii.</w:t>
      </w:r>
      <w:r>
        <w:rPr>
          <w:rFonts w:ascii="Times New Roman" w:cs="Times New Roman" w:hAnsi="Times New Roman"/>
          <w:bCs/>
          <w:sz w:val="24"/>
          <w:szCs w:val="24"/>
        </w:rPr>
        <w:tab/>
      </w:r>
      <w:r>
        <w:rPr>
          <w:rFonts w:ascii="Times New Roman" w:cs="Times New Roman" w:hAnsi="Times New Roman"/>
          <w:bCs/>
          <w:sz w:val="24"/>
          <w:szCs w:val="24"/>
        </w:rPr>
        <w:t>Determine the physical, chemical, and microbial parameters of the water samples</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iii.</w:t>
      </w:r>
      <w:r>
        <w:rPr>
          <w:rFonts w:ascii="Times New Roman" w:cs="Times New Roman" w:hAnsi="Times New Roman"/>
          <w:bCs/>
          <w:sz w:val="24"/>
          <w:szCs w:val="24"/>
        </w:rPr>
        <w:tab/>
      </w:r>
      <w:r>
        <w:rPr>
          <w:rFonts w:ascii="Times New Roman" w:cs="Times New Roman" w:hAnsi="Times New Roman"/>
          <w:bCs/>
          <w:sz w:val="24"/>
          <w:szCs w:val="24"/>
        </w:rPr>
        <w:t>Compare contamination levels between the groundwater sources and the stored water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1.4 </w:t>
      </w:r>
      <w:r>
        <w:rPr>
          <w:rFonts w:ascii="Times New Roman" w:cs="Times New Roman" w:hAnsi="Times New Roman"/>
          <w:b/>
          <w:bCs/>
          <w:sz w:val="24"/>
          <w:szCs w:val="24"/>
        </w:rPr>
        <w:tab/>
      </w:r>
      <w:r>
        <w:rPr>
          <w:rFonts w:ascii="Times New Roman" w:cs="Times New Roman" w:hAnsi="Times New Roman"/>
          <w:b/>
          <w:bCs/>
          <w:sz w:val="24"/>
          <w:szCs w:val="24"/>
        </w:rPr>
        <w:t xml:space="preserve">Scope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focuses on assessing and comparing the quality of groundwater sources (wells and boreholes) and household-stored drinking water in an urban setting. The assessment is based on one-time sampling of five source </w:t>
      </w:r>
      <w:r>
        <w:rPr>
          <w:rFonts w:ascii="Times New Roman" w:cs="Times New Roman" w:hAnsi="Times New Roman"/>
          <w:sz w:val="24"/>
          <w:szCs w:val="24"/>
        </w:rPr>
        <w:t>points  three</w:t>
      </w:r>
      <w:r>
        <w:rPr>
          <w:rFonts w:ascii="Times New Roman" w:cs="Times New Roman" w:hAnsi="Times New Roman"/>
          <w:sz w:val="24"/>
          <w:szCs w:val="24"/>
        </w:rPr>
        <w:t xml:space="preserve"> wells and two boreholes   and their corresponding stored water samples collected from households after one week of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covers both </w:t>
      </w:r>
      <w:r>
        <w:rPr>
          <w:rFonts w:ascii="Times New Roman" w:cs="Times New Roman" w:hAnsi="Times New Roman"/>
          <w:sz w:val="24"/>
          <w:szCs w:val="24"/>
        </w:rPr>
        <w:t xml:space="preserve">physicochemical parameters (such as pH, turbidity, total dissolved solids, electrical conductivity, and selected chemical constituents) and microbial </w:t>
      </w:r>
      <w:r>
        <w:rPr>
          <w:rFonts w:ascii="Times New Roman" w:cs="Times New Roman" w:hAnsi="Times New Roman"/>
          <w:sz w:val="24"/>
          <w:szCs w:val="24"/>
        </w:rPr>
        <w:t xml:space="preserve">contamination indicators (such as </w:t>
      </w:r>
      <w:r>
        <w:rPr>
          <w:rFonts w:ascii="Times New Roman" w:cs="Times New Roman" w:hAnsi="Times New Roman"/>
          <w:i/>
          <w:iCs/>
          <w:sz w:val="24"/>
          <w:szCs w:val="24"/>
        </w:rPr>
        <w:t>Escherichia coli</w:t>
      </w:r>
      <w:r>
        <w:rPr>
          <w:rFonts w:ascii="Times New Roman" w:cs="Times New Roman" w:hAnsi="Times New Roman"/>
          <w:sz w:val="24"/>
          <w:szCs w:val="24"/>
        </w:rPr>
        <w:t xml:space="preserve"> and total coliforms). Laboratory analysis is conducted to evaluate these parameters against established water quality standards.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Additionally, the study investigates possible changes in water quality during household storage and identifies storage-related factors that may contribute to contamination.</w:t>
      </w:r>
      <w:r>
        <w:rPr>
          <w:rFonts w:ascii="Times New Roman" w:cs="Times New Roman" w:hAnsi="Times New Roman"/>
          <w:b/>
          <w:bCs/>
          <w:sz w:val="24"/>
          <w:szCs w:val="24"/>
        </w:rPr>
        <w:tab/>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1.5 </w:t>
      </w:r>
      <w:r>
        <w:rPr>
          <w:rFonts w:ascii="Times New Roman" w:cs="Times New Roman" w:hAnsi="Times New Roman"/>
          <w:b/>
          <w:bCs/>
          <w:sz w:val="24"/>
          <w:szCs w:val="24"/>
        </w:rPr>
        <w:tab/>
      </w:r>
      <w:r>
        <w:rPr>
          <w:rFonts w:ascii="Times New Roman" w:cs="Times New Roman" w:hAnsi="Times New Roman"/>
          <w:b/>
          <w:bCs/>
          <w:sz w:val="24"/>
          <w:szCs w:val="24"/>
        </w:rPr>
        <w:t xml:space="preserve">Justification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will provide evidence-based insights that can support policymakers, water authorities, and health agencies in designing targeted interventions for improving water quality and safeguarding urban public health</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rPr>
          <w:rFonts w:ascii="Times New Roman" w:cs="Times New Roman" w:hAnsi="Times New Roman"/>
          <w:sz w:val="26"/>
          <w:szCs w:val="24"/>
        </w:rPr>
      </w:pPr>
    </w:p>
    <w:p>
      <w:pPr>
        <w:pStyle w:val="style0"/>
        <w:spacing w:lineRule="auto" w:line="360"/>
        <w:rPr>
          <w:rFonts w:ascii="Times New Roman" w:cs="Times New Roman" w:hAnsi="Times New Roman"/>
          <w:sz w:val="26"/>
          <w:szCs w:val="24"/>
        </w:rPr>
      </w:pPr>
    </w:p>
    <w:p>
      <w:pPr>
        <w:pStyle w:val="style0"/>
        <w:spacing w:lineRule="auto" w:line="360"/>
        <w:rPr>
          <w:rFonts w:ascii="Times New Roman" w:cs="Times New Roman" w:hAnsi="Times New Roman"/>
          <w:sz w:val="26"/>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 Introduction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Access to safe and clean drinking water is essential for human health and well-being </w:t>
      </w:r>
      <w:r>
        <w:rPr>
          <w:rFonts w:ascii="Times New Roman" w:cs="Times New Roman" w:hAnsi="Times New Roman"/>
          <w:i/>
          <w:sz w:val="24"/>
          <w:szCs w:val="24"/>
        </w:rPr>
        <w:t>(WHO, 2019).</w:t>
      </w:r>
      <w:r>
        <w:rPr>
          <w:rFonts w:ascii="Times New Roman" w:cs="Times New Roman" w:hAnsi="Times New Roman"/>
          <w:sz w:val="24"/>
          <w:szCs w:val="24"/>
        </w:rPr>
        <w:t xml:space="preserve"> However, in many parts of the world, including Nigeria, drinking water sources are often contaminated with bacteria, viruses, and other pathogens </w:t>
      </w:r>
      <w:r>
        <w:rPr>
          <w:rFonts w:ascii="Times New Roman" w:cs="Times New Roman" w:hAnsi="Times New Roman"/>
          <w:i/>
          <w:sz w:val="24"/>
          <w:szCs w:val="24"/>
        </w:rPr>
        <w:t>(CDC, 2020).</w:t>
      </w:r>
      <w:r>
        <w:rPr>
          <w:rFonts w:ascii="Times New Roman" w:cs="Times New Roman" w:hAnsi="Times New Roman"/>
          <w:sz w:val="24"/>
          <w:szCs w:val="24"/>
        </w:rPr>
        <w:t xml:space="preserve"> This contamination can lead to a range of waterborne diseases, including diarrhea, cholera, and typhoid fever </w:t>
      </w:r>
      <w:r>
        <w:rPr>
          <w:rFonts w:ascii="Times New Roman" w:cs="Times New Roman" w:hAnsi="Times New Roman"/>
          <w:i/>
          <w:sz w:val="24"/>
          <w:szCs w:val="24"/>
        </w:rPr>
        <w:t>(EPA, 2020).</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Nigeria, the burden of waterborne diseases is significant, with an estimated 60% of the population lacking access to safe drinking water </w:t>
      </w:r>
      <w:r>
        <w:rPr>
          <w:rFonts w:ascii="Times New Roman" w:cs="Times New Roman" w:hAnsi="Times New Roman"/>
          <w:i/>
          <w:sz w:val="24"/>
          <w:szCs w:val="24"/>
        </w:rPr>
        <w:t>(Federal Ministry of Water Resources, 2019)</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where Ilorin East is located, is not exempt from this challenge. A study conducted in Ilorin, </w:t>
      </w:r>
      <w:r>
        <w:rPr>
          <w:rFonts w:ascii="Times New Roman" w:cs="Times New Roman" w:hAnsi="Times New Roman"/>
          <w:sz w:val="24"/>
          <w:szCs w:val="24"/>
        </w:rPr>
        <w:t>Kwara</w:t>
      </w:r>
      <w:r>
        <w:rPr>
          <w:rFonts w:ascii="Times New Roman" w:cs="Times New Roman" w:hAnsi="Times New Roman"/>
          <w:sz w:val="24"/>
          <w:szCs w:val="24"/>
        </w:rPr>
        <w:t xml:space="preserve"> State, found that 75% of water samples from wells and boreholes were contaminated with bacteria </w:t>
      </w:r>
      <w:r>
        <w:rPr>
          <w:rFonts w:ascii="Times New Roman" w:cs="Times New Roman" w:hAnsi="Times New Roman"/>
          <w:i/>
          <w:sz w:val="24"/>
          <w:szCs w:val="24"/>
        </w:rPr>
        <w:t>(Adeyemi et al., 2017).</w:t>
      </w:r>
      <w:r>
        <w:rPr>
          <w:rFonts w:ascii="Times New Roman" w:cs="Times New Roman" w:hAnsi="Times New Roman"/>
          <w:sz w:val="24"/>
          <w:szCs w:val="24"/>
        </w:rPr>
        <w:t xml:space="preserve"> </w:t>
      </w:r>
      <w:r>
        <w:rPr>
          <w:rFonts w:ascii="Times New Roman" w:cs="Times New Roman" w:hAnsi="Times New Roman"/>
          <w:sz w:val="24"/>
          <w:szCs w:val="24"/>
        </w:rPr>
        <w:t xml:space="preserve">Ilorin East Local Government Area of </w:t>
      </w:r>
      <w:r>
        <w:rPr>
          <w:rFonts w:ascii="Times New Roman" w:cs="Times New Roman" w:hAnsi="Times New Roman"/>
          <w:sz w:val="24"/>
          <w:szCs w:val="24"/>
        </w:rPr>
        <w:t>Kwara</w:t>
      </w:r>
      <w:r>
        <w:rPr>
          <w:rFonts w:ascii="Times New Roman" w:cs="Times New Roman" w:hAnsi="Times New Roman"/>
          <w:sz w:val="24"/>
          <w:szCs w:val="24"/>
        </w:rPr>
        <w:t xml:space="preserve"> State, Nigeria, is a rapidly growing urban area with a high population density, inadequate waste management, and poor sanitation practices </w:t>
      </w:r>
      <w:r>
        <w:rPr>
          <w:rFonts w:ascii="Times New Roman" w:cs="Times New Roman" w:hAnsi="Times New Roman"/>
          <w:i/>
          <w:sz w:val="24"/>
          <w:szCs w:val="24"/>
        </w:rPr>
        <w:t>(</w:t>
      </w:r>
      <w:r>
        <w:rPr>
          <w:rFonts w:ascii="Times New Roman" w:cs="Times New Roman" w:hAnsi="Times New Roman"/>
          <w:i/>
          <w:sz w:val="24"/>
          <w:szCs w:val="24"/>
        </w:rPr>
        <w:t>Kwara</w:t>
      </w:r>
      <w:r>
        <w:rPr>
          <w:rFonts w:ascii="Times New Roman" w:cs="Times New Roman" w:hAnsi="Times New Roman"/>
          <w:i/>
          <w:sz w:val="24"/>
          <w:szCs w:val="24"/>
        </w:rPr>
        <w:t xml:space="preserve"> State Government, 2020).</w:t>
      </w:r>
      <w:r>
        <w:rPr>
          <w:rFonts w:ascii="Times New Roman" w:cs="Times New Roman" w:hAnsi="Times New Roman"/>
          <w:sz w:val="24"/>
          <w:szCs w:val="24"/>
        </w:rPr>
        <w:t xml:space="preserve"> These factors can contribute to contamination of drinking water sources, making it essential to assess the bacterial contamination of drinking water sources in Ilorin East.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the World Health Organization </w:t>
      </w:r>
      <w:r>
        <w:rPr>
          <w:rFonts w:ascii="Times New Roman" w:cs="Times New Roman" w:hAnsi="Times New Roman"/>
          <w:i/>
          <w:sz w:val="24"/>
          <w:szCs w:val="24"/>
        </w:rPr>
        <w:t>(WHO),</w:t>
      </w:r>
      <w:r>
        <w:rPr>
          <w:rFonts w:ascii="Times New Roman" w:cs="Times New Roman" w:hAnsi="Times New Roman"/>
          <w:sz w:val="24"/>
          <w:szCs w:val="24"/>
        </w:rPr>
        <w:t xml:space="preserve"> approximately 844 million people worldwide lack access to safe drinking water, and 2.3 billion people lack access to basic sanitation facilities </w:t>
      </w:r>
      <w:r>
        <w:rPr>
          <w:rFonts w:ascii="Times New Roman" w:cs="Times New Roman" w:hAnsi="Times New Roman"/>
          <w:i/>
          <w:sz w:val="24"/>
          <w:szCs w:val="24"/>
        </w:rPr>
        <w:t>(WHO, 2019).</w:t>
      </w:r>
      <w:r>
        <w:rPr>
          <w:rFonts w:ascii="Times New Roman" w:cs="Times New Roman" w:hAnsi="Times New Roman"/>
          <w:sz w:val="24"/>
          <w:szCs w:val="24"/>
        </w:rPr>
        <w:t xml:space="preserve"> In Nigeria, it is estimated that over 60 million people lack access to safe drinking water, and over 120 million people lack access to basic sanitation facilities </w:t>
      </w:r>
      <w:r>
        <w:rPr>
          <w:rFonts w:ascii="Times New Roman" w:cs="Times New Roman" w:hAnsi="Times New Roman"/>
          <w:i/>
          <w:sz w:val="24"/>
          <w:szCs w:val="24"/>
        </w:rPr>
        <w:t>(UNICEF, 2020).</w:t>
      </w:r>
      <w:r>
        <w:rPr>
          <w:rFonts w:ascii="Times New Roman" w:cs="Times New Roman" w:hAnsi="Times New Roman"/>
          <w:sz w:val="24"/>
          <w:szCs w:val="24"/>
        </w:rPr>
        <w:t xml:space="preserve"> </w:t>
      </w:r>
      <w:r>
        <w:rPr>
          <w:rFonts w:ascii="Times New Roman" w:cs="Times New Roman" w:hAnsi="Times New Roman"/>
          <w:sz w:val="24"/>
          <w:szCs w:val="24"/>
        </w:rPr>
        <w:t xml:space="preserve">Ilorin East Local Government Area of </w:t>
      </w:r>
      <w:r>
        <w:rPr>
          <w:rFonts w:ascii="Times New Roman" w:cs="Times New Roman" w:hAnsi="Times New Roman"/>
          <w:sz w:val="24"/>
          <w:szCs w:val="24"/>
        </w:rPr>
        <w:t>Kwara</w:t>
      </w:r>
      <w:r>
        <w:rPr>
          <w:rFonts w:ascii="Times New Roman" w:cs="Times New Roman" w:hAnsi="Times New Roman"/>
          <w:sz w:val="24"/>
          <w:szCs w:val="24"/>
        </w:rPr>
        <w:t xml:space="preserve"> State, Nigeria, is not exempt from this challenge. The area is characterized by a high population density, inadequate waste management, and poor sanitation practices, which can lead to contamination of drinking water sources </w:t>
      </w:r>
      <w:r>
        <w:rPr>
          <w:rFonts w:ascii="Times New Roman" w:cs="Times New Roman" w:hAnsi="Times New Roman"/>
          <w:i/>
          <w:sz w:val="24"/>
          <w:szCs w:val="24"/>
        </w:rPr>
        <w:t>(</w:t>
      </w:r>
      <w:r>
        <w:rPr>
          <w:rFonts w:ascii="Times New Roman" w:cs="Times New Roman" w:hAnsi="Times New Roman"/>
          <w:i/>
          <w:sz w:val="24"/>
          <w:szCs w:val="24"/>
        </w:rPr>
        <w:t>Afolayan</w:t>
      </w:r>
      <w:r>
        <w:rPr>
          <w:rFonts w:ascii="Times New Roman" w:cs="Times New Roman" w:hAnsi="Times New Roman"/>
          <w:i/>
          <w:sz w:val="24"/>
          <w:szCs w:val="24"/>
        </w:rPr>
        <w:t xml:space="preserve"> et al., 2019).</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ab/>
      </w:r>
      <w:r>
        <w:rPr>
          <w:rFonts w:ascii="Times New Roman" w:cs="Times New Roman" w:hAnsi="Times New Roman"/>
          <w:b/>
          <w:sz w:val="24"/>
          <w:szCs w:val="24"/>
        </w:rPr>
        <w:t>Water Quality and Bacterial Contamination in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is essential for human health and wellbeing. Water quality is determined by a range of chemical, physical, and microbiological parameters. Among the most critical threats to drinking water safety is bacterial contamination, which can lead to serious public health issues, particularly in areas lacking adequate sanitation and water treatment infrastructure.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2.2.1. </w:t>
      </w:r>
      <w:r>
        <w:rPr>
          <w:rFonts w:ascii="Times New Roman" w:cs="Times New Roman" w:hAnsi="Times New Roman"/>
          <w:b/>
          <w:sz w:val="24"/>
          <w:szCs w:val="24"/>
        </w:rPr>
        <w:tab/>
      </w:r>
      <w:r>
        <w:rPr>
          <w:rFonts w:ascii="Times New Roman" w:cs="Times New Roman" w:hAnsi="Times New Roman"/>
          <w:b/>
          <w:sz w:val="24"/>
          <w:szCs w:val="24"/>
        </w:rPr>
        <w:t>Sources and Causes of Bacterial Contamination in Water Supplies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typically originates from the introduction of pathogens into water systems through direct or indirect contact with fecal matter or organic waste. Major sources include: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Agricultural runoff: Animal waste and fertilizers from farms can wash into nearby water bodies during rainfall or irrigation.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Sewage discharge: Leakage from poorly maintained sewage systems or illegal dumping of untreated wastewater can contaminate surface and groundwater.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Improper sanitation practices: Open defecation, poorly constructed latrines, and lack of waste management contribute to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Flooding and natural disasters: These events often disrupt water systems and introduce contaminants from various sources.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Old or damaged infrastructure: Corroded pipes, broken water mains, and cross-contamination between sewage and drinking water lines can introduce bacteria into otherwise clean water.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2.2.2. </w:t>
      </w:r>
      <w:r>
        <w:rPr>
          <w:rFonts w:ascii="Times New Roman" w:cs="Times New Roman" w:hAnsi="Times New Roman"/>
          <w:b/>
          <w:sz w:val="24"/>
          <w:szCs w:val="24"/>
        </w:rPr>
        <w:tab/>
      </w:r>
      <w:r>
        <w:rPr>
          <w:rFonts w:ascii="Times New Roman" w:cs="Times New Roman" w:hAnsi="Times New Roman"/>
          <w:b/>
          <w:sz w:val="24"/>
          <w:szCs w:val="24"/>
        </w:rPr>
        <w:t>Common Bacterial Pathogens Found in Contaminated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Pathogenic bacteria can cause a wide range of diseases, many of which affect the gastrointestinal system. The most common bacterial contaminants include: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Escherichia coli (E. coli): Often used as an indicator of fecal contamination; certain strains can cause severe illness.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Salmonella spp.: Responsible for typhoid fever and salmonellosis; symptoms include fever, diarrhea, and abdominal cramps.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Vibrio cholerae: Causes cholera, a waterborne disease leading to severe dehydration and potentially death if untreated.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Campylobacter spp.: One of the leading causes of bacterial diarrhea worldwide.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Shigella spp.: Transmitted through contaminated water or food, it causes dysentery, characterized by bloody diarrhea and fever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 </w:t>
      </w:r>
      <w:r>
        <w:rPr>
          <w:rFonts w:ascii="Times New Roman" w:cs="Times New Roman" w:hAnsi="Times New Roman"/>
          <w:b/>
          <w:sz w:val="24"/>
          <w:szCs w:val="24"/>
        </w:rPr>
        <w:tab/>
      </w:r>
      <w:r>
        <w:rPr>
          <w:rFonts w:ascii="Times New Roman" w:cs="Times New Roman" w:hAnsi="Times New Roman"/>
          <w:b/>
          <w:sz w:val="24"/>
          <w:szCs w:val="24"/>
        </w:rPr>
        <w:t>Public Health Implications of Bacterial Contamination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health effects of bacterial contamination can be both acute and chronic, depending on the pathogen, exposure level, and the individual's immune status.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Acute gastroenteritis: Symptoms include nausea, vomiting, diarrhea, and abdominal pain.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Dehydration and electrolyte imbalance: Especially dangerous for children, the elderly, and people with compromised immune systems.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Outbreaks of waterborne diseases: Contaminated water can cause widespread illness in communities, particularly in refugee camps or disaster zones.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Long-term effects: Repeated exposure to contaminated water may contribute to malnutrition, growth stunting in children, and other chronic conditions</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2.2.4. </w:t>
      </w:r>
      <w:r>
        <w:rPr>
          <w:rFonts w:ascii="Times New Roman" w:cs="Times New Roman" w:hAnsi="Times New Roman"/>
          <w:b/>
          <w:sz w:val="24"/>
          <w:szCs w:val="24"/>
        </w:rPr>
        <w:tab/>
      </w:r>
      <w:r>
        <w:rPr>
          <w:rFonts w:ascii="Times New Roman" w:cs="Times New Roman" w:hAnsi="Times New Roman"/>
          <w:b/>
          <w:sz w:val="24"/>
          <w:szCs w:val="24"/>
        </w:rPr>
        <w:t>Key Indicators for Assessing Microbial Water Quality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evaluate the safety of drinking water, scientists and public health agencies use several microbiological and chemical indicators: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 Coliforms and E. coli counts: Presence of coliform bacteria suggests possible contamination by pathogens.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Turbidity: Measures how clear the water is; high turbidity may harbor microorganisms and reduce the effectiveness of disinfection.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Biological Oxygen Demand (BOD): Indicates the amount of organic matter in water, which can support bacterial growth.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pH levels: Extreme pH levels can promote bacterial survival or indicate chemical imbalance.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Nitrate and Nitrite levels: High concentrations are harmful, especially for infants, and suggest agricultural runoff or sewage contamination</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2.2.5. </w:t>
      </w:r>
      <w:r>
        <w:rPr>
          <w:rFonts w:ascii="Times New Roman" w:cs="Times New Roman" w:hAnsi="Times New Roman"/>
          <w:b/>
          <w:sz w:val="24"/>
          <w:szCs w:val="24"/>
        </w:rPr>
        <w:tab/>
      </w:r>
      <w:r>
        <w:rPr>
          <w:rFonts w:ascii="Times New Roman" w:cs="Times New Roman" w:hAnsi="Times New Roman"/>
          <w:b/>
          <w:sz w:val="24"/>
          <w:szCs w:val="24"/>
        </w:rPr>
        <w:t>Methods for Detecting Bacterial Contamination in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Routine water quality monitoring is essential for detecting contamination and ensuring water safety. Common testing methods include: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Membrane filtration: Detects bacterial colonies by filtering water and incubating the filter.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Multiple-tube fermentation (MTF): Estimates the most probable number (MPN) of bacteria in a water sample.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Enzyme substrate tests: Rapid color-change tests using substrates like Colilert® to detect coliforms and E. coli.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Portable test kits: Useful for field testing in remote or emergency areas.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Molecular techniques (PCR): Detect specific bacterial DNA sequences for precise identification.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2.2.6. </w:t>
      </w:r>
      <w:r>
        <w:rPr>
          <w:rFonts w:ascii="Times New Roman" w:cs="Times New Roman" w:hAnsi="Times New Roman"/>
          <w:b/>
          <w:sz w:val="24"/>
          <w:szCs w:val="24"/>
        </w:rPr>
        <w:tab/>
      </w:r>
      <w:r>
        <w:rPr>
          <w:rFonts w:ascii="Times New Roman" w:cs="Times New Roman" w:hAnsi="Times New Roman"/>
          <w:b/>
          <w:sz w:val="24"/>
          <w:szCs w:val="24"/>
        </w:rPr>
        <w:t>Techniques for Treating and Disinfecting Contaminated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variety of physical and chemical treatment methods are available to eliminate bacteria from drinking water:</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Boiling: Effective in killing most pathogens, though energy-intensive and not scalable for large communities.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Widely used in municipal water systems; chlorine is effective against most bacteria and viruses.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 (UV) disinfection: Destroys bacteria without altering the water’s taste or adding chemicals.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Filtration: Sand, ceramic, and activated carbon filters can physically remove bacteria and impurities.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Reverse osmosis: A high-efficiency system that removes bacteria along with heavy metals and dissolved solids.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2.2.7. </w:t>
      </w:r>
      <w:r>
        <w:rPr>
          <w:rFonts w:ascii="Times New Roman" w:cs="Times New Roman" w:hAnsi="Times New Roman"/>
          <w:b/>
          <w:sz w:val="24"/>
          <w:szCs w:val="24"/>
        </w:rPr>
        <w:tab/>
      </w:r>
      <w:r>
        <w:rPr>
          <w:rFonts w:ascii="Times New Roman" w:cs="Times New Roman" w:hAnsi="Times New Roman"/>
          <w:b/>
          <w:sz w:val="24"/>
          <w:szCs w:val="24"/>
        </w:rPr>
        <w:t>Strategies for Preventing Bacterial Contamination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Long-term prevention of bacterial contamination requires integrated water management practices:</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Protecting water sources: Establish buffer zones, prevent deforestation, and limit agricultural runoff near water bodies.</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Improving sanitation: Ensure access to hygienic toilets and waste treatment facilities to reduce fecal contamination.</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Regular inspection and maintenance: Monitor and repair distribution systems to prevent leaks and backflow.</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Community awareness programs: Educate the public on hygiene practices, safe water storage, and household-level treatment.</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Policy and regulation: Implement national drinking water quality standards and enforce regulations for pollution control.</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Significance of Protecting Source Water</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Safeguarding Public Health: Protecting water sources helps prevent the spread of waterborne illnesses by ensuring the availability of clean and safe drinking water.</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Conservation: It supports the preservation of aquatic life and natural ecosystems by reducing pollution and ecological damage.</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Advantages: Effective protection reduces the costs associated with water treatment and healthcare resulting from water-related diseases.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2.4     Key Approaches to Source Water Protection</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Watershed Management: Carefully managing land use and human activities within the watershed to minimize the risk of contamination.</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Adopting Best Practices: Utilizing environmentally friendly practices like buffer zones and conservation tillage to prevent runoff and pollutants from entering water bodies.</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Monitoring and Evaluation: Continuously assessing water quality and the performance of protective measures to ensure long-term effectiveness.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2.5   </w:t>
      </w:r>
      <w:r>
        <w:rPr>
          <w:rFonts w:ascii="Times New Roman" w:cs="Times New Roman" w:hAnsi="Times New Roman"/>
          <w:b/>
          <w:sz w:val="24"/>
          <w:szCs w:val="24"/>
        </w:rPr>
        <w:tab/>
      </w:r>
      <w:r>
        <w:rPr>
          <w:rFonts w:ascii="Times New Roman" w:cs="Times New Roman" w:hAnsi="Times New Roman"/>
          <w:b/>
          <w:sz w:val="24"/>
          <w:szCs w:val="24"/>
        </w:rPr>
        <w:t>Water Treatment and Disinfection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Water treatment and disinfection are essential processes for ensuring safe drinking water. Their primary purpose is to eliminate or neutralize harmful microorganisms such as bacteria, viruses, and parasites that can cause diseases. These steps are vital for maintaining public health and preventing the outbreak of waterborne illnesses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Water Treatment Techniques</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Coagulation and Flocculation: This involves adding special chemicals to the water to gather and bind small particles together so they can be removed more easily.</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Sedimentation: The clumped particles are allowed to settle naturally at the bottom of a tank.</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Filtration: </w:t>
      </w:r>
      <w:r>
        <w:rPr>
          <w:rFonts w:ascii="Times New Roman" w:cs="Times New Roman" w:hAnsi="Times New Roman"/>
          <w:sz w:val="24"/>
          <w:szCs w:val="24"/>
        </w:rPr>
        <w:t xml:space="preserve">Water is passed through filters like sand or membranes </w:t>
      </w:r>
      <w:r>
        <w:rPr>
          <w:rFonts w:ascii="Times New Roman" w:cs="Times New Roman" w:hAnsi="Times New Roman"/>
          <w:sz w:val="24"/>
          <w:szCs w:val="24"/>
        </w:rPr>
        <w:t>to remove impurities and solid particles.</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Disinfection: Harmful microorganisms are destroyed or neutralized using disinfectants such as chlorine or ozone.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2.7     Methods of Disinfection</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Chlorine is added to water to kill or deactivate disease-causing microorganisms.</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Ozonation: Ozone gas is used as a powerful disinfectant to eliminate harmful pathogens.</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w:t>
      </w:r>
      <w:r>
        <w:rPr>
          <w:rFonts w:ascii="Times New Roman" w:cs="Times New Roman" w:hAnsi="Times New Roman"/>
          <w:b/>
          <w:sz w:val="24"/>
          <w:szCs w:val="24"/>
        </w:rPr>
        <w:tab/>
      </w:r>
      <w:r>
        <w:rPr>
          <w:rFonts w:ascii="Times New Roman" w:cs="Times New Roman" w:hAnsi="Times New Roman"/>
          <w:b/>
          <w:sz w:val="24"/>
          <w:szCs w:val="24"/>
        </w:rPr>
        <w:t>Key Elements of a Water Distribution System</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Pipeline Network: A system of interconnected pipes that delivers treated water to end users.</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Pumping Systems: Devices used to increase water pressure and ensure even distribution throughout the network.</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Water Storage Units: Structures like reservoirs and elevated tanks that store water and balance supply with demand fluctuations.</w:t>
      </w:r>
    </w:p>
    <w:p>
      <w:pPr>
        <w:pStyle w:val="style179"/>
        <w:numPr>
          <w:ilvl w:val="0"/>
          <w:numId w:val="41"/>
        </w:numPr>
        <w:spacing w:lineRule="auto" w:line="360"/>
        <w:jc w:val="both"/>
        <w:rPr>
          <w:rFonts w:ascii="Times New Roman" w:cs="Times New Roman" w:hAnsi="Times New Roman"/>
          <w:b/>
          <w:sz w:val="24"/>
          <w:szCs w:val="24"/>
        </w:rPr>
      </w:pPr>
      <w:r>
        <w:rPr>
          <w:rFonts w:ascii="Times New Roman" w:cs="Times New Roman" w:hAnsi="Times New Roman"/>
          <w:sz w:val="24"/>
          <w:szCs w:val="24"/>
        </w:rPr>
        <w:t>Control Valves and Connectors: Components that manage water flow and connect various sections of the piping system.</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2.8.1</w:t>
      </w:r>
      <w:r>
        <w:rPr>
          <w:rFonts w:ascii="Times New Roman" w:cs="Times New Roman" w:hAnsi="Times New Roman"/>
          <w:b/>
          <w:sz w:val="24"/>
          <w:szCs w:val="24"/>
        </w:rPr>
        <w:t xml:space="preserve">   Significance of a Water Distribution System</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Health Protection: Guarantees the supply of clean, safe drinking water and reduces the risk of waterborne illnesses.</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Emergency Response: Supplies water for firefighting and emergency situations.</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Support: Facilitates industrial, commercial, and economic activities by ensuring reliable water access.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2.8.2</w:t>
      </w:r>
      <w:r>
        <w:rPr>
          <w:rFonts w:ascii="Times New Roman" w:cs="Times New Roman" w:hAnsi="Times New Roman"/>
          <w:b/>
          <w:sz w:val="24"/>
          <w:szCs w:val="24"/>
        </w:rPr>
        <w:t xml:space="preserve">   System Maintenance and Operational Management</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Leak and Break Prevention: Routine checks and maintenance help avoid pipe failures and water losses.</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Water Quality Assurance: Continuous testing ensures the delivered water meets health and safety standards.</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Efficiency Optimization: Proper system management lowers energy usage and boosts overall performance.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b/>
          <w:sz w:val="26"/>
          <w:szCs w:val="24"/>
        </w:rPr>
        <w:t>3.1</w:t>
      </w:r>
      <w:r>
        <w:rPr>
          <w:rFonts w:ascii="Times New Roman" w:cs="Times New Roman" w:hAnsi="Times New Roman"/>
          <w:sz w:val="26"/>
          <w:szCs w:val="24"/>
        </w:rPr>
        <w:t>.</w:t>
      </w:r>
      <w:r>
        <w:rPr>
          <w:rFonts w:ascii="Times New Roman" w:cs="Times New Roman" w:hAnsi="Times New Roman"/>
          <w:sz w:val="26"/>
          <w:szCs w:val="24"/>
        </w:rPr>
        <w:tab/>
      </w:r>
      <w:r>
        <w:rPr>
          <w:rFonts w:ascii="Times New Roman" w:cs="Times New Roman" w:hAnsi="Times New Roman"/>
          <w:b/>
          <w:sz w:val="24"/>
          <w:szCs w:val="24"/>
        </w:rPr>
        <w:t>Location of the Study Area</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Eleko</w:t>
      </w:r>
      <w:r>
        <w:rPr>
          <w:rFonts w:ascii="Times New Roman" w:cs="Times New Roman" w:hAnsi="Times New Roman"/>
          <w:sz w:val="24"/>
          <w:szCs w:val="24"/>
        </w:rPr>
        <w:t xml:space="preserve"> community is located in Asa</w:t>
      </w:r>
      <w:r>
        <w:rPr>
          <w:rFonts w:ascii="Times New Roman" w:cs="Times New Roman" w:hAnsi="Times New Roman"/>
          <w:sz w:val="24"/>
          <w:szCs w:val="24"/>
        </w:rPr>
        <w:t xml:space="preserve"> </w:t>
      </w:r>
      <w:r>
        <w:rPr>
          <w:rFonts w:ascii="Times New Roman" w:cs="Times New Roman" w:hAnsi="Times New Roman"/>
          <w:sz w:val="24"/>
          <w:szCs w:val="24"/>
        </w:rPr>
        <w:t xml:space="preserve">L.G.A of </w:t>
      </w:r>
      <w:r>
        <w:rPr>
          <w:rFonts w:ascii="Times New Roman" w:cs="Times New Roman" w:hAnsi="Times New Roman"/>
          <w:sz w:val="24"/>
          <w:szCs w:val="24"/>
        </w:rPr>
        <w:t>Kwara</w:t>
      </w:r>
      <w:r>
        <w:rPr>
          <w:rFonts w:ascii="Times New Roman" w:cs="Times New Roman" w:hAnsi="Times New Roman"/>
          <w:sz w:val="24"/>
          <w:szCs w:val="24"/>
        </w:rPr>
        <w:t xml:space="preserve"> State, Nigeria. It lies between latitude 08o 20’ 0” N and longitude 04 o 29’ </w:t>
      </w:r>
      <w:r>
        <w:rPr>
          <w:rFonts w:ascii="Times New Roman" w:cs="Times New Roman" w:hAnsi="Times New Roman"/>
          <w:sz w:val="24"/>
          <w:szCs w:val="24"/>
        </w:rPr>
        <w:t>0”E</w:t>
      </w:r>
      <w:r>
        <w:rPr>
          <w:rFonts w:ascii="Times New Roman" w:cs="Times New Roman" w:hAnsi="Times New Roman"/>
          <w:sz w:val="24"/>
          <w:szCs w:val="24"/>
        </w:rPr>
        <w:t xml:space="preserve"> and latitude 08o 33’ 38.4”N and 04o 38’ 20.6” E of the Greenwich meridian. It lies on altitude of approximately 372m which is about 1,220 feet. Figure 1 is the satellite imagery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yangan</w:t>
      </w:r>
      <w:r>
        <w:rPr>
          <w:rFonts w:ascii="Times New Roman" w:cs="Times New Roman" w:hAnsi="Times New Roman"/>
          <w:sz w:val="24"/>
          <w:szCs w:val="24"/>
        </w:rPr>
        <w:t xml:space="preserve"> community </w:t>
      </w:r>
    </w:p>
    <w:p>
      <w:pPr>
        <w:pStyle w:val="style0"/>
        <w:spacing w:lineRule="auto" w:line="360"/>
        <w:ind w:left="720" w:hanging="735"/>
        <w:rPr>
          <w:rFonts w:ascii="Times New Roman" w:cs="Times New Roman" w:hAnsi="Times New Roman"/>
          <w:sz w:val="24"/>
          <w:szCs w:val="24"/>
        </w:rPr>
      </w:pPr>
      <w:r>
        <w:rPr>
          <w:noProof/>
          <w:sz w:val="24"/>
          <w:szCs w:val="24"/>
        </w:rPr>
        <w:drawing>
          <wp:anchor distT="0" distB="0" distL="0" distR="0" simplePos="false" relativeHeight="2" behindDoc="false" locked="false" layoutInCell="true" allowOverlap="true">
            <wp:simplePos x="0" y="0"/>
            <wp:positionH relativeFrom="column">
              <wp:posOffset>722630</wp:posOffset>
            </wp:positionH>
            <wp:positionV relativeFrom="paragraph">
              <wp:posOffset>164465</wp:posOffset>
            </wp:positionV>
            <wp:extent cx="4794885" cy="2739390"/>
            <wp:effectExtent l="19050" t="0" r="5715" b="0"/>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4794885" cy="2739390"/>
                    </a:xfrm>
                    <a:prstGeom prst="rect"/>
                  </pic:spPr>
                </pic:pic>
              </a:graphicData>
            </a:graphic>
          </wp:anchor>
        </w:drawing>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1: Satellite imagery of the study area</w:t>
      </w:r>
    </w:p>
    <w:p>
      <w:pPr>
        <w:pStyle w:val="style0"/>
        <w:spacing w:lineRule="auto" w:line="360"/>
        <w:ind w:left="720" w:hanging="735"/>
        <w:rPr>
          <w:rStyle w:val="style85"/>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Source: </w:t>
      </w:r>
      <w:r>
        <w:rPr/>
        <w:fldChar w:fldCharType="begin"/>
      </w:r>
      <w:r>
        <w:instrText xml:space="preserve"> HYPERLINK "http://www.goggle,com" </w:instrText>
      </w:r>
      <w:r>
        <w:rPr/>
        <w:fldChar w:fldCharType="separate"/>
      </w:r>
      <w:r>
        <w:rPr>
          <w:rStyle w:val="style85"/>
          <w:rFonts w:ascii="Times New Roman" w:cs="Times New Roman" w:hAnsi="Times New Roman"/>
          <w:sz w:val="24"/>
          <w:szCs w:val="24"/>
        </w:rPr>
        <w:t>www.goggle,com</w:t>
      </w:r>
      <w:r>
        <w:rPr/>
        <w:fldChar w:fldCharType="end"/>
      </w:r>
    </w:p>
    <w:p>
      <w:pPr>
        <w:pStyle w:val="style0"/>
        <w:spacing w:lineRule="auto" w:line="360"/>
        <w:ind w:left="720" w:hanging="735"/>
        <w:rPr>
          <w:sz w:val="24"/>
          <w:szCs w:val="24"/>
        </w:rPr>
      </w:pPr>
      <w:r>
        <w:rPr>
          <w:rStyle w:val="style85"/>
          <w:rFonts w:ascii="Times New Roman" w:cs="Times New Roman" w:hAnsi="Times New Roman"/>
          <w:b/>
          <w:color w:val="000000"/>
          <w:sz w:val="24"/>
          <w:szCs w:val="24"/>
          <w:u w:val="none"/>
        </w:rPr>
        <w:t>3.2</w:t>
      </w:r>
      <w:r>
        <w:rPr>
          <w:rStyle w:val="style85"/>
          <w:rFonts w:ascii="Times New Roman" w:cs="Times New Roman" w:hAnsi="Times New Roman"/>
          <w:b/>
          <w:color w:val="000000"/>
          <w:sz w:val="24"/>
          <w:szCs w:val="24"/>
          <w:u w:val="none"/>
        </w:rPr>
        <w:tab/>
      </w:r>
      <w:r>
        <w:rPr>
          <w:rFonts w:ascii="Times New Roman" w:cs="Times New Roman" w:hAnsi="Times New Roman"/>
          <w:b/>
          <w:sz w:val="24"/>
          <w:szCs w:val="24"/>
        </w:rPr>
        <w:t>Water Sampling Procedure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Selection of water sources was done by random sampling procedure. A total number of five groundwater samples were collected within </w:t>
      </w:r>
      <w:r>
        <w:rPr>
          <w:rFonts w:ascii="Times New Roman" w:cs="Times New Roman" w:hAnsi="Times New Roman"/>
          <w:sz w:val="24"/>
          <w:szCs w:val="24"/>
        </w:rPr>
        <w:t>Eleko</w:t>
      </w:r>
      <w:r>
        <w:rPr>
          <w:rFonts w:ascii="Times New Roman" w:cs="Times New Roman" w:hAnsi="Times New Roman"/>
          <w:sz w:val="24"/>
          <w:szCs w:val="24"/>
        </w:rPr>
        <w:t xml:space="preserve"> community: Two wells and three boreholes. The samples were collected separately in a sterilized bottle for rain season and dry season respectively. Before collecting the water samples, the bottle </w:t>
      </w:r>
      <w:r>
        <w:rPr>
          <w:rFonts w:ascii="Times New Roman" w:cs="Times New Roman" w:hAnsi="Times New Roman"/>
          <w:sz w:val="24"/>
          <w:szCs w:val="24"/>
        </w:rPr>
        <w:t>container was washed and rinsed thoroughly with water. The water samples collected were taken to the laboratory for analysis using standard methods. The Global Position System (GPS) was used to determine the coordinates of the sampled points.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Laboratory Analysis of the Water Samples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Laboratory analysis of the water samples was carried out at </w:t>
      </w:r>
      <w:r>
        <w:rPr>
          <w:rFonts w:ascii="Times New Roman" w:cs="Times New Roman" w:hAnsi="Times New Roman"/>
          <w:sz w:val="24"/>
          <w:szCs w:val="24"/>
        </w:rPr>
        <w:t>Fisbol</w:t>
      </w:r>
      <w:r>
        <w:rPr>
          <w:rFonts w:ascii="Times New Roman" w:cs="Times New Roman" w:hAnsi="Times New Roman"/>
          <w:sz w:val="24"/>
          <w:szCs w:val="24"/>
        </w:rPr>
        <w:t xml:space="preserve"> Geosciences and analy</w:t>
      </w:r>
      <w:r>
        <w:rPr>
          <w:rFonts w:ascii="Times New Roman" w:cs="Times New Roman" w:hAnsi="Times New Roman"/>
          <w:sz w:val="24"/>
          <w:szCs w:val="24"/>
        </w:rPr>
        <w:t xml:space="preserve">tical service Sabo </w:t>
      </w:r>
      <w:r>
        <w:rPr>
          <w:rFonts w:ascii="Times New Roman" w:cs="Times New Roman" w:hAnsi="Times New Roman"/>
          <w:sz w:val="24"/>
          <w:szCs w:val="24"/>
        </w:rPr>
        <w:t>Oke</w:t>
      </w:r>
      <w:r>
        <w:rPr>
          <w:rFonts w:ascii="Times New Roman" w:cs="Times New Roman" w:hAnsi="Times New Roman"/>
          <w:sz w:val="24"/>
          <w:szCs w:val="24"/>
        </w:rPr>
        <w:t xml:space="preserve"> Ilorin, </w:t>
      </w:r>
      <w:r>
        <w:rPr>
          <w:rFonts w:ascii="Times New Roman" w:cs="Times New Roman" w:hAnsi="Times New Roman"/>
          <w:sz w:val="24"/>
          <w:szCs w:val="24"/>
        </w:rPr>
        <w:t>K</w:t>
      </w:r>
      <w:r>
        <w:rPr>
          <w:rFonts w:ascii="Times New Roman" w:cs="Times New Roman" w:hAnsi="Times New Roman"/>
          <w:sz w:val="24"/>
          <w:szCs w:val="24"/>
        </w:rPr>
        <w:t>wara</w:t>
      </w:r>
      <w:r>
        <w:rPr>
          <w:rFonts w:ascii="Times New Roman" w:cs="Times New Roman" w:hAnsi="Times New Roman"/>
          <w:sz w:val="24"/>
          <w:szCs w:val="24"/>
        </w:rPr>
        <w:t xml:space="preserve"> state. The water samples were tested for selected physical, chemical and biological.</w:t>
      </w:r>
      <w:r>
        <w:rPr>
          <w:rFonts w:ascii="Times New Roman" w:cs="Times New Roman" w:hAnsi="Times New Roman"/>
          <w:sz w:val="24"/>
          <w:szCs w:val="24"/>
        </w:rPr>
        <w:t xml:space="preserve"> </w:t>
      </w:r>
      <w:r>
        <w:rPr>
          <w:rFonts w:ascii="Times New Roman" w:cs="Times New Roman" w:hAnsi="Times New Roman"/>
          <w:sz w:val="24"/>
          <w:szCs w:val="24"/>
        </w:rPr>
        <w:t>The laboratory analysis was carried out using standard analytical methods and physical procedures for water quantity analysis.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Analysis of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3.4.1 </w:t>
      </w:r>
      <w:r>
        <w:rPr>
          <w:rFonts w:ascii="Times New Roman" w:cs="Times New Roman" w:hAnsi="Times New Roman"/>
          <w:b/>
          <w:sz w:val="24"/>
          <w:szCs w:val="24"/>
        </w:rPr>
        <w:tab/>
      </w:r>
      <w:r>
        <w:rPr>
          <w:rFonts w:ascii="Times New Roman" w:cs="Times New Roman" w:hAnsi="Times New Roman"/>
          <w:b/>
          <w:sz w:val="24"/>
          <w:szCs w:val="24"/>
        </w:rPr>
        <w:t xml:space="preserve">Physical parameters </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A number of tests were carried out to determine physically parameters and </w:t>
      </w:r>
      <w:r>
        <w:rPr>
          <w:rFonts w:ascii="Times New Roman" w:cs="Times New Roman" w:hAnsi="Times New Roman"/>
          <w:sz w:val="24"/>
          <w:szCs w:val="24"/>
        </w:rPr>
        <w:t>there</w:t>
      </w:r>
      <w:r>
        <w:rPr>
          <w:rFonts w:ascii="Times New Roman" w:cs="Times New Roman" w:hAnsi="Times New Roman"/>
          <w:sz w:val="24"/>
          <w:szCs w:val="24"/>
        </w:rPr>
        <w:t xml:space="preserve"> quantities in each ground water samples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3.4.2.1 Temperature</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The temperature of each sample was measured directly at the collection site from the boreholes and wells using a thermometer.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3.4.2.2 Color / </w:t>
      </w:r>
      <w:r>
        <w:rPr>
          <w:rFonts w:ascii="Times New Roman" w:cs="Times New Roman" w:hAnsi="Times New Roman"/>
          <w:b/>
          <w:sz w:val="24"/>
          <w:szCs w:val="24"/>
        </w:rPr>
        <w:t>o</w:t>
      </w:r>
      <w:r>
        <w:rPr>
          <w:rFonts w:ascii="Times New Roman" w:cs="Times New Roman" w:hAnsi="Times New Roman"/>
          <w:b/>
          <w:sz w:val="24"/>
          <w:szCs w:val="24"/>
        </w:rPr>
        <w:t xml:space="preserve">dor  </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use in determine color is colorimeter and odor </w:t>
      </w:r>
      <w:r>
        <w:rPr>
          <w:rFonts w:ascii="Times New Roman" w:cs="Times New Roman" w:hAnsi="Times New Roman"/>
          <w:sz w:val="24"/>
          <w:szCs w:val="24"/>
        </w:rPr>
        <w:t>is</w:t>
      </w:r>
      <w:r>
        <w:rPr>
          <w:rFonts w:ascii="Times New Roman" w:cs="Times New Roman" w:hAnsi="Times New Roman"/>
          <w:sz w:val="24"/>
          <w:szCs w:val="24"/>
        </w:rPr>
        <w:t xml:space="preserve"> odor panel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3.4.2.3</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p</w:t>
      </w:r>
      <w:r>
        <w:rPr>
          <w:rFonts w:ascii="Times New Roman" w:cs="Times New Roman" w:hAnsi="Times New Roman"/>
          <w:b/>
          <w:sz w:val="24"/>
          <w:szCs w:val="24"/>
        </w:rPr>
        <w:t>H</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for the </w:t>
      </w:r>
      <w:r>
        <w:rPr>
          <w:rFonts w:ascii="Times New Roman" w:cs="Times New Roman" w:hAnsi="Times New Roman"/>
          <w:sz w:val="24"/>
          <w:szCs w:val="24"/>
        </w:rPr>
        <w:t>p</w:t>
      </w:r>
      <w:r>
        <w:rPr>
          <w:rFonts w:ascii="Times New Roman" w:cs="Times New Roman" w:hAnsi="Times New Roman"/>
          <w:sz w:val="24"/>
          <w:szCs w:val="24"/>
        </w:rPr>
        <w:t>H is pH 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3.4.2.4 Filterable solids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Determined by filtering the sample through a filter and then measuring the solids present in the filtrate.</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 Chemical </w:t>
      </w:r>
      <w:r>
        <w:rPr>
          <w:rFonts w:ascii="Times New Roman" w:cs="Times New Roman" w:hAnsi="Times New Roman"/>
          <w:b/>
          <w:sz w:val="24"/>
          <w:szCs w:val="24"/>
        </w:rPr>
        <w:t>a</w:t>
      </w:r>
      <w:r>
        <w:rPr>
          <w:rFonts w:ascii="Times New Roman" w:cs="Times New Roman" w:hAnsi="Times New Roman"/>
          <w:b/>
          <w:sz w:val="24"/>
          <w:szCs w:val="24"/>
        </w:rPr>
        <w:t xml:space="preserve">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Tests varying in equipment and reagent used were carried out to analyze samples for chemical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3.4.3.1 Total hardness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total hardness  includes both temporary and permanent hardness,</w:t>
      </w:r>
      <w:r>
        <w:rPr>
          <w:rFonts w:ascii="Times New Roman" w:cs="Times New Roman" w:hAnsi="Times New Roman"/>
          <w:sz w:val="24"/>
          <w:szCs w:val="24"/>
          <w:lang w:val="en-US"/>
        </w:rPr>
        <w:t xml:space="preserve">it </w:t>
      </w:r>
      <w:r>
        <w:rPr>
          <w:rFonts w:ascii="Times New Roman" w:cs="Times New Roman" w:hAnsi="Times New Roman"/>
          <w:sz w:val="24"/>
          <w:szCs w:val="24"/>
        </w:rPr>
        <w:t>was determined using the EDTA titrimetric method.</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3.4.3.2 Chloride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Chloride concentration was determined using the Mohr titration method. Silver nitrate was titrated against the water sample, with potassium chromate (</w:t>
      </w:r>
      <w:r>
        <w:rPr>
          <w:rFonts w:ascii="Times New Roman" w:cs="Times New Roman" w:hAnsi="Times New Roman"/>
          <w:sz w:val="24"/>
          <w:szCs w:val="24"/>
        </w:rPr>
        <w:t>K,CrO</w:t>
      </w:r>
      <w:r>
        <w:rPr>
          <w:rFonts w:ascii="Times New Roman" w:cs="Times New Roman" w:hAnsi="Times New Roman"/>
          <w:sz w:val="24"/>
          <w:szCs w:val="24"/>
        </w:rPr>
        <w:t>4) used as the indicator.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3.4.3.3 Sulphate </w:t>
      </w:r>
    </w:p>
    <w:p>
      <w:pPr>
        <w:pStyle w:val="style0"/>
        <w:tabs>
          <w:tab w:val="left" w:leader="none" w:pos="630"/>
        </w:tabs>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Sulphate levels in water samples were determined </w:t>
      </w:r>
      <w:r>
        <w:rPr>
          <w:rFonts w:ascii="Times New Roman" w:cs="Times New Roman" w:hAnsi="Times New Roman"/>
          <w:sz w:val="24"/>
          <w:szCs w:val="24"/>
        </w:rPr>
        <w:t>usin</w:t>
      </w:r>
      <w:r>
        <w:rPr>
          <w:rFonts w:ascii="Times New Roman" w:cs="Times New Roman" w:hAnsi="Times New Roman"/>
          <w:sz w:val="24"/>
          <w:szCs w:val="24"/>
        </w:rPr>
        <w:t>g the turbidimetric method</w:t>
      </w:r>
      <w:r>
        <w:rPr>
          <w:rFonts w:ascii="Times New Roman" w:cs="Times New Roman" w:hAnsi="Times New Roman"/>
          <w:sz w:val="24"/>
          <w:szCs w:val="24"/>
        </w:rPr>
        <w:t xml:space="preserve">. </w:t>
      </w:r>
      <w:r>
        <w:rPr>
          <w:rFonts w:ascii="Times New Roman" w:cs="Times New Roman" w:hAnsi="Times New Roman"/>
          <w:sz w:val="24"/>
          <w:szCs w:val="24"/>
        </w:rPr>
        <w:t xml:space="preserve">The results </w:t>
      </w:r>
      <w:r>
        <w:rPr>
          <w:rFonts w:ascii="Times New Roman" w:cs="Times New Roman" w:hAnsi="Times New Roman"/>
          <w:sz w:val="24"/>
          <w:szCs w:val="24"/>
        </w:rPr>
        <w:t xml:space="preserve">were measured with a </w:t>
      </w:r>
      <w:r>
        <w:rPr>
          <w:rFonts w:ascii="Times New Roman" w:cs="Times New Roman" w:hAnsi="Times New Roman"/>
          <w:sz w:val="24"/>
          <w:szCs w:val="24"/>
        </w:rPr>
        <w:t xml:space="preserve">SpectroMec20 Atomic Absorption </w:t>
      </w:r>
      <w:r>
        <w:rPr>
          <w:rFonts w:ascii="Times New Roman" w:cs="Times New Roman" w:hAnsi="Times New Roman"/>
          <w:sz w:val="24"/>
          <w:szCs w:val="24"/>
        </w:rPr>
        <w:t>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3.4.3.4 Nitrate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Nitrate</w:t>
      </w:r>
      <w:r>
        <w:rPr>
          <w:rFonts w:ascii="Times New Roman" w:cs="Times New Roman" w:hAnsi="Times New Roman"/>
          <w:sz w:val="24"/>
          <w:szCs w:val="24"/>
        </w:rPr>
        <w:t xml:space="preserve"> levels in water samples were determined </w:t>
      </w:r>
      <w:r>
        <w:rPr>
          <w:rFonts w:ascii="Times New Roman" w:cs="Times New Roman" w:hAnsi="Times New Roman"/>
          <w:sz w:val="24"/>
          <w:szCs w:val="24"/>
        </w:rPr>
        <w:t xml:space="preserve">using the turbidimetric method. </w:t>
      </w:r>
      <w:r>
        <w:rPr>
          <w:rFonts w:ascii="Times New Roman" w:cs="Times New Roman" w:hAnsi="Times New Roman"/>
          <w:sz w:val="24"/>
          <w:szCs w:val="24"/>
        </w:rPr>
        <w:t xml:space="preserve">The results were measured with a </w:t>
      </w:r>
      <w:r>
        <w:rPr>
          <w:rFonts w:ascii="Times New Roman" w:cs="Times New Roman" w:hAnsi="Times New Roman"/>
          <w:sz w:val="24"/>
          <w:szCs w:val="24"/>
        </w:rPr>
        <w:t>SpectroMec</w:t>
      </w:r>
      <w:r>
        <w:rPr>
          <w:rFonts w:ascii="Times New Roman" w:cs="Times New Roman" w:hAnsi="Times New Roman"/>
          <w:sz w:val="24"/>
          <w:szCs w:val="24"/>
        </w:rPr>
        <w:t xml:space="preserve"> 20 Atomic Absorption 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3.4.3.5 Trace Elements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Zinc, Iron, copper, manganese, </w:t>
      </w:r>
      <w:r>
        <w:rPr>
          <w:rFonts w:ascii="Times New Roman" w:cs="Times New Roman" w:hAnsi="Times New Roman"/>
          <w:sz w:val="24"/>
          <w:szCs w:val="24"/>
        </w:rPr>
        <w:t>The</w:t>
      </w:r>
      <w:r>
        <w:rPr>
          <w:rFonts w:ascii="Times New Roman" w:cs="Times New Roman" w:hAnsi="Times New Roman"/>
          <w:sz w:val="24"/>
          <w:szCs w:val="24"/>
        </w:rPr>
        <w:t xml:space="preserve"> results were directly obtained from the Atomic Absorptio</w:t>
      </w:r>
      <w:r>
        <w:rPr>
          <w:rFonts w:ascii="Times New Roman" w:cs="Times New Roman" w:hAnsi="Times New Roman"/>
          <w:sz w:val="24"/>
          <w:szCs w:val="24"/>
        </w:rPr>
        <w:t>n Spectrophotometer, Spectronic</w:t>
      </w:r>
      <w:r>
        <w:rPr>
          <w:rFonts w:ascii="Times New Roman" w:cs="Times New Roman" w:hAnsi="Times New Roman"/>
          <w:sz w:val="24"/>
          <w:szCs w:val="24"/>
        </w:rPr>
        <w:t>20 model.</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3.4.4 </w:t>
      </w:r>
      <w:r>
        <w:rPr>
          <w:rFonts w:ascii="Times New Roman" w:cs="Times New Roman" w:hAnsi="Times New Roman"/>
          <w:b/>
          <w:sz w:val="24"/>
          <w:szCs w:val="24"/>
        </w:rPr>
        <w:tab/>
      </w:r>
      <w:r>
        <w:rPr>
          <w:rFonts w:ascii="Times New Roman" w:cs="Times New Roman" w:hAnsi="Times New Roman"/>
          <w:b/>
          <w:sz w:val="24"/>
          <w:szCs w:val="24"/>
        </w:rPr>
        <w:t xml:space="preserve">Biological Analysis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3.4.4.1 Total Viable Counts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Total Viable Plate Counts (TVPC) is a microbiological technique used to estimate the number of viable microorganisms present in a sample. It provides an indication of the </w:t>
      </w:r>
      <w:r>
        <w:rPr>
          <w:rFonts w:ascii="Times New Roman" w:cs="Times New Roman" w:hAnsi="Times New Roman"/>
          <w:sz w:val="24"/>
          <w:szCs w:val="24"/>
        </w:rPr>
        <w:t>overall microbial population and can be used to assess the quality and safety of various products, including food and water.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3.4.4.2 Coliform Counts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r>
        <w:rPr>
          <w:rFonts w:ascii="Times New Roman" w:cs="Times New Roman" w:hAnsi="Times New Roman"/>
          <w:sz w:val="24"/>
          <w:szCs w:val="24"/>
        </w:rPr>
        <w:t>warmblooded</w:t>
      </w:r>
      <w:r>
        <w:rPr>
          <w:rFonts w:ascii="Times New Roman" w:cs="Times New Roman" w:hAnsi="Times New Roman"/>
          <w:sz w:val="24"/>
          <w:szCs w:val="24"/>
        </w:rPr>
        <w:t xml:space="preserve"> animals. Their presence indicates potential contamination with fecal material.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3.4.4.3 E. Coli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Escherichia coli (E. coli) is a type of bacterium commonly found in the intestines of warm-blooded animals, including humans. It is a versatile organism used in research, biotechnology, and medicine.</w:t>
      </w:r>
    </w:p>
    <w:p>
      <w:pPr>
        <w:pStyle w:val="style179"/>
        <w:numPr>
          <w:ilvl w:val="3"/>
          <w:numId w:val="1"/>
        </w:numPr>
        <w:spacing w:lineRule="auto" w:line="360"/>
        <w:rPr>
          <w:rFonts w:ascii="Times New Roman" w:cs="Times New Roman" w:hAnsi="Times New Roman"/>
          <w:b/>
          <w:sz w:val="24"/>
          <w:szCs w:val="24"/>
        </w:rPr>
      </w:pPr>
      <w:r>
        <w:rPr>
          <w:rFonts w:ascii="Times New Roman" w:cs="Times New Roman" w:hAnsi="Times New Roman"/>
          <w:b/>
          <w:sz w:val="24"/>
          <w:szCs w:val="24"/>
        </w:rPr>
        <w:t xml:space="preserve">Streptococcus </w:t>
      </w:r>
      <w:r>
        <w:rPr>
          <w:rFonts w:ascii="Times New Roman" w:cs="Times New Roman" w:hAnsi="Times New Roman"/>
          <w:b/>
          <w:sz w:val="24"/>
          <w:szCs w:val="24"/>
          <w:lang w:val="en-US"/>
        </w:rPr>
        <w:t>f</w:t>
      </w:r>
      <w:r>
        <w:rPr>
          <w:rFonts w:ascii="Times New Roman" w:cs="Times New Roman" w:hAnsi="Times New Roman"/>
          <w:b/>
          <w:sz w:val="24"/>
          <w:szCs w:val="24"/>
        </w:rPr>
        <w:t>eacalis</w:t>
      </w:r>
      <w:r>
        <w:rPr>
          <w:rFonts w:ascii="Times New Roman" w:cs="Times New Roman" w:hAnsi="Times New Roman"/>
          <w:b/>
          <w:sz w:val="24"/>
          <w:szCs w:val="24"/>
        </w:rPr>
        <w:t xml:space="preserv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Streptococcus faecalis (now more commonly known as Enterococcus faecalis) is a type of bacterium that is part of the normal flora of the gastrointestinal tract in humans and animals. It is also known for its role in both health and disease.</w:t>
      </w:r>
    </w:p>
    <w:p>
      <w:pPr>
        <w:pStyle w:val="style0"/>
        <w:spacing w:lineRule="auto" w:line="360"/>
        <w:ind w:left="720" w:hanging="735"/>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lang w:val="en-US"/>
        </w:rPr>
        <w:t>The methods  used for the data</w:t>
      </w:r>
      <w:r>
        <w:rPr>
          <w:rFonts w:ascii="Times New Roman" w:cs="Times New Roman" w:hAnsi="Times New Roman"/>
          <w:b/>
          <w:sz w:val="24"/>
          <w:szCs w:val="24"/>
        </w:rPr>
        <w:t xml:space="preserve"> </w:t>
      </w:r>
      <w:r>
        <w:rPr>
          <w:rFonts w:ascii="Times New Roman" w:cs="Times New Roman" w:hAnsi="Times New Roman"/>
          <w:b/>
          <w:sz w:val="24"/>
          <w:szCs w:val="24"/>
          <w:lang w:val="en-US"/>
        </w:rPr>
        <w:t>analysis</w:t>
      </w:r>
      <w:r>
        <w:rPr>
          <w:rFonts w:ascii="Times New Roman" w:cs="Times New Roman" w:hAnsi="Times New Roman"/>
          <w:b/>
          <w:sz w:val="24"/>
          <w:szCs w:val="24"/>
        </w:rPr>
        <w:t xml:space="preserve">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data that were collected from the laboratory analysis of the water samples were further analyzed using statistical tools and the results obtained were presented in tables.</w:t>
      </w:r>
    </w:p>
    <w:p>
      <w:pPr>
        <w:pStyle w:val="style0"/>
        <w:spacing w:after="0" w:lineRule="auto" w:line="480"/>
        <w:rPr>
          <w:rFonts w:ascii="Times New Roman" w:cs="Times New Roman" w:hAnsi="Times New Roman"/>
          <w:sz w:val="24"/>
          <w:szCs w:val="24"/>
        </w:rPr>
      </w:pPr>
    </w:p>
    <w:bookmarkStart w:id="0" w:name="_Hlk203471727"/>
    <w:bookmarkEnd w:id="0"/>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Resu</w:t>
      </w:r>
      <w:r>
        <w:rPr>
          <w:rFonts w:ascii="Times New Roman" w:cs="Times New Roman" w:hAnsi="Times New Roman"/>
          <w:b/>
          <w:sz w:val="24"/>
          <w:szCs w:val="24"/>
        </w:rPr>
        <w:t>lt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Table 4.1: show the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 xml:space="preserve">Groundwater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Stored Drinking Water Sources</w:t>
      </w:r>
    </w:p>
    <w:tbl>
      <w:tblPr>
        <w:tblpPr w:leftFromText="180" w:rightFromText="180" w:topFromText="0" w:bottomFromText="160" w:vertAnchor="text" w:horzAnchor="margin" w:tblpXSpec="center" w:tblpY="264"/>
        <w:tblOverlap w:val="never"/>
        <w:tblW w:w="11004" w:type="dxa"/>
        <w:tblLayout w:type="fixed"/>
        <w:tblCellMar>
          <w:left w:w="0" w:type="dxa"/>
          <w:right w:w="0" w:type="dxa"/>
        </w:tblCellMar>
        <w:tblLook w:val="04A0" w:firstRow="1" w:lastRow="0" w:firstColumn="1" w:lastColumn="0" w:noHBand="0" w:noVBand="1"/>
      </w:tblPr>
      <w:tblGrid>
        <w:gridCol w:w="605"/>
        <w:gridCol w:w="1169"/>
        <w:gridCol w:w="900"/>
        <w:gridCol w:w="810"/>
        <w:gridCol w:w="810"/>
        <w:gridCol w:w="630"/>
        <w:gridCol w:w="720"/>
        <w:gridCol w:w="500"/>
        <w:gridCol w:w="990"/>
        <w:gridCol w:w="900"/>
        <w:gridCol w:w="900"/>
        <w:gridCol w:w="990"/>
        <w:gridCol w:w="1080"/>
      </w:tblGrid>
      <w:tr>
        <w:trPr>
          <w:trHeight w:val="279" w:hRule="atLeast"/>
        </w:trPr>
        <w:tc>
          <w:tcPr>
            <w:tcW w:w="606"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S/N</w:t>
            </w:r>
          </w:p>
        </w:tc>
        <w:tc>
          <w:tcPr>
            <w:tcW w:w="117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Parameter</w:t>
            </w:r>
          </w:p>
        </w:tc>
        <w:tc>
          <w:tcPr>
            <w:tcW w:w="90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A1</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A2</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color w:val="000000"/>
                <w:kern w:val="28"/>
                <w:sz w:val="20"/>
                <w:szCs w:val="20"/>
              </w:rPr>
              <w:t>B1</w:t>
            </w:r>
          </w:p>
        </w:tc>
        <w:tc>
          <w:tcPr>
            <w:tcW w:w="63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B2</w:t>
            </w:r>
          </w:p>
        </w:tc>
        <w:tc>
          <w:tcPr>
            <w:tcW w:w="72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C1</w:t>
            </w:r>
          </w:p>
        </w:tc>
        <w:tc>
          <w:tcPr>
            <w:tcW w:w="5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C2</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D1</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D2</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E1</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E2</w:t>
            </w:r>
          </w:p>
        </w:tc>
        <w:tc>
          <w:tcPr>
            <w:tcW w:w="108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W.H.O. Permissible level</w:t>
            </w:r>
          </w:p>
        </w:tc>
      </w:tr>
      <w:tr>
        <w:tblPrEx/>
        <w:trPr>
          <w:trHeight w:val="134" w:hRule="atLeast"/>
        </w:trPr>
        <w:tc>
          <w:tcPr>
            <w:tcW w:w="606"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w:t>
            </w:r>
          </w:p>
        </w:tc>
        <w:tc>
          <w:tcPr>
            <w:tcW w:w="117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Temperature ˚C</w:t>
            </w:r>
          </w:p>
        </w:tc>
        <w:tc>
          <w:tcPr>
            <w:tcW w:w="90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30.2</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31.6</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30.4</w:t>
            </w:r>
          </w:p>
        </w:tc>
        <w:tc>
          <w:tcPr>
            <w:tcW w:w="63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72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5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31.2</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31.8</w:t>
            </w:r>
          </w:p>
        </w:tc>
        <w:tc>
          <w:tcPr>
            <w:tcW w:w="9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30.8</w:t>
            </w:r>
          </w:p>
        </w:tc>
        <w:tc>
          <w:tcPr>
            <w:tcW w:w="900" w:type="dxa"/>
            <w:tcBorders>
              <w:top w:val="single" w:sz="4" w:space="0" w:color="auto"/>
              <w:left w:val="nil"/>
              <w:bottom w:val="nil"/>
              <w:right w:val="nil"/>
            </w:tcBorders>
            <w:tcMar/>
            <w:hideMark/>
          </w:tcPr>
          <w:p>
            <w:pPr>
              <w:pStyle w:val="style0"/>
              <w:widowControl w:val="false"/>
              <w:tabs>
                <w:tab w:val="center" w:leader="none" w:pos="450"/>
              </w:tabs>
              <w:spacing w:after="0" w:lineRule="auto" w:line="240"/>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30.9</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30.9</w:t>
            </w:r>
          </w:p>
        </w:tc>
        <w:tc>
          <w:tcPr>
            <w:tcW w:w="108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 -</w:t>
            </w:r>
          </w:p>
        </w:tc>
      </w:tr>
      <w:tr>
        <w:tblPrEx/>
        <w:trPr>
          <w:trHeight w:val="1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Colour</w:t>
            </w:r>
            <w:r>
              <w:rPr>
                <w:rFonts w:ascii="Times New Roman" w:cs="Times New Roman" w:hAnsi="Times New Roman"/>
                <w:sz w:val="20"/>
                <w:szCs w:val="20"/>
              </w:rPr>
              <w:t xml:space="preserve"> units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15.5</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63.4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bookmarkStart w:id="1" w:name="_Hlk203472635"/>
      <w:tr>
        <w:tblPrEx/>
        <w:trPr>
          <w:trHeight w:val="2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Turbidity N.</w:t>
            </w:r>
            <w:r>
              <w:rPr>
                <w:rFonts w:ascii="Times New Roman" w:cs="Times New Roman" w:hAnsi="Times New Roman"/>
                <w:sz w:val="20"/>
                <w:szCs w:val="20"/>
              </w:rPr>
              <w:t>T.U</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8.5</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bookmarkEnd w:id="1"/>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Ph</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7.6</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6.5-8.5</w:t>
            </w:r>
          </w:p>
        </w:tc>
      </w:tr>
      <w:tr>
        <w:tblPrEx/>
        <w:trPr>
          <w:trHeight w:val="2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TDS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104.1</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790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879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710.5</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110.5</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Electrical Cond.</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1176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118.6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1850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1568</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1758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Filterable solids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alkalinity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Chloride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Fluoride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Manganese Mn</w:t>
            </w:r>
            <w:r>
              <w:rPr>
                <w:rFonts w:ascii="Times New Roman" w:cs="Times New Roman" w:hAnsi="Times New Roman"/>
                <w:sz w:val="20"/>
                <w:szCs w:val="20"/>
                <w:vertAlign w:val="superscript"/>
              </w:rPr>
              <w:t>2</w:t>
            </w:r>
            <w:r>
              <w:rPr>
                <w:rFonts w:ascii="Times New Roman" w:cs="Times New Roman" w:hAnsi="Times New Roman"/>
                <w:sz w:val="20"/>
                <w:szCs w:val="20"/>
                <w:vertAlign w:val="superscript"/>
              </w:rPr>
              <w:t>+</w:t>
            </w:r>
            <w:r>
              <w:rPr>
                <w:rFonts w:ascii="Times New Roman" w:cs="Times New Roman" w:hAnsi="Times New Roman"/>
                <w:sz w:val="20"/>
                <w:szCs w:val="20"/>
              </w:rPr>
              <w:t xml:space="preserve">  mg</w:t>
            </w:r>
            <w:r>
              <w:rPr>
                <w:rFonts w:ascii="Times New Roman" w:cs="Times New Roman" w:hAnsi="Times New Roman"/>
                <w:sz w:val="20"/>
                <w:szCs w:val="20"/>
              </w:rPr>
              <w:t>/l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Iron</w:t>
            </w:r>
            <w:r>
              <w:rPr>
                <w:rFonts w:ascii="Times New Roman" w:cs="Times New Roman" w:hAnsi="Times New Roman"/>
                <w:sz w:val="20"/>
                <w:szCs w:val="20"/>
              </w:rPr>
              <w:t xml:space="preserve"> Fe</w:t>
            </w:r>
            <w:r>
              <w:rPr>
                <w:rFonts w:ascii="Times New Roman" w:cs="Times New Roman" w:hAnsi="Times New Roman"/>
                <w:sz w:val="20"/>
                <w:szCs w:val="20"/>
                <w:vertAlign w:val="superscript"/>
              </w:rPr>
              <w:t>3+</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Sulphate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16.7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28.3</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Nitrate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9.57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23.43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Calcium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59.7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Magnesium hardness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13.3</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179"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Free Chlorine</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990" w:type="dxa"/>
            <w:tcBorders/>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1080" w:type="dxa"/>
            <w:tcBorders/>
            <w:tcMar>
              <w:top w:w="0" w:type="dxa"/>
              <w:left w:w="108" w:type="dxa"/>
              <w:bottom w:w="0" w:type="dxa"/>
              <w:right w:w="108" w:type="dxa"/>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ab/>
            </w:r>
            <w:r>
              <w:rPr>
                <w:rFonts w:ascii="Times New Roman" w:cs="Times New Roman" w:hAnsi="Times New Roman"/>
                <w:color w:val="000000"/>
                <w:kern w:val="28"/>
                <w:sz w:val="20"/>
                <w:szCs w:val="20"/>
              </w:rPr>
              <w:t>0.10</w:t>
            </w:r>
            <w:r>
              <w:rPr>
                <w:rFonts w:ascii="Times New Roman" w:cs="Times New Roman" w:hAnsi="Times New Roman"/>
                <w:color w:val="000000"/>
                <w:kern w:val="28"/>
                <w:sz w:val="20"/>
                <w:szCs w:val="20"/>
              </w:rPr>
              <w:tab/>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Calcium </w:t>
            </w:r>
            <w:r>
              <w:rPr>
                <w:rFonts w:ascii="Times New Roman" w:cs="Times New Roman" w:hAnsi="Times New Roman"/>
                <w:sz w:val="20"/>
                <w:szCs w:val="20"/>
              </w:rPr>
              <w:t>Ca</w:t>
            </w:r>
            <w:r>
              <w:rPr>
                <w:rFonts w:ascii="Times New Roman" w:cs="Times New Roman" w:hAnsi="Times New Roman"/>
                <w:sz w:val="20"/>
                <w:szCs w:val="20"/>
                <w:vertAlign w:val="superscript"/>
              </w:rPr>
              <w:t>2+</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52"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 xml:space="preserve">Nitrite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0.41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Potassium Hardness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4.21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6.84</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Copper</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0.21</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Zinc</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Silica</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0.09</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0.31</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0.25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Total viable </w:t>
            </w:r>
            <w:r>
              <w:rPr>
                <w:rFonts w:ascii="Times New Roman" w:cs="Times New Roman" w:hAnsi="Times New Roman"/>
                <w:sz w:val="20"/>
                <w:szCs w:val="20"/>
              </w:rPr>
              <w:t>plate  count</w:t>
            </w:r>
            <w:r>
              <w:rPr>
                <w:rFonts w:ascii="Times New Roman" w:cs="Times New Roman" w:hAnsi="Times New Roman"/>
                <w:sz w:val="20"/>
                <w:szCs w:val="20"/>
              </w:rPr>
              <w:t xml:space="preserve"> </w:t>
            </w:r>
            <w:r>
              <w:rPr>
                <w:rFonts w:ascii="Times New Roman" w:cs="Times New Roman" w:hAnsi="Times New Roman"/>
                <w:sz w:val="20"/>
                <w:szCs w:val="20"/>
              </w:rPr>
              <w:t>cfu</w:t>
            </w:r>
            <w:r>
              <w:rPr>
                <w:rFonts w:ascii="Times New Roman" w:cs="Times New Roman" w:hAnsi="Times New Roman"/>
                <w:sz w:val="20"/>
                <w:szCs w:val="20"/>
              </w:rPr>
              <w:t>/ 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52</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76</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3508</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2918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2482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3714</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4817</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4802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Coliform counts /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1450</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408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598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516</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984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u w:val="single"/>
              </w:rPr>
              <w:t>E</w:t>
            </w:r>
            <w:r>
              <w:rPr>
                <w:rFonts w:ascii="Times New Roman" w:cs="Times New Roman" w:hAnsi="Times New Roman"/>
                <w:sz w:val="20"/>
                <w:szCs w:val="20"/>
              </w:rPr>
              <w:t>.</w:t>
            </w:r>
            <w:r>
              <w:rPr>
                <w:rFonts w:ascii="Times New Roman" w:cs="Times New Roman" w:hAnsi="Times New Roman"/>
                <w:sz w:val="20"/>
                <w:szCs w:val="20"/>
                <w:u w:val="single"/>
              </w:rPr>
              <w:t>coli</w:t>
            </w:r>
            <w:r>
              <w:rPr>
                <w:rFonts w:ascii="Times New Roman" w:cs="Times New Roman" w:hAnsi="Times New Roman"/>
                <w:sz w:val="20"/>
                <w:szCs w:val="20"/>
              </w:rPr>
              <w:t>/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120</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28</w:t>
            </w:r>
          </w:p>
        </w:tc>
        <w:tc>
          <w:tcPr>
            <w:tcW w:w="117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Streptococcus </w:t>
            </w:r>
            <w:r>
              <w:rPr>
                <w:rFonts w:ascii="Times New Roman" w:cs="Times New Roman" w:hAnsi="Times New Roman"/>
                <w:sz w:val="20"/>
                <w:szCs w:val="20"/>
              </w:rPr>
              <w:t>feacalis</w:t>
            </w:r>
          </w:p>
        </w:tc>
        <w:tc>
          <w:tcPr>
            <w:tcW w:w="90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71</w:t>
            </w:r>
          </w:p>
        </w:tc>
        <w:tc>
          <w:tcPr>
            <w:tcW w:w="5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69</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84</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bl>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      and Stored Drinking Water Sources in </w:t>
      </w:r>
      <w:r>
        <w:rPr>
          <w:rFonts w:ascii="Times New Roman" w:cs="Times New Roman" w:eastAsia="Times New Roman" w:hAnsi="Times New Roman"/>
        </w:rPr>
        <w:t>Eleko</w:t>
      </w:r>
      <w:r>
        <w:rPr>
          <w:rFonts w:ascii="Times New Roman" w:cs="Times New Roman" w:eastAsia="Times New Roman" w:hAnsi="Times New Roman"/>
        </w:rPr>
        <w:t xml:space="preserve"> Community</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WHO- World Health Organization </w:t>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 xml:space="preserve">ND- Not </w:t>
      </w:r>
      <w:r>
        <w:rPr>
          <w:rFonts w:ascii="Times New Roman" w:cs="Times New Roman" w:hAnsi="Times New Roman"/>
          <w:sz w:val="20"/>
          <w:szCs w:val="20"/>
        </w:rPr>
        <w:t>detected</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KEY </w:t>
      </w:r>
    </w:p>
    <w:p>
      <w:pPr>
        <w:pStyle w:val="style0"/>
        <w:spacing w:after="0"/>
        <w:rPr>
          <w:rFonts w:ascii="Times New Roman" w:cs="Times New Roman" w:hAnsi="Times New Roman"/>
          <w:sz w:val="20"/>
          <w:szCs w:val="20"/>
        </w:rPr>
      </w:pPr>
      <w:r>
        <w:rPr>
          <w:rFonts w:ascii="Times New Roman" w:cs="Times New Roman" w:hAnsi="Times New Roman"/>
          <w:sz w:val="20"/>
          <w:szCs w:val="20"/>
        </w:rPr>
        <w:t>A1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A2=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C2 =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D2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E2 = RAW WELL WATER</w:t>
      </w: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Discussion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color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w:t>
      </w:r>
      <w:r>
        <w:rPr>
          <w:rFonts w:ascii="Times New Roman" w:cs="Times New Roman" w:hAnsi="Times New Roman"/>
          <w:sz w:val="24"/>
          <w:szCs w:val="24"/>
        </w:rPr>
        <w:t>4.1 ,</w:t>
      </w:r>
      <w:r>
        <w:rPr>
          <w:rFonts w:ascii="Times New Roman" w:cs="Times New Roman" w:hAnsi="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pPr>
        <w:pStyle w:val="style0"/>
        <w:rPr>
          <w:rFonts w:ascii="Times New Roman" w:cs="Times New Roman" w:hAnsi="Times New Roman"/>
          <w:b/>
          <w:bCs/>
          <w:sz w:val="24"/>
          <w:szCs w:val="24"/>
        </w:rPr>
      </w:pPr>
      <w:r>
        <w:rPr>
          <w:rFonts w:ascii="Times New Roman" w:cs="Times New Roman" w:hAnsi="Times New Roman"/>
          <w:b/>
          <w:sz w:val="24"/>
          <w:szCs w:val="24"/>
        </w:rPr>
        <w:t>4.2.2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 xml:space="preserve">Comparative </w:t>
      </w:r>
      <w:r>
        <w:rPr>
          <w:rFonts w:ascii="Times New Roman" w:cs="Times New Roman" w:hAnsi="Times New Roman"/>
          <w:b/>
          <w:bCs/>
          <w:sz w:val="24"/>
          <w:szCs w:val="24"/>
        </w:rPr>
        <w:t>a</w:t>
      </w:r>
      <w:r>
        <w:rPr>
          <w:rFonts w:ascii="Times New Roman" w:cs="Times New Roman" w:hAnsi="Times New Roman"/>
          <w:b/>
          <w:bCs/>
          <w:sz w:val="24"/>
          <w:szCs w:val="24"/>
        </w:rPr>
        <w:t xml:space="preserve">nalysis of </w:t>
      </w:r>
      <w:r>
        <w:rPr>
          <w:rFonts w:ascii="Times New Roman" w:cs="Times New Roman" w:hAnsi="Times New Roman"/>
          <w:b/>
          <w:bCs/>
          <w:sz w:val="24"/>
          <w:szCs w:val="24"/>
        </w:rPr>
        <w:t>r</w:t>
      </w:r>
      <w:r>
        <w:rPr>
          <w:rFonts w:ascii="Times New Roman" w:cs="Times New Roman" w:hAnsi="Times New Roman"/>
          <w:b/>
          <w:bCs/>
          <w:sz w:val="24"/>
          <w:szCs w:val="24"/>
        </w:rPr>
        <w:t xml:space="preserve">aw and </w:t>
      </w:r>
      <w:r>
        <w:rPr>
          <w:rFonts w:ascii="Times New Roman" w:cs="Times New Roman" w:hAnsi="Times New Roman"/>
          <w:b/>
          <w:bCs/>
          <w:sz w:val="24"/>
          <w:szCs w:val="24"/>
        </w:rPr>
        <w:t>s</w:t>
      </w:r>
      <w:r>
        <w:rPr>
          <w:rFonts w:ascii="Times New Roman" w:cs="Times New Roman" w:hAnsi="Times New Roman"/>
          <w:b/>
          <w:bCs/>
          <w:sz w:val="24"/>
          <w:szCs w:val="24"/>
        </w:rPr>
        <w:t xml:space="preserve">tored </w:t>
      </w:r>
      <w:r>
        <w:rPr>
          <w:rFonts w:ascii="Times New Roman" w:cs="Times New Roman" w:hAnsi="Times New Roman"/>
          <w:b/>
          <w:bCs/>
          <w:sz w:val="24"/>
          <w:szCs w:val="24"/>
        </w:rPr>
        <w:t>w</w:t>
      </w:r>
      <w:r>
        <w:rPr>
          <w:rFonts w:ascii="Times New Roman" w:cs="Times New Roman" w:hAnsi="Times New Roman"/>
          <w:b/>
          <w:bCs/>
          <w:sz w:val="24"/>
          <w:szCs w:val="24"/>
        </w:rPr>
        <w:t xml:space="preserve">ater </w:t>
      </w:r>
      <w:r>
        <w:rPr>
          <w:rFonts w:ascii="Times New Roman" w:cs="Times New Roman" w:hAnsi="Times New Roman"/>
          <w:b/>
          <w:bCs/>
          <w:sz w:val="24"/>
          <w:szCs w:val="24"/>
        </w:rPr>
        <w:t>t</w:t>
      </w:r>
      <w:r>
        <w:rPr>
          <w:rFonts w:ascii="Times New Roman" w:cs="Times New Roman" w:hAnsi="Times New Roman"/>
          <w:b/>
          <w:bCs/>
          <w:sz w:val="24"/>
          <w:szCs w:val="24"/>
        </w:rPr>
        <w:t>urbidity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Both the stored and </w:t>
      </w:r>
      <w:r>
        <w:rPr>
          <w:rFonts w:ascii="Times New Roman" w:cs="Times New Roman" w:eastAsia="Times New Roman" w:hAnsi="Times New Roman"/>
          <w:sz w:val="24"/>
          <w:szCs w:val="24"/>
        </w:rPr>
        <w:t xml:space="preserve">raw </w:t>
      </w:r>
      <w:r>
        <w:rPr>
          <w:rFonts w:ascii="Times New Roman" w:cs="Times New Roman" w:eastAsia="Times New Roman" w:hAnsi="Times New Roman"/>
          <w:sz w:val="24"/>
          <w:szCs w:val="24"/>
        </w:rPr>
        <w:t>undergroundwater</w:t>
      </w:r>
      <w:r>
        <w:rPr>
          <w:rFonts w:ascii="Times New Roman" w:cs="Times New Roman" w:hAnsi="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pPr>
        <w:pStyle w:val="style0"/>
        <w:rPr>
          <w:rFonts w:ascii="Times New Roman" w:cs="Times New Roman" w:hAnsi="Times New Roman"/>
          <w:b/>
          <w:sz w:val="24"/>
          <w:szCs w:val="24"/>
        </w:rPr>
      </w:pPr>
      <w:r>
        <w:rPr>
          <w:rFonts w:ascii="Times New Roman" w:cs="Times New Roman" w:hAnsi="Times New Roman"/>
          <w:b/>
          <w:sz w:val="24"/>
          <w:szCs w:val="24"/>
        </w:rPr>
        <w:t xml:space="preserve">4.2.3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TDS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w:t>
      </w:r>
      <w:r>
        <w:rPr>
          <w:rFonts w:ascii="Times New Roman" w:cs="Times New Roman" w:hAnsi="Times New Roman"/>
          <w:sz w:val="24"/>
          <w:szCs w:val="24"/>
        </w:rPr>
        <w:t>).As</w:t>
      </w:r>
      <w:r>
        <w:rPr>
          <w:rFonts w:ascii="Times New Roman" w:cs="Times New Roman" w:hAnsi="Times New Roman"/>
          <w:sz w:val="24"/>
          <w:szCs w:val="24"/>
        </w:rPr>
        <w:t xml:space="preserve"> shown in table 4.1 and figure 4.3 below.</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4.2.4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e</w:t>
      </w:r>
      <w:r>
        <w:rPr>
          <w:rFonts w:ascii="Times New Roman" w:cs="Times New Roman" w:hAnsi="Times New Roman"/>
          <w:b/>
          <w:sz w:val="24"/>
          <w:szCs w:val="24"/>
        </w:rPr>
        <w:t xml:space="preserve">lectrical </w:t>
      </w:r>
      <w:r>
        <w:rPr>
          <w:rFonts w:ascii="Times New Roman" w:cs="Times New Roman" w:hAnsi="Times New Roman"/>
          <w:b/>
          <w:sz w:val="24"/>
          <w:szCs w:val="24"/>
        </w:rPr>
        <w:t>c</w:t>
      </w:r>
      <w:r>
        <w:rPr>
          <w:rFonts w:ascii="Times New Roman" w:cs="Times New Roman" w:hAnsi="Times New Roman"/>
          <w:b/>
          <w:sz w:val="24"/>
          <w:szCs w:val="24"/>
        </w:rPr>
        <w:t>onductivity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water is generally compliant with WHO Electrical Conductivity standards, except for site E (Stored (E1) 205 NTU and Raw (E2</w:t>
      </w:r>
      <w:r>
        <w:rPr>
          <w:rFonts w:ascii="Times New Roman" w:cs="Times New Roman" w:hAnsi="Times New Roman"/>
          <w:sz w:val="24"/>
          <w:szCs w:val="24"/>
        </w:rPr>
        <w:t>)  5.0</w:t>
      </w:r>
      <w:r>
        <w:rPr>
          <w:rFonts w:ascii="Times New Roman" w:cs="Times New Roman" w:hAnsi="Times New Roman"/>
          <w:sz w:val="24"/>
          <w:szCs w:val="24"/>
        </w:rPr>
        <w:t xml:space="preserve"> NTU). Figure 4.4, Stored water </w:t>
      </w:r>
      <w:r>
        <w:rPr>
          <w:rFonts w:ascii="Times New Roman" w:cs="Times New Roman" w:hAnsi="Times New Roman"/>
          <w:sz w:val="24"/>
          <w:szCs w:val="24"/>
        </w:rPr>
        <w:t>consistently shows increased electrical conductivity beyond guidelines, potentially from contamination or poor storage practices, risking consumer health and acceptability. (</w:t>
      </w:r>
      <w:r>
        <w:rPr>
          <w:rFonts w:ascii="Times New Roman" w:cs="Times New Roman" w:hAnsi="Times New Roman"/>
          <w:b/>
          <w:bCs/>
          <w:sz w:val="24"/>
          <w:szCs w:val="24"/>
        </w:rPr>
        <w:t>WHO 2017)</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4.2.5</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i</w:t>
      </w:r>
      <w:r>
        <w:rPr>
          <w:rFonts w:ascii="Times New Roman" w:cs="Times New Roman" w:hAnsi="Times New Roman"/>
          <w:b/>
          <w:sz w:val="24"/>
          <w:szCs w:val="24"/>
        </w:rPr>
        <w:t>ron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4.5 shows the pairs B, D, and E, (</w:t>
      </w:r>
      <w:r>
        <w:rPr>
          <w:rFonts w:ascii="Times New Roman" w:cs="Times New Roman" w:hAnsi="Times New Roman"/>
          <w:color w:val="000000"/>
          <w:kern w:val="28"/>
          <w:sz w:val="24"/>
          <w:szCs w:val="24"/>
        </w:rPr>
        <w:t>0.62, 0.75 and 0.36)</w:t>
      </w:r>
      <w:r>
        <w:rPr>
          <w:rFonts w:ascii="Times New Roman" w:cs="Times New Roman" w:hAnsi="Times New Roman"/>
          <w:sz w:val="24"/>
          <w:szCs w:val="24"/>
        </w:rPr>
        <w:t xml:space="preserve"> raw water iron exceeds WHO limits (0.30). In E, both raw and stored water (</w:t>
      </w:r>
      <w:r>
        <w:rPr>
          <w:rFonts w:ascii="Times New Roman" w:cs="Times New Roman" w:hAnsi="Times New Roman"/>
          <w:color w:val="000000"/>
          <w:kern w:val="28"/>
          <w:sz w:val="24"/>
          <w:szCs w:val="24"/>
        </w:rPr>
        <w:t>0.36</w:t>
      </w:r>
      <w:r>
        <w:rPr>
          <w:rFonts w:ascii="Times New Roman" w:cs="Times New Roman" w:hAnsi="Times New Roman"/>
          <w:sz w:val="24"/>
          <w:szCs w:val="24"/>
        </w:rPr>
        <w:t>,0.36)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iron (e.g., D2 to D1), but not always enough to meet standards.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et al.,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Storage in certain materials (especially plastic and aluminum) can worsen water quality by increasing chemical leaching and supporting bacterial growth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4.2.6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manganese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B, C, and E (</w:t>
      </w:r>
      <w:r>
        <w:rPr>
          <w:rFonts w:ascii="Times New Roman" w:cs="Times New Roman" w:hAnsi="Times New Roman"/>
          <w:color w:val="000000"/>
          <w:kern w:val="28"/>
          <w:sz w:val="24"/>
          <w:szCs w:val="24"/>
        </w:rPr>
        <w:t>0.7, 0.60 and 0.3)</w:t>
      </w:r>
      <w:r>
        <w:rPr>
          <w:rFonts w:ascii="Times New Roman" w:cs="Times New Roman" w:hAnsi="Times New Roman"/>
          <w:sz w:val="24"/>
          <w:szCs w:val="24"/>
        </w:rPr>
        <w:t>, raw water manganese exceeds the WHO limit (0.10). In E (0.3,0.3), both stored and raw water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manganese (e.g., B2 to B1, C2 to C1), but not always to safe levels.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Aluminum containers can significantly increase manganese contamination in stored water, sometimes far exceeding safe limits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Storing water in certain materials, especially aluminum, can lead to a dramatic increase in manganese and iron, making water unfit for consumption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4.2.7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Stored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itrate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raw and stored water samples are below the WHO nitrate limit (</w:t>
      </w:r>
      <w:r>
        <w:rPr>
          <w:rFonts w:ascii="Times New Roman" w:cs="Times New Roman" w:hAnsi="Times New Roman"/>
          <w:color w:val="000000"/>
          <w:kern w:val="28"/>
          <w:sz w:val="24"/>
          <w:szCs w:val="24"/>
        </w:rPr>
        <w:t>50)</w:t>
      </w:r>
      <w:r>
        <w:rPr>
          <w:rFonts w:ascii="Times New Roman" w:cs="Times New Roman" w:hAnsi="Times New Roman"/>
          <w:sz w:val="24"/>
          <w:szCs w:val="24"/>
        </w:rPr>
        <w:t>. Stored water C and D (</w:t>
      </w:r>
      <w:r>
        <w:rPr>
          <w:rFonts w:ascii="Times New Roman" w:cs="Times New Roman" w:hAnsi="Times New Roman"/>
          <w:color w:val="000000"/>
          <w:kern w:val="28"/>
          <w:sz w:val="24"/>
          <w:szCs w:val="24"/>
        </w:rPr>
        <w:t>24.1 and 23.43</w:t>
      </w:r>
      <w:r>
        <w:rPr>
          <w:rFonts w:ascii="Times New Roman" w:cs="Times New Roman" w:hAnsi="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cs="Times New Roman" w:hAnsi="Times New Roman"/>
          <w:i/>
          <w:iCs/>
          <w:sz w:val="24"/>
          <w:szCs w:val="24"/>
        </w:rPr>
        <w:t>et a</w:t>
      </w:r>
      <w:r>
        <w:rPr>
          <w:rFonts w:ascii="Times New Roman" w:cs="Times New Roman" w:hAnsi="Times New Roman"/>
          <w:sz w:val="24"/>
          <w:szCs w:val="24"/>
        </w:rPr>
        <w:t xml:space="preserve">l.,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4.2.8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itrite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and B: Both raw and stored water are within WHO limits, but stored water shows slightly higher nitrite, suggesting possible contamination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 Stored water C1 (</w:t>
      </w:r>
      <w:r>
        <w:rPr>
          <w:rFonts w:ascii="Times New Roman" w:cs="Times New Roman" w:hAnsi="Times New Roman"/>
          <w:color w:val="000000"/>
          <w:kern w:val="28"/>
          <w:sz w:val="24"/>
          <w:szCs w:val="24"/>
        </w:rPr>
        <w:t>0.22)</w:t>
      </w:r>
      <w:r>
        <w:rPr>
          <w:rFonts w:ascii="Times New Roman" w:cs="Times New Roman" w:hAnsi="Times New Roman"/>
          <w:sz w:val="24"/>
          <w:szCs w:val="24"/>
        </w:rPr>
        <w:t xml:space="preserve"> slightly exceeds the WHO limit, while raw water C2 (</w:t>
      </w:r>
      <w:r>
        <w:rPr>
          <w:rFonts w:ascii="Times New Roman" w:cs="Times New Roman" w:hAnsi="Times New Roman"/>
          <w:color w:val="000000"/>
          <w:kern w:val="28"/>
          <w:sz w:val="24"/>
          <w:szCs w:val="24"/>
        </w:rPr>
        <w:t>0.01)</w:t>
      </w:r>
      <w:r>
        <w:rPr>
          <w:rFonts w:ascii="Times New Roman" w:cs="Times New Roman" w:hAnsi="Times New Roman"/>
          <w:sz w:val="24"/>
          <w:szCs w:val="24"/>
        </w:rPr>
        <w:t xml:space="preserve"> is well below, indicating contamination risk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 Stored water D1 (</w:t>
      </w:r>
      <w:r>
        <w:rPr>
          <w:rFonts w:ascii="Times New Roman" w:cs="Times New Roman" w:hAnsi="Times New Roman"/>
          <w:color w:val="000000"/>
          <w:kern w:val="28"/>
          <w:sz w:val="24"/>
          <w:szCs w:val="24"/>
        </w:rPr>
        <w:t>0.41</w:t>
      </w:r>
      <w:r>
        <w:rPr>
          <w:rFonts w:ascii="Times New Roman" w:cs="Times New Roman" w:hAnsi="Times New Roman"/>
          <w:sz w:val="24"/>
          <w:szCs w:val="24"/>
        </w:rPr>
        <w:t>) is more than double the WHO limit, while raw water D2 (</w:t>
      </w:r>
      <w:r>
        <w:rPr>
          <w:rFonts w:ascii="Times New Roman" w:cs="Times New Roman" w:hAnsi="Times New Roman"/>
          <w:color w:val="000000"/>
          <w:kern w:val="28"/>
          <w:sz w:val="24"/>
          <w:szCs w:val="24"/>
        </w:rPr>
        <w:t>0.08</w:t>
      </w:r>
      <w:r>
        <w:rPr>
          <w:rFonts w:ascii="Times New Roman" w:cs="Times New Roman" w:hAnsi="Times New Roman"/>
          <w:sz w:val="24"/>
          <w:szCs w:val="24"/>
        </w:rPr>
        <w:t>) is within limits, again pointing to storage-related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 Both raw and stored water E1 and E2 (</w:t>
      </w:r>
      <w:r>
        <w:rPr>
          <w:rFonts w:ascii="Times New Roman" w:cs="Times New Roman" w:hAnsi="Times New Roman"/>
          <w:color w:val="000000"/>
          <w:kern w:val="28"/>
          <w:sz w:val="24"/>
          <w:szCs w:val="24"/>
        </w:rPr>
        <w:t>0.51</w:t>
      </w:r>
      <w:r>
        <w:rPr>
          <w:rFonts w:ascii="Times New Roman" w:cs="Times New Roman" w:hAnsi="Times New Roman"/>
          <w:sz w:val="24"/>
          <w:szCs w:val="24"/>
        </w:rPr>
        <w:t>) exceed the WHO limit, indicating source contamination. As shown in figure 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 quality often deteriorates during storage, with increased risk of chemical and microbial contamination, especially if containers are not regularly cleaned or if water is stored for several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Both raw and stored water exceed limits in E the underground source is already contaminated, requiring treatment before use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Chronic exposure to nitrite above WHO limits can cause health issues, particularly in infants (methemoglobinemia) and may have synergistic effects with other contaminants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Regular cleaning of storage containers, minimizing storage time, and treating contaminated sources are essential to reduce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4.2.9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t</w:t>
      </w:r>
      <w:r>
        <w:rPr>
          <w:rFonts w:ascii="Times New Roman" w:cs="Times New Roman" w:hAnsi="Times New Roman"/>
          <w:b/>
          <w:sz w:val="24"/>
          <w:szCs w:val="24"/>
        </w:rPr>
        <w:t xml:space="preserve">otal </w:t>
      </w:r>
      <w:r>
        <w:rPr>
          <w:rFonts w:ascii="Times New Roman" w:cs="Times New Roman" w:hAnsi="Times New Roman"/>
          <w:b/>
          <w:sz w:val="24"/>
          <w:szCs w:val="24"/>
        </w:rPr>
        <w:t>h</w:t>
      </w:r>
      <w:r>
        <w:rPr>
          <w:rFonts w:ascii="Times New Roman" w:cs="Times New Roman" w:hAnsi="Times New Roman"/>
          <w:b/>
          <w:sz w:val="24"/>
          <w:szCs w:val="24"/>
        </w:rPr>
        <w:t>ardness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w:t>
      </w:r>
      <w:r>
        <w:rPr>
          <w:rFonts w:ascii="Times New Roman" w:cs="Times New Roman" w:hAnsi="Times New Roman"/>
          <w:sz w:val="24"/>
          <w:szCs w:val="24"/>
        </w:rPr>
        <w:t xml:space="preserve">l.,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type of storage container can influence contamination risk. Plastic and clay containers can promote bacterial growth, while aluminum may introduce chemical contaminants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 Total hardness in water samples is within WHO limits, synergistic effects with other contaminants (e.g., heavy metals, fluoride) can still pose health risks, even at permissible levels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2017). Microbial contamination remains the primary concern for stored water, often leading to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2015;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 xml:space="preserve">et </w:t>
      </w:r>
      <w:r>
        <w:rPr>
          <w:rFonts w:ascii="Times New Roman" w:cs="Times New Roman" w:hAnsi="Times New Roman"/>
          <w:sz w:val="24"/>
          <w:szCs w:val="24"/>
        </w:rPr>
        <w:t xml:space="preserve">al., 2024). Regular cleaning of storage containers, minimizing storage time, and using improved water sources (e.g., piped water) reduce contamination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4.2.10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coliforms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Poor hygiene, unclean containers, and longer storage times contribute to microbial growth and biofilm formation, further increasing health risks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High coliform counts are linked to outbreaks of waterborne diseases such as diarrhea, cholera, and typhoid,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4.2.11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E. coli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r>
        <w:rPr>
          <w:rFonts w:ascii="Times New Roman" w:cs="Times New Roman" w:hAnsi="Times New Roman"/>
          <w:sz w:val="24"/>
          <w:szCs w:val="24"/>
        </w:rPr>
        <w:t>that  stored</w:t>
      </w:r>
      <w:r>
        <w:rPr>
          <w:rFonts w:ascii="Times New Roman" w:cs="Times New Roman" w:hAnsi="Times New Roman"/>
          <w:sz w:val="24"/>
          <w:szCs w:val="24"/>
        </w:rPr>
        <w:t xml:space="preserve"> water has higher E. coli counts than its raw counterpart, except for D and E where raw water is even more contaminated. This pattern is consistent with research </w:t>
      </w:r>
      <w:r>
        <w:rPr>
          <w:rFonts w:ascii="Times New Roman" w:cs="Times New Roman" w:hAnsi="Times New Roman"/>
          <w:sz w:val="24"/>
          <w:szCs w:val="24"/>
        </w:rPr>
        <w:t xml:space="preserve">showing that water quality often deteriorates during storage due to poor hygiene, unclean containers, and environmental exposure, increasing the risk of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2015;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The presence of E. coli at these levels is associated with outbreaks of diarrhea, cholera, and other serious illnesses,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Even when source water is relatively clean, improper storage can introduce or amplify contamination, highlighting the need for both source protection and safe storage practices (Shields </w:t>
      </w:r>
      <w:r>
        <w:rPr>
          <w:rFonts w:ascii="Times New Roman" w:cs="Times New Roman" w:hAnsi="Times New Roman"/>
          <w:i/>
          <w:iCs/>
          <w:sz w:val="24"/>
          <w:szCs w:val="24"/>
        </w:rPr>
        <w:t>et al.,</w:t>
      </w:r>
      <w:r>
        <w:rPr>
          <w:rFonts w:ascii="Times New Roman" w:cs="Times New Roman" w:hAnsi="Times New Roman"/>
          <w:sz w:val="24"/>
          <w:szCs w:val="24"/>
        </w:rPr>
        <w:t xml:space="preserve"> 2015; Morgan </w:t>
      </w:r>
      <w:r>
        <w:rPr>
          <w:rFonts w:ascii="Times New Roman" w:cs="Times New Roman" w:hAnsi="Times New Roman"/>
          <w:i/>
          <w:iCs/>
          <w:sz w:val="24"/>
          <w:szCs w:val="24"/>
        </w:rPr>
        <w:t>et al</w:t>
      </w:r>
      <w:r>
        <w:rPr>
          <w:rFonts w:ascii="Times New Roman" w:cs="Times New Roman" w:hAnsi="Times New Roman"/>
          <w:sz w:val="24"/>
          <w:szCs w:val="24"/>
        </w:rPr>
        <w:t xml:space="preserve">., 2021). </w:t>
      </w:r>
    </w:p>
    <w:p>
      <w:pPr>
        <w:pStyle w:val="style0"/>
        <w:spacing w:lineRule="auto" w:line="360"/>
        <w:jc w:val="both"/>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87240" cy="153162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Colour</w:t>
      </w:r>
      <w:r>
        <w:rPr>
          <w:rFonts w:ascii="Times New Roman" w:cs="Times New Roman" w:hAnsi="Times New Roman"/>
        </w:rPr>
        <w:t xml:space="preserve"> Units)</w:t>
      </w:r>
    </w:p>
    <w:p>
      <w:pPr>
        <w:pStyle w:val="style0"/>
        <w:spacing w:after="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06240" cy="153924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4.2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i/>
          <w:iCs/>
        </w:rPr>
        <w:t>Turbidity</w:t>
      </w:r>
      <w:r>
        <w:rPr>
          <w:rFonts w:ascii="Times New Roman" w:cs="Times New Roman" w:hAnsi="Times New Roman"/>
        </w:rPr>
        <w:t xml:space="preserve"> N.T.U)</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3977640" cy="2034539"/>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4.3 Contamination risk of groundwater and stored drinking water  </w:t>
      </w:r>
    </w:p>
    <w:p>
      <w:pPr>
        <w:pStyle w:val="style0"/>
        <w:spacing w:after="0"/>
        <w:rPr>
          <w:rFonts w:ascii="Times New Roman" w:cs="Times New Roman" w:hAnsi="Times New Roman"/>
          <w:i/>
          <w:iCs/>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(TDS)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15740" cy="260604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4.4 Contamination risk of ground 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(Electrical Conductivity)</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91940" cy="17526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4.5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(Iron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434840" cy="157734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4.6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(Manganese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33900" cy="155448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4.7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(Nitrate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28160" cy="123444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4.8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Nitrite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130040" cy="2286000"/>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4.9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w:t>
      </w:r>
      <w:r>
        <w:rPr>
          <w:rFonts w:ascii="Times New Roman" w:cs="Times New Roman" w:hAnsi="Times New Roman"/>
        </w:rPr>
        <w:t>Hardness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29100" cy="2308860"/>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4.10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(Coliform counts/ 100ml)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89120" cy="2476500"/>
            <wp:effectExtent l="0" t="0" r="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via plate count du/ml)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53840" cy="2788920"/>
            <wp:effectExtent l="0" t="0" r="0"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Figure 4.12 Contamination risk of groundwater and stored drinking wate</w:t>
      </w:r>
      <w:r>
        <w:rPr>
          <w:rFonts w:ascii="Times New Roman" w:cs="Times New Roman" w:hAnsi="Times New Roman"/>
        </w:rPr>
        <w:t>r</w:t>
      </w:r>
      <w:r>
        <w:rPr>
          <w:rFonts w:ascii="Times New Roman" w:cs="Times New Roman" w:hAnsi="Times New Roman"/>
        </w:rPr>
        <w:t>)</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sz w:val="24"/>
          <w:szCs w:val="24"/>
        </w:rPr>
      </w:pPr>
      <w:r>
        <w:rPr>
          <w:rFonts w:ascii="Times New Roman" w:cs="Times New Roman" w:hAnsi="Times New Roman"/>
          <w:b/>
          <w:bCs/>
          <w:sz w:val="24"/>
          <w:szCs w:val="24"/>
        </w:rPr>
        <w:t>CHAPTER FIVE</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5.1 </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sz w:val="24"/>
          <w:szCs w:val="24"/>
        </w:rPr>
        <w:t>5.2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Recommendations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Prioritize the consistent supply of treated, safe water to communities, minimizing reliance on untreated underground sources.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Educate residents on proper water collection, transportation, and storage hygiene, including regular cleaning of storage containers.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Implement point-of-use water treatment methods (e.g., boiling, chlorination, filtration) at the household level, especially where microbial contamination is detected.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 Regularly monitor both source and stored water for microbial and chemical contaminants to ensure ongoing safety.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Address infrastructure gaps to reduce water supply interruptions, which often force communities to store water for longer periods, increasing contamination risk.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Encourage the use of improved water sources and discourage the use of highly contaminated sources unless adequately treated.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 Foster community engagement and cross-sector collaboration to sustain water quality improvements and public health outcomes.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American Public Health Association. (2017). Standard Methods for the Examination of Water and Wastewater. 23rd ed. Washington, DC: APHA.</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Bae, S., Lyons, C., </w:t>
      </w:r>
      <w:r>
        <w:rPr>
          <w:rFonts w:ascii="Times New Roman" w:cs="Times New Roman" w:hAnsi="Times New Roman"/>
          <w:sz w:val="24"/>
          <w:szCs w:val="24"/>
        </w:rPr>
        <w:t>and</w:t>
      </w:r>
      <w:r>
        <w:rPr>
          <w:rFonts w:ascii="Times New Roman" w:cs="Times New Roman" w:hAnsi="Times New Roman"/>
          <w:sz w:val="24"/>
          <w:szCs w:val="24"/>
        </w:rPr>
        <w:t xml:space="preserve"> Onstad, N. (2019). A culture-dependent and metagenomic approach of household drinking water from the source to point of use in a developing country. Water Research X, 2. https://doi.org/10.1016/j.wroa.2019.100026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Binibor</w:t>
      </w:r>
      <w:r>
        <w:rPr>
          <w:rFonts w:ascii="Times New Roman" w:cs="Times New Roman" w:hAnsi="Times New Roman"/>
          <w:sz w:val="24"/>
          <w:szCs w:val="24"/>
        </w:rPr>
        <w:t xml:space="preserve">, P., Nwachukwu, N., </w:t>
      </w:r>
      <w:r>
        <w:rPr>
          <w:rFonts w:ascii="Times New Roman" w:cs="Times New Roman" w:hAnsi="Times New Roman"/>
          <w:sz w:val="24"/>
          <w:szCs w:val="24"/>
        </w:rPr>
        <w:t>Ndulue</w:t>
      </w:r>
      <w:r>
        <w:rPr>
          <w:rFonts w:ascii="Times New Roman" w:cs="Times New Roman" w:hAnsi="Times New Roman"/>
          <w:sz w:val="24"/>
          <w:szCs w:val="24"/>
        </w:rPr>
        <w:t xml:space="preserve">, G., </w:t>
      </w:r>
      <w:r>
        <w:rPr>
          <w:rFonts w:ascii="Times New Roman" w:cs="Times New Roman" w:hAnsi="Times New Roman"/>
          <w:sz w:val="24"/>
          <w:szCs w:val="24"/>
        </w:rPr>
        <w:t>Ndukwe</w:t>
      </w:r>
      <w:r>
        <w:rPr>
          <w:rFonts w:ascii="Times New Roman" w:cs="Times New Roman" w:hAnsi="Times New Roman"/>
          <w:sz w:val="24"/>
          <w:szCs w:val="24"/>
        </w:rPr>
        <w:t xml:space="preserve">, D., </w:t>
      </w:r>
      <w:r>
        <w:rPr>
          <w:rFonts w:ascii="Times New Roman" w:cs="Times New Roman" w:hAnsi="Times New Roman"/>
          <w:sz w:val="24"/>
          <w:szCs w:val="24"/>
        </w:rPr>
        <w:t>Ngwu</w:t>
      </w:r>
      <w:r>
        <w:rPr>
          <w:rFonts w:ascii="Times New Roman" w:cs="Times New Roman" w:hAnsi="Times New Roman"/>
          <w:sz w:val="24"/>
          <w:szCs w:val="24"/>
        </w:rPr>
        <w:t>, A.,</w:t>
      </w:r>
      <w:r>
        <w:rPr>
          <w:rFonts w:ascii="Times New Roman" w:cs="Times New Roman" w:hAnsi="Times New Roman"/>
          <w:sz w:val="24"/>
          <w:szCs w:val="24"/>
        </w:rPr>
        <w:t xml:space="preserve"> and</w:t>
      </w:r>
      <w:r>
        <w:rPr>
          <w:rFonts w:ascii="Times New Roman" w:cs="Times New Roman" w:hAnsi="Times New Roman"/>
          <w:sz w:val="24"/>
          <w:szCs w:val="24"/>
        </w:rPr>
        <w:t xml:space="preserve"> Usman, O. (2025). Investigating the effect of storage materials on the quality of potable water. European Journal of Sustainable Development Research. </w:t>
      </w:r>
      <w:r>
        <w:rPr/>
        <w:fldChar w:fldCharType="begin"/>
      </w:r>
      <w:r>
        <w:instrText xml:space="preserve"> HYPERLINK "https://doi.org/10.29333/ejosdr/16355" </w:instrText>
      </w:r>
      <w:r>
        <w:rPr/>
        <w:fldChar w:fldCharType="separate"/>
      </w:r>
      <w:r>
        <w:rPr>
          <w:rStyle w:val="style85"/>
          <w:rFonts w:ascii="Times New Roman" w:cs="Times New Roman" w:hAnsi="Times New Roman"/>
          <w:sz w:val="24"/>
          <w:szCs w:val="24"/>
        </w:rPr>
        <w:t>https://doi.org/10.29333/ejosdr/16355</w:t>
      </w:r>
      <w:r>
        <w:rPr/>
        <w:fldChar w:fldCharType="end"/>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Call, D. R., </w:t>
      </w:r>
      <w:r>
        <w:rPr>
          <w:rFonts w:ascii="Times New Roman" w:cs="Times New Roman" w:hAnsi="Times New Roman"/>
          <w:sz w:val="24"/>
          <w:szCs w:val="24"/>
        </w:rPr>
        <w:t>Borucki</w:t>
      </w:r>
      <w:r>
        <w:rPr>
          <w:rFonts w:ascii="Times New Roman" w:cs="Times New Roman" w:hAnsi="Times New Roman"/>
          <w:sz w:val="24"/>
          <w:szCs w:val="24"/>
        </w:rPr>
        <w:t xml:space="preserve">, M. K., </w:t>
      </w:r>
      <w:r>
        <w:rPr>
          <w:rFonts w:ascii="Times New Roman" w:cs="Times New Roman" w:hAnsi="Times New Roman"/>
          <w:sz w:val="24"/>
          <w:szCs w:val="24"/>
        </w:rPr>
        <w:t>and</w:t>
      </w:r>
      <w:r>
        <w:rPr>
          <w:rFonts w:ascii="Times New Roman" w:cs="Times New Roman" w:hAnsi="Times New Roman"/>
          <w:sz w:val="24"/>
          <w:szCs w:val="24"/>
        </w:rPr>
        <w:t xml:space="preserve"> Loge, F. J. (2003). Detection of bacterial pathogens in environmental samples using DNA microarrays. Journal of Microbiological Methods, 53(2), 235-243.</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CDC (2020). Waterborne Illnesses. Centers for Disease Control and Prevention.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EPA (2012). Drinking Water Standards and Health Advisories. United States Environmental Protection Agency.</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Feleke</w:t>
      </w:r>
      <w:r>
        <w:rPr>
          <w:rFonts w:ascii="Times New Roman" w:cs="Times New Roman" w:hAnsi="Times New Roman"/>
          <w:sz w:val="24"/>
          <w:szCs w:val="24"/>
        </w:rPr>
        <w:t xml:space="preserve">, H., Medhin, G., </w:t>
      </w:r>
      <w:r>
        <w:rPr>
          <w:rFonts w:ascii="Times New Roman" w:cs="Times New Roman" w:hAnsi="Times New Roman"/>
          <w:sz w:val="24"/>
          <w:szCs w:val="24"/>
        </w:rPr>
        <w:t>Kloos</w:t>
      </w:r>
      <w:r>
        <w:rPr>
          <w:rFonts w:ascii="Times New Roman" w:cs="Times New Roman" w:hAnsi="Times New Roman"/>
          <w:sz w:val="24"/>
          <w:szCs w:val="24"/>
        </w:rPr>
        <w:t xml:space="preserve">, H., </w:t>
      </w:r>
      <w:r>
        <w:rPr>
          <w:rFonts w:ascii="Times New Roman" w:cs="Times New Roman" w:hAnsi="Times New Roman"/>
          <w:sz w:val="24"/>
          <w:szCs w:val="24"/>
        </w:rPr>
        <w:t>Gangathulasi</w:t>
      </w:r>
      <w:r>
        <w:rPr>
          <w:rFonts w:ascii="Times New Roman" w:cs="Times New Roman" w:hAnsi="Times New Roman"/>
          <w:sz w:val="24"/>
          <w:szCs w:val="24"/>
        </w:rPr>
        <w:t xml:space="preserve">,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Asrat</w:t>
      </w:r>
      <w:r>
        <w:rPr>
          <w:rFonts w:ascii="Times New Roman" w:cs="Times New Roman" w:hAnsi="Times New Roman"/>
          <w:sz w:val="24"/>
          <w:szCs w:val="24"/>
        </w:rPr>
        <w:t xml:space="preserve">, D. (2018). Household-stored drinking water quality among households of under-five children with and without acute diarrhea in towns of </w:t>
      </w:r>
      <w:r>
        <w:rPr>
          <w:rFonts w:ascii="Times New Roman" w:cs="Times New Roman" w:hAnsi="Times New Roman"/>
          <w:sz w:val="24"/>
          <w:szCs w:val="24"/>
        </w:rPr>
        <w:t>Wegera</w:t>
      </w:r>
      <w:r>
        <w:rPr>
          <w:rFonts w:ascii="Times New Roman" w:cs="Times New Roman" w:hAnsi="Times New Roman"/>
          <w:sz w:val="24"/>
          <w:szCs w:val="24"/>
        </w:rPr>
        <w:t xml:space="preserve"> District, in North Gondar, Northwest Ethiopia. Environmental Monitoring and Assessment, 190. https://doi.org/10.1007/s10661-018-7033-4</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IARC (2019). Pseudomonas spp. International Agency for Research on Cancer.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Khan, K., Lu, Y., Saeed, M., Sher, H., Khan, H., Ali, J., Wang, P., </w:t>
      </w:r>
      <w:r>
        <w:rPr>
          <w:rFonts w:ascii="Times New Roman" w:cs="Times New Roman" w:hAnsi="Times New Roman"/>
          <w:sz w:val="24"/>
          <w:szCs w:val="24"/>
        </w:rPr>
        <w:t>Uwizeyimana</w:t>
      </w:r>
      <w:r>
        <w:rPr>
          <w:rFonts w:ascii="Times New Roman" w:cs="Times New Roman" w:hAnsi="Times New Roman"/>
          <w:sz w:val="24"/>
          <w:szCs w:val="24"/>
        </w:rPr>
        <w:t xml:space="preserve">, H., </w:t>
      </w:r>
      <w:r>
        <w:rPr>
          <w:rFonts w:ascii="Times New Roman" w:cs="Times New Roman" w:hAnsi="Times New Roman"/>
          <w:sz w:val="24"/>
          <w:szCs w:val="24"/>
        </w:rPr>
        <w:t>Baninla</w:t>
      </w:r>
      <w:r>
        <w:rPr>
          <w:rFonts w:ascii="Times New Roman" w:cs="Times New Roman" w:hAnsi="Times New Roman"/>
          <w:sz w:val="24"/>
          <w:szCs w:val="24"/>
        </w:rPr>
        <w:t xml:space="preserve">, Y., Li, Q., Liu, Z., Nawab, J., Zhou, Y., </w:t>
      </w:r>
      <w:r>
        <w:rPr>
          <w:rFonts w:ascii="Times New Roman" w:cs="Times New Roman" w:hAnsi="Times New Roman"/>
          <w:sz w:val="24"/>
          <w:szCs w:val="24"/>
        </w:rPr>
        <w:t>Su</w:t>
      </w:r>
      <w:r>
        <w:rPr>
          <w:rFonts w:ascii="Times New Roman" w:cs="Times New Roman" w:hAnsi="Times New Roman"/>
          <w:sz w:val="24"/>
          <w:szCs w:val="24"/>
        </w:rPr>
        <w:t xml:space="preserve">, C., </w:t>
      </w:r>
      <w:r>
        <w:rPr>
          <w:rFonts w:ascii="Times New Roman" w:cs="Times New Roman" w:hAnsi="Times New Roman"/>
          <w:sz w:val="24"/>
          <w:szCs w:val="24"/>
        </w:rPr>
        <w:t>and</w:t>
      </w:r>
      <w:r>
        <w:rPr>
          <w:rFonts w:ascii="Times New Roman" w:cs="Times New Roman" w:hAnsi="Times New Roman"/>
          <w:sz w:val="24"/>
          <w:szCs w:val="24"/>
        </w:rPr>
        <w:t xml:space="preserve"> Liang, R. (2017). Prevalent fecal contamination in drinking water resources and potential health risks in Swat, </w:t>
      </w:r>
      <w:r>
        <w:rPr>
          <w:rFonts w:ascii="Times New Roman" w:cs="Times New Roman" w:hAnsi="Times New Roman"/>
          <w:sz w:val="24"/>
          <w:szCs w:val="24"/>
        </w:rPr>
        <w:t>Pakistan..</w:t>
      </w:r>
      <w:r>
        <w:rPr>
          <w:rFonts w:ascii="Times New Roman" w:cs="Times New Roman" w:hAnsi="Times New Roman"/>
          <w:sz w:val="24"/>
          <w:szCs w:val="24"/>
        </w:rPr>
        <w:t xml:space="preserve"> Journal of environmental sciences, 72, 1-12. https://doi.org/10.1016/j.jes.2017.12.008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Khanal</w:t>
      </w:r>
      <w:r>
        <w:rPr>
          <w:rFonts w:ascii="Times New Roman" w:cs="Times New Roman" w:hAnsi="Times New Roman"/>
          <w:sz w:val="24"/>
          <w:szCs w:val="24"/>
        </w:rPr>
        <w:t xml:space="preserve">, A., </w:t>
      </w:r>
      <w:r>
        <w:rPr>
          <w:rFonts w:ascii="Times New Roman" w:cs="Times New Roman" w:hAnsi="Times New Roman"/>
          <w:sz w:val="24"/>
          <w:szCs w:val="24"/>
        </w:rPr>
        <w:t>Timilsina</w:t>
      </w:r>
      <w:r>
        <w:rPr>
          <w:rFonts w:ascii="Times New Roman" w:cs="Times New Roman" w:hAnsi="Times New Roman"/>
          <w:sz w:val="24"/>
          <w:szCs w:val="24"/>
        </w:rPr>
        <w:t xml:space="preserve">, R., Sharma, B., Pokharel, B.,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Aryal</w:t>
      </w:r>
      <w:r>
        <w:rPr>
          <w:rFonts w:ascii="Times New Roman" w:cs="Times New Roman" w:hAnsi="Times New Roman"/>
          <w:sz w:val="24"/>
          <w:szCs w:val="24"/>
        </w:rPr>
        <w:t xml:space="preserve">, R. (2024). Contaminated water and an indication of risk: examining microbial contamination in the water used </w:t>
      </w:r>
      <w:r>
        <w:rPr>
          <w:rFonts w:ascii="Times New Roman" w:cs="Times New Roman" w:hAnsi="Times New Roman"/>
          <w:sz w:val="24"/>
          <w:szCs w:val="24"/>
        </w:rPr>
        <w:t xml:space="preserve">by consumers and commercial growers in fresh produce systems in </w:t>
      </w:r>
      <w:r>
        <w:rPr>
          <w:rFonts w:ascii="Times New Roman" w:cs="Times New Roman" w:hAnsi="Times New Roman"/>
          <w:sz w:val="24"/>
          <w:szCs w:val="24"/>
        </w:rPr>
        <w:t>Nepal..</w:t>
      </w:r>
      <w:r>
        <w:rPr>
          <w:rFonts w:ascii="Times New Roman" w:cs="Times New Roman" w:hAnsi="Times New Roman"/>
          <w:sz w:val="24"/>
          <w:szCs w:val="24"/>
        </w:rPr>
        <w:t xml:space="preserve"> Journal of food protection, 100228. https://doi.org/10.1016/j.jfp.2024.100228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Liu, L., Li, Y., </w:t>
      </w:r>
      <w:r>
        <w:rPr>
          <w:rFonts w:ascii="Times New Roman" w:cs="Times New Roman" w:hAnsi="Times New Roman"/>
          <w:sz w:val="24"/>
          <w:szCs w:val="24"/>
        </w:rPr>
        <w:t>and</w:t>
      </w:r>
      <w:r>
        <w:rPr>
          <w:rFonts w:ascii="Times New Roman" w:cs="Times New Roman" w:hAnsi="Times New Roman"/>
          <w:sz w:val="24"/>
          <w:szCs w:val="24"/>
        </w:rPr>
        <w:t xml:space="preserve"> Li, S. (2012). Identification of bacterial communities in drinking water distribution systems using 16S rRNA gene sequencing. Water Research, 46(19), 6311-6321.</w:t>
      </w:r>
    </w:p>
    <w:p>
      <w:pPr>
        <w:pStyle w:val="style0"/>
        <w:spacing w:lineRule="auto" w:line="240"/>
        <w:ind w:left="567" w:hanging="567"/>
        <w:jc w:val="both"/>
        <w:rPr>
          <w:sz w:val="24"/>
          <w:szCs w:val="24"/>
        </w:rPr>
      </w:pPr>
      <w:r>
        <w:rPr>
          <w:rFonts w:ascii="Times New Roman" w:cs="Times New Roman" w:hAnsi="Times New Roman"/>
          <w:sz w:val="24"/>
          <w:szCs w:val="24"/>
        </w:rPr>
        <w:t xml:space="preserve">Morgan, C., Bowling, J., Bartram,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Kayser</w:t>
      </w:r>
      <w:r>
        <w:rPr>
          <w:rFonts w:ascii="Times New Roman" w:cs="Times New Roman" w:hAnsi="Times New Roman"/>
          <w:sz w:val="24"/>
          <w:szCs w:val="24"/>
        </w:rPr>
        <w:t>, G. (2021). Attributes of drinking water, sanitation, and hygiene associated with microbiological</w:t>
      </w:r>
      <w:r>
        <w:rPr>
          <w:rFonts w:ascii="Times New Roman" w:cs="Times New Roman" w:hAnsi="Times New Roman"/>
          <w:sz w:val="24"/>
          <w:szCs w:val="24"/>
        </w:rPr>
        <w:t xml:space="preserve"> water quality of stored </w:t>
      </w:r>
      <w:r>
        <w:rPr>
          <w:rFonts w:ascii="Times New Roman" w:cs="Times New Roman" w:hAnsi="Times New Roman"/>
          <w:sz w:val="24"/>
          <w:szCs w:val="24"/>
        </w:rPr>
        <w:t xml:space="preserve">drinking water in rural schools in Mozambique and </w:t>
      </w:r>
      <w:r>
        <w:rPr>
          <w:rFonts w:ascii="Times New Roman" w:cs="Times New Roman" w:hAnsi="Times New Roman"/>
          <w:sz w:val="24"/>
          <w:szCs w:val="24"/>
        </w:rPr>
        <w:t>Uganda..</w:t>
      </w:r>
      <w:r>
        <w:rPr>
          <w:rFonts w:ascii="Times New Roman" w:cs="Times New Roman" w:hAnsi="Times New Roman"/>
          <w:sz w:val="24"/>
          <w:szCs w:val="24"/>
        </w:rPr>
        <w:t xml:space="preserve"> I</w:t>
      </w:r>
      <w:r>
        <w:rPr>
          <w:rFonts w:ascii="Times New Roman" w:cs="Times New Roman" w:hAnsi="Times New Roman"/>
          <w:sz w:val="24"/>
          <w:szCs w:val="24"/>
        </w:rPr>
        <w:t xml:space="preserve">nternational journal of hygiene </w:t>
      </w:r>
      <w:r>
        <w:rPr>
          <w:rFonts w:ascii="Times New Roman" w:cs="Times New Roman" w:hAnsi="Times New Roman"/>
          <w:sz w:val="24"/>
          <w:szCs w:val="24"/>
        </w:rPr>
        <w:t>and environmental health, 236</w:t>
      </w:r>
      <w:r>
        <w:rPr>
          <w:rFonts w:ascii="Times New Roman" w:cs="Times New Roman" w:hAnsi="Times New Roman"/>
          <w:sz w:val="24"/>
          <w:szCs w:val="24"/>
        </w:rPr>
        <w:t xml:space="preserve"> </w:t>
      </w:r>
      <w:r>
        <w:rPr/>
        <w:fldChar w:fldCharType="begin"/>
      </w:r>
      <w:r>
        <w:instrText xml:space="preserve"> HYPERLINK "https://doi.org/10.1016/j.ijheh.2021.113804" </w:instrText>
      </w:r>
      <w:r>
        <w:rPr/>
        <w:fldChar w:fldCharType="separate"/>
      </w:r>
      <w:r>
        <w:rPr>
          <w:rStyle w:val="style85"/>
          <w:rFonts w:ascii="Times New Roman" w:cs="Times New Roman" w:hAnsi="Times New Roman"/>
          <w:sz w:val="24"/>
          <w:szCs w:val="24"/>
        </w:rPr>
        <w:t>https://doi.org/10.1016/j.ijheh.2021.113804</w:t>
      </w:r>
      <w:r>
        <w:rPr/>
        <w:fldChar w:fldCharType="end"/>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Shields, K., Bain, R., Cronk, R., Wright, J., </w:t>
      </w:r>
      <w:r>
        <w:rPr>
          <w:rFonts w:ascii="Times New Roman" w:cs="Times New Roman" w:hAnsi="Times New Roman"/>
          <w:sz w:val="24"/>
          <w:szCs w:val="24"/>
        </w:rPr>
        <w:t>and</w:t>
      </w:r>
      <w:r>
        <w:rPr>
          <w:rFonts w:ascii="Times New Roman" w:cs="Times New Roman" w:hAnsi="Times New Roman"/>
          <w:sz w:val="24"/>
          <w:szCs w:val="24"/>
        </w:rPr>
        <w:t xml:space="preserve"> Bartram, J. (2015). Association of Supply Type with Fecal Contamination of Source Water and Household Stored Drinking Water in Developing Countries: A Bivariate Meta-analysis. Environmental Health Perspectives, 123, 1222 - 1231. https://doi.org/10.1289/ehp.1409002</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Suzuki, M., et al. (2017). Rapid detection of bacterial contamination in drinking water using PCR. Journal of Water and Health, 15(3), 533-542.</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USEPA. (2022). Drinking Water and Ground Water Statistics for 2022. EPA 816-R-23-002. U.S. Environmental Protection Agency, Office of Water.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Wasana</w:t>
      </w:r>
      <w:r>
        <w:rPr>
          <w:rFonts w:ascii="Times New Roman" w:cs="Times New Roman" w:hAnsi="Times New Roman"/>
          <w:sz w:val="24"/>
          <w:szCs w:val="24"/>
        </w:rPr>
        <w:t xml:space="preserve">, H., </w:t>
      </w:r>
      <w:r>
        <w:rPr>
          <w:rFonts w:ascii="Times New Roman" w:cs="Times New Roman" w:hAnsi="Times New Roman"/>
          <w:sz w:val="24"/>
          <w:szCs w:val="24"/>
        </w:rPr>
        <w:t>Perera</w:t>
      </w:r>
      <w:r>
        <w:rPr>
          <w:rFonts w:ascii="Times New Roman" w:cs="Times New Roman" w:hAnsi="Times New Roman"/>
          <w:sz w:val="24"/>
          <w:szCs w:val="24"/>
        </w:rPr>
        <w:t xml:space="preserve">, G., Gunawardena, P., Fernando, P., </w:t>
      </w:r>
      <w:r>
        <w:rPr>
          <w:rFonts w:ascii="Times New Roman" w:cs="Times New Roman" w:hAnsi="Times New Roman"/>
          <w:sz w:val="24"/>
          <w:szCs w:val="24"/>
        </w:rPr>
        <w:t>and</w:t>
      </w:r>
      <w:r>
        <w:rPr>
          <w:rFonts w:ascii="Times New Roman" w:cs="Times New Roman" w:hAnsi="Times New Roman"/>
          <w:sz w:val="24"/>
          <w:szCs w:val="24"/>
        </w:rPr>
        <w:t xml:space="preserve"> Bandara, J. (2017). WHO water quality standards Vs Synergic effect(s) of fluoride, heavy metals and hardness drinking water on kidney tissues. Scientific Reports</w:t>
      </w:r>
      <w:r>
        <w:rPr/>
        <w:fldChar w:fldCharType="begin"/>
      </w:r>
      <w:r>
        <w:instrText xml:space="preserve"> HYPERLINK "https://doi.org/10.1038/srep42516" </w:instrText>
      </w:r>
      <w:r>
        <w:rPr/>
        <w:fldChar w:fldCharType="separate"/>
      </w:r>
      <w:r>
        <w:rPr>
          <w:rStyle w:val="style85"/>
          <w:rFonts w:ascii="Times New Roman" w:cs="Times New Roman" w:hAnsi="Times New Roman"/>
          <w:sz w:val="24"/>
          <w:szCs w:val="24"/>
        </w:rPr>
        <w:t>https://doi.org/10.1038/srep42516</w:t>
      </w:r>
      <w:r>
        <w:rPr/>
        <w:fldChar w:fldCharType="end"/>
      </w:r>
      <w:r>
        <w:rPr>
          <w:rFonts w:ascii="Times New Roman" w:cs="Times New Roman" w:hAnsi="Times New Roman"/>
          <w:sz w:val="24"/>
          <w:szCs w:val="24"/>
        </w:rPr>
        <w:t xml:space="preserve"> </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WHO (2011</w:t>
      </w:r>
      <w:r>
        <w:rPr>
          <w:rFonts w:ascii="Times New Roman" w:cs="Times New Roman" w:hAnsi="Times New Roman"/>
          <w:sz w:val="24"/>
          <w:szCs w:val="24"/>
        </w:rPr>
        <w:t>).</w:t>
      </w:r>
      <w:r>
        <w:rPr>
          <w:rFonts w:ascii="Times New Roman" w:cs="Times New Roman" w:hAnsi="Times New Roman"/>
          <w:sz w:val="24"/>
          <w:szCs w:val="24"/>
        </w:rPr>
        <w:t xml:space="preserve"> Guidelines for Drinking-Water Quality. World Health Organization.</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water quality and health - review of turbidity: Information for regulators and water suppliers (WHO/FWC/WSH/17.01) Technical Brief.</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w:t>
      </w:r>
      <w:r>
        <w:rPr>
          <w:rFonts w:ascii="Times New Roman" w:cs="Times New Roman" w:hAnsi="Times New Roman"/>
          <w:sz w:val="24"/>
          <w:szCs w:val="24"/>
        </w:rPr>
        <w:t>2017)</w:t>
      </w:r>
      <w:r>
        <w:rPr>
          <w:rFonts w:ascii="Times New Roman" w:cs="Times New Roman" w:hAnsi="Times New Roman"/>
          <w:bCs/>
          <w:sz w:val="24"/>
          <w:szCs w:val="24"/>
        </w:rPr>
        <w:t>WHO</w:t>
      </w:r>
      <w:r>
        <w:rPr>
          <w:rFonts w:ascii="Times New Roman" w:cs="Times New Roman" w:hAnsi="Times New Roman"/>
          <w:bCs/>
          <w:sz w:val="24"/>
          <w:szCs w:val="24"/>
        </w:rPr>
        <w:t xml:space="preserve"> Guidelines for Drinking Water Quality, 4th</w:t>
      </w:r>
      <w:r>
        <w:rPr>
          <w:rFonts w:ascii="Times New Roman" w:cs="Times New Roman" w:hAnsi="Times New Roman"/>
          <w:b/>
          <w:bCs/>
          <w:sz w:val="24"/>
          <w:szCs w:val="24"/>
        </w:rPr>
        <w:t xml:space="preserve"> </w:t>
      </w:r>
      <w:r>
        <w:rPr>
          <w:rFonts w:ascii="Times New Roman" w:cs="Times New Roman" w:hAnsi="Times New Roman"/>
          <w:bCs/>
          <w:sz w:val="24"/>
          <w:szCs w:val="24"/>
        </w:rPr>
        <w:t>Edition, 2017</w:t>
      </w:r>
      <w:r>
        <w:rPr>
          <w:rFonts w:ascii="Times New Roman" w:cs="Times New Roman" w:hAnsi="Times New Roman"/>
          <w:b/>
          <w:bCs/>
          <w:sz w:val="24"/>
          <w:szCs w:val="24"/>
        </w:rPr>
        <w:t xml:space="preserve">, </w:t>
      </w:r>
      <w:r>
        <w:rPr>
          <w:rFonts w:ascii="Times New Roman" w:cs="Times New Roman" w:hAnsi="Times New Roman"/>
          <w:sz w:val="24"/>
          <w:szCs w:val="24"/>
        </w:rPr>
        <w:t>Electrical conductivity related to taste and dissolved salts, with recommended guideline values for health and palatability.</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Guidelines for drinking-water quality, 4th edition, incorporating the 1st addendum. World Health Organization.</w:t>
      </w:r>
    </w:p>
    <w:p>
      <w:pPr>
        <w:pStyle w:val="style0"/>
        <w:ind w:left="567" w:hanging="567"/>
        <w:rPr>
          <w:sz w:val="24"/>
          <w:szCs w:val="24"/>
        </w:rPr>
      </w:pPr>
    </w:p>
    <w:p>
      <w:pPr>
        <w:pStyle w:val="style0"/>
        <w:rPr>
          <w:sz w:val="24"/>
          <w:szCs w:val="24"/>
        </w:rPr>
      </w:pPr>
    </w:p>
    <w:sectPr>
      <w:pgSz w:w="12240" w:h="15840" w:orient="portrait"/>
      <w:pgMar w:top="1440" w:right="1440" w:bottom="1440" w:left="1985" w:header="708" w:footer="1833"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4545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6CA67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hybridMultilevel"/>
    <w:tmpl w:val="D22A2B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
    <w:nsid w:val="00000003"/>
    <w:multiLevelType w:val="hybridMultilevel"/>
    <w:tmpl w:val="78748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
    <w:nsid w:val="00000004"/>
    <w:multiLevelType w:val="hybridMultilevel"/>
    <w:tmpl w:val="1C5A0886"/>
    <w:lvl w:ilvl="0" w:tplc="B8562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58836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6">
    <w:nsid w:val="00000006"/>
    <w:multiLevelType w:val="hybridMultilevel"/>
    <w:tmpl w:val="D3D4F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AC4AB4A"/>
    <w:lvl w:ilvl="0" w:tplc="C84CB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6CF43E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9">
    <w:nsid w:val="00000009"/>
    <w:multiLevelType w:val="hybridMultilevel"/>
    <w:tmpl w:val="1E8423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0">
    <w:nsid w:val="0000000A"/>
    <w:multiLevelType w:val="hybridMultilevel"/>
    <w:tmpl w:val="A6D83E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1">
    <w:nsid w:val="0000000B"/>
    <w:multiLevelType w:val="hybridMultilevel"/>
    <w:tmpl w:val="FCC0F7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2">
    <w:nsid w:val="0000000C"/>
    <w:multiLevelType w:val="multilevel"/>
    <w:tmpl w:val="B912900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D"/>
    <w:multiLevelType w:val="hybridMultilevel"/>
    <w:tmpl w:val="0C765F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D3EA49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5">
    <w:nsid w:val="0000000F"/>
    <w:multiLevelType w:val="hybridMultilevel"/>
    <w:tmpl w:val="046CEE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6">
    <w:nsid w:val="00000010"/>
    <w:multiLevelType w:val="hybridMultilevel"/>
    <w:tmpl w:val="C0088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FF46CBCA"/>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8">
    <w:nsid w:val="00000012"/>
    <w:multiLevelType w:val="hybridMultilevel"/>
    <w:tmpl w:val="BE926F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9">
    <w:nsid w:val="00000013"/>
    <w:multiLevelType w:val="hybridMultilevel"/>
    <w:tmpl w:val="A33CAE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2B12B4A2"/>
    <w:lvl w:ilvl="0">
      <w:start w:val="3"/>
      <w:numFmt w:val="decimal"/>
      <w:lvlText w:val="%1"/>
      <w:lvlJc w:val="left"/>
      <w:pPr>
        <w:ind w:left="720" w:hanging="720"/>
      </w:pPr>
    </w:lvl>
    <w:lvl w:ilvl="1">
      <w:start w:val="4"/>
      <w:numFmt w:val="decimal"/>
      <w:lvlText w:val="%1.%2"/>
      <w:lvlJc w:val="left"/>
      <w:pPr>
        <w:ind w:left="715" w:hanging="720"/>
      </w:pPr>
    </w:lvl>
    <w:lvl w:ilvl="2">
      <w:start w:val="4"/>
      <w:numFmt w:val="decimal"/>
      <w:lvlText w:val="%1.%2.%3"/>
      <w:lvlJc w:val="left"/>
      <w:pPr>
        <w:ind w:left="710" w:hanging="720"/>
      </w:pPr>
    </w:lvl>
    <w:lvl w:ilvl="3">
      <w:start w:val="4"/>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415" w:hanging="1440"/>
      </w:pPr>
    </w:lvl>
    <w:lvl w:ilvl="6">
      <w:start w:val="1"/>
      <w:numFmt w:val="decimal"/>
      <w:lvlText w:val="%1.%2.%3.%4.%5.%6.%7"/>
      <w:lvlJc w:val="left"/>
      <w:pPr>
        <w:ind w:left="1410" w:hanging="1440"/>
      </w:pPr>
    </w:lvl>
    <w:lvl w:ilvl="7">
      <w:start w:val="1"/>
      <w:numFmt w:val="decimal"/>
      <w:lvlText w:val="%1.%2.%3.%4.%5.%6.%7.%8"/>
      <w:lvlJc w:val="left"/>
      <w:pPr>
        <w:ind w:left="1765" w:hanging="1800"/>
      </w:pPr>
    </w:lvl>
    <w:lvl w:ilvl="8">
      <w:start w:val="1"/>
      <w:numFmt w:val="decimal"/>
      <w:lvlText w:val="%1.%2.%3.%4.%5.%6.%7.%8.%9"/>
      <w:lvlJc w:val="left"/>
      <w:pPr>
        <w:ind w:left="1760" w:hanging="1800"/>
      </w:pPr>
    </w:lvl>
  </w:abstractNum>
  <w:abstractNum w:abstractNumId="21">
    <w:nsid w:val="00000015"/>
    <w:multiLevelType w:val="hybridMultilevel"/>
    <w:tmpl w:val="0C8C9E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2">
    <w:nsid w:val="00000016"/>
    <w:multiLevelType w:val="hybridMultilevel"/>
    <w:tmpl w:val="97C4BA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3">
    <w:nsid w:val="00000017"/>
    <w:multiLevelType w:val="hybridMultilevel"/>
    <w:tmpl w:val="A6D84A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4">
    <w:nsid w:val="00000018"/>
    <w:multiLevelType w:val="hybridMultilevel"/>
    <w:tmpl w:val="5A8074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5">
    <w:nsid w:val="00000019"/>
    <w:multiLevelType w:val="hybridMultilevel"/>
    <w:tmpl w:val="1352B4B0"/>
    <w:lvl w:ilvl="0" w:tplc="0C404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B6DE1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000001B"/>
    <w:multiLevelType w:val="hybridMultilevel"/>
    <w:tmpl w:val="481AA2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8">
    <w:nsid w:val="0000001C"/>
    <w:multiLevelType w:val="multilevel"/>
    <w:tmpl w:val="522CD4F8"/>
    <w:lvl w:ilvl="0">
      <w:start w:val="1"/>
      <w:numFmt w:val="upperRoman"/>
      <w:lvlText w:val="%1."/>
      <w:lvlJc w:val="right"/>
      <w:pPr>
        <w:ind w:left="1080" w:hanging="360"/>
      </w:pPr>
    </w:lvl>
    <w:lvl w:ilvl="1">
      <w:start w:val="4"/>
      <w:numFmt w:val="decimal"/>
      <w:isLgl/>
      <w:lvlText w:val="%1.%2"/>
      <w:lvlJc w:val="left"/>
      <w:pPr>
        <w:ind w:left="1112" w:hanging="3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9">
    <w:nsid w:val="0000001D"/>
    <w:multiLevelType w:val="hybridMultilevel"/>
    <w:tmpl w:val="16DC7052"/>
    <w:lvl w:ilvl="0" w:tplc="E9224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91A020D0"/>
    <w:lvl w:ilvl="0" w:tplc="A00ED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4C4A2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D38400D8"/>
    <w:lvl w:ilvl="0" w:tplc="0409001B">
      <w:start w:val="1"/>
      <w:numFmt w:val="lowerRoman"/>
      <w:lvlText w:val="%1."/>
      <w:lvlJc w:val="right"/>
      <w:pPr>
        <w:ind w:left="720" w:hanging="360"/>
      </w:p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3">
    <w:nsid w:val="00000021"/>
    <w:multiLevelType w:val="hybridMultilevel"/>
    <w:tmpl w:val="F4DAF34A"/>
    <w:lvl w:ilvl="0" w:tplc="04090001">
      <w:start w:val="1"/>
      <w:numFmt w:val="bullet"/>
      <w:lvlText w:val=""/>
      <w:lvlJc w:val="left"/>
      <w:pPr>
        <w:ind w:left="644"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4">
    <w:nsid w:val="00000022"/>
    <w:multiLevelType w:val="hybridMultilevel"/>
    <w:tmpl w:val="9AF4FB74"/>
    <w:lvl w:ilvl="0" w:tplc="8B4A1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FE9C6E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90801C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7">
    <w:nsid w:val="00000025"/>
    <w:multiLevelType w:val="hybridMultilevel"/>
    <w:tmpl w:val="A50C2A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8">
    <w:nsid w:val="00000026"/>
    <w:multiLevelType w:val="hybridMultilevel"/>
    <w:tmpl w:val="CE985B02"/>
    <w:lvl w:ilvl="0" w:tplc="04090013">
      <w:start w:val="1"/>
      <w:numFmt w:val="upperRoman"/>
      <w:lvlText w:val="%1."/>
      <w:lvlJc w:val="righ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39">
    <w:nsid w:val="00000027"/>
    <w:multiLevelType w:val="hybridMultilevel"/>
    <w:tmpl w:val="FD24D9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1B7846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1">
    <w:nsid w:val="00000029"/>
    <w:multiLevelType w:val="hybridMultilevel"/>
    <w:tmpl w:val="1FA0C2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2">
    <w:nsid w:val="0000002A"/>
    <w:multiLevelType w:val="hybridMultilevel"/>
    <w:tmpl w:val="B1349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3"/>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
  </w:num>
  <w:num w:numId="29">
    <w:abstractNumId w:val="38"/>
  </w:num>
  <w:num w:numId="30">
    <w:abstractNumId w:val="32"/>
  </w:num>
  <w:num w:numId="31">
    <w:abstractNumId w:val="26"/>
  </w:num>
  <w:num w:numId="32">
    <w:abstractNumId w:val="31"/>
  </w:num>
  <w:num w:numId="33">
    <w:abstractNumId w:val="0"/>
  </w:num>
  <w:num w:numId="34">
    <w:abstractNumId w:val="42"/>
  </w:num>
  <w:num w:numId="35">
    <w:abstractNumId w:val="13"/>
  </w:num>
  <w:num w:numId="36">
    <w:abstractNumId w:val="7"/>
  </w:num>
  <w:num w:numId="37">
    <w:abstractNumId w:val="35"/>
  </w:num>
  <w:num w:numId="38">
    <w:abstractNumId w:val="29"/>
  </w:num>
  <w:num w:numId="39">
    <w:abstractNumId w:val="6"/>
  </w:num>
  <w:num w:numId="40">
    <w:abstractNumId w:val="34"/>
  </w:num>
  <w:num w:numId="41">
    <w:abstractNumId w:val="19"/>
  </w:num>
  <w:num w:numId="42">
    <w:abstractNumId w:val="25"/>
  </w:num>
  <w:num w:numId="43">
    <w:abstractNumId w:val="16"/>
  </w:num>
  <w:num w:numId="44">
    <w:abstractNumId w:val="30"/>
  </w:num>
  <w:num w:numId="45">
    <w:abstractNumId w:val="39"/>
  </w:num>
  <w:num w:numId="4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Comment Text Char"/>
    <w:basedOn w:val="style65"/>
    <w:next w:val="style4097"/>
    <w:link w:val="style30"/>
    <w:uiPriority w:val="99"/>
    <w:rPr>
      <w:sz w:val="20"/>
      <w:szCs w:val="20"/>
    </w:rPr>
  </w:style>
  <w:style w:type="paragraph" w:styleId="style30">
    <w:name w:val="annotation text"/>
    <w:basedOn w:val="style0"/>
    <w:next w:val="style30"/>
    <w:link w:val="style4097"/>
    <w:uiPriority w:val="99"/>
    <w:pPr>
      <w:spacing w:after="200" w:lineRule="auto" w:line="240"/>
    </w:pPr>
    <w:rPr>
      <w:sz w:val="20"/>
      <w:szCs w:val="20"/>
    </w:rPr>
  </w:style>
  <w:style w:type="character" w:customStyle="1" w:styleId="style4098">
    <w:name w:val="Comment Text Char1"/>
    <w:basedOn w:val="style65"/>
    <w:next w:val="style4098"/>
    <w:uiPriority w:val="99"/>
    <w:rPr>
      <w:sz w:val="20"/>
      <w:szCs w:val="20"/>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ec38727e-204b-4ffa-896a-6e5a3b8f0747"/>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14329e36-a59b-47cc-8091-683cb609c4e4"/>
    <w:basedOn w:val="style65"/>
    <w:next w:val="style4100"/>
    <w:link w:val="style32"/>
    <w:uiPriority w:val="99"/>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chart" Target="charts/chart7.xml"/><Relationship Id="rId10" Type="http://schemas.openxmlformats.org/officeDocument/2006/relationships/chart" Target="charts/chart6.xml"/><Relationship Id="rId13" Type="http://schemas.openxmlformats.org/officeDocument/2006/relationships/chart" Target="charts/chart9.xml"/><Relationship Id="rId12" Type="http://schemas.openxmlformats.org/officeDocument/2006/relationships/chart" Target="charts/chart8.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chart" Target="charts/chart5.xml"/><Relationship Id="rId15" Type="http://schemas.openxmlformats.org/officeDocument/2006/relationships/chart" Target="charts/chart11.xml"/><Relationship Id="rId14" Type="http://schemas.openxmlformats.org/officeDocument/2006/relationships/chart" Target="charts/chart10.xml"/><Relationship Id="rId17" Type="http://schemas.openxmlformats.org/officeDocument/2006/relationships/styles" Target="styles.xml"/><Relationship Id="rId16" Type="http://schemas.openxmlformats.org/officeDocument/2006/relationships/chart" Target="charts/chart12.xml"/><Relationship Id="rId5" Type="http://schemas.openxmlformats.org/officeDocument/2006/relationships/chart" Target="charts/chart1.xml"/><Relationship Id="rId19" Type="http://schemas.openxmlformats.org/officeDocument/2006/relationships/settings" Target="settings.xml"/><Relationship Id="rId6" Type="http://schemas.openxmlformats.org/officeDocument/2006/relationships/chart" Target="charts/chart2.xml"/><Relationship Id="rId18" Type="http://schemas.openxmlformats.org/officeDocument/2006/relationships/fontTable" Target="fontTable.xml"/><Relationship Id="rId7" Type="http://schemas.openxmlformats.org/officeDocument/2006/relationships/chart" Target="charts/chart3.xml"/><Relationship Id="rId8" Type="http://schemas.openxmlformats.org/officeDocument/2006/relationships/chart" Target="charts/chart4.xml"/></Relationships>
</file>

<file path=word/charts/_rels/chart1.xml.rels><?xml version="1.0" encoding="UTF-8"?>
<Relationships xmlns="http://schemas.openxmlformats.org/package/2006/relationships"><Relationship Id="rId1" Type="http://schemas.openxmlformats.org/officeDocument/2006/relationships/oleObject" TargetMode="External" Target="Book4"/></Relationships>
</file>

<file path=word/charts/_rels/chart10.xml.rels><?xml version="1.0" encoding="UTF-8"?>
<Relationships xmlns="http://schemas.openxmlformats.org/package/2006/relationships"><Relationship Id="rId1" Type="http://schemas.openxmlformats.org/officeDocument/2006/relationships/oleObject" TargetMode="External" Target="Book13"/></Relationships>
</file>

<file path=word/charts/_rels/chart11.xml.rels><?xml version="1.0" encoding="UTF-8"?>
<Relationships xmlns="http://schemas.openxmlformats.org/package/2006/relationships"><Relationship Id="rId1" Type="http://schemas.openxmlformats.org/officeDocument/2006/relationships/oleObject" TargetMode="External" Target="Book14"/></Relationships>
</file>

<file path=word/charts/_rels/chart12.xml.rels><?xml version="1.0" encoding="UTF-8"?>
<Relationships xmlns="http://schemas.openxmlformats.org/package/2006/relationships"><Relationship Id="rId1" Type="http://schemas.openxmlformats.org/officeDocument/2006/relationships/oleObject" TargetMode="External" Target="Book15"/></Relationships>
</file>

<file path=word/charts/_rels/chart2.xml.rels><?xml version="1.0" encoding="UTF-8"?>
<Relationships xmlns="http://schemas.openxmlformats.org/package/2006/relationships"><Relationship Id="rId1" Type="http://schemas.openxmlformats.org/officeDocument/2006/relationships/oleObject" TargetMode="External" Target="Book5"/></Relationships>
</file>

<file path=word/charts/_rels/chart3.xml.rels><?xml version="1.0" encoding="UTF-8"?>
<Relationships xmlns="http://schemas.openxmlformats.org/package/2006/relationships"><Relationship Id="rId1" Type="http://schemas.openxmlformats.org/officeDocument/2006/relationships/oleObject" TargetMode="External" Target="Book6"/></Relationships>
</file>

<file path=word/charts/_rels/chart4.xml.rels><?xml version="1.0" encoding="UTF-8"?>
<Relationships xmlns="http://schemas.openxmlformats.org/package/2006/relationships"><Relationship Id="rId1" Type="http://schemas.openxmlformats.org/officeDocument/2006/relationships/oleObject" TargetMode="External" Target="Book7"/></Relationships>
</file>

<file path=word/charts/_rels/chart5.xml.rels><?xml version="1.0" encoding="UTF-8"?>
<Relationships xmlns="http://schemas.openxmlformats.org/package/2006/relationships"><Relationship Id="rId1" Type="http://schemas.openxmlformats.org/officeDocument/2006/relationships/oleObject" TargetMode="External" Target="Book8"/></Relationships>
</file>

<file path=word/charts/_rels/chart6.xml.rels><?xml version="1.0" encoding="UTF-8"?>
<Relationships xmlns="http://schemas.openxmlformats.org/package/2006/relationships"><Relationship Id="rId1" Type="http://schemas.openxmlformats.org/officeDocument/2006/relationships/oleObject" TargetMode="External" Target="Book9"/></Relationships>
</file>

<file path=word/charts/_rels/chart7.xml.rels><?xml version="1.0" encoding="UTF-8"?>
<Relationships xmlns="http://schemas.openxmlformats.org/package/2006/relationships"><Relationship Id="rId1" Type="http://schemas.openxmlformats.org/officeDocument/2006/relationships/oleObject" TargetMode="External" Target="Book10"/></Relationships>
</file>

<file path=word/charts/_rels/chart8.xml.rels><?xml version="1.0" encoding="UTF-8"?>
<Relationships xmlns="http://schemas.openxmlformats.org/package/2006/relationships"><Relationship Id="rId1" Type="http://schemas.openxmlformats.org/officeDocument/2006/relationships/oleObject" TargetMode="External" Target="Book11"/></Relationships>
</file>

<file path=word/charts/_rels/chart9.xml.rels><?xml version="1.0" encoding="UTF-8"?>
<Relationships xmlns="http://schemas.openxmlformats.org/package/2006/relationships"><Relationship Id="rId1" Type="http://schemas.openxmlformats.org/officeDocument/2006/relationships/oleObject" TargetMode="External" Target="Book12"/></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55015472182652"/>
          <c:y val="0.01819004442795016"/>
          <c:w val="0.8207754483819506"/>
          <c:h val="0.8880234869599025"/>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42.0</c:v>
                </c:pt>
                <c:pt idx="1">
                  <c:v>39.8</c:v>
                </c:pt>
                <c:pt idx="2">
                  <c:v>17.0</c:v>
                </c:pt>
                <c:pt idx="3">
                  <c:v>15.5</c:v>
                </c:pt>
                <c:pt idx="4">
                  <c:v>12.0</c:v>
                </c:pt>
                <c:pt idx="5">
                  <c:v>63.4</c:v>
                </c:pt>
                <c:pt idx="6">
                  <c:v>49.0</c:v>
                </c:pt>
                <c:pt idx="7">
                  <c:v>48.6</c:v>
                </c:pt>
                <c:pt idx="8">
                  <c:v>61.0</c:v>
                </c:pt>
                <c:pt idx="9">
                  <c:v>61.0</c:v>
                </c:pt>
                <c:pt idx="10">
                  <c:v>15.0</c:v>
                </c:pt>
              </c:numCache>
            </c:numRef>
          </c:val>
        </c:ser>
        <c:dLbls>
          <c:showLegendKey val="0"/>
          <c:showVal val="0"/>
          <c:showCatName val="0"/>
          <c:showSerName val="0"/>
          <c:showPercent val="0"/>
          <c:showBubbleSize val="0"/>
        </c:dLbls>
        <c:gapWidth val="300"/>
        <c:axId val="95556352"/>
        <c:axId val="95559040"/>
      </c:barChart>
      <c:catAx>
        <c:axId val="95556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9040"/>
        <c:crosses val="autoZero"/>
        <c:auto val="1"/>
        <c:lblAlgn val="ctr"/>
        <c:lblOffset val="100"/>
        <c:noMultiLvlLbl val="0"/>
      </c:catAx>
      <c:valAx>
        <c:axId val="95559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6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9.0</c:v>
                </c:pt>
                <c:pt idx="1">
                  <c:v>4.0</c:v>
                </c:pt>
                <c:pt idx="2">
                  <c:v>15.0</c:v>
                </c:pt>
                <c:pt idx="3">
                  <c:v>8.0</c:v>
                </c:pt>
                <c:pt idx="4">
                  <c:v>1450.0</c:v>
                </c:pt>
                <c:pt idx="5">
                  <c:v>408.0</c:v>
                </c:pt>
                <c:pt idx="6">
                  <c:v>598.0</c:v>
                </c:pt>
                <c:pt idx="7">
                  <c:v>516.0</c:v>
                </c:pt>
                <c:pt idx="8">
                  <c:v>984.0</c:v>
                </c:pt>
                <c:pt idx="9">
                  <c:v>874.0</c:v>
                </c:pt>
                <c:pt idx="10">
                  <c:v>0.0</c:v>
                </c:pt>
              </c:numCache>
            </c:numRef>
          </c:val>
        </c:ser>
        <c:dLbls>
          <c:showLegendKey val="0"/>
          <c:showVal val="0"/>
          <c:showCatName val="0"/>
          <c:showSerName val="0"/>
          <c:showPercent val="0"/>
          <c:showBubbleSize val="0"/>
        </c:dLbls>
        <c:gapWidth val="300"/>
        <c:axId val="96176384"/>
        <c:axId val="96203136"/>
      </c:barChart>
      <c:catAx>
        <c:axId val="9617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3136"/>
        <c:crosses val="autoZero"/>
        <c:auto val="1"/>
        <c:lblAlgn val="ctr"/>
        <c:lblOffset val="100"/>
        <c:noMultiLvlLbl val="0"/>
      </c:catAx>
      <c:valAx>
        <c:axId val="96203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76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52.0</c:v>
                </c:pt>
                <c:pt idx="1">
                  <c:v>28.0</c:v>
                </c:pt>
                <c:pt idx="2">
                  <c:v>68.0</c:v>
                </c:pt>
                <c:pt idx="3">
                  <c:v>76.0</c:v>
                </c:pt>
                <c:pt idx="4">
                  <c:v>3508.0</c:v>
                </c:pt>
                <c:pt idx="5">
                  <c:v>2918.0</c:v>
                </c:pt>
                <c:pt idx="6">
                  <c:v>2482.0</c:v>
                </c:pt>
                <c:pt idx="7">
                  <c:v>3714.0</c:v>
                </c:pt>
                <c:pt idx="8">
                  <c:v>4817.0</c:v>
                </c:pt>
                <c:pt idx="9">
                  <c:v>4802.0</c:v>
                </c:pt>
                <c:pt idx="10">
                  <c:v>100.0</c:v>
                </c:pt>
              </c:numCache>
            </c:numRef>
          </c:val>
        </c:ser>
        <c:dLbls>
          <c:showLegendKey val="0"/>
          <c:showVal val="0"/>
          <c:showCatName val="0"/>
          <c:showSerName val="0"/>
          <c:showPercent val="0"/>
          <c:showBubbleSize val="0"/>
        </c:dLbls>
        <c:gapWidth val="300"/>
        <c:axId val="111153152"/>
        <c:axId val="111155072"/>
      </c:barChart>
      <c:catAx>
        <c:axId val="11115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5072"/>
        <c:crosses val="autoZero"/>
        <c:auto val="1"/>
        <c:lblAlgn val="ctr"/>
        <c:lblOffset val="100"/>
        <c:noMultiLvlLbl val="0"/>
      </c:catAx>
      <c:valAx>
        <c:axId val="11115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3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54.0</c:v>
                </c:pt>
                <c:pt idx="1">
                  <c:v>34.0</c:v>
                </c:pt>
                <c:pt idx="2">
                  <c:v>87.0</c:v>
                </c:pt>
                <c:pt idx="3">
                  <c:v>120.0</c:v>
                </c:pt>
                <c:pt idx="4">
                  <c:v>92.0</c:v>
                </c:pt>
                <c:pt idx="5">
                  <c:v>343.0</c:v>
                </c:pt>
                <c:pt idx="6">
                  <c:v>0.0</c:v>
                </c:pt>
              </c:numCache>
            </c:numRef>
          </c:val>
        </c:ser>
        <c:dLbls>
          <c:showLegendKey val="0"/>
          <c:showVal val="0"/>
          <c:showCatName val="0"/>
          <c:showSerName val="0"/>
          <c:showPercent val="0"/>
          <c:showBubbleSize val="0"/>
        </c:dLbls>
        <c:gapWidth val="300"/>
        <c:axId val="136254976"/>
        <c:axId val="136256896"/>
      </c:barChart>
      <c:catAx>
        <c:axId val="13625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6896"/>
        <c:crosses val="autoZero"/>
        <c:auto val="1"/>
        <c:lblAlgn val="ctr"/>
        <c:lblOffset val="100"/>
        <c:noMultiLvlLbl val="0"/>
      </c:catAx>
      <c:valAx>
        <c:axId val="13625689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25.0</c:v>
                </c:pt>
                <c:pt idx="1">
                  <c:v>62.0</c:v>
                </c:pt>
                <c:pt idx="2">
                  <c:v>9.0</c:v>
                </c:pt>
                <c:pt idx="3">
                  <c:v>48.0</c:v>
                </c:pt>
                <c:pt idx="4">
                  <c:v>8.5</c:v>
                </c:pt>
                <c:pt idx="5">
                  <c:v>92.0</c:v>
                </c:pt>
                <c:pt idx="6">
                  <c:v>21.0</c:v>
                </c:pt>
                <c:pt idx="7">
                  <c:v>67.0</c:v>
                </c:pt>
                <c:pt idx="8">
                  <c:v>20.0</c:v>
                </c:pt>
                <c:pt idx="9">
                  <c:v>20.0</c:v>
                </c:pt>
                <c:pt idx="10">
                  <c:v>5.0</c:v>
                </c:pt>
              </c:numCache>
            </c:numRef>
          </c:val>
        </c:ser>
        <c:dLbls>
          <c:showLegendKey val="0"/>
          <c:showVal val="0"/>
          <c:showCatName val="0"/>
          <c:showSerName val="0"/>
          <c:showPercent val="0"/>
          <c:showBubbleSize val="0"/>
        </c:dLbls>
        <c:gapWidth val="300"/>
        <c:axId val="100385152"/>
        <c:axId val="111157248"/>
      </c:barChart>
      <c:catAx>
        <c:axId val="10038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7248"/>
        <c:crosses val="autoZero"/>
        <c:auto val="1"/>
        <c:lblAlgn val="ctr"/>
        <c:lblOffset val="100"/>
        <c:noMultiLvlLbl val="0"/>
      </c:catAx>
      <c:valAx>
        <c:axId val="111157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85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680.0</c:v>
                </c:pt>
                <c:pt idx="1">
                  <c:v>65.0</c:v>
                </c:pt>
                <c:pt idx="2">
                  <c:v>980.0</c:v>
                </c:pt>
                <c:pt idx="3">
                  <c:v>104.1</c:v>
                </c:pt>
                <c:pt idx="4">
                  <c:v>790.0</c:v>
                </c:pt>
                <c:pt idx="5">
                  <c:v>159.0</c:v>
                </c:pt>
                <c:pt idx="6">
                  <c:v>879.0</c:v>
                </c:pt>
                <c:pt idx="7">
                  <c:v>78.0</c:v>
                </c:pt>
                <c:pt idx="8">
                  <c:v>710.5</c:v>
                </c:pt>
                <c:pt idx="9">
                  <c:v>710.5</c:v>
                </c:pt>
                <c:pt idx="10">
                  <c:v>500.0</c:v>
                </c:pt>
              </c:numCache>
            </c:numRef>
          </c:val>
        </c:ser>
        <c:dLbls>
          <c:showLegendKey val="0"/>
          <c:showVal val="0"/>
          <c:showCatName val="0"/>
          <c:showSerName val="0"/>
          <c:showPercent val="0"/>
          <c:showBubbleSize val="0"/>
        </c:dLbls>
        <c:gapWidth val="300"/>
        <c:axId val="113405312"/>
        <c:axId val="115917952"/>
      </c:barChart>
      <c:catAx>
        <c:axId val="113405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917952"/>
        <c:crosses val="autoZero"/>
        <c:auto val="1"/>
        <c:lblAlgn val="ctr"/>
        <c:lblOffset val="100"/>
        <c:noMultiLvlLbl val="0"/>
      </c:catAx>
      <c:valAx>
        <c:axId val="11591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05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1176.0</c:v>
                </c:pt>
                <c:pt idx="1">
                  <c:v>118.6</c:v>
                </c:pt>
                <c:pt idx="2">
                  <c:v>1850.0</c:v>
                </c:pt>
                <c:pt idx="3">
                  <c:v>246.2</c:v>
                </c:pt>
                <c:pt idx="4">
                  <c:v>1568.0</c:v>
                </c:pt>
                <c:pt idx="5">
                  <c:v>346.0</c:v>
                </c:pt>
                <c:pt idx="6">
                  <c:v>1758.0</c:v>
                </c:pt>
                <c:pt idx="7">
                  <c:v>150.8</c:v>
                </c:pt>
                <c:pt idx="8">
                  <c:v>1419.0</c:v>
                </c:pt>
                <c:pt idx="9">
                  <c:v>1419.0</c:v>
                </c:pt>
                <c:pt idx="10">
                  <c:v>1000.0</c:v>
                </c:pt>
              </c:numCache>
            </c:numRef>
          </c:val>
        </c:ser>
        <c:dLbls>
          <c:showLegendKey val="0"/>
          <c:showVal val="0"/>
          <c:showCatName val="0"/>
          <c:showSerName val="0"/>
          <c:showPercent val="0"/>
          <c:showBubbleSize val="0"/>
        </c:dLbls>
        <c:gapWidth val="300"/>
        <c:axId val="128486784"/>
        <c:axId val="128502400"/>
      </c:barChart>
      <c:catAx>
        <c:axId val="1284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2400"/>
        <c:crosses val="autoZero"/>
        <c:auto val="1"/>
        <c:lblAlgn val="ctr"/>
        <c:lblOffset val="100"/>
        <c:noMultiLvlLbl val="0"/>
      </c:catAx>
      <c:valAx>
        <c:axId val="12850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8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c:v>
                </c:pt>
                <c:pt idx="2">
                  <c:v>0.05</c:v>
                </c:pt>
                <c:pt idx="3">
                  <c:v>0.620000000000002</c:v>
                </c:pt>
                <c:pt idx="4">
                  <c:v>0.02</c:v>
                </c:pt>
                <c:pt idx="5">
                  <c:v>0.0</c:v>
                </c:pt>
                <c:pt idx="6">
                  <c:v>0.0</c:v>
                </c:pt>
                <c:pt idx="7">
                  <c:v>0.750000000000002</c:v>
                </c:pt>
                <c:pt idx="8">
                  <c:v>0.36</c:v>
                </c:pt>
                <c:pt idx="9">
                  <c:v>0.36</c:v>
                </c:pt>
                <c:pt idx="10">
                  <c:v>0.3</c:v>
                </c:pt>
              </c:numCache>
            </c:numRef>
          </c:val>
        </c:ser>
        <c:dLbls>
          <c:showLegendKey val="0"/>
          <c:showVal val="0"/>
          <c:showCatName val="0"/>
          <c:showSerName val="0"/>
          <c:showPercent val="0"/>
          <c:showBubbleSize val="0"/>
        </c:dLbls>
        <c:gapWidth val="300"/>
        <c:axId val="194669184"/>
        <c:axId val="210048128"/>
      </c:barChart>
      <c:catAx>
        <c:axId val="19466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48128"/>
        <c:crosses val="autoZero"/>
        <c:auto val="1"/>
        <c:lblAlgn val="ctr"/>
        <c:lblOffset val="100"/>
        <c:noMultiLvlLbl val="0"/>
      </c:catAx>
      <c:valAx>
        <c:axId val="21004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69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0.700000000000001</c:v>
                </c:pt>
                <c:pt idx="2">
                  <c:v>0.1</c:v>
                </c:pt>
                <c:pt idx="3">
                  <c:v>0.600000000000001</c:v>
                </c:pt>
                <c:pt idx="4">
                  <c:v>0.0</c:v>
                </c:pt>
                <c:pt idx="5">
                  <c:v>0.0</c:v>
                </c:pt>
                <c:pt idx="6">
                  <c:v>0.3</c:v>
                </c:pt>
                <c:pt idx="7">
                  <c:v>0.3</c:v>
                </c:pt>
                <c:pt idx="8">
                  <c:v>0.1</c:v>
                </c:pt>
              </c:numCache>
            </c:numRef>
          </c:val>
        </c:ser>
        <c:dLbls>
          <c:showLegendKey val="0"/>
          <c:showVal val="0"/>
          <c:showCatName val="0"/>
          <c:showSerName val="0"/>
          <c:showPercent val="0"/>
          <c:showBubbleSize val="0"/>
        </c:dLbls>
        <c:gapWidth val="300"/>
        <c:axId val="444919808"/>
        <c:axId val="444921728"/>
      </c:barChart>
      <c:catAx>
        <c:axId val="444919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21728"/>
        <c:crosses val="autoZero"/>
        <c:auto val="1"/>
        <c:lblAlgn val="ctr"/>
        <c:lblOffset val="100"/>
        <c:noMultiLvlLbl val="0"/>
      </c:catAx>
      <c:valAx>
        <c:axId val="444921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19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18.4</c:v>
                </c:pt>
                <c:pt idx="1">
                  <c:v>24.1</c:v>
                </c:pt>
                <c:pt idx="2">
                  <c:v>9.57</c:v>
                </c:pt>
                <c:pt idx="3">
                  <c:v>23.43</c:v>
                </c:pt>
                <c:pt idx="4">
                  <c:v>3.3</c:v>
                </c:pt>
                <c:pt idx="5">
                  <c:v>18.6</c:v>
                </c:pt>
                <c:pt idx="6">
                  <c:v>18.6</c:v>
                </c:pt>
                <c:pt idx="7">
                  <c:v>50.0</c:v>
                </c:pt>
              </c:numCache>
            </c:numRef>
          </c:val>
        </c:ser>
        <c:dLbls>
          <c:showLegendKey val="0"/>
          <c:showVal val="0"/>
          <c:showCatName val="0"/>
          <c:showSerName val="0"/>
          <c:showPercent val="0"/>
          <c:showBubbleSize val="0"/>
        </c:dLbls>
        <c:gapWidth val="300"/>
        <c:axId val="688956160"/>
        <c:axId val="688958464"/>
      </c:barChart>
      <c:catAx>
        <c:axId val="6889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8464"/>
        <c:crosses val="autoZero"/>
        <c:auto val="1"/>
        <c:lblAlgn val="ctr"/>
        <c:lblOffset val="100"/>
        <c:noMultiLvlLbl val="0"/>
      </c:catAx>
      <c:valAx>
        <c:axId val="68895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c:v>
                </c:pt>
                <c:pt idx="1">
                  <c:v>0.06</c:v>
                </c:pt>
                <c:pt idx="2">
                  <c:v>0.14</c:v>
                </c:pt>
                <c:pt idx="3">
                  <c:v>0.08</c:v>
                </c:pt>
                <c:pt idx="4">
                  <c:v>0.22</c:v>
                </c:pt>
                <c:pt idx="5">
                  <c:v>0.01</c:v>
                </c:pt>
                <c:pt idx="6">
                  <c:v>0.41</c:v>
                </c:pt>
                <c:pt idx="7">
                  <c:v>0.08</c:v>
                </c:pt>
                <c:pt idx="8">
                  <c:v>0.51</c:v>
                </c:pt>
                <c:pt idx="9">
                  <c:v>0.51</c:v>
                </c:pt>
                <c:pt idx="10">
                  <c:v>0.2</c:v>
                </c:pt>
              </c:numCache>
            </c:numRef>
          </c:val>
        </c:ser>
        <c:dLbls>
          <c:showLegendKey val="0"/>
          <c:showVal val="0"/>
          <c:showCatName val="0"/>
          <c:showSerName val="0"/>
          <c:showPercent val="0"/>
          <c:showBubbleSize val="0"/>
        </c:dLbls>
        <c:gapWidth val="300"/>
        <c:axId val="693908224"/>
        <c:axId val="793884928"/>
      </c:barChart>
      <c:catAx>
        <c:axId val="69390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84928"/>
        <c:crosses val="autoZero"/>
        <c:auto val="1"/>
        <c:lblAlgn val="ctr"/>
        <c:lblOffset val="100"/>
        <c:noMultiLvlLbl val="0"/>
      </c:catAx>
      <c:valAx>
        <c:axId val="793884928"/>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0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28.0</c:v>
                </c:pt>
                <c:pt idx="1">
                  <c:v>10.4</c:v>
                </c:pt>
                <c:pt idx="2">
                  <c:v>42.0</c:v>
                </c:pt>
                <c:pt idx="3">
                  <c:v>18.7</c:v>
                </c:pt>
                <c:pt idx="4">
                  <c:v>54.0</c:v>
                </c:pt>
                <c:pt idx="5">
                  <c:v>35.6</c:v>
                </c:pt>
                <c:pt idx="6">
                  <c:v>78.0</c:v>
                </c:pt>
                <c:pt idx="7">
                  <c:v>49.7</c:v>
                </c:pt>
                <c:pt idx="8">
                  <c:v>98.9</c:v>
                </c:pt>
                <c:pt idx="9">
                  <c:v>98.9</c:v>
                </c:pt>
                <c:pt idx="10">
                  <c:v>100.0</c:v>
                </c:pt>
              </c:numCache>
            </c:numRef>
          </c:val>
        </c:ser>
        <c:dLbls>
          <c:showLegendKey val="0"/>
          <c:showVal val="0"/>
          <c:showCatName val="0"/>
          <c:showSerName val="0"/>
          <c:showPercent val="0"/>
          <c:showBubbleSize val="0"/>
        </c:dLbls>
        <c:gapWidth val="300"/>
        <c:axId val="94806784"/>
        <c:axId val="94808704"/>
      </c:barChart>
      <c:catAx>
        <c:axId val="9480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8704"/>
        <c:crosses val="autoZero"/>
        <c:auto val="1"/>
        <c:lblAlgn val="ctr"/>
        <c:lblOffset val="100"/>
        <c:noMultiLvlLbl val="0"/>
      </c:catAx>
      <c:valAx>
        <c:axId val="9480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Words>7791</Words>
  <Pages>44</Pages>
  <Characters>44509</Characters>
  <Application>WPS Office</Application>
  <DocSecurity>0</DocSecurity>
  <Paragraphs>1000</Paragraphs>
  <ScaleCrop>false</ScaleCrop>
  <LinksUpToDate>false</LinksUpToDate>
  <CharactersWithSpaces>54478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2025-07-29T12:37:00Z</dcterms:created>
  <dc:creator>ABDULKAREEM</dc:creator>
  <lastModifiedBy>SM-A725F</lastModifiedBy>
  <lastPrinted>2025-08-04T13:42:00Z</lastPrinted>
  <dcterms:modified xsi:type="dcterms:W3CDTF">2025-09-11T20:31:37Z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a2ccd2c5d7ee41ea96019620a362361b</vt:lpwstr>
  </property>
</Properties>
</file>