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Default Extension="png" ContentType="image/png"/>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4195"/>
        <w:rPr>
          <w:sz w:val="20"/>
        </w:rPr>
      </w:pPr>
      <w:r>
        <w:rPr>
          <w:sz w:val="20"/>
        </w:rPr>
        <w:drawing>
          <wp:inline distT="0" distB="0" distL="0" distR="0">
            <wp:extent cx="1756583" cy="1774507"/>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1756583" cy="1774507"/>
                    </a:xfrm>
                    <a:prstGeom prst="rect">
                      <a:avLst/>
                    </a:prstGeom>
                  </pic:spPr>
                </pic:pic>
              </a:graphicData>
            </a:graphic>
          </wp:inline>
        </w:drawing>
      </w:r>
      <w:r>
        <w:rPr>
          <w:sz w:val="20"/>
        </w:rPr>
      </w:r>
    </w:p>
    <w:p>
      <w:pPr>
        <w:spacing w:line="276" w:lineRule="auto" w:before="131"/>
        <w:ind w:left="1060" w:right="2460" w:firstLine="0"/>
        <w:jc w:val="center"/>
        <w:rPr>
          <w:b/>
          <w:sz w:val="34"/>
        </w:rPr>
      </w:pPr>
      <w:r>
        <w:rPr>
          <w:b/>
          <w:sz w:val="34"/>
        </w:rPr>
        <w:t>CARCINOGENIC</w:t>
      </w:r>
      <w:r>
        <w:rPr>
          <w:b/>
          <w:spacing w:val="-22"/>
          <w:sz w:val="34"/>
        </w:rPr>
        <w:t> </w:t>
      </w:r>
      <w:r>
        <w:rPr>
          <w:b/>
          <w:sz w:val="34"/>
        </w:rPr>
        <w:t>AND</w:t>
      </w:r>
      <w:r>
        <w:rPr>
          <w:b/>
          <w:spacing w:val="-21"/>
          <w:sz w:val="34"/>
        </w:rPr>
        <w:t> </w:t>
      </w:r>
      <w:r>
        <w:rPr>
          <w:b/>
          <w:sz w:val="34"/>
        </w:rPr>
        <w:t>NON-CARCINOGENIC</w:t>
      </w:r>
      <w:r>
        <w:rPr>
          <w:b/>
          <w:spacing w:val="-21"/>
          <w:sz w:val="34"/>
        </w:rPr>
        <w:t> </w:t>
      </w:r>
      <w:r>
        <w:rPr>
          <w:b/>
          <w:sz w:val="34"/>
        </w:rPr>
        <w:t>RISK </w:t>
      </w:r>
      <w:r>
        <w:rPr>
          <w:b/>
          <w:spacing w:val="-2"/>
          <w:sz w:val="34"/>
        </w:rPr>
        <w:t>ASSESSMENT</w:t>
      </w:r>
      <w:r>
        <w:rPr>
          <w:b/>
          <w:spacing w:val="-20"/>
          <w:sz w:val="34"/>
        </w:rPr>
        <w:t> </w:t>
      </w:r>
      <w:r>
        <w:rPr>
          <w:b/>
          <w:spacing w:val="-2"/>
          <w:sz w:val="34"/>
        </w:rPr>
        <w:t>OF</w:t>
      </w:r>
      <w:r>
        <w:rPr>
          <w:b/>
          <w:spacing w:val="-19"/>
          <w:sz w:val="34"/>
        </w:rPr>
        <w:t> </w:t>
      </w:r>
      <w:r>
        <w:rPr>
          <w:b/>
          <w:spacing w:val="-2"/>
          <w:sz w:val="34"/>
        </w:rPr>
        <w:t>HEAVY</w:t>
      </w:r>
      <w:r>
        <w:rPr>
          <w:b/>
          <w:spacing w:val="-19"/>
          <w:sz w:val="34"/>
        </w:rPr>
        <w:t> </w:t>
      </w:r>
      <w:r>
        <w:rPr>
          <w:b/>
          <w:spacing w:val="-2"/>
          <w:sz w:val="34"/>
        </w:rPr>
        <w:t>METALS</w:t>
      </w:r>
      <w:r>
        <w:rPr>
          <w:b/>
          <w:spacing w:val="-19"/>
          <w:sz w:val="34"/>
        </w:rPr>
        <w:t> </w:t>
      </w:r>
      <w:r>
        <w:rPr>
          <w:b/>
          <w:spacing w:val="-2"/>
          <w:sz w:val="34"/>
        </w:rPr>
        <w:t>IN</w:t>
      </w:r>
      <w:r>
        <w:rPr>
          <w:b/>
          <w:spacing w:val="-20"/>
          <w:sz w:val="34"/>
        </w:rPr>
        <w:t> </w:t>
      </w:r>
      <w:r>
        <w:rPr>
          <w:b/>
          <w:spacing w:val="-2"/>
          <w:sz w:val="34"/>
        </w:rPr>
        <w:t>WATER</w:t>
      </w:r>
      <w:r>
        <w:rPr>
          <w:b/>
          <w:spacing w:val="-19"/>
          <w:sz w:val="34"/>
        </w:rPr>
        <w:t> </w:t>
      </w:r>
      <w:r>
        <w:rPr>
          <w:b/>
          <w:spacing w:val="-2"/>
          <w:sz w:val="34"/>
        </w:rPr>
        <w:t>AND </w:t>
      </w:r>
      <w:r>
        <w:rPr>
          <w:b/>
          <w:sz w:val="34"/>
        </w:rPr>
        <w:t>SEDIMENTS FROM AUTOMOBILE SPARE PART</w:t>
      </w:r>
    </w:p>
    <w:p>
      <w:pPr>
        <w:spacing w:line="386" w:lineRule="exact" w:before="0"/>
        <w:ind w:left="1060" w:right="2459" w:firstLine="0"/>
        <w:jc w:val="center"/>
        <w:rPr>
          <w:b/>
          <w:sz w:val="34"/>
        </w:rPr>
      </w:pPr>
      <w:r>
        <w:rPr>
          <w:b/>
          <w:spacing w:val="-4"/>
          <w:sz w:val="34"/>
        </w:rPr>
        <w:t>AND</w:t>
      </w:r>
      <w:r>
        <w:rPr>
          <w:b/>
          <w:spacing w:val="-15"/>
          <w:sz w:val="34"/>
        </w:rPr>
        <w:t> </w:t>
      </w:r>
      <w:r>
        <w:rPr>
          <w:b/>
          <w:spacing w:val="-4"/>
          <w:sz w:val="34"/>
        </w:rPr>
        <w:t>RECYCLING</w:t>
      </w:r>
      <w:r>
        <w:rPr>
          <w:b/>
          <w:spacing w:val="-15"/>
          <w:sz w:val="34"/>
        </w:rPr>
        <w:t> </w:t>
      </w:r>
      <w:r>
        <w:rPr>
          <w:b/>
          <w:spacing w:val="-4"/>
          <w:sz w:val="34"/>
        </w:rPr>
        <w:t>MARKET,IPATA</w:t>
      </w:r>
      <w:r>
        <w:rPr>
          <w:b/>
          <w:spacing w:val="-14"/>
          <w:sz w:val="34"/>
        </w:rPr>
        <w:t> </w:t>
      </w:r>
      <w:r>
        <w:rPr>
          <w:b/>
          <w:spacing w:val="-4"/>
          <w:sz w:val="34"/>
        </w:rPr>
        <w:t>OLOJE</w:t>
      </w:r>
      <w:r>
        <w:rPr>
          <w:b/>
          <w:spacing w:val="-15"/>
          <w:sz w:val="34"/>
        </w:rPr>
        <w:t> </w:t>
      </w:r>
      <w:r>
        <w:rPr>
          <w:b/>
          <w:spacing w:val="-4"/>
          <w:sz w:val="34"/>
        </w:rPr>
        <w:t>ILORIN</w:t>
      </w:r>
    </w:p>
    <w:p>
      <w:pPr>
        <w:pStyle w:val="BodyText"/>
        <w:rPr>
          <w:b/>
          <w:sz w:val="34"/>
        </w:rPr>
      </w:pPr>
    </w:p>
    <w:p>
      <w:pPr>
        <w:pStyle w:val="BodyText"/>
        <w:spacing w:before="100"/>
        <w:rPr>
          <w:b/>
          <w:sz w:val="34"/>
        </w:rPr>
      </w:pPr>
    </w:p>
    <w:p>
      <w:pPr>
        <w:spacing w:before="1"/>
        <w:ind w:left="1060" w:right="2459" w:firstLine="0"/>
        <w:jc w:val="center"/>
        <w:rPr>
          <w:b/>
          <w:sz w:val="26"/>
        </w:rPr>
      </w:pPr>
      <w:r>
        <w:rPr>
          <w:b/>
          <w:spacing w:val="-5"/>
          <w:sz w:val="26"/>
        </w:rPr>
        <w:t>BY</w:t>
      </w:r>
    </w:p>
    <w:p>
      <w:pPr>
        <w:pStyle w:val="BodyText"/>
        <w:spacing w:before="19"/>
        <w:rPr>
          <w:b/>
          <w:sz w:val="26"/>
        </w:rPr>
      </w:pPr>
    </w:p>
    <w:p>
      <w:pPr>
        <w:spacing w:line="276" w:lineRule="auto" w:before="0"/>
        <w:ind w:left="1060" w:right="2459" w:firstLine="0"/>
        <w:jc w:val="center"/>
        <w:rPr>
          <w:b/>
          <w:sz w:val="34"/>
        </w:rPr>
      </w:pPr>
      <w:r>
        <w:rPr>
          <w:b/>
          <w:spacing w:val="-2"/>
          <w:sz w:val="34"/>
        </w:rPr>
        <w:t>ADEYINKA</w:t>
      </w:r>
      <w:r>
        <w:rPr>
          <w:b/>
          <w:spacing w:val="-20"/>
          <w:sz w:val="34"/>
        </w:rPr>
        <w:t> </w:t>
      </w:r>
      <w:r>
        <w:rPr>
          <w:b/>
          <w:spacing w:val="-2"/>
          <w:sz w:val="34"/>
        </w:rPr>
        <w:t>AYOMIDE</w:t>
      </w:r>
      <w:r>
        <w:rPr>
          <w:b/>
          <w:spacing w:val="-19"/>
          <w:sz w:val="34"/>
        </w:rPr>
        <w:t> </w:t>
      </w:r>
      <w:r>
        <w:rPr>
          <w:b/>
          <w:spacing w:val="-2"/>
          <w:sz w:val="34"/>
        </w:rPr>
        <w:t>TEMILADE ND/23/SLT/PT/0509</w:t>
      </w:r>
    </w:p>
    <w:p>
      <w:pPr>
        <w:pStyle w:val="BodyText"/>
        <w:rPr>
          <w:b/>
          <w:sz w:val="34"/>
        </w:rPr>
      </w:pPr>
    </w:p>
    <w:p>
      <w:pPr>
        <w:pStyle w:val="BodyText"/>
        <w:spacing w:before="313"/>
        <w:rPr>
          <w:b/>
          <w:sz w:val="34"/>
        </w:rPr>
      </w:pPr>
    </w:p>
    <w:p>
      <w:pPr>
        <w:spacing w:before="1"/>
        <w:ind w:left="1060" w:right="2459" w:firstLine="0"/>
        <w:jc w:val="center"/>
        <w:rPr>
          <w:b/>
          <w:sz w:val="26"/>
        </w:rPr>
      </w:pPr>
      <w:r>
        <w:rPr>
          <w:b/>
          <w:sz w:val="26"/>
        </w:rPr>
        <w:t>SUBMITTED</w:t>
      </w:r>
      <w:r>
        <w:rPr>
          <w:b/>
          <w:spacing w:val="7"/>
          <w:sz w:val="26"/>
        </w:rPr>
        <w:t> </w:t>
      </w:r>
      <w:r>
        <w:rPr>
          <w:b/>
          <w:spacing w:val="-5"/>
          <w:sz w:val="26"/>
        </w:rPr>
        <w:t>TO:</w:t>
      </w:r>
    </w:p>
    <w:p>
      <w:pPr>
        <w:spacing w:line="278" w:lineRule="auto" w:before="49"/>
        <w:ind w:left="1060" w:right="2460" w:firstLine="0"/>
        <w:jc w:val="center"/>
        <w:rPr>
          <w:b/>
          <w:sz w:val="26"/>
        </w:rPr>
      </w:pPr>
      <w:r>
        <w:rPr>
          <w:b/>
          <w:sz w:val="26"/>
        </w:rPr>
        <w:t>DEPARTMENT</w:t>
      </w:r>
      <w:r>
        <w:rPr>
          <w:b/>
          <w:spacing w:val="-8"/>
          <w:sz w:val="26"/>
        </w:rPr>
        <w:t> </w:t>
      </w:r>
      <w:r>
        <w:rPr>
          <w:b/>
          <w:sz w:val="26"/>
        </w:rPr>
        <w:t>OF</w:t>
      </w:r>
      <w:r>
        <w:rPr>
          <w:b/>
          <w:spacing w:val="-8"/>
          <w:sz w:val="26"/>
        </w:rPr>
        <w:t> </w:t>
      </w:r>
      <w:r>
        <w:rPr>
          <w:b/>
          <w:sz w:val="26"/>
        </w:rPr>
        <w:t>SCIENCE</w:t>
      </w:r>
      <w:r>
        <w:rPr>
          <w:b/>
          <w:spacing w:val="-8"/>
          <w:sz w:val="26"/>
        </w:rPr>
        <w:t> </w:t>
      </w:r>
      <w:r>
        <w:rPr>
          <w:b/>
          <w:sz w:val="26"/>
        </w:rPr>
        <w:t>LABORATORY</w:t>
      </w:r>
      <w:r>
        <w:rPr>
          <w:b/>
          <w:spacing w:val="-8"/>
          <w:sz w:val="26"/>
        </w:rPr>
        <w:t> </w:t>
      </w:r>
      <w:r>
        <w:rPr>
          <w:b/>
          <w:sz w:val="26"/>
        </w:rPr>
        <w:t>TECHNOLOGY, INSTITUTE OF APPLIED SCIENCES, KWARA STATE POLYTECHNIC ILORIN, KWARA STATE.</w:t>
      </w:r>
    </w:p>
    <w:p>
      <w:pPr>
        <w:pStyle w:val="BodyText"/>
        <w:spacing w:before="54"/>
        <w:rPr>
          <w:b/>
          <w:sz w:val="26"/>
        </w:rPr>
      </w:pPr>
    </w:p>
    <w:p>
      <w:pPr>
        <w:spacing w:line="278" w:lineRule="auto" w:before="0"/>
        <w:ind w:left="1060" w:right="2460" w:firstLine="0"/>
        <w:jc w:val="center"/>
        <w:rPr>
          <w:b/>
          <w:sz w:val="26"/>
        </w:rPr>
      </w:pPr>
      <w:r>
        <w:rPr>
          <w:b/>
          <w:sz w:val="26"/>
        </w:rPr>
        <w:t>IN PARTIAL FULFILMENT OF THE REQUIREMENT FOR THE </w:t>
      </w:r>
      <w:r>
        <w:rPr>
          <w:b/>
          <w:spacing w:val="-2"/>
          <w:sz w:val="26"/>
        </w:rPr>
        <w:t>AWARD</w:t>
      </w:r>
    </w:p>
    <w:p>
      <w:pPr>
        <w:spacing w:line="278" w:lineRule="auto" w:before="3"/>
        <w:ind w:left="1060" w:right="2460" w:firstLine="0"/>
        <w:jc w:val="center"/>
        <w:rPr>
          <w:b/>
          <w:sz w:val="26"/>
        </w:rPr>
      </w:pPr>
      <w:r>
        <w:rPr>
          <w:b/>
          <w:sz w:val="26"/>
        </w:rPr>
        <w:t>OF</w:t>
      </w:r>
      <w:r>
        <w:rPr>
          <w:b/>
          <w:spacing w:val="-1"/>
          <w:sz w:val="26"/>
        </w:rPr>
        <w:t> </w:t>
      </w:r>
      <w:r>
        <w:rPr>
          <w:b/>
          <w:sz w:val="26"/>
        </w:rPr>
        <w:t>NATIONAL</w:t>
      </w:r>
      <w:r>
        <w:rPr>
          <w:b/>
          <w:spacing w:val="-1"/>
          <w:sz w:val="26"/>
        </w:rPr>
        <w:t> </w:t>
      </w:r>
      <w:r>
        <w:rPr>
          <w:b/>
          <w:sz w:val="26"/>
        </w:rPr>
        <w:t>DIPLOMA</w:t>
      </w:r>
      <w:r>
        <w:rPr>
          <w:b/>
          <w:spacing w:val="-1"/>
          <w:sz w:val="26"/>
        </w:rPr>
        <w:t> </w:t>
      </w:r>
      <w:r>
        <w:rPr>
          <w:b/>
          <w:sz w:val="26"/>
        </w:rPr>
        <w:t>(ND)</w:t>
      </w:r>
      <w:r>
        <w:rPr>
          <w:b/>
          <w:spacing w:val="-1"/>
          <w:sz w:val="26"/>
        </w:rPr>
        <w:t> </w:t>
      </w:r>
      <w:r>
        <w:rPr>
          <w:b/>
          <w:sz w:val="26"/>
        </w:rPr>
        <w:t>IN</w:t>
      </w:r>
      <w:r>
        <w:rPr>
          <w:b/>
          <w:spacing w:val="-1"/>
          <w:sz w:val="26"/>
        </w:rPr>
        <w:t> </w:t>
      </w:r>
      <w:r>
        <w:rPr>
          <w:b/>
          <w:sz w:val="26"/>
        </w:rPr>
        <w:t>SCIENCE</w:t>
      </w:r>
      <w:r>
        <w:rPr>
          <w:b/>
          <w:spacing w:val="-1"/>
          <w:sz w:val="26"/>
        </w:rPr>
        <w:t> </w:t>
      </w:r>
      <w:r>
        <w:rPr>
          <w:b/>
          <w:sz w:val="26"/>
        </w:rPr>
        <w:t>LABORATORY </w:t>
      </w:r>
      <w:r>
        <w:rPr>
          <w:b/>
          <w:spacing w:val="-2"/>
          <w:sz w:val="26"/>
        </w:rPr>
        <w:t>TECHNOLOGY.</w:t>
      </w:r>
    </w:p>
    <w:p>
      <w:pPr>
        <w:pStyle w:val="BodyText"/>
        <w:spacing w:before="52"/>
        <w:rPr>
          <w:b/>
          <w:sz w:val="26"/>
        </w:rPr>
      </w:pPr>
    </w:p>
    <w:p>
      <w:pPr>
        <w:spacing w:before="0"/>
        <w:ind w:left="1060" w:right="2459" w:firstLine="0"/>
        <w:jc w:val="center"/>
        <w:rPr>
          <w:b/>
          <w:sz w:val="26"/>
        </w:rPr>
      </w:pPr>
      <w:r>
        <w:rPr>
          <w:b/>
          <w:sz w:val="26"/>
        </w:rPr>
        <w:t>SUPERVISED</w:t>
      </w:r>
      <w:r>
        <w:rPr>
          <w:b/>
          <w:spacing w:val="-2"/>
          <w:sz w:val="26"/>
        </w:rPr>
        <w:t> </w:t>
      </w:r>
      <w:r>
        <w:rPr>
          <w:b/>
          <w:spacing w:val="-5"/>
          <w:sz w:val="26"/>
        </w:rPr>
        <w:t>BY:</w:t>
      </w:r>
    </w:p>
    <w:p>
      <w:pPr>
        <w:spacing w:before="49"/>
        <w:ind w:left="1060" w:right="2459" w:firstLine="0"/>
        <w:jc w:val="center"/>
        <w:rPr>
          <w:b/>
          <w:sz w:val="26"/>
        </w:rPr>
      </w:pPr>
      <w:r>
        <w:rPr>
          <w:b/>
          <w:sz w:val="26"/>
        </w:rPr>
        <w:t>MR.</w:t>
      </w:r>
      <w:r>
        <w:rPr>
          <w:b/>
          <w:spacing w:val="3"/>
          <w:sz w:val="26"/>
        </w:rPr>
        <w:t> </w:t>
      </w:r>
      <w:r>
        <w:rPr>
          <w:b/>
          <w:sz w:val="26"/>
        </w:rPr>
        <w:t>YUNUS</w:t>
      </w:r>
      <w:r>
        <w:rPr>
          <w:b/>
          <w:spacing w:val="4"/>
          <w:sz w:val="26"/>
        </w:rPr>
        <w:t> </w:t>
      </w:r>
      <w:r>
        <w:rPr>
          <w:b/>
          <w:spacing w:val="-5"/>
          <w:sz w:val="26"/>
        </w:rPr>
        <w:t>S.O</w:t>
      </w:r>
    </w:p>
    <w:p>
      <w:pPr>
        <w:pStyle w:val="BodyText"/>
        <w:spacing w:before="99"/>
        <w:rPr>
          <w:b/>
          <w:sz w:val="26"/>
        </w:rPr>
      </w:pPr>
    </w:p>
    <w:p>
      <w:pPr>
        <w:spacing w:before="0"/>
        <w:ind w:left="7682" w:right="0" w:firstLine="0"/>
        <w:jc w:val="left"/>
        <w:rPr>
          <w:b/>
          <w:sz w:val="26"/>
        </w:rPr>
      </w:pPr>
      <w:r>
        <w:rPr>
          <w:b/>
          <w:sz w:val="26"/>
        </w:rPr>
        <w:t>AUGUST,</w:t>
      </w:r>
      <w:r>
        <w:rPr>
          <w:b/>
          <w:spacing w:val="-14"/>
          <w:sz w:val="26"/>
        </w:rPr>
        <w:t> </w:t>
      </w:r>
      <w:r>
        <w:rPr>
          <w:b/>
          <w:spacing w:val="-2"/>
          <w:sz w:val="26"/>
        </w:rPr>
        <w:t>2025.</w:t>
      </w:r>
    </w:p>
    <w:p>
      <w:pPr>
        <w:pStyle w:val="BodyText"/>
        <w:spacing w:before="239"/>
        <w:rPr>
          <w:b/>
          <w:sz w:val="26"/>
        </w:rPr>
      </w:pPr>
    </w:p>
    <w:p>
      <w:pPr>
        <w:spacing w:before="0"/>
        <w:ind w:left="0" w:right="2393" w:firstLine="0"/>
        <w:jc w:val="right"/>
        <w:rPr>
          <w:rFonts w:ascii="Arial MT"/>
          <w:sz w:val="20"/>
        </w:rPr>
      </w:pPr>
      <w:r>
        <w:rPr>
          <w:rFonts w:ascii="Arial MT"/>
          <w:spacing w:val="-10"/>
          <w:w w:val="105"/>
          <w:sz w:val="20"/>
        </w:rPr>
        <w:t>i</w:t>
      </w:r>
    </w:p>
    <w:p>
      <w:pPr>
        <w:spacing w:after="0"/>
        <w:jc w:val="right"/>
        <w:rPr>
          <w:rFonts w:ascii="Arial MT"/>
          <w:sz w:val="20"/>
        </w:rPr>
        <w:sectPr>
          <w:type w:val="continuous"/>
          <w:pgSz w:w="12240" w:h="15840"/>
          <w:pgMar w:top="1380" w:bottom="280" w:left="360" w:right="0"/>
        </w:sectPr>
      </w:pPr>
    </w:p>
    <w:p>
      <w:pPr>
        <w:spacing w:before="77"/>
        <w:ind w:left="1060" w:right="2459" w:firstLine="0"/>
        <w:jc w:val="center"/>
        <w:rPr>
          <w:b/>
          <w:sz w:val="26"/>
        </w:rPr>
      </w:pPr>
      <w:r>
        <w:rPr>
          <w:b/>
          <w:spacing w:val="-2"/>
          <w:sz w:val="26"/>
        </w:rPr>
        <w:t>CERTIFICATION</w:t>
      </w:r>
    </w:p>
    <w:p>
      <w:pPr>
        <w:pStyle w:val="BodyText"/>
        <w:spacing w:before="27"/>
        <w:rPr>
          <w:b/>
          <w:sz w:val="26"/>
        </w:rPr>
      </w:pPr>
    </w:p>
    <w:p>
      <w:pPr>
        <w:spacing w:line="571" w:lineRule="auto" w:before="1"/>
        <w:ind w:left="994" w:right="2327" w:firstLine="0"/>
        <w:jc w:val="left"/>
        <w:rPr>
          <w:sz w:val="20"/>
        </w:rPr>
      </w:pPr>
      <w:r>
        <w:rPr>
          <w:w w:val="105"/>
          <w:sz w:val="20"/>
        </w:rPr>
        <w:t>This</w:t>
      </w:r>
      <w:r>
        <w:rPr>
          <w:spacing w:val="-12"/>
          <w:w w:val="105"/>
          <w:sz w:val="20"/>
        </w:rPr>
        <w:t> </w:t>
      </w:r>
      <w:r>
        <w:rPr>
          <w:w w:val="105"/>
          <w:sz w:val="20"/>
        </w:rPr>
        <w:t>is</w:t>
      </w:r>
      <w:r>
        <w:rPr>
          <w:spacing w:val="-12"/>
          <w:w w:val="105"/>
          <w:sz w:val="20"/>
        </w:rPr>
        <w:t> </w:t>
      </w:r>
      <w:r>
        <w:rPr>
          <w:w w:val="105"/>
          <w:sz w:val="20"/>
        </w:rPr>
        <w:t>to</w:t>
      </w:r>
      <w:r>
        <w:rPr>
          <w:spacing w:val="-12"/>
          <w:w w:val="105"/>
          <w:sz w:val="20"/>
        </w:rPr>
        <w:t> </w:t>
      </w:r>
      <w:r>
        <w:rPr>
          <w:w w:val="105"/>
          <w:sz w:val="20"/>
        </w:rPr>
        <w:t>certify</w:t>
      </w:r>
      <w:r>
        <w:rPr>
          <w:spacing w:val="-12"/>
          <w:w w:val="105"/>
          <w:sz w:val="20"/>
        </w:rPr>
        <w:t> </w:t>
      </w:r>
      <w:r>
        <w:rPr>
          <w:w w:val="105"/>
          <w:sz w:val="20"/>
        </w:rPr>
        <w:t>that</w:t>
      </w:r>
      <w:r>
        <w:rPr>
          <w:spacing w:val="-12"/>
          <w:w w:val="105"/>
          <w:sz w:val="20"/>
        </w:rPr>
        <w:t> </w:t>
      </w:r>
      <w:r>
        <w:rPr>
          <w:w w:val="105"/>
          <w:sz w:val="20"/>
        </w:rPr>
        <w:t>this</w:t>
      </w:r>
      <w:r>
        <w:rPr>
          <w:spacing w:val="-12"/>
          <w:w w:val="105"/>
          <w:sz w:val="20"/>
        </w:rPr>
        <w:t> </w:t>
      </w:r>
      <w:r>
        <w:rPr>
          <w:w w:val="105"/>
          <w:sz w:val="20"/>
        </w:rPr>
        <w:t>project</w:t>
      </w:r>
      <w:r>
        <w:rPr>
          <w:spacing w:val="-12"/>
          <w:w w:val="105"/>
          <w:sz w:val="20"/>
        </w:rPr>
        <w:t> </w:t>
      </w:r>
      <w:r>
        <w:rPr>
          <w:w w:val="105"/>
          <w:sz w:val="20"/>
        </w:rPr>
        <w:t>work</w:t>
      </w:r>
      <w:r>
        <w:rPr>
          <w:spacing w:val="-12"/>
          <w:w w:val="105"/>
          <w:sz w:val="20"/>
        </w:rPr>
        <w:t> </w:t>
      </w:r>
      <w:r>
        <w:rPr>
          <w:w w:val="105"/>
          <w:sz w:val="20"/>
        </w:rPr>
        <w:t>was</w:t>
      </w:r>
      <w:r>
        <w:rPr>
          <w:spacing w:val="-12"/>
          <w:w w:val="105"/>
          <w:sz w:val="20"/>
        </w:rPr>
        <w:t> </w:t>
      </w:r>
      <w:r>
        <w:rPr>
          <w:w w:val="105"/>
          <w:sz w:val="20"/>
        </w:rPr>
        <w:t>carried</w:t>
      </w:r>
      <w:r>
        <w:rPr>
          <w:spacing w:val="-12"/>
          <w:w w:val="105"/>
          <w:sz w:val="20"/>
        </w:rPr>
        <w:t> </w:t>
      </w:r>
      <w:r>
        <w:rPr>
          <w:w w:val="105"/>
          <w:sz w:val="20"/>
        </w:rPr>
        <w:t>out</w:t>
      </w:r>
      <w:r>
        <w:rPr>
          <w:spacing w:val="-12"/>
          <w:w w:val="105"/>
          <w:sz w:val="20"/>
        </w:rPr>
        <w:t> </w:t>
      </w:r>
      <w:r>
        <w:rPr>
          <w:w w:val="105"/>
          <w:sz w:val="20"/>
        </w:rPr>
        <w:t>and</w:t>
      </w:r>
      <w:r>
        <w:rPr>
          <w:spacing w:val="-12"/>
          <w:w w:val="105"/>
          <w:sz w:val="20"/>
        </w:rPr>
        <w:t> </w:t>
      </w:r>
      <w:r>
        <w:rPr>
          <w:w w:val="105"/>
          <w:sz w:val="20"/>
        </w:rPr>
        <w:t>reported</w:t>
      </w:r>
      <w:r>
        <w:rPr>
          <w:spacing w:val="-12"/>
          <w:w w:val="105"/>
          <w:sz w:val="20"/>
        </w:rPr>
        <w:t> </w:t>
      </w:r>
      <w:r>
        <w:rPr>
          <w:w w:val="105"/>
          <w:sz w:val="20"/>
        </w:rPr>
        <w:t>by</w:t>
      </w:r>
      <w:r>
        <w:rPr>
          <w:spacing w:val="30"/>
          <w:w w:val="105"/>
          <w:sz w:val="20"/>
        </w:rPr>
        <w:t> </w:t>
      </w:r>
      <w:r>
        <w:rPr>
          <w:b/>
          <w:w w:val="105"/>
          <w:sz w:val="20"/>
        </w:rPr>
        <w:t>ADEYINKA</w:t>
      </w:r>
      <w:r>
        <w:rPr>
          <w:b/>
          <w:spacing w:val="-12"/>
          <w:w w:val="105"/>
          <w:sz w:val="20"/>
        </w:rPr>
        <w:t> </w:t>
      </w:r>
      <w:r>
        <w:rPr>
          <w:b/>
          <w:w w:val="105"/>
          <w:sz w:val="20"/>
        </w:rPr>
        <w:t>AYOMIDE TEMILADE</w:t>
      </w:r>
      <w:r>
        <w:rPr>
          <w:b/>
          <w:spacing w:val="-4"/>
          <w:w w:val="105"/>
          <w:sz w:val="20"/>
        </w:rPr>
        <w:t> </w:t>
      </w:r>
      <w:r>
        <w:rPr>
          <w:w w:val="105"/>
          <w:sz w:val="20"/>
        </w:rPr>
        <w:t>with</w:t>
      </w:r>
      <w:r>
        <w:rPr>
          <w:spacing w:val="-4"/>
          <w:w w:val="105"/>
          <w:sz w:val="20"/>
        </w:rPr>
        <w:t> </w:t>
      </w:r>
      <w:r>
        <w:rPr>
          <w:w w:val="105"/>
          <w:sz w:val="20"/>
        </w:rPr>
        <w:t>Matric</w:t>
      </w:r>
      <w:r>
        <w:rPr>
          <w:spacing w:val="-4"/>
          <w:w w:val="105"/>
          <w:sz w:val="20"/>
        </w:rPr>
        <w:t> </w:t>
      </w:r>
      <w:r>
        <w:rPr>
          <w:b/>
          <w:w w:val="105"/>
          <w:sz w:val="20"/>
        </w:rPr>
        <w:t>ND/23/SLT/PT/0509</w:t>
      </w:r>
      <w:r>
        <w:rPr>
          <w:b/>
          <w:spacing w:val="-4"/>
          <w:w w:val="105"/>
          <w:sz w:val="20"/>
        </w:rPr>
        <w:t> </w:t>
      </w:r>
      <w:r>
        <w:rPr>
          <w:w w:val="105"/>
          <w:sz w:val="20"/>
        </w:rPr>
        <w:t>in</w:t>
      </w:r>
      <w:r>
        <w:rPr>
          <w:spacing w:val="-4"/>
          <w:w w:val="105"/>
          <w:sz w:val="20"/>
        </w:rPr>
        <w:t> </w:t>
      </w:r>
      <w:r>
        <w:rPr>
          <w:w w:val="105"/>
          <w:sz w:val="20"/>
        </w:rPr>
        <w:t>the</w:t>
      </w:r>
      <w:r>
        <w:rPr>
          <w:spacing w:val="-4"/>
          <w:w w:val="105"/>
          <w:sz w:val="20"/>
        </w:rPr>
        <w:t> </w:t>
      </w:r>
      <w:r>
        <w:rPr>
          <w:w w:val="105"/>
          <w:sz w:val="20"/>
        </w:rPr>
        <w:t>Department</w:t>
      </w:r>
      <w:r>
        <w:rPr>
          <w:spacing w:val="-4"/>
          <w:w w:val="105"/>
          <w:sz w:val="20"/>
        </w:rPr>
        <w:t> </w:t>
      </w:r>
      <w:r>
        <w:rPr>
          <w:w w:val="105"/>
          <w:sz w:val="20"/>
        </w:rPr>
        <w:t>of</w:t>
      </w:r>
      <w:r>
        <w:rPr>
          <w:spacing w:val="-4"/>
          <w:w w:val="105"/>
          <w:sz w:val="20"/>
        </w:rPr>
        <w:t> </w:t>
      </w:r>
      <w:r>
        <w:rPr>
          <w:w w:val="105"/>
          <w:sz w:val="20"/>
        </w:rPr>
        <w:t>Science</w:t>
      </w:r>
      <w:r>
        <w:rPr>
          <w:spacing w:val="-4"/>
          <w:w w:val="105"/>
          <w:sz w:val="20"/>
        </w:rPr>
        <w:t> </w:t>
      </w:r>
      <w:r>
        <w:rPr>
          <w:w w:val="105"/>
          <w:sz w:val="20"/>
        </w:rPr>
        <w:t>Laboratory</w:t>
      </w:r>
    </w:p>
    <w:p>
      <w:pPr>
        <w:spacing w:line="571" w:lineRule="auto" w:before="0"/>
        <w:ind w:left="994" w:right="2327" w:firstLine="0"/>
        <w:jc w:val="left"/>
        <w:rPr>
          <w:sz w:val="20"/>
        </w:rPr>
      </w:pPr>
      <w:r>
        <w:rPr>
          <w:w w:val="105"/>
          <w:sz w:val="20"/>
        </w:rPr>
        <w:t>Technology</w:t>
      </w:r>
      <w:r>
        <w:rPr>
          <w:spacing w:val="-14"/>
          <w:w w:val="105"/>
          <w:sz w:val="20"/>
        </w:rPr>
        <w:t> </w:t>
      </w:r>
      <w:r>
        <w:rPr>
          <w:w w:val="105"/>
          <w:sz w:val="20"/>
        </w:rPr>
        <w:t>(SLT),</w:t>
      </w:r>
      <w:r>
        <w:rPr>
          <w:spacing w:val="-13"/>
          <w:w w:val="105"/>
          <w:sz w:val="20"/>
        </w:rPr>
        <w:t> </w:t>
      </w:r>
      <w:r>
        <w:rPr>
          <w:w w:val="105"/>
          <w:sz w:val="20"/>
        </w:rPr>
        <w:t>Institute</w:t>
      </w:r>
      <w:r>
        <w:rPr>
          <w:spacing w:val="-13"/>
          <w:w w:val="105"/>
          <w:sz w:val="20"/>
        </w:rPr>
        <w:t> </w:t>
      </w:r>
      <w:r>
        <w:rPr>
          <w:w w:val="105"/>
          <w:sz w:val="20"/>
        </w:rPr>
        <w:t>of</w:t>
      </w:r>
      <w:r>
        <w:rPr>
          <w:spacing w:val="-13"/>
          <w:w w:val="105"/>
          <w:sz w:val="20"/>
        </w:rPr>
        <w:t> </w:t>
      </w:r>
      <w:r>
        <w:rPr>
          <w:w w:val="105"/>
          <w:sz w:val="20"/>
        </w:rPr>
        <w:t>Applied</w:t>
      </w:r>
      <w:r>
        <w:rPr>
          <w:spacing w:val="-13"/>
          <w:w w:val="105"/>
          <w:sz w:val="20"/>
        </w:rPr>
        <w:t> </w:t>
      </w:r>
      <w:r>
        <w:rPr>
          <w:w w:val="105"/>
          <w:sz w:val="20"/>
        </w:rPr>
        <w:t>Sciences</w:t>
      </w:r>
      <w:r>
        <w:rPr>
          <w:spacing w:val="-13"/>
          <w:w w:val="105"/>
          <w:sz w:val="20"/>
        </w:rPr>
        <w:t> </w:t>
      </w:r>
      <w:r>
        <w:rPr>
          <w:w w:val="105"/>
          <w:sz w:val="20"/>
        </w:rPr>
        <w:t>(IAS)</w:t>
      </w:r>
      <w:r>
        <w:rPr>
          <w:spacing w:val="-13"/>
          <w:w w:val="105"/>
          <w:sz w:val="20"/>
        </w:rPr>
        <w:t> </w:t>
      </w:r>
      <w:r>
        <w:rPr>
          <w:w w:val="105"/>
          <w:sz w:val="20"/>
        </w:rPr>
        <w:t>and</w:t>
      </w:r>
      <w:r>
        <w:rPr>
          <w:spacing w:val="-13"/>
          <w:w w:val="105"/>
          <w:sz w:val="20"/>
        </w:rPr>
        <w:t> </w:t>
      </w:r>
      <w:r>
        <w:rPr>
          <w:w w:val="105"/>
          <w:sz w:val="20"/>
        </w:rPr>
        <w:t>has</w:t>
      </w:r>
      <w:r>
        <w:rPr>
          <w:spacing w:val="-14"/>
          <w:w w:val="105"/>
          <w:sz w:val="20"/>
        </w:rPr>
        <w:t> </w:t>
      </w:r>
      <w:r>
        <w:rPr>
          <w:w w:val="105"/>
          <w:sz w:val="20"/>
        </w:rPr>
        <w:t>been</w:t>
      </w:r>
      <w:r>
        <w:rPr>
          <w:spacing w:val="-13"/>
          <w:w w:val="105"/>
          <w:sz w:val="20"/>
        </w:rPr>
        <w:t> </w:t>
      </w:r>
      <w:r>
        <w:rPr>
          <w:w w:val="105"/>
          <w:sz w:val="20"/>
        </w:rPr>
        <w:t>read</w:t>
      </w:r>
      <w:r>
        <w:rPr>
          <w:spacing w:val="-13"/>
          <w:w w:val="105"/>
          <w:sz w:val="20"/>
        </w:rPr>
        <w:t> </w:t>
      </w:r>
      <w:r>
        <w:rPr>
          <w:w w:val="105"/>
          <w:sz w:val="20"/>
        </w:rPr>
        <w:t>and</w:t>
      </w:r>
      <w:r>
        <w:rPr>
          <w:spacing w:val="-13"/>
          <w:w w:val="105"/>
          <w:sz w:val="20"/>
        </w:rPr>
        <w:t> </w:t>
      </w:r>
      <w:r>
        <w:rPr>
          <w:w w:val="105"/>
          <w:sz w:val="20"/>
        </w:rPr>
        <w:t>approved</w:t>
      </w:r>
      <w:r>
        <w:rPr>
          <w:spacing w:val="-13"/>
          <w:w w:val="105"/>
          <w:sz w:val="20"/>
        </w:rPr>
        <w:t> </w:t>
      </w:r>
      <w:r>
        <w:rPr>
          <w:w w:val="105"/>
          <w:sz w:val="20"/>
        </w:rPr>
        <w:t>as</w:t>
      </w:r>
      <w:r>
        <w:rPr>
          <w:spacing w:val="-13"/>
          <w:w w:val="105"/>
          <w:sz w:val="20"/>
        </w:rPr>
        <w:t> </w:t>
      </w:r>
      <w:r>
        <w:rPr>
          <w:w w:val="105"/>
          <w:sz w:val="20"/>
        </w:rPr>
        <w:t>meeting</w:t>
      </w:r>
      <w:r>
        <w:rPr>
          <w:spacing w:val="-13"/>
          <w:w w:val="105"/>
          <w:sz w:val="20"/>
        </w:rPr>
        <w:t> </w:t>
      </w:r>
      <w:r>
        <w:rPr>
          <w:w w:val="105"/>
          <w:sz w:val="20"/>
        </w:rPr>
        <w:t>the requirements for the award of National Diploma (ND).</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5"/>
        <w:rPr>
          <w:sz w:val="20"/>
        </w:rPr>
      </w:pPr>
    </w:p>
    <w:p>
      <w:pPr>
        <w:tabs>
          <w:tab w:pos="6887" w:val="left" w:leader="none"/>
        </w:tabs>
        <w:spacing w:before="0"/>
        <w:ind w:left="994" w:right="0" w:firstLine="0"/>
        <w:jc w:val="left"/>
        <w:rPr>
          <w:sz w:val="20"/>
        </w:rPr>
      </w:pPr>
      <w:r>
        <w:rPr>
          <w:spacing w:val="-2"/>
          <w:w w:val="105"/>
          <w:sz w:val="20"/>
        </w:rPr>
        <w:t>………………………………………</w:t>
      </w:r>
      <w:r>
        <w:rPr>
          <w:sz w:val="20"/>
        </w:rPr>
        <w:tab/>
      </w:r>
      <w:r>
        <w:rPr>
          <w:spacing w:val="-2"/>
          <w:w w:val="105"/>
          <w:sz w:val="20"/>
        </w:rPr>
        <w:t>……………………………</w:t>
      </w:r>
    </w:p>
    <w:p>
      <w:pPr>
        <w:tabs>
          <w:tab w:pos="7990" w:val="left" w:leader="none"/>
        </w:tabs>
        <w:spacing w:before="44"/>
        <w:ind w:left="1252" w:right="0" w:firstLine="0"/>
        <w:jc w:val="left"/>
        <w:rPr>
          <w:b/>
          <w:sz w:val="20"/>
        </w:rPr>
      </w:pPr>
      <w:r>
        <w:rPr>
          <w:b/>
          <w:spacing w:val="-2"/>
          <w:w w:val="105"/>
          <w:sz w:val="20"/>
        </w:rPr>
        <w:t>MR.</w:t>
      </w:r>
      <w:r>
        <w:rPr>
          <w:b/>
          <w:spacing w:val="-7"/>
          <w:w w:val="105"/>
          <w:sz w:val="20"/>
        </w:rPr>
        <w:t> </w:t>
      </w:r>
      <w:r>
        <w:rPr>
          <w:b/>
          <w:spacing w:val="-2"/>
          <w:w w:val="105"/>
          <w:sz w:val="20"/>
        </w:rPr>
        <w:t>SODIQ</w:t>
      </w:r>
      <w:r>
        <w:rPr>
          <w:b/>
          <w:spacing w:val="-7"/>
          <w:w w:val="105"/>
          <w:sz w:val="20"/>
        </w:rPr>
        <w:t> </w:t>
      </w:r>
      <w:r>
        <w:rPr>
          <w:b/>
          <w:spacing w:val="-2"/>
          <w:w w:val="105"/>
          <w:sz w:val="20"/>
        </w:rPr>
        <w:t>YUNUS</w:t>
      </w:r>
      <w:r>
        <w:rPr>
          <w:b/>
          <w:sz w:val="20"/>
        </w:rPr>
        <w:tab/>
      </w:r>
      <w:r>
        <w:rPr>
          <w:b/>
          <w:spacing w:val="-4"/>
          <w:w w:val="105"/>
          <w:sz w:val="20"/>
        </w:rPr>
        <w:t>DATE</w:t>
      </w:r>
    </w:p>
    <w:p>
      <w:pPr>
        <w:spacing w:before="43"/>
        <w:ind w:left="1304" w:right="0" w:firstLine="0"/>
        <w:jc w:val="left"/>
        <w:rPr>
          <w:sz w:val="20"/>
        </w:rPr>
      </w:pPr>
      <w:r>
        <w:rPr>
          <w:sz w:val="20"/>
        </w:rPr>
        <w:t>(Project</w:t>
      </w:r>
      <w:r>
        <w:rPr>
          <w:spacing w:val="11"/>
          <w:sz w:val="20"/>
        </w:rPr>
        <w:t> </w:t>
      </w:r>
      <w:r>
        <w:rPr>
          <w:spacing w:val="-2"/>
          <w:sz w:val="20"/>
        </w:rPr>
        <w:t>Supervisor)</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63"/>
        <w:rPr>
          <w:sz w:val="20"/>
        </w:rPr>
      </w:pPr>
    </w:p>
    <w:p>
      <w:pPr>
        <w:tabs>
          <w:tab w:pos="6991" w:val="left" w:leader="none"/>
        </w:tabs>
        <w:spacing w:before="1"/>
        <w:ind w:left="994" w:right="0" w:firstLine="0"/>
        <w:jc w:val="left"/>
        <w:rPr>
          <w:sz w:val="20"/>
        </w:rPr>
      </w:pPr>
      <w:r>
        <w:rPr>
          <w:spacing w:val="-2"/>
          <w:w w:val="105"/>
          <w:sz w:val="20"/>
        </w:rPr>
        <w:t>………………………………………</w:t>
      </w:r>
      <w:r>
        <w:rPr>
          <w:sz w:val="20"/>
        </w:rPr>
        <w:tab/>
      </w:r>
      <w:r>
        <w:rPr>
          <w:spacing w:val="-2"/>
          <w:w w:val="105"/>
          <w:sz w:val="20"/>
        </w:rPr>
        <w:t>……………………………</w:t>
      </w:r>
    </w:p>
    <w:p>
      <w:pPr>
        <w:tabs>
          <w:tab w:pos="8070" w:val="left" w:leader="none"/>
        </w:tabs>
        <w:spacing w:before="43"/>
        <w:ind w:left="1408" w:right="0" w:firstLine="0"/>
        <w:jc w:val="left"/>
        <w:rPr>
          <w:b/>
          <w:sz w:val="20"/>
        </w:rPr>
      </w:pPr>
      <w:r>
        <w:rPr>
          <w:b/>
          <w:w w:val="105"/>
          <w:sz w:val="20"/>
        </w:rPr>
        <w:t>MR.</w:t>
      </w:r>
      <w:r>
        <w:rPr>
          <w:b/>
          <w:spacing w:val="-12"/>
          <w:w w:val="105"/>
          <w:sz w:val="20"/>
        </w:rPr>
        <w:t> </w:t>
      </w:r>
      <w:r>
        <w:rPr>
          <w:b/>
          <w:spacing w:val="-2"/>
          <w:w w:val="105"/>
          <w:sz w:val="20"/>
        </w:rPr>
        <w:t>LUKMAN</w:t>
      </w:r>
      <w:r>
        <w:rPr>
          <w:b/>
          <w:sz w:val="20"/>
        </w:rPr>
        <w:tab/>
      </w:r>
      <w:r>
        <w:rPr>
          <w:b/>
          <w:spacing w:val="-4"/>
          <w:w w:val="105"/>
          <w:sz w:val="20"/>
        </w:rPr>
        <w:t>DATE</w:t>
      </w:r>
    </w:p>
    <w:p>
      <w:pPr>
        <w:spacing w:before="44"/>
        <w:ind w:left="1097" w:right="0" w:firstLine="0"/>
        <w:jc w:val="left"/>
        <w:rPr>
          <w:sz w:val="20"/>
        </w:rPr>
      </w:pPr>
      <w:r>
        <w:rPr>
          <w:spacing w:val="-4"/>
          <w:w w:val="105"/>
          <w:sz w:val="20"/>
        </w:rPr>
        <w:t>(SLT</w:t>
      </w:r>
      <w:r>
        <w:rPr>
          <w:spacing w:val="-8"/>
          <w:w w:val="105"/>
          <w:sz w:val="20"/>
        </w:rPr>
        <w:t> </w:t>
      </w:r>
      <w:r>
        <w:rPr>
          <w:spacing w:val="-4"/>
          <w:w w:val="105"/>
          <w:sz w:val="20"/>
        </w:rPr>
        <w:t>PT</w:t>
      </w:r>
      <w:r>
        <w:rPr>
          <w:spacing w:val="-8"/>
          <w:w w:val="105"/>
          <w:sz w:val="20"/>
        </w:rPr>
        <w:t> </w:t>
      </w:r>
      <w:r>
        <w:rPr>
          <w:spacing w:val="-4"/>
          <w:w w:val="105"/>
          <w:sz w:val="20"/>
        </w:rPr>
        <w:t>COORDINATOR)</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0"/>
        <w:rPr>
          <w:sz w:val="20"/>
        </w:rPr>
      </w:pPr>
    </w:p>
    <w:p>
      <w:pPr>
        <w:tabs>
          <w:tab w:pos="7042" w:val="left" w:leader="none"/>
        </w:tabs>
        <w:spacing w:before="0"/>
        <w:ind w:left="994" w:right="0" w:firstLine="0"/>
        <w:jc w:val="left"/>
        <w:rPr>
          <w:sz w:val="20"/>
        </w:rPr>
      </w:pPr>
      <w:r>
        <w:rPr>
          <w:spacing w:val="-2"/>
          <w:w w:val="105"/>
          <w:sz w:val="20"/>
        </w:rPr>
        <w:t>………………………………………</w:t>
      </w:r>
      <w:r>
        <w:rPr>
          <w:sz w:val="20"/>
        </w:rPr>
        <w:tab/>
      </w:r>
      <w:r>
        <w:rPr>
          <w:spacing w:val="-2"/>
          <w:w w:val="105"/>
          <w:sz w:val="20"/>
        </w:rPr>
        <w:t>……………………………</w:t>
      </w:r>
    </w:p>
    <w:p>
      <w:pPr>
        <w:tabs>
          <w:tab w:pos="8100" w:val="left" w:leader="none"/>
        </w:tabs>
        <w:spacing w:before="44"/>
        <w:ind w:left="1201" w:right="0" w:firstLine="0"/>
        <w:jc w:val="left"/>
        <w:rPr>
          <w:b/>
          <w:sz w:val="20"/>
        </w:rPr>
      </w:pPr>
      <w:r>
        <w:rPr>
          <w:b/>
          <w:sz w:val="20"/>
        </w:rPr>
        <w:t>EXTERNAL</w:t>
      </w:r>
      <w:r>
        <w:rPr>
          <w:b/>
          <w:spacing w:val="27"/>
          <w:sz w:val="20"/>
        </w:rPr>
        <w:t> </w:t>
      </w:r>
      <w:r>
        <w:rPr>
          <w:b/>
          <w:spacing w:val="-2"/>
          <w:sz w:val="20"/>
        </w:rPr>
        <w:t>EXAMINER</w:t>
      </w:r>
      <w:r>
        <w:rPr>
          <w:b/>
          <w:sz w:val="20"/>
        </w:rPr>
        <w:tab/>
      </w:r>
      <w:r>
        <w:rPr>
          <w:b/>
          <w:spacing w:val="-4"/>
          <w:sz w:val="20"/>
        </w:rPr>
        <w:t>DATE</w:t>
      </w:r>
    </w:p>
    <w:p>
      <w:pPr>
        <w:spacing w:after="0"/>
        <w:jc w:val="left"/>
        <w:rPr>
          <w:b/>
          <w:sz w:val="20"/>
        </w:rPr>
        <w:sectPr>
          <w:pgSz w:w="12240" w:h="15840"/>
          <w:pgMar w:top="1280" w:bottom="280" w:left="360" w:right="0"/>
        </w:sectPr>
      </w:pPr>
    </w:p>
    <w:p>
      <w:pPr>
        <w:spacing w:before="81"/>
        <w:ind w:left="1060" w:right="2459" w:firstLine="0"/>
        <w:jc w:val="center"/>
        <w:rPr>
          <w:b/>
          <w:sz w:val="20"/>
        </w:rPr>
      </w:pPr>
      <w:r>
        <w:rPr>
          <w:b/>
          <w:spacing w:val="-2"/>
          <w:w w:val="105"/>
          <w:sz w:val="20"/>
        </w:rPr>
        <w:t>DEDICATION</w:t>
      </w:r>
    </w:p>
    <w:p>
      <w:pPr>
        <w:pStyle w:val="BodyText"/>
        <w:rPr>
          <w:b/>
          <w:sz w:val="20"/>
        </w:rPr>
      </w:pPr>
    </w:p>
    <w:p>
      <w:pPr>
        <w:pStyle w:val="BodyText"/>
        <w:spacing w:before="130"/>
        <w:rPr>
          <w:b/>
          <w:sz w:val="20"/>
        </w:rPr>
      </w:pPr>
    </w:p>
    <w:p>
      <w:pPr>
        <w:spacing w:line="571" w:lineRule="auto" w:before="1"/>
        <w:ind w:left="994" w:right="2734" w:firstLine="0"/>
        <w:jc w:val="left"/>
        <w:rPr>
          <w:sz w:val="20"/>
        </w:rPr>
      </w:pPr>
      <w:r>
        <w:rPr>
          <w:w w:val="105"/>
          <w:sz w:val="20"/>
        </w:rPr>
        <w:t>This</w:t>
      </w:r>
      <w:r>
        <w:rPr>
          <w:spacing w:val="-2"/>
          <w:w w:val="105"/>
          <w:sz w:val="20"/>
        </w:rPr>
        <w:t> </w:t>
      </w:r>
      <w:r>
        <w:rPr>
          <w:w w:val="105"/>
          <w:sz w:val="20"/>
        </w:rPr>
        <w:t>project</w:t>
      </w:r>
      <w:r>
        <w:rPr>
          <w:spacing w:val="-2"/>
          <w:w w:val="105"/>
          <w:sz w:val="20"/>
        </w:rPr>
        <w:t> </w:t>
      </w:r>
      <w:r>
        <w:rPr>
          <w:w w:val="105"/>
          <w:sz w:val="20"/>
        </w:rPr>
        <w:t>work</w:t>
      </w:r>
      <w:r>
        <w:rPr>
          <w:spacing w:val="-2"/>
          <w:w w:val="105"/>
          <w:sz w:val="20"/>
        </w:rPr>
        <w:t> </w:t>
      </w:r>
      <w:r>
        <w:rPr>
          <w:w w:val="105"/>
          <w:sz w:val="20"/>
        </w:rPr>
        <w:t>is</w:t>
      </w:r>
      <w:r>
        <w:rPr>
          <w:spacing w:val="-2"/>
          <w:w w:val="105"/>
          <w:sz w:val="20"/>
        </w:rPr>
        <w:t> </w:t>
      </w:r>
      <w:r>
        <w:rPr>
          <w:w w:val="105"/>
          <w:sz w:val="20"/>
        </w:rPr>
        <w:t>dedicated</w:t>
      </w:r>
      <w:r>
        <w:rPr>
          <w:spacing w:val="-2"/>
          <w:w w:val="105"/>
          <w:sz w:val="20"/>
        </w:rPr>
        <w:t> </w:t>
      </w:r>
      <w:r>
        <w:rPr>
          <w:w w:val="105"/>
          <w:sz w:val="20"/>
        </w:rPr>
        <w:t>to</w:t>
      </w:r>
      <w:r>
        <w:rPr>
          <w:spacing w:val="-2"/>
          <w:w w:val="105"/>
          <w:sz w:val="20"/>
        </w:rPr>
        <w:t> </w:t>
      </w:r>
      <w:r>
        <w:rPr>
          <w:w w:val="105"/>
          <w:sz w:val="20"/>
        </w:rPr>
        <w:t>GOD</w:t>
      </w:r>
      <w:r>
        <w:rPr>
          <w:spacing w:val="-2"/>
          <w:w w:val="105"/>
          <w:sz w:val="20"/>
        </w:rPr>
        <w:t> </w:t>
      </w:r>
      <w:r>
        <w:rPr>
          <w:w w:val="105"/>
          <w:sz w:val="20"/>
        </w:rPr>
        <w:t>Almighty</w:t>
      </w:r>
      <w:r>
        <w:rPr>
          <w:spacing w:val="-2"/>
          <w:w w:val="105"/>
          <w:sz w:val="20"/>
        </w:rPr>
        <w:t> </w:t>
      </w:r>
      <w:r>
        <w:rPr>
          <w:w w:val="105"/>
          <w:sz w:val="20"/>
        </w:rPr>
        <w:t>the</w:t>
      </w:r>
      <w:r>
        <w:rPr>
          <w:spacing w:val="-2"/>
          <w:w w:val="105"/>
          <w:sz w:val="20"/>
        </w:rPr>
        <w:t> </w:t>
      </w:r>
      <w:r>
        <w:rPr>
          <w:w w:val="105"/>
          <w:sz w:val="20"/>
        </w:rPr>
        <w:t>giver</w:t>
      </w:r>
      <w:r>
        <w:rPr>
          <w:spacing w:val="-2"/>
          <w:w w:val="105"/>
          <w:sz w:val="20"/>
        </w:rPr>
        <w:t> </w:t>
      </w:r>
      <w:r>
        <w:rPr>
          <w:w w:val="105"/>
          <w:sz w:val="20"/>
        </w:rPr>
        <w:t>of</w:t>
      </w:r>
      <w:r>
        <w:rPr>
          <w:spacing w:val="-2"/>
          <w:w w:val="105"/>
          <w:sz w:val="20"/>
        </w:rPr>
        <w:t> </w:t>
      </w:r>
      <w:r>
        <w:rPr>
          <w:w w:val="105"/>
          <w:sz w:val="20"/>
        </w:rPr>
        <w:t>life,</w:t>
      </w:r>
      <w:r>
        <w:rPr>
          <w:spacing w:val="-2"/>
          <w:w w:val="105"/>
          <w:sz w:val="20"/>
        </w:rPr>
        <w:t> </w:t>
      </w:r>
      <w:r>
        <w:rPr>
          <w:w w:val="105"/>
          <w:sz w:val="20"/>
        </w:rPr>
        <w:t>knowledge,</w:t>
      </w:r>
      <w:r>
        <w:rPr>
          <w:spacing w:val="-2"/>
          <w:w w:val="105"/>
          <w:sz w:val="20"/>
        </w:rPr>
        <w:t> </w:t>
      </w:r>
      <w:r>
        <w:rPr>
          <w:w w:val="105"/>
          <w:sz w:val="20"/>
        </w:rPr>
        <w:t>wisdom,</w:t>
      </w:r>
      <w:r>
        <w:rPr>
          <w:spacing w:val="-2"/>
          <w:w w:val="105"/>
          <w:sz w:val="20"/>
        </w:rPr>
        <w:t> </w:t>
      </w:r>
      <w:r>
        <w:rPr>
          <w:w w:val="105"/>
          <w:sz w:val="20"/>
        </w:rPr>
        <w:t>and understanding</w:t>
      </w:r>
      <w:r>
        <w:rPr>
          <w:spacing w:val="-10"/>
          <w:w w:val="105"/>
          <w:sz w:val="20"/>
        </w:rPr>
        <w:t> </w:t>
      </w:r>
      <w:r>
        <w:rPr>
          <w:w w:val="105"/>
          <w:sz w:val="20"/>
        </w:rPr>
        <w:t>to</w:t>
      </w:r>
      <w:r>
        <w:rPr>
          <w:spacing w:val="-10"/>
          <w:w w:val="105"/>
          <w:sz w:val="20"/>
        </w:rPr>
        <w:t> </w:t>
      </w:r>
      <w:r>
        <w:rPr>
          <w:w w:val="105"/>
          <w:sz w:val="20"/>
        </w:rPr>
        <w:t>succeed</w:t>
      </w:r>
      <w:r>
        <w:rPr>
          <w:spacing w:val="-10"/>
          <w:w w:val="105"/>
          <w:sz w:val="20"/>
        </w:rPr>
        <w:t> </w:t>
      </w:r>
      <w:r>
        <w:rPr>
          <w:w w:val="105"/>
          <w:sz w:val="20"/>
        </w:rPr>
        <w:t>in</w:t>
      </w:r>
      <w:r>
        <w:rPr>
          <w:spacing w:val="-10"/>
          <w:w w:val="105"/>
          <w:sz w:val="20"/>
        </w:rPr>
        <w:t> </w:t>
      </w:r>
      <w:r>
        <w:rPr>
          <w:w w:val="105"/>
          <w:sz w:val="20"/>
        </w:rPr>
        <w:t>our</w:t>
      </w:r>
      <w:r>
        <w:rPr>
          <w:spacing w:val="-10"/>
          <w:w w:val="105"/>
          <w:sz w:val="20"/>
        </w:rPr>
        <w:t> </w:t>
      </w:r>
      <w:r>
        <w:rPr>
          <w:w w:val="105"/>
          <w:sz w:val="20"/>
        </w:rPr>
        <w:t>field</w:t>
      </w:r>
      <w:r>
        <w:rPr>
          <w:spacing w:val="-10"/>
          <w:w w:val="105"/>
          <w:sz w:val="20"/>
        </w:rPr>
        <w:t> </w:t>
      </w:r>
      <w:r>
        <w:rPr>
          <w:w w:val="105"/>
          <w:sz w:val="20"/>
        </w:rPr>
        <w:t>of</w:t>
      </w:r>
      <w:r>
        <w:rPr>
          <w:spacing w:val="-10"/>
          <w:w w:val="105"/>
          <w:sz w:val="20"/>
        </w:rPr>
        <w:t> </w:t>
      </w:r>
      <w:r>
        <w:rPr>
          <w:w w:val="105"/>
          <w:sz w:val="20"/>
        </w:rPr>
        <w:t>study</w:t>
      </w:r>
      <w:r>
        <w:rPr>
          <w:spacing w:val="-10"/>
          <w:w w:val="105"/>
          <w:sz w:val="20"/>
        </w:rPr>
        <w:t> </w:t>
      </w:r>
      <w:r>
        <w:rPr>
          <w:w w:val="105"/>
          <w:sz w:val="20"/>
        </w:rPr>
        <w:t>and</w:t>
      </w:r>
      <w:r>
        <w:rPr>
          <w:spacing w:val="-10"/>
          <w:w w:val="105"/>
          <w:sz w:val="20"/>
        </w:rPr>
        <w:t> </w:t>
      </w:r>
      <w:r>
        <w:rPr>
          <w:w w:val="105"/>
          <w:sz w:val="20"/>
        </w:rPr>
        <w:t>also</w:t>
      </w:r>
      <w:r>
        <w:rPr>
          <w:spacing w:val="-10"/>
          <w:w w:val="105"/>
          <w:sz w:val="20"/>
        </w:rPr>
        <w:t> </w:t>
      </w:r>
      <w:r>
        <w:rPr>
          <w:w w:val="105"/>
          <w:sz w:val="20"/>
        </w:rPr>
        <w:t>to</w:t>
      </w:r>
      <w:r>
        <w:rPr>
          <w:spacing w:val="-10"/>
          <w:w w:val="105"/>
          <w:sz w:val="20"/>
        </w:rPr>
        <w:t> </w:t>
      </w:r>
      <w:r>
        <w:rPr>
          <w:w w:val="105"/>
          <w:sz w:val="20"/>
        </w:rPr>
        <w:t>our</w:t>
      </w:r>
      <w:r>
        <w:rPr>
          <w:spacing w:val="-10"/>
          <w:w w:val="105"/>
          <w:sz w:val="20"/>
        </w:rPr>
        <w:t> </w:t>
      </w:r>
      <w:r>
        <w:rPr>
          <w:w w:val="105"/>
          <w:sz w:val="20"/>
        </w:rPr>
        <w:t>beloved</w:t>
      </w:r>
      <w:r>
        <w:rPr>
          <w:spacing w:val="-10"/>
          <w:w w:val="105"/>
          <w:sz w:val="20"/>
        </w:rPr>
        <w:t> </w:t>
      </w:r>
      <w:r>
        <w:rPr>
          <w:w w:val="105"/>
          <w:sz w:val="20"/>
        </w:rPr>
        <w:t>parents</w:t>
      </w:r>
      <w:r>
        <w:rPr>
          <w:spacing w:val="-10"/>
          <w:w w:val="105"/>
          <w:sz w:val="20"/>
        </w:rPr>
        <w:t> </w:t>
      </w:r>
      <w:r>
        <w:rPr>
          <w:w w:val="105"/>
          <w:sz w:val="20"/>
        </w:rPr>
        <w:t>who</w:t>
      </w:r>
      <w:r>
        <w:rPr>
          <w:spacing w:val="-10"/>
          <w:w w:val="105"/>
          <w:sz w:val="20"/>
        </w:rPr>
        <w:t> </w:t>
      </w:r>
      <w:r>
        <w:rPr>
          <w:w w:val="105"/>
          <w:sz w:val="20"/>
        </w:rPr>
        <w:t>have</w:t>
      </w:r>
      <w:r>
        <w:rPr>
          <w:spacing w:val="-10"/>
          <w:w w:val="105"/>
          <w:sz w:val="20"/>
        </w:rPr>
        <w:t> </w:t>
      </w:r>
      <w:r>
        <w:rPr>
          <w:w w:val="105"/>
          <w:sz w:val="20"/>
        </w:rPr>
        <w:t>made</w:t>
      </w:r>
      <w:r>
        <w:rPr>
          <w:spacing w:val="-10"/>
          <w:w w:val="105"/>
          <w:sz w:val="20"/>
        </w:rPr>
        <w:t> </w:t>
      </w:r>
      <w:r>
        <w:rPr>
          <w:w w:val="105"/>
          <w:sz w:val="20"/>
        </w:rPr>
        <w:t>the journey</w:t>
      </w:r>
      <w:r>
        <w:rPr>
          <w:spacing w:val="-3"/>
          <w:w w:val="105"/>
          <w:sz w:val="20"/>
        </w:rPr>
        <w:t> </w:t>
      </w:r>
      <w:r>
        <w:rPr>
          <w:w w:val="105"/>
          <w:sz w:val="20"/>
        </w:rPr>
        <w:t>so</w:t>
      </w:r>
      <w:r>
        <w:rPr>
          <w:spacing w:val="40"/>
          <w:w w:val="105"/>
          <w:sz w:val="20"/>
        </w:rPr>
        <w:t> </w:t>
      </w:r>
      <w:r>
        <w:rPr>
          <w:w w:val="105"/>
          <w:sz w:val="20"/>
        </w:rPr>
        <w:t>easy</w:t>
      </w:r>
      <w:r>
        <w:rPr>
          <w:spacing w:val="-3"/>
          <w:w w:val="105"/>
          <w:sz w:val="20"/>
        </w:rPr>
        <w:t> </w:t>
      </w:r>
      <w:r>
        <w:rPr>
          <w:w w:val="105"/>
          <w:sz w:val="20"/>
        </w:rPr>
        <w:t>and</w:t>
      </w:r>
      <w:r>
        <w:rPr>
          <w:spacing w:val="-3"/>
          <w:w w:val="105"/>
          <w:sz w:val="20"/>
        </w:rPr>
        <w:t> </w:t>
      </w:r>
      <w:r>
        <w:rPr>
          <w:w w:val="105"/>
          <w:sz w:val="20"/>
        </w:rPr>
        <w:t>successful</w:t>
      </w:r>
      <w:r>
        <w:rPr>
          <w:spacing w:val="-3"/>
          <w:w w:val="105"/>
          <w:sz w:val="20"/>
        </w:rPr>
        <w:t> </w:t>
      </w:r>
      <w:r>
        <w:rPr>
          <w:w w:val="105"/>
          <w:sz w:val="20"/>
        </w:rPr>
        <w:t>one,</w:t>
      </w:r>
      <w:r>
        <w:rPr>
          <w:spacing w:val="-3"/>
          <w:w w:val="105"/>
          <w:sz w:val="20"/>
        </w:rPr>
        <w:t> </w:t>
      </w:r>
      <w:r>
        <w:rPr>
          <w:w w:val="105"/>
          <w:sz w:val="20"/>
        </w:rPr>
        <w:t>who</w:t>
      </w:r>
      <w:r>
        <w:rPr>
          <w:spacing w:val="-3"/>
          <w:w w:val="105"/>
          <w:sz w:val="20"/>
        </w:rPr>
        <w:t> </w:t>
      </w:r>
      <w:r>
        <w:rPr>
          <w:w w:val="105"/>
          <w:sz w:val="20"/>
        </w:rPr>
        <w:t>continually</w:t>
      </w:r>
      <w:r>
        <w:rPr>
          <w:spacing w:val="-3"/>
          <w:w w:val="105"/>
          <w:sz w:val="20"/>
        </w:rPr>
        <w:t> </w:t>
      </w:r>
      <w:r>
        <w:rPr>
          <w:w w:val="105"/>
          <w:sz w:val="20"/>
        </w:rPr>
        <w:t>provide</w:t>
      </w:r>
      <w:r>
        <w:rPr>
          <w:spacing w:val="-3"/>
          <w:w w:val="105"/>
          <w:sz w:val="20"/>
        </w:rPr>
        <w:t> </w:t>
      </w:r>
      <w:r>
        <w:rPr>
          <w:w w:val="105"/>
          <w:sz w:val="20"/>
        </w:rPr>
        <w:t>their</w:t>
      </w:r>
      <w:r>
        <w:rPr>
          <w:spacing w:val="-3"/>
          <w:w w:val="105"/>
          <w:sz w:val="20"/>
        </w:rPr>
        <w:t> </w:t>
      </w:r>
      <w:r>
        <w:rPr>
          <w:w w:val="105"/>
          <w:sz w:val="20"/>
        </w:rPr>
        <w:t>moral,</w:t>
      </w:r>
      <w:r>
        <w:rPr>
          <w:spacing w:val="-3"/>
          <w:w w:val="105"/>
          <w:sz w:val="20"/>
        </w:rPr>
        <w:t> </w:t>
      </w:r>
      <w:r>
        <w:rPr>
          <w:w w:val="105"/>
          <w:sz w:val="20"/>
        </w:rPr>
        <w:t>spiritual,</w:t>
      </w:r>
      <w:r>
        <w:rPr>
          <w:spacing w:val="-3"/>
          <w:w w:val="105"/>
          <w:sz w:val="20"/>
        </w:rPr>
        <w:t> </w:t>
      </w:r>
      <w:r>
        <w:rPr>
          <w:w w:val="105"/>
          <w:sz w:val="20"/>
        </w:rPr>
        <w:t>emotional,</w:t>
      </w:r>
      <w:r>
        <w:rPr>
          <w:w w:val="105"/>
          <w:sz w:val="20"/>
        </w:rPr>
        <w:t> and financial support.</w:t>
      </w:r>
    </w:p>
    <w:p>
      <w:pPr>
        <w:spacing w:after="0" w:line="571" w:lineRule="auto"/>
        <w:jc w:val="left"/>
        <w:rPr>
          <w:sz w:val="20"/>
        </w:rPr>
        <w:sectPr>
          <w:footerReference w:type="default" r:id="rId6"/>
          <w:pgSz w:w="12240" w:h="15840"/>
          <w:pgMar w:header="0" w:footer="739" w:top="1280" w:bottom="920" w:left="360" w:right="0"/>
          <w:pgNumType w:start="3"/>
        </w:sectPr>
      </w:pPr>
    </w:p>
    <w:p>
      <w:pPr>
        <w:spacing w:before="77"/>
        <w:ind w:left="3762" w:right="0" w:firstLine="0"/>
        <w:jc w:val="left"/>
        <w:rPr>
          <w:b/>
          <w:sz w:val="26"/>
        </w:rPr>
      </w:pPr>
      <w:r>
        <w:rPr>
          <w:b/>
          <w:spacing w:val="-2"/>
          <w:sz w:val="26"/>
        </w:rPr>
        <w:t>ACKNOWLEDGEMENT</w:t>
      </w:r>
    </w:p>
    <w:p>
      <w:pPr>
        <w:pStyle w:val="BodyText"/>
        <w:spacing w:before="27"/>
        <w:rPr>
          <w:b/>
          <w:sz w:val="26"/>
        </w:rPr>
      </w:pPr>
    </w:p>
    <w:p>
      <w:pPr>
        <w:spacing w:line="571" w:lineRule="auto" w:before="1"/>
        <w:ind w:left="994" w:right="2327" w:firstLine="361"/>
        <w:jc w:val="left"/>
        <w:rPr>
          <w:sz w:val="20"/>
        </w:rPr>
      </w:pPr>
      <w:r>
        <w:rPr>
          <w:w w:val="105"/>
          <w:sz w:val="20"/>
        </w:rPr>
        <w:t>I</w:t>
      </w:r>
      <w:r>
        <w:rPr>
          <w:spacing w:val="-11"/>
          <w:w w:val="105"/>
          <w:sz w:val="20"/>
        </w:rPr>
        <w:t> </w:t>
      </w:r>
      <w:r>
        <w:rPr>
          <w:w w:val="105"/>
          <w:sz w:val="20"/>
        </w:rPr>
        <w:t>am</w:t>
      </w:r>
      <w:r>
        <w:rPr>
          <w:spacing w:val="-11"/>
          <w:w w:val="105"/>
          <w:sz w:val="20"/>
        </w:rPr>
        <w:t> </w:t>
      </w:r>
      <w:r>
        <w:rPr>
          <w:w w:val="105"/>
          <w:sz w:val="20"/>
        </w:rPr>
        <w:t>grateful</w:t>
      </w:r>
      <w:r>
        <w:rPr>
          <w:spacing w:val="-11"/>
          <w:w w:val="105"/>
          <w:sz w:val="20"/>
        </w:rPr>
        <w:t> </w:t>
      </w:r>
      <w:r>
        <w:rPr>
          <w:w w:val="105"/>
          <w:sz w:val="20"/>
        </w:rPr>
        <w:t>to</w:t>
      </w:r>
      <w:r>
        <w:rPr>
          <w:spacing w:val="-11"/>
          <w:w w:val="105"/>
          <w:sz w:val="20"/>
        </w:rPr>
        <w:t> </w:t>
      </w:r>
      <w:r>
        <w:rPr>
          <w:w w:val="105"/>
          <w:sz w:val="20"/>
        </w:rPr>
        <w:t>God</w:t>
      </w:r>
      <w:r>
        <w:rPr>
          <w:spacing w:val="-11"/>
          <w:w w:val="105"/>
          <w:sz w:val="20"/>
        </w:rPr>
        <w:t> </w:t>
      </w:r>
      <w:r>
        <w:rPr>
          <w:w w:val="105"/>
          <w:sz w:val="20"/>
        </w:rPr>
        <w:t>for</w:t>
      </w:r>
      <w:r>
        <w:rPr>
          <w:spacing w:val="-11"/>
          <w:w w:val="105"/>
          <w:sz w:val="20"/>
        </w:rPr>
        <w:t> </w:t>
      </w:r>
      <w:r>
        <w:rPr>
          <w:w w:val="105"/>
          <w:sz w:val="20"/>
        </w:rPr>
        <w:t>giving</w:t>
      </w:r>
      <w:r>
        <w:rPr>
          <w:spacing w:val="-11"/>
          <w:w w:val="105"/>
          <w:sz w:val="20"/>
        </w:rPr>
        <w:t> </w:t>
      </w:r>
      <w:r>
        <w:rPr>
          <w:w w:val="105"/>
          <w:sz w:val="20"/>
        </w:rPr>
        <w:t>me</w:t>
      </w:r>
      <w:r>
        <w:rPr>
          <w:spacing w:val="-11"/>
          <w:w w:val="105"/>
          <w:sz w:val="20"/>
        </w:rPr>
        <w:t> </w:t>
      </w:r>
      <w:r>
        <w:rPr>
          <w:w w:val="105"/>
          <w:sz w:val="20"/>
        </w:rPr>
        <w:t>the</w:t>
      </w:r>
      <w:r>
        <w:rPr>
          <w:spacing w:val="-11"/>
          <w:w w:val="105"/>
          <w:sz w:val="20"/>
        </w:rPr>
        <w:t> </w:t>
      </w:r>
      <w:r>
        <w:rPr>
          <w:w w:val="105"/>
          <w:sz w:val="20"/>
        </w:rPr>
        <w:t>strength,</w:t>
      </w:r>
      <w:r>
        <w:rPr>
          <w:spacing w:val="-11"/>
          <w:w w:val="105"/>
          <w:sz w:val="20"/>
        </w:rPr>
        <w:t> </w:t>
      </w:r>
      <w:r>
        <w:rPr>
          <w:w w:val="105"/>
          <w:sz w:val="20"/>
        </w:rPr>
        <w:t>knowledge</w:t>
      </w:r>
      <w:r>
        <w:rPr>
          <w:spacing w:val="-11"/>
          <w:w w:val="105"/>
          <w:sz w:val="20"/>
        </w:rPr>
        <w:t> </w:t>
      </w:r>
      <w:r>
        <w:rPr>
          <w:w w:val="105"/>
          <w:sz w:val="20"/>
        </w:rPr>
        <w:t>and</w:t>
      </w:r>
      <w:r>
        <w:rPr>
          <w:spacing w:val="-11"/>
          <w:w w:val="105"/>
          <w:sz w:val="20"/>
        </w:rPr>
        <w:t> </w:t>
      </w:r>
      <w:r>
        <w:rPr>
          <w:w w:val="105"/>
          <w:sz w:val="20"/>
        </w:rPr>
        <w:t>understanding</w:t>
      </w:r>
      <w:r>
        <w:rPr>
          <w:spacing w:val="-11"/>
          <w:w w:val="105"/>
          <w:sz w:val="20"/>
        </w:rPr>
        <w:t> </w:t>
      </w:r>
      <w:r>
        <w:rPr>
          <w:w w:val="105"/>
          <w:sz w:val="20"/>
        </w:rPr>
        <w:t>to</w:t>
      </w:r>
      <w:r>
        <w:rPr>
          <w:spacing w:val="-11"/>
          <w:w w:val="105"/>
          <w:sz w:val="20"/>
        </w:rPr>
        <w:t> </w:t>
      </w:r>
      <w:r>
        <w:rPr>
          <w:w w:val="105"/>
          <w:sz w:val="20"/>
        </w:rPr>
        <w:t>complete</w:t>
      </w:r>
      <w:r>
        <w:rPr>
          <w:spacing w:val="-11"/>
          <w:w w:val="105"/>
          <w:sz w:val="20"/>
        </w:rPr>
        <w:t> </w:t>
      </w:r>
      <w:r>
        <w:rPr>
          <w:w w:val="105"/>
          <w:sz w:val="20"/>
        </w:rPr>
        <w:t>this project work. His love has been more than sufficient to keep and sustain me.</w:t>
      </w:r>
    </w:p>
    <w:p>
      <w:pPr>
        <w:spacing w:line="571" w:lineRule="auto" w:before="0"/>
        <w:ind w:left="994" w:right="2327" w:firstLine="310"/>
        <w:jc w:val="left"/>
        <w:rPr>
          <w:sz w:val="20"/>
        </w:rPr>
      </w:pPr>
      <w:r>
        <w:rPr>
          <w:w w:val="105"/>
          <w:sz w:val="20"/>
        </w:rPr>
        <w:t>My</w:t>
      </w:r>
      <w:r>
        <w:rPr>
          <w:spacing w:val="-14"/>
          <w:w w:val="105"/>
          <w:sz w:val="20"/>
        </w:rPr>
        <w:t> </w:t>
      </w:r>
      <w:r>
        <w:rPr>
          <w:w w:val="105"/>
          <w:sz w:val="20"/>
        </w:rPr>
        <w:t>profound</w:t>
      </w:r>
      <w:r>
        <w:rPr>
          <w:spacing w:val="-13"/>
          <w:w w:val="105"/>
          <w:sz w:val="20"/>
        </w:rPr>
        <w:t> </w:t>
      </w:r>
      <w:r>
        <w:rPr>
          <w:w w:val="105"/>
          <w:sz w:val="20"/>
        </w:rPr>
        <w:t>gratitude</w:t>
      </w:r>
      <w:r>
        <w:rPr>
          <w:spacing w:val="-13"/>
          <w:w w:val="105"/>
          <w:sz w:val="20"/>
        </w:rPr>
        <w:t> </w:t>
      </w:r>
      <w:r>
        <w:rPr>
          <w:w w:val="105"/>
          <w:sz w:val="20"/>
        </w:rPr>
        <w:t>goes</w:t>
      </w:r>
      <w:r>
        <w:rPr>
          <w:spacing w:val="-13"/>
          <w:w w:val="105"/>
          <w:sz w:val="20"/>
        </w:rPr>
        <w:t> </w:t>
      </w:r>
      <w:r>
        <w:rPr>
          <w:w w:val="105"/>
          <w:sz w:val="20"/>
        </w:rPr>
        <w:t>to</w:t>
      </w:r>
      <w:r>
        <w:rPr>
          <w:spacing w:val="-13"/>
          <w:w w:val="105"/>
          <w:sz w:val="20"/>
        </w:rPr>
        <w:t> </w:t>
      </w:r>
      <w:r>
        <w:rPr>
          <w:w w:val="105"/>
          <w:sz w:val="20"/>
        </w:rPr>
        <w:t>my</w:t>
      </w:r>
      <w:r>
        <w:rPr>
          <w:spacing w:val="-13"/>
          <w:w w:val="105"/>
          <w:sz w:val="20"/>
        </w:rPr>
        <w:t> </w:t>
      </w:r>
      <w:r>
        <w:rPr>
          <w:w w:val="105"/>
          <w:sz w:val="20"/>
        </w:rPr>
        <w:t>wonderful</w:t>
      </w:r>
      <w:r>
        <w:rPr>
          <w:spacing w:val="-13"/>
          <w:w w:val="105"/>
          <w:sz w:val="20"/>
        </w:rPr>
        <w:t> </w:t>
      </w:r>
      <w:r>
        <w:rPr>
          <w:w w:val="105"/>
          <w:sz w:val="20"/>
        </w:rPr>
        <w:t>supervisor</w:t>
      </w:r>
      <w:r>
        <w:rPr>
          <w:spacing w:val="-13"/>
          <w:w w:val="105"/>
          <w:sz w:val="20"/>
        </w:rPr>
        <w:t> </w:t>
      </w:r>
      <w:r>
        <w:rPr>
          <w:w w:val="105"/>
          <w:sz w:val="20"/>
        </w:rPr>
        <w:t>Mr.</w:t>
      </w:r>
      <w:r>
        <w:rPr>
          <w:spacing w:val="-14"/>
          <w:w w:val="105"/>
          <w:sz w:val="20"/>
        </w:rPr>
        <w:t> </w:t>
      </w:r>
      <w:r>
        <w:rPr>
          <w:w w:val="105"/>
          <w:sz w:val="20"/>
        </w:rPr>
        <w:t>Yunus</w:t>
      </w:r>
      <w:r>
        <w:rPr>
          <w:spacing w:val="-13"/>
          <w:w w:val="105"/>
          <w:sz w:val="20"/>
        </w:rPr>
        <w:t> </w:t>
      </w:r>
      <w:r>
        <w:rPr>
          <w:w w:val="105"/>
          <w:sz w:val="20"/>
        </w:rPr>
        <w:t>Sodiq</w:t>
      </w:r>
      <w:r>
        <w:rPr>
          <w:spacing w:val="-13"/>
          <w:w w:val="105"/>
          <w:sz w:val="20"/>
        </w:rPr>
        <w:t> </w:t>
      </w:r>
      <w:r>
        <w:rPr>
          <w:w w:val="105"/>
          <w:sz w:val="20"/>
        </w:rPr>
        <w:t>for</w:t>
      </w:r>
      <w:r>
        <w:rPr>
          <w:spacing w:val="-13"/>
          <w:w w:val="105"/>
          <w:sz w:val="20"/>
        </w:rPr>
        <w:t> </w:t>
      </w:r>
      <w:r>
        <w:rPr>
          <w:w w:val="105"/>
          <w:sz w:val="20"/>
        </w:rPr>
        <w:t>his</w:t>
      </w:r>
      <w:r>
        <w:rPr>
          <w:spacing w:val="-13"/>
          <w:w w:val="105"/>
          <w:sz w:val="20"/>
        </w:rPr>
        <w:t> </w:t>
      </w:r>
      <w:r>
        <w:rPr>
          <w:w w:val="105"/>
          <w:sz w:val="20"/>
        </w:rPr>
        <w:t>invaluable support,</w:t>
      </w:r>
      <w:r>
        <w:rPr>
          <w:spacing w:val="-2"/>
          <w:w w:val="105"/>
          <w:sz w:val="20"/>
        </w:rPr>
        <w:t> </w:t>
      </w:r>
      <w:r>
        <w:rPr>
          <w:w w:val="105"/>
          <w:sz w:val="20"/>
        </w:rPr>
        <w:t>patience,</w:t>
      </w:r>
      <w:r>
        <w:rPr>
          <w:spacing w:val="-2"/>
          <w:w w:val="105"/>
          <w:sz w:val="20"/>
        </w:rPr>
        <w:t> </w:t>
      </w:r>
      <w:r>
        <w:rPr>
          <w:w w:val="105"/>
          <w:sz w:val="20"/>
        </w:rPr>
        <w:t>time</w:t>
      </w:r>
      <w:r>
        <w:rPr>
          <w:spacing w:val="-2"/>
          <w:w w:val="105"/>
          <w:sz w:val="20"/>
        </w:rPr>
        <w:t> </w:t>
      </w:r>
      <w:r>
        <w:rPr>
          <w:w w:val="105"/>
          <w:sz w:val="20"/>
        </w:rPr>
        <w:t>and</w:t>
      </w:r>
      <w:r>
        <w:rPr>
          <w:spacing w:val="-2"/>
          <w:w w:val="105"/>
          <w:sz w:val="20"/>
        </w:rPr>
        <w:t> </w:t>
      </w:r>
      <w:r>
        <w:rPr>
          <w:w w:val="105"/>
          <w:sz w:val="20"/>
        </w:rPr>
        <w:t>guidance</w:t>
      </w:r>
      <w:r>
        <w:rPr>
          <w:spacing w:val="-2"/>
          <w:w w:val="105"/>
          <w:sz w:val="20"/>
        </w:rPr>
        <w:t> </w:t>
      </w:r>
      <w:r>
        <w:rPr>
          <w:w w:val="105"/>
          <w:sz w:val="20"/>
        </w:rPr>
        <w:t>in</w:t>
      </w:r>
      <w:r>
        <w:rPr>
          <w:spacing w:val="-2"/>
          <w:w w:val="105"/>
          <w:sz w:val="20"/>
        </w:rPr>
        <w:t> </w:t>
      </w:r>
      <w:r>
        <w:rPr>
          <w:w w:val="105"/>
          <w:sz w:val="20"/>
        </w:rPr>
        <w:t>seeing</w:t>
      </w:r>
      <w:r>
        <w:rPr>
          <w:spacing w:val="-2"/>
          <w:w w:val="105"/>
          <w:sz w:val="20"/>
        </w:rPr>
        <w:t> </w:t>
      </w:r>
      <w:r>
        <w:rPr>
          <w:w w:val="105"/>
          <w:sz w:val="20"/>
        </w:rPr>
        <w:t>me</w:t>
      </w:r>
      <w:r>
        <w:rPr>
          <w:spacing w:val="-2"/>
          <w:w w:val="105"/>
          <w:sz w:val="20"/>
        </w:rPr>
        <w:t> </w:t>
      </w:r>
      <w:r>
        <w:rPr>
          <w:w w:val="105"/>
          <w:sz w:val="20"/>
        </w:rPr>
        <w:t>to</w:t>
      </w:r>
      <w:r>
        <w:rPr>
          <w:spacing w:val="-2"/>
          <w:w w:val="105"/>
          <w:sz w:val="20"/>
        </w:rPr>
        <w:t> </w:t>
      </w:r>
      <w:r>
        <w:rPr>
          <w:w w:val="105"/>
          <w:sz w:val="20"/>
        </w:rPr>
        <w:t>the</w:t>
      </w:r>
      <w:r>
        <w:rPr>
          <w:spacing w:val="-2"/>
          <w:w w:val="105"/>
          <w:sz w:val="20"/>
        </w:rPr>
        <w:t> </w:t>
      </w:r>
      <w:r>
        <w:rPr>
          <w:w w:val="105"/>
          <w:sz w:val="20"/>
        </w:rPr>
        <w:t>completion</w:t>
      </w:r>
      <w:r>
        <w:rPr>
          <w:spacing w:val="-2"/>
          <w:w w:val="105"/>
          <w:sz w:val="20"/>
        </w:rPr>
        <w:t> </w:t>
      </w:r>
      <w:r>
        <w:rPr>
          <w:w w:val="105"/>
          <w:sz w:val="20"/>
        </w:rPr>
        <w:t>of</w:t>
      </w:r>
      <w:r>
        <w:rPr>
          <w:spacing w:val="-2"/>
          <w:w w:val="105"/>
          <w:sz w:val="20"/>
        </w:rPr>
        <w:t> </w:t>
      </w:r>
      <w:r>
        <w:rPr>
          <w:w w:val="105"/>
          <w:sz w:val="20"/>
        </w:rPr>
        <w:t>this</w:t>
      </w:r>
      <w:r>
        <w:rPr>
          <w:spacing w:val="-2"/>
          <w:w w:val="105"/>
          <w:sz w:val="20"/>
        </w:rPr>
        <w:t> </w:t>
      </w:r>
      <w:r>
        <w:rPr>
          <w:w w:val="105"/>
          <w:sz w:val="20"/>
        </w:rPr>
        <w:t>research</w:t>
      </w:r>
      <w:r>
        <w:rPr>
          <w:spacing w:val="-2"/>
          <w:w w:val="105"/>
          <w:sz w:val="20"/>
        </w:rPr>
        <w:t> </w:t>
      </w:r>
      <w:r>
        <w:rPr>
          <w:w w:val="105"/>
          <w:sz w:val="20"/>
        </w:rPr>
        <w:t>work.</w:t>
      </w:r>
    </w:p>
    <w:p>
      <w:pPr>
        <w:spacing w:line="571" w:lineRule="auto" w:before="0"/>
        <w:ind w:left="1046" w:right="2327" w:firstLine="465"/>
        <w:jc w:val="left"/>
        <w:rPr>
          <w:sz w:val="20"/>
        </w:rPr>
      </w:pPr>
      <w:r>
        <w:rPr>
          <w:w w:val="105"/>
          <w:sz w:val="20"/>
        </w:rPr>
        <w:t>I</w:t>
      </w:r>
      <w:r>
        <w:rPr>
          <w:spacing w:val="-12"/>
          <w:w w:val="105"/>
          <w:sz w:val="20"/>
        </w:rPr>
        <w:t> </w:t>
      </w:r>
      <w:r>
        <w:rPr>
          <w:w w:val="105"/>
          <w:sz w:val="20"/>
        </w:rPr>
        <w:t>also</w:t>
      </w:r>
      <w:r>
        <w:rPr>
          <w:spacing w:val="-12"/>
          <w:w w:val="105"/>
          <w:sz w:val="20"/>
        </w:rPr>
        <w:t> </w:t>
      </w:r>
      <w:r>
        <w:rPr>
          <w:w w:val="105"/>
          <w:sz w:val="20"/>
        </w:rPr>
        <w:t>wish</w:t>
      </w:r>
      <w:r>
        <w:rPr>
          <w:spacing w:val="-12"/>
          <w:w w:val="105"/>
          <w:sz w:val="20"/>
        </w:rPr>
        <w:t> </w:t>
      </w:r>
      <w:r>
        <w:rPr>
          <w:w w:val="105"/>
          <w:sz w:val="20"/>
        </w:rPr>
        <w:t>to</w:t>
      </w:r>
      <w:r>
        <w:rPr>
          <w:spacing w:val="-12"/>
          <w:w w:val="105"/>
          <w:sz w:val="20"/>
        </w:rPr>
        <w:t> </w:t>
      </w:r>
      <w:r>
        <w:rPr>
          <w:w w:val="105"/>
          <w:sz w:val="20"/>
        </w:rPr>
        <w:t>acknowledge</w:t>
      </w:r>
      <w:r>
        <w:rPr>
          <w:spacing w:val="-12"/>
          <w:w w:val="105"/>
          <w:sz w:val="20"/>
        </w:rPr>
        <w:t> </w:t>
      </w:r>
      <w:r>
        <w:rPr>
          <w:w w:val="105"/>
          <w:sz w:val="20"/>
        </w:rPr>
        <w:t>the</w:t>
      </w:r>
      <w:r>
        <w:rPr>
          <w:spacing w:val="-12"/>
          <w:w w:val="105"/>
          <w:sz w:val="20"/>
        </w:rPr>
        <w:t> </w:t>
      </w:r>
      <w:r>
        <w:rPr>
          <w:w w:val="105"/>
          <w:sz w:val="20"/>
        </w:rPr>
        <w:t>great</w:t>
      </w:r>
      <w:r>
        <w:rPr>
          <w:spacing w:val="-12"/>
          <w:w w:val="105"/>
          <w:sz w:val="20"/>
        </w:rPr>
        <w:t> </w:t>
      </w:r>
      <w:r>
        <w:rPr>
          <w:w w:val="105"/>
          <w:sz w:val="20"/>
        </w:rPr>
        <w:t>support</w:t>
      </w:r>
      <w:r>
        <w:rPr>
          <w:spacing w:val="-12"/>
          <w:w w:val="105"/>
          <w:sz w:val="20"/>
        </w:rPr>
        <w:t> </w:t>
      </w:r>
      <w:r>
        <w:rPr>
          <w:w w:val="105"/>
          <w:sz w:val="20"/>
        </w:rPr>
        <w:t>of</w:t>
      </w:r>
      <w:r>
        <w:rPr>
          <w:spacing w:val="-12"/>
          <w:w w:val="105"/>
          <w:sz w:val="20"/>
        </w:rPr>
        <w:t> </w:t>
      </w:r>
      <w:r>
        <w:rPr>
          <w:w w:val="105"/>
          <w:sz w:val="20"/>
        </w:rPr>
        <w:t>my</w:t>
      </w:r>
      <w:r>
        <w:rPr>
          <w:spacing w:val="-12"/>
          <w:w w:val="105"/>
          <w:sz w:val="20"/>
        </w:rPr>
        <w:t> </w:t>
      </w:r>
      <w:r>
        <w:rPr>
          <w:w w:val="105"/>
          <w:sz w:val="20"/>
        </w:rPr>
        <w:t>parents</w:t>
      </w:r>
      <w:r>
        <w:rPr>
          <w:spacing w:val="-12"/>
          <w:w w:val="105"/>
          <w:sz w:val="20"/>
        </w:rPr>
        <w:t> </w:t>
      </w:r>
      <w:r>
        <w:rPr>
          <w:w w:val="105"/>
          <w:sz w:val="20"/>
        </w:rPr>
        <w:t>MR&amp;MRS</w:t>
      </w:r>
      <w:r>
        <w:rPr>
          <w:spacing w:val="-12"/>
          <w:w w:val="105"/>
          <w:sz w:val="20"/>
        </w:rPr>
        <w:t> </w:t>
      </w:r>
      <w:r>
        <w:rPr>
          <w:w w:val="105"/>
          <w:sz w:val="20"/>
        </w:rPr>
        <w:t>ADEYINKA,</w:t>
      </w:r>
      <w:r>
        <w:rPr>
          <w:spacing w:val="-12"/>
          <w:w w:val="105"/>
          <w:sz w:val="20"/>
        </w:rPr>
        <w:t> </w:t>
      </w:r>
      <w:r>
        <w:rPr>
          <w:w w:val="105"/>
          <w:sz w:val="20"/>
        </w:rPr>
        <w:t>they</w:t>
      </w:r>
      <w:r>
        <w:rPr>
          <w:spacing w:val="-12"/>
          <w:w w:val="105"/>
          <w:sz w:val="20"/>
        </w:rPr>
        <w:t> </w:t>
      </w:r>
      <w:r>
        <w:rPr>
          <w:w w:val="105"/>
          <w:sz w:val="20"/>
        </w:rPr>
        <w:t>have been a source of inspiration toward my academic pursuit.</w:t>
      </w:r>
    </w:p>
    <w:p>
      <w:pPr>
        <w:spacing w:line="571" w:lineRule="auto" w:before="0"/>
        <w:ind w:left="1046" w:right="2327" w:firstLine="465"/>
        <w:jc w:val="left"/>
        <w:rPr>
          <w:sz w:val="20"/>
        </w:rPr>
      </w:pPr>
      <w:r>
        <w:rPr>
          <w:w w:val="105"/>
          <w:sz w:val="20"/>
        </w:rPr>
        <w:t>I</w:t>
      </w:r>
      <w:r>
        <w:rPr>
          <w:spacing w:val="-12"/>
          <w:w w:val="105"/>
          <w:sz w:val="20"/>
        </w:rPr>
        <w:t> </w:t>
      </w:r>
      <w:r>
        <w:rPr>
          <w:w w:val="105"/>
          <w:sz w:val="20"/>
        </w:rPr>
        <w:t>will</w:t>
      </w:r>
      <w:r>
        <w:rPr>
          <w:spacing w:val="-12"/>
          <w:w w:val="105"/>
          <w:sz w:val="20"/>
        </w:rPr>
        <w:t> </w:t>
      </w:r>
      <w:r>
        <w:rPr>
          <w:w w:val="105"/>
          <w:sz w:val="20"/>
        </w:rPr>
        <w:t>not</w:t>
      </w:r>
      <w:r>
        <w:rPr>
          <w:spacing w:val="-12"/>
          <w:w w:val="105"/>
          <w:sz w:val="20"/>
        </w:rPr>
        <w:t> </w:t>
      </w:r>
      <w:r>
        <w:rPr>
          <w:w w:val="105"/>
          <w:sz w:val="20"/>
        </w:rPr>
        <w:t>cease</w:t>
      </w:r>
      <w:r>
        <w:rPr>
          <w:spacing w:val="-12"/>
          <w:w w:val="105"/>
          <w:sz w:val="20"/>
        </w:rPr>
        <w:t> </w:t>
      </w:r>
      <w:r>
        <w:rPr>
          <w:w w:val="105"/>
          <w:sz w:val="20"/>
        </w:rPr>
        <w:t>to</w:t>
      </w:r>
      <w:r>
        <w:rPr>
          <w:spacing w:val="-12"/>
          <w:w w:val="105"/>
          <w:sz w:val="20"/>
        </w:rPr>
        <w:t> </w:t>
      </w:r>
      <w:r>
        <w:rPr>
          <w:w w:val="105"/>
          <w:sz w:val="20"/>
        </w:rPr>
        <w:t>acknowledge</w:t>
      </w:r>
      <w:r>
        <w:rPr>
          <w:spacing w:val="-12"/>
          <w:w w:val="105"/>
          <w:sz w:val="20"/>
        </w:rPr>
        <w:t> </w:t>
      </w:r>
      <w:r>
        <w:rPr>
          <w:w w:val="105"/>
          <w:sz w:val="20"/>
        </w:rPr>
        <w:t>the</w:t>
      </w:r>
      <w:r>
        <w:rPr>
          <w:spacing w:val="-12"/>
          <w:w w:val="105"/>
          <w:sz w:val="20"/>
        </w:rPr>
        <w:t> </w:t>
      </w:r>
      <w:r>
        <w:rPr>
          <w:w w:val="105"/>
          <w:sz w:val="20"/>
        </w:rPr>
        <w:t>support</w:t>
      </w:r>
      <w:r>
        <w:rPr>
          <w:spacing w:val="-12"/>
          <w:w w:val="105"/>
          <w:sz w:val="20"/>
        </w:rPr>
        <w:t> </w:t>
      </w:r>
      <w:r>
        <w:rPr>
          <w:w w:val="105"/>
          <w:sz w:val="20"/>
        </w:rPr>
        <w:t>of</w:t>
      </w:r>
      <w:r>
        <w:rPr>
          <w:spacing w:val="-12"/>
          <w:w w:val="105"/>
          <w:sz w:val="20"/>
        </w:rPr>
        <w:t> </w:t>
      </w:r>
      <w:r>
        <w:rPr>
          <w:w w:val="105"/>
          <w:sz w:val="20"/>
        </w:rPr>
        <w:t>my</w:t>
      </w:r>
      <w:r>
        <w:rPr>
          <w:spacing w:val="-12"/>
          <w:w w:val="105"/>
          <w:sz w:val="20"/>
        </w:rPr>
        <w:t> </w:t>
      </w:r>
      <w:r>
        <w:rPr>
          <w:w w:val="105"/>
          <w:sz w:val="20"/>
        </w:rPr>
        <w:t>group</w:t>
      </w:r>
      <w:r>
        <w:rPr>
          <w:spacing w:val="-12"/>
          <w:w w:val="105"/>
          <w:sz w:val="20"/>
        </w:rPr>
        <w:t> </w:t>
      </w:r>
      <w:r>
        <w:rPr>
          <w:w w:val="105"/>
          <w:sz w:val="20"/>
        </w:rPr>
        <w:t>leader,</w:t>
      </w:r>
      <w:r>
        <w:rPr>
          <w:spacing w:val="-12"/>
          <w:w w:val="105"/>
          <w:sz w:val="20"/>
        </w:rPr>
        <w:t> </w:t>
      </w:r>
      <w:r>
        <w:rPr>
          <w:w w:val="105"/>
          <w:sz w:val="20"/>
        </w:rPr>
        <w:t>Oluwatunase</w:t>
      </w:r>
      <w:r>
        <w:rPr>
          <w:spacing w:val="-12"/>
          <w:w w:val="105"/>
          <w:sz w:val="20"/>
        </w:rPr>
        <w:t> </w:t>
      </w:r>
      <w:r>
        <w:rPr>
          <w:w w:val="105"/>
          <w:sz w:val="20"/>
        </w:rPr>
        <w:t>Opeyemi</w:t>
      </w:r>
      <w:r>
        <w:rPr>
          <w:spacing w:val="-12"/>
          <w:w w:val="105"/>
          <w:sz w:val="20"/>
        </w:rPr>
        <w:t> </w:t>
      </w:r>
      <w:r>
        <w:rPr>
          <w:w w:val="105"/>
          <w:sz w:val="20"/>
        </w:rPr>
        <w:t>and</w:t>
      </w:r>
      <w:r>
        <w:rPr>
          <w:spacing w:val="-12"/>
          <w:w w:val="105"/>
          <w:sz w:val="20"/>
        </w:rPr>
        <w:t> </w:t>
      </w:r>
      <w:r>
        <w:rPr>
          <w:w w:val="105"/>
          <w:sz w:val="20"/>
        </w:rPr>
        <w:t>my </w:t>
      </w:r>
      <w:r>
        <w:rPr>
          <w:spacing w:val="-2"/>
          <w:w w:val="105"/>
          <w:sz w:val="20"/>
        </w:rPr>
        <w:t>colleagues.</w:t>
      </w:r>
    </w:p>
    <w:p>
      <w:pPr>
        <w:spacing w:before="0"/>
        <w:ind w:left="994" w:right="0" w:firstLine="0"/>
        <w:jc w:val="left"/>
        <w:rPr>
          <w:sz w:val="20"/>
        </w:rPr>
      </w:pPr>
      <w:r>
        <w:rPr>
          <w:w w:val="105"/>
          <w:sz w:val="20"/>
        </w:rPr>
        <w:t>God</w:t>
      </w:r>
      <w:r>
        <w:rPr>
          <w:spacing w:val="-11"/>
          <w:w w:val="105"/>
          <w:sz w:val="20"/>
        </w:rPr>
        <w:t> </w:t>
      </w:r>
      <w:r>
        <w:rPr>
          <w:w w:val="105"/>
          <w:sz w:val="20"/>
        </w:rPr>
        <w:t>will</w:t>
      </w:r>
      <w:r>
        <w:rPr>
          <w:spacing w:val="-11"/>
          <w:w w:val="105"/>
          <w:sz w:val="20"/>
        </w:rPr>
        <w:t> </w:t>
      </w:r>
      <w:r>
        <w:rPr>
          <w:w w:val="105"/>
          <w:sz w:val="20"/>
        </w:rPr>
        <w:t>continue</w:t>
      </w:r>
      <w:r>
        <w:rPr>
          <w:spacing w:val="-11"/>
          <w:w w:val="105"/>
          <w:sz w:val="20"/>
        </w:rPr>
        <w:t> </w:t>
      </w:r>
      <w:r>
        <w:rPr>
          <w:w w:val="105"/>
          <w:sz w:val="20"/>
        </w:rPr>
        <w:t>to</w:t>
      </w:r>
      <w:r>
        <w:rPr>
          <w:spacing w:val="-11"/>
          <w:w w:val="105"/>
          <w:sz w:val="20"/>
        </w:rPr>
        <w:t> </w:t>
      </w:r>
      <w:r>
        <w:rPr>
          <w:w w:val="105"/>
          <w:sz w:val="20"/>
        </w:rPr>
        <w:t>be</w:t>
      </w:r>
      <w:r>
        <w:rPr>
          <w:spacing w:val="-11"/>
          <w:w w:val="105"/>
          <w:sz w:val="20"/>
        </w:rPr>
        <w:t> </w:t>
      </w:r>
      <w:r>
        <w:rPr>
          <w:w w:val="105"/>
          <w:sz w:val="20"/>
        </w:rPr>
        <w:t>with</w:t>
      </w:r>
      <w:r>
        <w:rPr>
          <w:spacing w:val="-11"/>
          <w:w w:val="105"/>
          <w:sz w:val="20"/>
        </w:rPr>
        <w:t> </w:t>
      </w:r>
      <w:r>
        <w:rPr>
          <w:w w:val="105"/>
          <w:sz w:val="20"/>
        </w:rPr>
        <w:t>you</w:t>
      </w:r>
      <w:r>
        <w:rPr>
          <w:spacing w:val="-11"/>
          <w:w w:val="105"/>
          <w:sz w:val="20"/>
        </w:rPr>
        <w:t> </w:t>
      </w:r>
      <w:r>
        <w:rPr>
          <w:spacing w:val="-4"/>
          <w:w w:val="105"/>
          <w:sz w:val="20"/>
        </w:rPr>
        <w:t>all.</w:t>
      </w:r>
    </w:p>
    <w:p>
      <w:pPr>
        <w:spacing w:after="0"/>
        <w:jc w:val="left"/>
        <w:rPr>
          <w:sz w:val="20"/>
        </w:rPr>
        <w:sectPr>
          <w:pgSz w:w="12240" w:h="15840"/>
          <w:pgMar w:header="0" w:footer="739" w:top="1280" w:bottom="920" w:left="360" w:right="0"/>
        </w:sectPr>
      </w:pPr>
    </w:p>
    <w:tbl>
      <w:tblPr>
        <w:tblW w:w="0" w:type="auto"/>
        <w:jc w:val="left"/>
        <w:tblInd w:w="11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385"/>
        <w:gridCol w:w="6445"/>
        <w:gridCol w:w="1047"/>
      </w:tblGrid>
      <w:tr>
        <w:trPr>
          <w:trHeight w:val="358" w:hRule="atLeast"/>
        </w:trPr>
        <w:tc>
          <w:tcPr>
            <w:tcW w:w="7830" w:type="dxa"/>
            <w:gridSpan w:val="2"/>
          </w:tcPr>
          <w:p>
            <w:pPr>
              <w:pStyle w:val="TableParagraph"/>
              <w:spacing w:line="301" w:lineRule="exact"/>
              <w:ind w:left="50"/>
              <w:rPr>
                <w:rFonts w:ascii="Arial MT"/>
                <w:sz w:val="27"/>
              </w:rPr>
            </w:pPr>
            <w:r>
              <w:rPr>
                <w:rFonts w:ascii="Arial MT"/>
                <w:sz w:val="27"/>
              </w:rPr>
              <w:t>TABLE</w:t>
            </w:r>
            <w:r>
              <w:rPr>
                <w:rFonts w:ascii="Arial MT"/>
                <w:spacing w:val="-8"/>
                <w:sz w:val="27"/>
              </w:rPr>
              <w:t> </w:t>
            </w:r>
            <w:r>
              <w:rPr>
                <w:rFonts w:ascii="Arial MT"/>
                <w:sz w:val="27"/>
              </w:rPr>
              <w:t>OF</w:t>
            </w:r>
            <w:r>
              <w:rPr>
                <w:rFonts w:ascii="Arial MT"/>
                <w:spacing w:val="-6"/>
                <w:sz w:val="27"/>
              </w:rPr>
              <w:t> </w:t>
            </w:r>
            <w:r>
              <w:rPr>
                <w:rFonts w:ascii="Arial MT"/>
                <w:spacing w:val="-2"/>
                <w:sz w:val="27"/>
              </w:rPr>
              <w:t>CONTENTS</w:t>
            </w:r>
          </w:p>
        </w:tc>
        <w:tc>
          <w:tcPr>
            <w:tcW w:w="1047" w:type="dxa"/>
          </w:tcPr>
          <w:p>
            <w:pPr>
              <w:pStyle w:val="TableParagraph"/>
              <w:spacing w:line="301" w:lineRule="exact"/>
              <w:ind w:right="46"/>
              <w:jc w:val="right"/>
              <w:rPr>
                <w:rFonts w:ascii="Arial MT"/>
                <w:sz w:val="27"/>
              </w:rPr>
            </w:pPr>
            <w:r>
              <w:rPr>
                <w:rFonts w:ascii="Arial MT"/>
                <w:spacing w:val="-2"/>
                <w:sz w:val="27"/>
              </w:rPr>
              <w:t>Pages</w:t>
            </w:r>
          </w:p>
        </w:tc>
      </w:tr>
      <w:tr>
        <w:trPr>
          <w:trHeight w:val="991" w:hRule="atLeast"/>
        </w:trPr>
        <w:tc>
          <w:tcPr>
            <w:tcW w:w="1385" w:type="dxa"/>
          </w:tcPr>
          <w:p>
            <w:pPr>
              <w:pStyle w:val="TableParagraph"/>
              <w:spacing w:line="237" w:lineRule="auto" w:before="51"/>
              <w:ind w:left="50" w:right="589"/>
              <w:rPr>
                <w:rFonts w:ascii="Arial MT"/>
                <w:sz w:val="27"/>
              </w:rPr>
            </w:pPr>
            <w:r>
              <w:rPr>
                <w:rFonts w:ascii="Arial MT"/>
                <w:spacing w:val="-2"/>
                <w:sz w:val="27"/>
              </w:rPr>
              <w:t>TITLE </w:t>
            </w:r>
            <w:r>
              <w:rPr>
                <w:rFonts w:ascii="Arial MT"/>
                <w:spacing w:val="-4"/>
                <w:sz w:val="27"/>
              </w:rPr>
              <w:t>PAG</w:t>
            </w:r>
          </w:p>
          <w:p>
            <w:pPr>
              <w:pStyle w:val="TableParagraph"/>
              <w:spacing w:line="303" w:lineRule="exact" w:before="2"/>
              <w:ind w:left="50"/>
              <w:rPr>
                <w:rFonts w:ascii="Arial MT"/>
                <w:sz w:val="27"/>
              </w:rPr>
            </w:pPr>
            <w:r>
              <w:rPr>
                <w:rFonts w:ascii="Arial MT"/>
                <w:spacing w:val="-10"/>
                <w:sz w:val="27"/>
              </w:rPr>
              <w:t>E</w:t>
            </w:r>
          </w:p>
        </w:tc>
        <w:tc>
          <w:tcPr>
            <w:tcW w:w="6445" w:type="dxa"/>
          </w:tcPr>
          <w:p>
            <w:pPr>
              <w:pStyle w:val="TableParagraph"/>
              <w:rPr>
                <w:sz w:val="24"/>
              </w:rPr>
            </w:pPr>
          </w:p>
        </w:tc>
        <w:tc>
          <w:tcPr>
            <w:tcW w:w="1047" w:type="dxa"/>
          </w:tcPr>
          <w:p>
            <w:pPr>
              <w:pStyle w:val="TableParagraph"/>
              <w:spacing w:before="77"/>
              <w:ind w:left="262"/>
              <w:jc w:val="center"/>
              <w:rPr>
                <w:rFonts w:ascii="Arial MT"/>
                <w:sz w:val="24"/>
              </w:rPr>
            </w:pPr>
            <w:r>
              <w:rPr>
                <w:rFonts w:ascii="Arial MT"/>
                <w:spacing w:val="-10"/>
                <w:sz w:val="24"/>
              </w:rPr>
              <w:t>i</w:t>
            </w:r>
          </w:p>
        </w:tc>
      </w:tr>
      <w:tr>
        <w:trPr>
          <w:trHeight w:val="381" w:hRule="atLeast"/>
        </w:trPr>
        <w:tc>
          <w:tcPr>
            <w:tcW w:w="7830" w:type="dxa"/>
            <w:gridSpan w:val="2"/>
          </w:tcPr>
          <w:p>
            <w:pPr>
              <w:pStyle w:val="TableParagraph"/>
              <w:spacing w:before="3"/>
              <w:ind w:left="50"/>
              <w:rPr>
                <w:rFonts w:ascii="Arial MT"/>
                <w:sz w:val="27"/>
              </w:rPr>
            </w:pPr>
            <w:r>
              <w:rPr>
                <w:rFonts w:ascii="Arial MT"/>
                <w:spacing w:val="-2"/>
                <w:sz w:val="27"/>
              </w:rPr>
              <w:t>CERTIFICATION</w:t>
            </w:r>
          </w:p>
        </w:tc>
        <w:tc>
          <w:tcPr>
            <w:tcW w:w="1047" w:type="dxa"/>
          </w:tcPr>
          <w:p>
            <w:pPr>
              <w:pStyle w:val="TableParagraph"/>
              <w:spacing w:before="36"/>
              <w:ind w:left="604"/>
              <w:rPr>
                <w:rFonts w:ascii="Arial MT"/>
                <w:sz w:val="24"/>
              </w:rPr>
            </w:pPr>
            <w:r>
              <w:rPr>
                <w:rFonts w:ascii="Arial MT"/>
                <w:spacing w:val="-5"/>
                <w:sz w:val="24"/>
              </w:rPr>
              <w:t>ii</w:t>
            </w:r>
          </w:p>
        </w:tc>
      </w:tr>
      <w:tr>
        <w:trPr>
          <w:trHeight w:val="437" w:hRule="atLeast"/>
        </w:trPr>
        <w:tc>
          <w:tcPr>
            <w:tcW w:w="7830" w:type="dxa"/>
            <w:gridSpan w:val="2"/>
          </w:tcPr>
          <w:p>
            <w:pPr>
              <w:pStyle w:val="TableParagraph"/>
              <w:spacing w:before="58"/>
              <w:ind w:left="50"/>
              <w:rPr>
                <w:rFonts w:ascii="Arial MT"/>
                <w:sz w:val="27"/>
              </w:rPr>
            </w:pPr>
            <w:r>
              <w:rPr>
                <w:rFonts w:ascii="Arial MT"/>
                <w:spacing w:val="-2"/>
                <w:sz w:val="27"/>
              </w:rPr>
              <w:t>DEDICATION</w:t>
            </w:r>
          </w:p>
        </w:tc>
        <w:tc>
          <w:tcPr>
            <w:tcW w:w="1047" w:type="dxa"/>
          </w:tcPr>
          <w:p>
            <w:pPr>
              <w:pStyle w:val="TableParagraph"/>
              <w:spacing w:before="86"/>
              <w:ind w:left="580"/>
              <w:rPr>
                <w:rFonts w:ascii="Arial MT"/>
                <w:sz w:val="24"/>
              </w:rPr>
            </w:pPr>
            <w:r>
              <w:rPr>
                <w:rFonts w:ascii="Arial MT"/>
                <w:spacing w:val="-5"/>
                <w:sz w:val="24"/>
              </w:rPr>
              <w:t>iii</w:t>
            </w:r>
          </w:p>
        </w:tc>
      </w:tr>
      <w:tr>
        <w:trPr>
          <w:trHeight w:val="434" w:hRule="atLeast"/>
        </w:trPr>
        <w:tc>
          <w:tcPr>
            <w:tcW w:w="7830" w:type="dxa"/>
            <w:gridSpan w:val="2"/>
          </w:tcPr>
          <w:p>
            <w:pPr>
              <w:pStyle w:val="TableParagraph"/>
              <w:spacing w:before="58"/>
              <w:ind w:left="50"/>
              <w:rPr>
                <w:rFonts w:ascii="Arial MT"/>
                <w:sz w:val="27"/>
              </w:rPr>
            </w:pPr>
            <w:r>
              <w:rPr>
                <w:rFonts w:ascii="Arial MT"/>
                <w:spacing w:val="-2"/>
                <w:sz w:val="27"/>
              </w:rPr>
              <w:t>ACKNOWLEGEMENTS</w:t>
            </w:r>
          </w:p>
        </w:tc>
        <w:tc>
          <w:tcPr>
            <w:tcW w:w="1047" w:type="dxa"/>
          </w:tcPr>
          <w:p>
            <w:pPr>
              <w:pStyle w:val="TableParagraph"/>
              <w:spacing w:before="86"/>
              <w:ind w:left="565"/>
              <w:rPr>
                <w:rFonts w:ascii="Arial MT"/>
                <w:sz w:val="24"/>
              </w:rPr>
            </w:pPr>
            <w:r>
              <w:rPr>
                <w:rFonts w:ascii="Arial MT"/>
                <w:spacing w:val="-5"/>
                <w:sz w:val="24"/>
              </w:rPr>
              <w:t>iv</w:t>
            </w:r>
          </w:p>
        </w:tc>
      </w:tr>
      <w:tr>
        <w:trPr>
          <w:trHeight w:val="434" w:hRule="atLeast"/>
        </w:trPr>
        <w:tc>
          <w:tcPr>
            <w:tcW w:w="7830" w:type="dxa"/>
            <w:gridSpan w:val="2"/>
          </w:tcPr>
          <w:p>
            <w:pPr>
              <w:pStyle w:val="TableParagraph"/>
              <w:spacing w:before="56"/>
              <w:ind w:left="50"/>
              <w:rPr>
                <w:rFonts w:ascii="Arial MT"/>
                <w:sz w:val="27"/>
              </w:rPr>
            </w:pPr>
            <w:r>
              <w:rPr>
                <w:rFonts w:ascii="Arial MT"/>
                <w:sz w:val="27"/>
              </w:rPr>
              <w:t>TABLE</w:t>
            </w:r>
            <w:r>
              <w:rPr>
                <w:rFonts w:ascii="Arial MT"/>
                <w:spacing w:val="-8"/>
                <w:sz w:val="27"/>
              </w:rPr>
              <w:t> </w:t>
            </w:r>
            <w:r>
              <w:rPr>
                <w:rFonts w:ascii="Arial MT"/>
                <w:sz w:val="27"/>
              </w:rPr>
              <w:t>OF</w:t>
            </w:r>
            <w:r>
              <w:rPr>
                <w:rFonts w:ascii="Arial MT"/>
                <w:spacing w:val="-6"/>
                <w:sz w:val="27"/>
              </w:rPr>
              <w:t> </w:t>
            </w:r>
            <w:r>
              <w:rPr>
                <w:rFonts w:ascii="Arial MT"/>
                <w:spacing w:val="-2"/>
                <w:sz w:val="27"/>
              </w:rPr>
              <w:t>CONTENTS</w:t>
            </w:r>
          </w:p>
        </w:tc>
        <w:tc>
          <w:tcPr>
            <w:tcW w:w="1047" w:type="dxa"/>
          </w:tcPr>
          <w:p>
            <w:pPr>
              <w:pStyle w:val="TableParagraph"/>
              <w:spacing w:before="84"/>
              <w:ind w:left="594"/>
              <w:rPr>
                <w:rFonts w:ascii="Arial MT"/>
                <w:sz w:val="24"/>
              </w:rPr>
            </w:pPr>
            <w:r>
              <w:rPr>
                <w:rFonts w:ascii="Arial MT"/>
                <w:spacing w:val="-10"/>
                <w:sz w:val="24"/>
              </w:rPr>
              <w:t>v</w:t>
            </w:r>
          </w:p>
        </w:tc>
      </w:tr>
      <w:tr>
        <w:trPr>
          <w:trHeight w:val="705" w:hRule="atLeast"/>
        </w:trPr>
        <w:tc>
          <w:tcPr>
            <w:tcW w:w="1385" w:type="dxa"/>
          </w:tcPr>
          <w:p>
            <w:pPr>
              <w:pStyle w:val="TableParagraph"/>
              <w:spacing w:before="58"/>
              <w:ind w:left="50" w:right="53"/>
              <w:rPr>
                <w:rFonts w:ascii="Arial MT"/>
                <w:sz w:val="27"/>
              </w:rPr>
            </w:pPr>
            <w:r>
              <w:rPr>
                <w:rFonts w:ascii="Arial MT"/>
                <w:spacing w:val="-2"/>
                <w:sz w:val="27"/>
              </w:rPr>
              <w:t>ABSTRAC </w:t>
            </w:r>
            <w:r>
              <w:rPr>
                <w:rFonts w:ascii="Arial MT"/>
                <w:spacing w:val="-10"/>
                <w:sz w:val="27"/>
              </w:rPr>
              <w:t>T</w:t>
            </w:r>
          </w:p>
        </w:tc>
        <w:tc>
          <w:tcPr>
            <w:tcW w:w="6445" w:type="dxa"/>
          </w:tcPr>
          <w:p>
            <w:pPr>
              <w:pStyle w:val="TableParagraph"/>
              <w:rPr>
                <w:sz w:val="24"/>
              </w:rPr>
            </w:pPr>
          </w:p>
        </w:tc>
        <w:tc>
          <w:tcPr>
            <w:tcW w:w="1047" w:type="dxa"/>
          </w:tcPr>
          <w:p>
            <w:pPr>
              <w:pStyle w:val="TableParagraph"/>
              <w:spacing w:before="86"/>
              <w:ind w:left="536"/>
              <w:rPr>
                <w:rFonts w:ascii="Arial MT"/>
                <w:sz w:val="24"/>
              </w:rPr>
            </w:pPr>
            <w:r>
              <w:rPr>
                <w:rFonts w:ascii="Arial MT"/>
                <w:spacing w:val="-5"/>
                <w:sz w:val="24"/>
              </w:rPr>
              <w:t>vii</w:t>
            </w:r>
          </w:p>
        </w:tc>
      </w:tr>
      <w:tr>
        <w:trPr>
          <w:trHeight w:val="406" w:hRule="atLeast"/>
        </w:trPr>
        <w:tc>
          <w:tcPr>
            <w:tcW w:w="7830" w:type="dxa"/>
            <w:gridSpan w:val="2"/>
          </w:tcPr>
          <w:p>
            <w:pPr>
              <w:pStyle w:val="TableParagraph"/>
              <w:spacing w:before="15"/>
              <w:ind w:left="50"/>
              <w:rPr>
                <w:rFonts w:ascii="Arial MT"/>
                <w:sz w:val="27"/>
              </w:rPr>
            </w:pPr>
            <w:r>
              <w:rPr>
                <w:rFonts w:ascii="Arial MT"/>
                <w:sz w:val="27"/>
              </w:rPr>
              <w:t>CHAPTER</w:t>
            </w:r>
            <w:r>
              <w:rPr>
                <w:rFonts w:ascii="Arial MT"/>
                <w:spacing w:val="-14"/>
                <w:sz w:val="27"/>
              </w:rPr>
              <w:t> </w:t>
            </w:r>
            <w:r>
              <w:rPr>
                <w:rFonts w:ascii="Arial MT"/>
                <w:spacing w:val="-5"/>
                <w:sz w:val="27"/>
              </w:rPr>
              <w:t>ONE</w:t>
            </w:r>
          </w:p>
        </w:tc>
        <w:tc>
          <w:tcPr>
            <w:tcW w:w="1047" w:type="dxa"/>
          </w:tcPr>
          <w:p>
            <w:pPr>
              <w:pStyle w:val="TableParagraph"/>
              <w:spacing w:before="48"/>
              <w:ind w:left="642"/>
              <w:rPr>
                <w:rFonts w:ascii="Arial MT"/>
                <w:sz w:val="24"/>
              </w:rPr>
            </w:pPr>
            <w:r>
              <w:rPr>
                <w:rFonts w:ascii="Arial MT"/>
                <w:spacing w:val="-10"/>
                <w:sz w:val="24"/>
              </w:rPr>
              <w:t>1</w:t>
            </w:r>
          </w:p>
        </w:tc>
      </w:tr>
      <w:tr>
        <w:trPr>
          <w:trHeight w:val="434" w:hRule="atLeast"/>
        </w:trPr>
        <w:tc>
          <w:tcPr>
            <w:tcW w:w="1385" w:type="dxa"/>
          </w:tcPr>
          <w:p>
            <w:pPr>
              <w:pStyle w:val="TableParagraph"/>
              <w:spacing w:before="73"/>
              <w:ind w:left="50"/>
              <w:rPr>
                <w:rFonts w:ascii="Arial MT"/>
                <w:sz w:val="24"/>
              </w:rPr>
            </w:pPr>
            <w:r>
              <w:rPr>
                <w:rFonts w:ascii="Arial MT"/>
                <w:spacing w:val="-5"/>
                <w:sz w:val="24"/>
              </w:rPr>
              <w:t>1.0</w:t>
            </w:r>
          </w:p>
        </w:tc>
        <w:tc>
          <w:tcPr>
            <w:tcW w:w="6445" w:type="dxa"/>
          </w:tcPr>
          <w:p>
            <w:pPr>
              <w:pStyle w:val="TableParagraph"/>
              <w:spacing w:before="73"/>
              <w:ind w:left="62"/>
              <w:rPr>
                <w:rFonts w:ascii="Arial MT"/>
                <w:sz w:val="24"/>
              </w:rPr>
            </w:pPr>
            <w:r>
              <w:rPr>
                <w:rFonts w:ascii="Arial MT"/>
                <w:spacing w:val="-2"/>
                <w:sz w:val="24"/>
              </w:rPr>
              <w:t>Introduction</w:t>
            </w:r>
          </w:p>
        </w:tc>
        <w:tc>
          <w:tcPr>
            <w:tcW w:w="1047" w:type="dxa"/>
          </w:tcPr>
          <w:p>
            <w:pPr>
              <w:pStyle w:val="TableParagraph"/>
              <w:spacing w:before="73"/>
              <w:ind w:left="642"/>
              <w:rPr>
                <w:rFonts w:ascii="Arial MT"/>
                <w:sz w:val="24"/>
              </w:rPr>
            </w:pPr>
            <w:r>
              <w:rPr>
                <w:rFonts w:ascii="Arial MT"/>
                <w:spacing w:val="-10"/>
                <w:sz w:val="24"/>
              </w:rPr>
              <w:t>1</w:t>
            </w:r>
          </w:p>
        </w:tc>
      </w:tr>
      <w:tr>
        <w:trPr>
          <w:trHeight w:val="436" w:hRule="atLeast"/>
        </w:trPr>
        <w:tc>
          <w:tcPr>
            <w:tcW w:w="1385" w:type="dxa"/>
          </w:tcPr>
          <w:p>
            <w:pPr>
              <w:pStyle w:val="TableParagraph"/>
              <w:spacing w:before="76"/>
              <w:ind w:left="50"/>
              <w:rPr>
                <w:rFonts w:ascii="Arial MT"/>
                <w:sz w:val="24"/>
              </w:rPr>
            </w:pPr>
            <w:r>
              <w:rPr>
                <w:rFonts w:ascii="Arial MT"/>
                <w:spacing w:val="-5"/>
                <w:sz w:val="24"/>
              </w:rPr>
              <w:t>1.1</w:t>
            </w:r>
          </w:p>
        </w:tc>
        <w:tc>
          <w:tcPr>
            <w:tcW w:w="6445" w:type="dxa"/>
          </w:tcPr>
          <w:p>
            <w:pPr>
              <w:pStyle w:val="TableParagraph"/>
              <w:spacing w:before="76"/>
              <w:ind w:left="62"/>
              <w:rPr>
                <w:rFonts w:ascii="Arial MT"/>
                <w:sz w:val="24"/>
              </w:rPr>
            </w:pPr>
            <w:r>
              <w:rPr>
                <w:rFonts w:ascii="Arial MT"/>
                <w:sz w:val="24"/>
              </w:rPr>
              <w:t>Background</w:t>
            </w:r>
            <w:r>
              <w:rPr>
                <w:rFonts w:ascii="Arial MT"/>
                <w:spacing w:val="-7"/>
                <w:sz w:val="24"/>
              </w:rPr>
              <w:t> </w:t>
            </w:r>
            <w:r>
              <w:rPr>
                <w:rFonts w:ascii="Arial MT"/>
                <w:sz w:val="24"/>
              </w:rPr>
              <w:t>of</w:t>
            </w:r>
            <w:r>
              <w:rPr>
                <w:rFonts w:ascii="Arial MT"/>
                <w:spacing w:val="-1"/>
                <w:sz w:val="24"/>
              </w:rPr>
              <w:t> </w:t>
            </w:r>
            <w:r>
              <w:rPr>
                <w:rFonts w:ascii="Arial MT"/>
                <w:sz w:val="24"/>
              </w:rPr>
              <w:t>the</w:t>
            </w:r>
            <w:r>
              <w:rPr>
                <w:rFonts w:ascii="Arial MT"/>
                <w:spacing w:val="-1"/>
                <w:sz w:val="24"/>
              </w:rPr>
              <w:t> </w:t>
            </w:r>
            <w:r>
              <w:rPr>
                <w:rFonts w:ascii="Arial MT"/>
                <w:spacing w:val="-4"/>
                <w:sz w:val="24"/>
              </w:rPr>
              <w:t>study</w:t>
            </w:r>
          </w:p>
        </w:tc>
        <w:tc>
          <w:tcPr>
            <w:tcW w:w="1047" w:type="dxa"/>
          </w:tcPr>
          <w:p>
            <w:pPr>
              <w:pStyle w:val="TableParagraph"/>
              <w:spacing w:before="76"/>
              <w:ind w:left="642"/>
              <w:rPr>
                <w:rFonts w:ascii="Arial MT"/>
                <w:sz w:val="24"/>
              </w:rPr>
            </w:pPr>
            <w:r>
              <w:rPr>
                <w:rFonts w:ascii="Arial MT"/>
                <w:spacing w:val="-10"/>
                <w:sz w:val="24"/>
              </w:rPr>
              <w:t>2</w:t>
            </w:r>
          </w:p>
        </w:tc>
      </w:tr>
      <w:tr>
        <w:trPr>
          <w:trHeight w:val="434" w:hRule="atLeast"/>
        </w:trPr>
        <w:tc>
          <w:tcPr>
            <w:tcW w:w="1385" w:type="dxa"/>
          </w:tcPr>
          <w:p>
            <w:pPr>
              <w:pStyle w:val="TableParagraph"/>
              <w:spacing w:before="76"/>
              <w:ind w:left="50"/>
              <w:rPr>
                <w:rFonts w:ascii="Arial MT"/>
                <w:sz w:val="24"/>
              </w:rPr>
            </w:pPr>
            <w:r>
              <w:rPr>
                <w:rFonts w:ascii="Arial MT"/>
                <w:spacing w:val="-5"/>
                <w:sz w:val="24"/>
              </w:rPr>
              <w:t>1.2</w:t>
            </w:r>
          </w:p>
        </w:tc>
        <w:tc>
          <w:tcPr>
            <w:tcW w:w="6445" w:type="dxa"/>
          </w:tcPr>
          <w:p>
            <w:pPr>
              <w:pStyle w:val="TableParagraph"/>
              <w:spacing w:before="76"/>
              <w:ind w:left="62"/>
              <w:rPr>
                <w:rFonts w:ascii="Arial MT"/>
                <w:sz w:val="24"/>
              </w:rPr>
            </w:pPr>
            <w:r>
              <w:rPr>
                <w:rFonts w:ascii="Arial MT"/>
                <w:sz w:val="24"/>
              </w:rPr>
              <w:t>Statement</w:t>
            </w:r>
            <w:r>
              <w:rPr>
                <w:rFonts w:ascii="Arial MT"/>
                <w:spacing w:val="-4"/>
                <w:sz w:val="24"/>
              </w:rPr>
              <w:t> </w:t>
            </w:r>
            <w:r>
              <w:rPr>
                <w:rFonts w:ascii="Arial MT"/>
                <w:sz w:val="24"/>
              </w:rPr>
              <w:t>of</w:t>
            </w:r>
            <w:r>
              <w:rPr>
                <w:rFonts w:ascii="Arial MT"/>
                <w:spacing w:val="-3"/>
                <w:sz w:val="24"/>
              </w:rPr>
              <w:t> </w:t>
            </w:r>
            <w:r>
              <w:rPr>
                <w:rFonts w:ascii="Arial MT"/>
                <w:sz w:val="24"/>
              </w:rPr>
              <w:t>the</w:t>
            </w:r>
            <w:r>
              <w:rPr>
                <w:rFonts w:ascii="Arial MT"/>
                <w:spacing w:val="-3"/>
                <w:sz w:val="24"/>
              </w:rPr>
              <w:t> </w:t>
            </w:r>
            <w:r>
              <w:rPr>
                <w:rFonts w:ascii="Arial MT"/>
                <w:spacing w:val="-2"/>
                <w:sz w:val="24"/>
              </w:rPr>
              <w:t>problem</w:t>
            </w:r>
          </w:p>
        </w:tc>
        <w:tc>
          <w:tcPr>
            <w:tcW w:w="1047" w:type="dxa"/>
          </w:tcPr>
          <w:p>
            <w:pPr>
              <w:pStyle w:val="TableParagraph"/>
              <w:spacing w:before="76"/>
              <w:ind w:left="642"/>
              <w:rPr>
                <w:rFonts w:ascii="Arial MT"/>
                <w:sz w:val="24"/>
              </w:rPr>
            </w:pPr>
            <w:r>
              <w:rPr>
                <w:rFonts w:ascii="Arial MT"/>
                <w:spacing w:val="-10"/>
                <w:sz w:val="24"/>
              </w:rPr>
              <w:t>6</w:t>
            </w:r>
          </w:p>
        </w:tc>
      </w:tr>
      <w:tr>
        <w:trPr>
          <w:trHeight w:val="434" w:hRule="atLeast"/>
        </w:trPr>
        <w:tc>
          <w:tcPr>
            <w:tcW w:w="1385" w:type="dxa"/>
          </w:tcPr>
          <w:p>
            <w:pPr>
              <w:pStyle w:val="TableParagraph"/>
              <w:spacing w:before="74"/>
              <w:ind w:left="50"/>
              <w:rPr>
                <w:rFonts w:ascii="Arial MT"/>
                <w:sz w:val="24"/>
              </w:rPr>
            </w:pPr>
            <w:r>
              <w:rPr>
                <w:rFonts w:ascii="Arial MT"/>
                <w:spacing w:val="-4"/>
                <w:sz w:val="24"/>
              </w:rPr>
              <w:t>1.3.1</w:t>
            </w:r>
          </w:p>
        </w:tc>
        <w:tc>
          <w:tcPr>
            <w:tcW w:w="6445" w:type="dxa"/>
          </w:tcPr>
          <w:p>
            <w:pPr>
              <w:pStyle w:val="TableParagraph"/>
              <w:spacing w:before="74"/>
              <w:ind w:left="62"/>
              <w:rPr>
                <w:rFonts w:ascii="Arial MT"/>
                <w:sz w:val="24"/>
              </w:rPr>
            </w:pPr>
            <w:r>
              <w:rPr>
                <w:rFonts w:ascii="Arial MT"/>
                <w:sz w:val="24"/>
              </w:rPr>
              <w:t>Research</w:t>
            </w:r>
            <w:r>
              <w:rPr>
                <w:rFonts w:ascii="Arial MT"/>
                <w:spacing w:val="-13"/>
                <w:sz w:val="24"/>
              </w:rPr>
              <w:t> </w:t>
            </w:r>
            <w:r>
              <w:rPr>
                <w:rFonts w:ascii="Arial MT"/>
                <w:spacing w:val="-5"/>
                <w:sz w:val="24"/>
              </w:rPr>
              <w:t>aim</w:t>
            </w:r>
          </w:p>
        </w:tc>
        <w:tc>
          <w:tcPr>
            <w:tcW w:w="1047" w:type="dxa"/>
          </w:tcPr>
          <w:p>
            <w:pPr>
              <w:pStyle w:val="TableParagraph"/>
              <w:spacing w:before="74"/>
              <w:ind w:left="642"/>
              <w:rPr>
                <w:rFonts w:ascii="Arial MT"/>
                <w:sz w:val="24"/>
              </w:rPr>
            </w:pPr>
            <w:r>
              <w:rPr>
                <w:rFonts w:ascii="Arial MT"/>
                <w:spacing w:val="-10"/>
                <w:sz w:val="24"/>
              </w:rPr>
              <w:t>8</w:t>
            </w:r>
          </w:p>
        </w:tc>
      </w:tr>
      <w:tr>
        <w:trPr>
          <w:trHeight w:val="436" w:hRule="atLeast"/>
        </w:trPr>
        <w:tc>
          <w:tcPr>
            <w:tcW w:w="1385" w:type="dxa"/>
          </w:tcPr>
          <w:p>
            <w:pPr>
              <w:pStyle w:val="TableParagraph"/>
              <w:spacing w:before="76"/>
              <w:ind w:left="50"/>
              <w:rPr>
                <w:rFonts w:ascii="Arial MT"/>
                <w:sz w:val="24"/>
              </w:rPr>
            </w:pPr>
            <w:r>
              <w:rPr>
                <w:rFonts w:ascii="Arial MT"/>
                <w:spacing w:val="-4"/>
                <w:sz w:val="24"/>
              </w:rPr>
              <w:t>1.3.2</w:t>
            </w:r>
          </w:p>
        </w:tc>
        <w:tc>
          <w:tcPr>
            <w:tcW w:w="6445" w:type="dxa"/>
          </w:tcPr>
          <w:p>
            <w:pPr>
              <w:pStyle w:val="TableParagraph"/>
              <w:spacing w:before="76"/>
              <w:ind w:left="62"/>
              <w:rPr>
                <w:rFonts w:ascii="Arial MT"/>
                <w:sz w:val="24"/>
              </w:rPr>
            </w:pPr>
            <w:r>
              <w:rPr>
                <w:rFonts w:ascii="Arial MT"/>
                <w:sz w:val="24"/>
              </w:rPr>
              <w:t>Research</w:t>
            </w:r>
            <w:r>
              <w:rPr>
                <w:rFonts w:ascii="Arial MT"/>
                <w:spacing w:val="-13"/>
                <w:sz w:val="24"/>
              </w:rPr>
              <w:t> </w:t>
            </w:r>
            <w:r>
              <w:rPr>
                <w:rFonts w:ascii="Arial MT"/>
                <w:spacing w:val="-2"/>
                <w:sz w:val="24"/>
              </w:rPr>
              <w:t>objectives</w:t>
            </w:r>
          </w:p>
        </w:tc>
        <w:tc>
          <w:tcPr>
            <w:tcW w:w="1047" w:type="dxa"/>
          </w:tcPr>
          <w:p>
            <w:pPr>
              <w:pStyle w:val="TableParagraph"/>
              <w:spacing w:before="76"/>
              <w:ind w:left="642"/>
              <w:rPr>
                <w:rFonts w:ascii="Arial MT"/>
                <w:sz w:val="24"/>
              </w:rPr>
            </w:pPr>
            <w:r>
              <w:rPr>
                <w:rFonts w:ascii="Arial MT"/>
                <w:spacing w:val="-10"/>
                <w:sz w:val="24"/>
              </w:rPr>
              <w:t>8</w:t>
            </w:r>
          </w:p>
        </w:tc>
      </w:tr>
      <w:tr>
        <w:trPr>
          <w:trHeight w:val="645" w:hRule="atLeast"/>
        </w:trPr>
        <w:tc>
          <w:tcPr>
            <w:tcW w:w="1385" w:type="dxa"/>
          </w:tcPr>
          <w:p>
            <w:pPr>
              <w:pStyle w:val="TableParagraph"/>
              <w:spacing w:before="76"/>
              <w:ind w:left="50"/>
              <w:rPr>
                <w:rFonts w:ascii="Arial MT"/>
                <w:sz w:val="24"/>
              </w:rPr>
            </w:pPr>
            <w:r>
              <w:rPr>
                <w:rFonts w:ascii="Arial MT"/>
                <w:spacing w:val="-5"/>
                <w:sz w:val="24"/>
              </w:rPr>
              <w:t>1.4</w:t>
            </w:r>
          </w:p>
        </w:tc>
        <w:tc>
          <w:tcPr>
            <w:tcW w:w="6445" w:type="dxa"/>
          </w:tcPr>
          <w:p>
            <w:pPr>
              <w:pStyle w:val="TableParagraph"/>
              <w:spacing w:before="76"/>
              <w:ind w:left="62"/>
              <w:rPr>
                <w:rFonts w:ascii="Arial MT"/>
                <w:sz w:val="24"/>
              </w:rPr>
            </w:pPr>
            <w:r>
              <w:rPr>
                <w:rFonts w:ascii="Arial MT"/>
                <w:sz w:val="24"/>
              </w:rPr>
              <w:t>Research</w:t>
            </w:r>
            <w:r>
              <w:rPr>
                <w:rFonts w:ascii="Arial MT"/>
                <w:spacing w:val="-13"/>
                <w:sz w:val="24"/>
              </w:rPr>
              <w:t> </w:t>
            </w:r>
            <w:r>
              <w:rPr>
                <w:rFonts w:ascii="Arial MT"/>
                <w:spacing w:val="-2"/>
                <w:sz w:val="24"/>
              </w:rPr>
              <w:t>question</w:t>
            </w:r>
          </w:p>
        </w:tc>
        <w:tc>
          <w:tcPr>
            <w:tcW w:w="1047" w:type="dxa"/>
          </w:tcPr>
          <w:p>
            <w:pPr>
              <w:pStyle w:val="TableParagraph"/>
              <w:spacing w:before="76"/>
              <w:ind w:left="642"/>
              <w:rPr>
                <w:rFonts w:ascii="Arial MT"/>
                <w:sz w:val="24"/>
              </w:rPr>
            </w:pPr>
            <w:r>
              <w:rPr>
                <w:rFonts w:ascii="Arial MT"/>
                <w:spacing w:val="-10"/>
                <w:sz w:val="24"/>
              </w:rPr>
              <w:t>8</w:t>
            </w:r>
          </w:p>
        </w:tc>
      </w:tr>
      <w:tr>
        <w:trPr>
          <w:trHeight w:val="627" w:hRule="atLeast"/>
        </w:trPr>
        <w:tc>
          <w:tcPr>
            <w:tcW w:w="1385" w:type="dxa"/>
          </w:tcPr>
          <w:p>
            <w:pPr>
              <w:pStyle w:val="TableParagraph"/>
              <w:spacing w:before="9"/>
              <w:rPr>
                <w:sz w:val="24"/>
              </w:rPr>
            </w:pPr>
          </w:p>
          <w:p>
            <w:pPr>
              <w:pStyle w:val="TableParagraph"/>
              <w:ind w:left="50"/>
              <w:rPr>
                <w:rFonts w:ascii="Arial MT"/>
                <w:sz w:val="24"/>
              </w:rPr>
            </w:pPr>
            <w:r>
              <w:rPr>
                <w:rFonts w:ascii="Arial MT"/>
                <w:spacing w:val="-5"/>
                <w:sz w:val="24"/>
              </w:rPr>
              <w:t>1.5</w:t>
            </w:r>
          </w:p>
        </w:tc>
        <w:tc>
          <w:tcPr>
            <w:tcW w:w="6445" w:type="dxa"/>
          </w:tcPr>
          <w:p>
            <w:pPr>
              <w:pStyle w:val="TableParagraph"/>
              <w:spacing w:before="9"/>
              <w:rPr>
                <w:sz w:val="24"/>
              </w:rPr>
            </w:pPr>
          </w:p>
          <w:p>
            <w:pPr>
              <w:pStyle w:val="TableParagraph"/>
              <w:ind w:left="62"/>
              <w:rPr>
                <w:rFonts w:ascii="Arial MT"/>
                <w:sz w:val="24"/>
              </w:rPr>
            </w:pPr>
            <w:r>
              <w:rPr>
                <w:rFonts w:ascii="Arial MT"/>
                <w:sz w:val="24"/>
              </w:rPr>
              <w:t>Justification</w:t>
            </w:r>
            <w:r>
              <w:rPr>
                <w:rFonts w:ascii="Arial MT"/>
                <w:spacing w:val="-4"/>
                <w:sz w:val="24"/>
              </w:rPr>
              <w:t> </w:t>
            </w:r>
            <w:r>
              <w:rPr>
                <w:rFonts w:ascii="Arial MT"/>
                <w:sz w:val="24"/>
              </w:rPr>
              <w:t>of</w:t>
            </w:r>
            <w:r>
              <w:rPr>
                <w:rFonts w:ascii="Arial MT"/>
                <w:spacing w:val="-4"/>
                <w:sz w:val="24"/>
              </w:rPr>
              <w:t> </w:t>
            </w:r>
            <w:r>
              <w:rPr>
                <w:rFonts w:ascii="Arial MT"/>
                <w:sz w:val="24"/>
              </w:rPr>
              <w:t>the</w:t>
            </w:r>
            <w:r>
              <w:rPr>
                <w:rFonts w:ascii="Arial MT"/>
                <w:spacing w:val="-3"/>
                <w:sz w:val="24"/>
              </w:rPr>
              <w:t> </w:t>
            </w:r>
            <w:r>
              <w:rPr>
                <w:rFonts w:ascii="Arial MT"/>
                <w:spacing w:val="-2"/>
                <w:sz w:val="24"/>
              </w:rPr>
              <w:t>study</w:t>
            </w:r>
          </w:p>
        </w:tc>
        <w:tc>
          <w:tcPr>
            <w:tcW w:w="1047" w:type="dxa"/>
          </w:tcPr>
          <w:p>
            <w:pPr>
              <w:pStyle w:val="TableParagraph"/>
              <w:spacing w:before="9"/>
              <w:rPr>
                <w:sz w:val="24"/>
              </w:rPr>
            </w:pPr>
          </w:p>
          <w:p>
            <w:pPr>
              <w:pStyle w:val="TableParagraph"/>
              <w:ind w:left="642"/>
              <w:rPr>
                <w:rFonts w:ascii="Arial MT"/>
                <w:sz w:val="24"/>
              </w:rPr>
            </w:pPr>
            <w:r>
              <w:rPr>
                <w:rFonts w:ascii="Arial MT"/>
                <w:spacing w:val="-10"/>
                <w:sz w:val="24"/>
              </w:rPr>
              <w:t>9</w:t>
            </w:r>
          </w:p>
        </w:tc>
      </w:tr>
      <w:tr>
        <w:trPr>
          <w:trHeight w:val="450" w:hRule="atLeast"/>
        </w:trPr>
        <w:tc>
          <w:tcPr>
            <w:tcW w:w="7830" w:type="dxa"/>
            <w:gridSpan w:val="2"/>
          </w:tcPr>
          <w:p>
            <w:pPr>
              <w:pStyle w:val="TableParagraph"/>
              <w:spacing w:before="56"/>
              <w:ind w:left="50"/>
              <w:rPr>
                <w:rFonts w:ascii="Arial MT"/>
                <w:sz w:val="27"/>
              </w:rPr>
            </w:pPr>
            <w:r>
              <w:rPr>
                <w:rFonts w:ascii="Arial MT"/>
                <w:sz w:val="27"/>
              </w:rPr>
              <w:t>CHAPTER</w:t>
            </w:r>
            <w:r>
              <w:rPr>
                <w:rFonts w:ascii="Arial MT"/>
                <w:spacing w:val="-14"/>
                <w:sz w:val="27"/>
              </w:rPr>
              <w:t> </w:t>
            </w:r>
            <w:r>
              <w:rPr>
                <w:rFonts w:ascii="Arial MT"/>
                <w:spacing w:val="-5"/>
                <w:sz w:val="27"/>
              </w:rPr>
              <w:t>TWO</w:t>
            </w:r>
          </w:p>
        </w:tc>
        <w:tc>
          <w:tcPr>
            <w:tcW w:w="1047" w:type="dxa"/>
          </w:tcPr>
          <w:p>
            <w:pPr>
              <w:pStyle w:val="TableParagraph"/>
              <w:spacing w:before="56"/>
              <w:ind w:right="138"/>
              <w:jc w:val="right"/>
              <w:rPr>
                <w:rFonts w:ascii="Arial MT"/>
                <w:sz w:val="27"/>
              </w:rPr>
            </w:pPr>
            <w:r>
              <w:rPr>
                <w:rFonts w:ascii="Arial MT"/>
                <w:spacing w:val="-5"/>
                <w:sz w:val="27"/>
              </w:rPr>
              <w:t>10</w:t>
            </w:r>
          </w:p>
        </w:tc>
      </w:tr>
      <w:tr>
        <w:trPr>
          <w:trHeight w:val="430" w:hRule="atLeast"/>
        </w:trPr>
        <w:tc>
          <w:tcPr>
            <w:tcW w:w="1385" w:type="dxa"/>
          </w:tcPr>
          <w:p>
            <w:pPr>
              <w:pStyle w:val="TableParagraph"/>
              <w:spacing w:before="76"/>
              <w:ind w:left="50"/>
              <w:rPr>
                <w:rFonts w:ascii="Arial MT"/>
                <w:sz w:val="24"/>
              </w:rPr>
            </w:pPr>
            <w:r>
              <w:rPr>
                <w:rFonts w:ascii="Arial MT"/>
                <w:spacing w:val="-5"/>
                <w:sz w:val="24"/>
              </w:rPr>
              <w:t>2.1</w:t>
            </w:r>
          </w:p>
        </w:tc>
        <w:tc>
          <w:tcPr>
            <w:tcW w:w="6445" w:type="dxa"/>
          </w:tcPr>
          <w:p>
            <w:pPr>
              <w:pStyle w:val="TableParagraph"/>
              <w:spacing w:before="76"/>
              <w:ind w:left="62"/>
              <w:rPr>
                <w:rFonts w:ascii="Arial MT"/>
                <w:sz w:val="24"/>
              </w:rPr>
            </w:pPr>
            <w:r>
              <w:rPr>
                <w:rFonts w:ascii="Arial MT"/>
                <w:sz w:val="24"/>
              </w:rPr>
              <w:t>Literature</w:t>
            </w:r>
            <w:r>
              <w:rPr>
                <w:rFonts w:ascii="Arial MT"/>
                <w:spacing w:val="-6"/>
                <w:sz w:val="24"/>
              </w:rPr>
              <w:t> </w:t>
            </w:r>
            <w:r>
              <w:rPr>
                <w:rFonts w:ascii="Arial MT"/>
                <w:spacing w:val="-2"/>
                <w:sz w:val="24"/>
              </w:rPr>
              <w:t>Review</w:t>
            </w:r>
          </w:p>
        </w:tc>
        <w:tc>
          <w:tcPr>
            <w:tcW w:w="1047" w:type="dxa"/>
          </w:tcPr>
          <w:p>
            <w:pPr>
              <w:pStyle w:val="TableParagraph"/>
              <w:spacing w:before="76"/>
              <w:ind w:right="133"/>
              <w:jc w:val="right"/>
              <w:rPr>
                <w:rFonts w:ascii="Arial MT"/>
                <w:sz w:val="24"/>
              </w:rPr>
            </w:pPr>
            <w:r>
              <w:rPr>
                <w:rFonts w:ascii="Arial MT"/>
                <w:spacing w:val="-5"/>
                <w:sz w:val="24"/>
              </w:rPr>
              <w:t>10</w:t>
            </w:r>
          </w:p>
        </w:tc>
      </w:tr>
      <w:tr>
        <w:trPr>
          <w:trHeight w:val="437" w:hRule="atLeast"/>
        </w:trPr>
        <w:tc>
          <w:tcPr>
            <w:tcW w:w="1385" w:type="dxa"/>
          </w:tcPr>
          <w:p>
            <w:pPr>
              <w:pStyle w:val="TableParagraph"/>
              <w:spacing w:before="77"/>
              <w:ind w:left="50"/>
              <w:rPr>
                <w:rFonts w:ascii="Arial MT"/>
                <w:sz w:val="24"/>
              </w:rPr>
            </w:pPr>
            <w:r>
              <w:rPr>
                <w:rFonts w:ascii="Arial MT"/>
                <w:spacing w:val="-5"/>
                <w:sz w:val="24"/>
              </w:rPr>
              <w:t>2.2</w:t>
            </w:r>
          </w:p>
        </w:tc>
        <w:tc>
          <w:tcPr>
            <w:tcW w:w="6445" w:type="dxa"/>
          </w:tcPr>
          <w:p>
            <w:pPr>
              <w:pStyle w:val="TableParagraph"/>
              <w:spacing w:before="68"/>
              <w:ind w:left="62"/>
              <w:rPr>
                <w:sz w:val="24"/>
              </w:rPr>
            </w:pPr>
            <w:r>
              <w:rPr>
                <w:sz w:val="24"/>
              </w:rPr>
              <w:t>Conceptualising</w:t>
            </w:r>
            <w:r>
              <w:rPr>
                <w:spacing w:val="-3"/>
                <w:sz w:val="24"/>
              </w:rPr>
              <w:t> </w:t>
            </w:r>
            <w:r>
              <w:rPr>
                <w:sz w:val="24"/>
              </w:rPr>
              <w:t>heavy</w:t>
            </w:r>
            <w:r>
              <w:rPr>
                <w:spacing w:val="-6"/>
                <w:sz w:val="24"/>
              </w:rPr>
              <w:t> </w:t>
            </w:r>
            <w:r>
              <w:rPr>
                <w:spacing w:val="-2"/>
                <w:sz w:val="24"/>
              </w:rPr>
              <w:t>metals</w:t>
            </w:r>
          </w:p>
        </w:tc>
        <w:tc>
          <w:tcPr>
            <w:tcW w:w="1047" w:type="dxa"/>
          </w:tcPr>
          <w:p>
            <w:pPr>
              <w:pStyle w:val="TableParagraph"/>
              <w:spacing w:before="77"/>
              <w:ind w:right="148"/>
              <w:jc w:val="right"/>
              <w:rPr>
                <w:rFonts w:ascii="Arial MT"/>
                <w:sz w:val="24"/>
              </w:rPr>
            </w:pPr>
            <w:r>
              <w:rPr>
                <w:rFonts w:ascii="Arial MT"/>
                <w:spacing w:val="-5"/>
                <w:sz w:val="24"/>
              </w:rPr>
              <w:t>11</w:t>
            </w:r>
          </w:p>
        </w:tc>
      </w:tr>
      <w:tr>
        <w:trPr>
          <w:trHeight w:val="434" w:hRule="atLeast"/>
        </w:trPr>
        <w:tc>
          <w:tcPr>
            <w:tcW w:w="1385" w:type="dxa"/>
          </w:tcPr>
          <w:p>
            <w:pPr>
              <w:pStyle w:val="TableParagraph"/>
              <w:spacing w:before="76"/>
              <w:ind w:left="50"/>
              <w:rPr>
                <w:rFonts w:ascii="Arial MT"/>
                <w:sz w:val="24"/>
              </w:rPr>
            </w:pPr>
            <w:r>
              <w:rPr>
                <w:rFonts w:ascii="Arial MT"/>
                <w:spacing w:val="-5"/>
                <w:sz w:val="24"/>
              </w:rPr>
              <w:t>2.3</w:t>
            </w:r>
          </w:p>
        </w:tc>
        <w:tc>
          <w:tcPr>
            <w:tcW w:w="6445" w:type="dxa"/>
          </w:tcPr>
          <w:p>
            <w:pPr>
              <w:pStyle w:val="TableParagraph"/>
              <w:spacing w:before="76"/>
              <w:ind w:left="62"/>
              <w:rPr>
                <w:rFonts w:ascii="Arial MT"/>
                <w:sz w:val="24"/>
              </w:rPr>
            </w:pPr>
            <w:r>
              <w:rPr>
                <w:rFonts w:ascii="Arial MT"/>
                <w:sz w:val="24"/>
              </w:rPr>
              <w:t>Sources</w:t>
            </w:r>
            <w:r>
              <w:rPr>
                <w:rFonts w:ascii="Arial MT"/>
                <w:spacing w:val="-1"/>
                <w:sz w:val="24"/>
              </w:rPr>
              <w:t> </w:t>
            </w:r>
            <w:r>
              <w:rPr>
                <w:rFonts w:ascii="Arial MT"/>
                <w:sz w:val="24"/>
              </w:rPr>
              <w:t>of</w:t>
            </w:r>
            <w:r>
              <w:rPr>
                <w:rFonts w:ascii="Arial MT"/>
                <w:spacing w:val="-1"/>
                <w:sz w:val="24"/>
              </w:rPr>
              <w:t> </w:t>
            </w:r>
            <w:r>
              <w:rPr>
                <w:rFonts w:ascii="Arial MT"/>
                <w:sz w:val="24"/>
              </w:rPr>
              <w:t>heavy</w:t>
            </w:r>
            <w:r>
              <w:rPr>
                <w:rFonts w:ascii="Arial MT"/>
                <w:spacing w:val="-1"/>
                <w:sz w:val="24"/>
              </w:rPr>
              <w:t> </w:t>
            </w:r>
            <w:r>
              <w:rPr>
                <w:rFonts w:ascii="Arial MT"/>
                <w:sz w:val="24"/>
              </w:rPr>
              <w:t>metals</w:t>
            </w:r>
            <w:r>
              <w:rPr>
                <w:rFonts w:ascii="Arial MT"/>
                <w:spacing w:val="-6"/>
                <w:sz w:val="24"/>
              </w:rPr>
              <w:t> </w:t>
            </w:r>
            <w:r>
              <w:rPr>
                <w:rFonts w:ascii="Arial MT"/>
                <w:sz w:val="24"/>
              </w:rPr>
              <w:t>in</w:t>
            </w:r>
            <w:r>
              <w:rPr>
                <w:rFonts w:ascii="Arial MT"/>
                <w:spacing w:val="-1"/>
                <w:sz w:val="24"/>
              </w:rPr>
              <w:t> </w:t>
            </w:r>
            <w:r>
              <w:rPr>
                <w:rFonts w:ascii="Arial MT"/>
                <w:sz w:val="24"/>
              </w:rPr>
              <w:t>the</w:t>
            </w:r>
            <w:r>
              <w:rPr>
                <w:rFonts w:ascii="Arial MT"/>
                <w:spacing w:val="-4"/>
                <w:sz w:val="24"/>
              </w:rPr>
              <w:t> </w:t>
            </w:r>
            <w:r>
              <w:rPr>
                <w:rFonts w:ascii="Arial MT"/>
                <w:spacing w:val="-2"/>
                <w:sz w:val="24"/>
              </w:rPr>
              <w:t>environment</w:t>
            </w:r>
          </w:p>
        </w:tc>
        <w:tc>
          <w:tcPr>
            <w:tcW w:w="1047" w:type="dxa"/>
          </w:tcPr>
          <w:p>
            <w:pPr>
              <w:pStyle w:val="TableParagraph"/>
              <w:spacing w:before="76"/>
              <w:ind w:right="133"/>
              <w:jc w:val="right"/>
              <w:rPr>
                <w:rFonts w:ascii="Arial MT"/>
                <w:sz w:val="24"/>
              </w:rPr>
            </w:pPr>
            <w:r>
              <w:rPr>
                <w:rFonts w:ascii="Arial MT"/>
                <w:spacing w:val="-5"/>
                <w:sz w:val="24"/>
              </w:rPr>
              <w:t>12</w:t>
            </w:r>
          </w:p>
        </w:tc>
      </w:tr>
      <w:tr>
        <w:trPr>
          <w:trHeight w:val="434" w:hRule="atLeast"/>
        </w:trPr>
        <w:tc>
          <w:tcPr>
            <w:tcW w:w="1385" w:type="dxa"/>
          </w:tcPr>
          <w:p>
            <w:pPr>
              <w:pStyle w:val="TableParagraph"/>
              <w:spacing w:before="74"/>
              <w:ind w:left="50"/>
              <w:rPr>
                <w:rFonts w:ascii="Arial MT"/>
                <w:sz w:val="24"/>
              </w:rPr>
            </w:pPr>
            <w:r>
              <w:rPr>
                <w:rFonts w:ascii="Arial MT"/>
                <w:spacing w:val="-5"/>
                <w:sz w:val="24"/>
              </w:rPr>
              <w:t>2.4</w:t>
            </w:r>
          </w:p>
        </w:tc>
        <w:tc>
          <w:tcPr>
            <w:tcW w:w="6445" w:type="dxa"/>
          </w:tcPr>
          <w:p>
            <w:pPr>
              <w:pStyle w:val="TableParagraph"/>
              <w:spacing w:before="74"/>
              <w:ind w:left="62"/>
              <w:rPr>
                <w:rFonts w:ascii="Arial MT"/>
                <w:sz w:val="24"/>
              </w:rPr>
            </w:pPr>
            <w:r>
              <w:rPr>
                <w:rFonts w:ascii="Arial MT"/>
                <w:sz w:val="24"/>
              </w:rPr>
              <w:t>Heavy</w:t>
            </w:r>
            <w:r>
              <w:rPr>
                <w:rFonts w:ascii="Arial MT"/>
                <w:spacing w:val="-9"/>
                <w:sz w:val="24"/>
              </w:rPr>
              <w:t> </w:t>
            </w:r>
            <w:r>
              <w:rPr>
                <w:rFonts w:ascii="Arial MT"/>
                <w:sz w:val="24"/>
              </w:rPr>
              <w:t>Metals</w:t>
            </w:r>
            <w:r>
              <w:rPr>
                <w:rFonts w:ascii="Arial MT"/>
                <w:spacing w:val="-13"/>
                <w:sz w:val="24"/>
              </w:rPr>
              <w:t> </w:t>
            </w:r>
            <w:r>
              <w:rPr>
                <w:rFonts w:ascii="Arial MT"/>
                <w:sz w:val="24"/>
              </w:rPr>
              <w:t>in</w:t>
            </w:r>
            <w:r>
              <w:rPr>
                <w:rFonts w:ascii="Arial MT"/>
                <w:spacing w:val="-11"/>
                <w:sz w:val="24"/>
              </w:rPr>
              <w:t> </w:t>
            </w:r>
            <w:r>
              <w:rPr>
                <w:rFonts w:ascii="Arial MT"/>
                <w:sz w:val="24"/>
              </w:rPr>
              <w:t>automobile</w:t>
            </w:r>
            <w:r>
              <w:rPr>
                <w:rFonts w:ascii="Arial MT"/>
                <w:spacing w:val="-9"/>
                <w:sz w:val="24"/>
              </w:rPr>
              <w:t> </w:t>
            </w:r>
            <w:r>
              <w:rPr>
                <w:rFonts w:ascii="Arial MT"/>
                <w:spacing w:val="-2"/>
                <w:sz w:val="24"/>
              </w:rPr>
              <w:t>components</w:t>
            </w:r>
          </w:p>
        </w:tc>
        <w:tc>
          <w:tcPr>
            <w:tcW w:w="1047" w:type="dxa"/>
          </w:tcPr>
          <w:p>
            <w:pPr>
              <w:pStyle w:val="TableParagraph"/>
              <w:spacing w:before="74"/>
              <w:ind w:right="133"/>
              <w:jc w:val="right"/>
              <w:rPr>
                <w:rFonts w:ascii="Arial MT"/>
                <w:sz w:val="24"/>
              </w:rPr>
            </w:pPr>
            <w:r>
              <w:rPr>
                <w:rFonts w:ascii="Arial MT"/>
                <w:spacing w:val="-5"/>
                <w:sz w:val="24"/>
              </w:rPr>
              <w:t>16</w:t>
            </w:r>
          </w:p>
        </w:tc>
      </w:tr>
      <w:tr>
        <w:trPr>
          <w:trHeight w:val="434" w:hRule="atLeast"/>
        </w:trPr>
        <w:tc>
          <w:tcPr>
            <w:tcW w:w="1385" w:type="dxa"/>
          </w:tcPr>
          <w:p>
            <w:pPr>
              <w:pStyle w:val="TableParagraph"/>
              <w:spacing w:before="76"/>
              <w:ind w:left="50"/>
              <w:rPr>
                <w:rFonts w:ascii="Arial MT"/>
                <w:sz w:val="24"/>
              </w:rPr>
            </w:pPr>
            <w:r>
              <w:rPr>
                <w:rFonts w:ascii="Arial MT"/>
                <w:spacing w:val="-5"/>
                <w:sz w:val="24"/>
              </w:rPr>
              <w:t>2.5</w:t>
            </w:r>
          </w:p>
        </w:tc>
        <w:tc>
          <w:tcPr>
            <w:tcW w:w="6445" w:type="dxa"/>
          </w:tcPr>
          <w:p>
            <w:pPr>
              <w:pStyle w:val="TableParagraph"/>
              <w:spacing w:before="76"/>
              <w:ind w:left="62"/>
              <w:rPr>
                <w:rFonts w:ascii="Arial MT"/>
                <w:sz w:val="24"/>
              </w:rPr>
            </w:pPr>
            <w:r>
              <w:rPr>
                <w:rFonts w:ascii="Arial MT"/>
                <w:sz w:val="24"/>
              </w:rPr>
              <w:t>Health</w:t>
            </w:r>
            <w:r>
              <w:rPr>
                <w:rFonts w:ascii="Arial MT"/>
                <w:spacing w:val="-14"/>
                <w:sz w:val="24"/>
              </w:rPr>
              <w:t> </w:t>
            </w:r>
            <w:r>
              <w:rPr>
                <w:rFonts w:ascii="Arial MT"/>
                <w:sz w:val="24"/>
              </w:rPr>
              <w:t>and</w:t>
            </w:r>
            <w:r>
              <w:rPr>
                <w:rFonts w:ascii="Arial MT"/>
                <w:spacing w:val="-10"/>
                <w:sz w:val="24"/>
              </w:rPr>
              <w:t> </w:t>
            </w:r>
            <w:r>
              <w:rPr>
                <w:rFonts w:ascii="Arial MT"/>
                <w:sz w:val="24"/>
              </w:rPr>
              <w:t>environmental</w:t>
            </w:r>
            <w:r>
              <w:rPr>
                <w:rFonts w:ascii="Arial MT"/>
                <w:spacing w:val="-12"/>
                <w:sz w:val="24"/>
              </w:rPr>
              <w:t> </w:t>
            </w:r>
            <w:r>
              <w:rPr>
                <w:rFonts w:ascii="Arial MT"/>
                <w:sz w:val="24"/>
              </w:rPr>
              <w:t>effects</w:t>
            </w:r>
            <w:r>
              <w:rPr>
                <w:rFonts w:ascii="Arial MT"/>
                <w:spacing w:val="-10"/>
                <w:sz w:val="24"/>
              </w:rPr>
              <w:t> </w:t>
            </w:r>
            <w:r>
              <w:rPr>
                <w:rFonts w:ascii="Arial MT"/>
                <w:sz w:val="24"/>
              </w:rPr>
              <w:t>of</w:t>
            </w:r>
            <w:r>
              <w:rPr>
                <w:rFonts w:ascii="Arial MT"/>
                <w:spacing w:val="-10"/>
                <w:sz w:val="24"/>
              </w:rPr>
              <w:t> </w:t>
            </w:r>
            <w:r>
              <w:rPr>
                <w:rFonts w:ascii="Arial MT"/>
                <w:sz w:val="24"/>
              </w:rPr>
              <w:t>key</w:t>
            </w:r>
            <w:r>
              <w:rPr>
                <w:rFonts w:ascii="Arial MT"/>
                <w:spacing w:val="-10"/>
                <w:sz w:val="24"/>
              </w:rPr>
              <w:t> </w:t>
            </w:r>
            <w:r>
              <w:rPr>
                <w:rFonts w:ascii="Arial MT"/>
                <w:sz w:val="24"/>
              </w:rPr>
              <w:t>heavy</w:t>
            </w:r>
            <w:r>
              <w:rPr>
                <w:rFonts w:ascii="Arial MT"/>
                <w:spacing w:val="-6"/>
                <w:sz w:val="24"/>
              </w:rPr>
              <w:t> </w:t>
            </w:r>
            <w:r>
              <w:rPr>
                <w:rFonts w:ascii="Arial MT"/>
                <w:spacing w:val="-2"/>
                <w:sz w:val="24"/>
              </w:rPr>
              <w:t>metals</w:t>
            </w:r>
          </w:p>
        </w:tc>
        <w:tc>
          <w:tcPr>
            <w:tcW w:w="1047" w:type="dxa"/>
          </w:tcPr>
          <w:p>
            <w:pPr>
              <w:pStyle w:val="TableParagraph"/>
              <w:spacing w:before="76"/>
              <w:ind w:right="133"/>
              <w:jc w:val="right"/>
              <w:rPr>
                <w:rFonts w:ascii="Arial MT"/>
                <w:sz w:val="24"/>
              </w:rPr>
            </w:pPr>
            <w:r>
              <w:rPr>
                <w:rFonts w:ascii="Arial MT"/>
                <w:spacing w:val="-5"/>
                <w:sz w:val="24"/>
              </w:rPr>
              <w:t>18</w:t>
            </w:r>
          </w:p>
        </w:tc>
      </w:tr>
      <w:tr>
        <w:trPr>
          <w:trHeight w:val="434" w:hRule="atLeast"/>
        </w:trPr>
        <w:tc>
          <w:tcPr>
            <w:tcW w:w="1385" w:type="dxa"/>
          </w:tcPr>
          <w:p>
            <w:pPr>
              <w:pStyle w:val="TableParagraph"/>
              <w:spacing w:before="74"/>
              <w:ind w:left="50"/>
              <w:rPr>
                <w:rFonts w:ascii="Arial MT"/>
                <w:sz w:val="24"/>
              </w:rPr>
            </w:pPr>
            <w:r>
              <w:rPr>
                <w:rFonts w:ascii="Arial MT"/>
                <w:spacing w:val="-5"/>
                <w:sz w:val="24"/>
              </w:rPr>
              <w:t>2.6</w:t>
            </w:r>
          </w:p>
        </w:tc>
        <w:tc>
          <w:tcPr>
            <w:tcW w:w="6445" w:type="dxa"/>
          </w:tcPr>
          <w:p>
            <w:pPr>
              <w:pStyle w:val="TableParagraph"/>
              <w:spacing w:before="74"/>
              <w:ind w:left="62"/>
              <w:rPr>
                <w:rFonts w:ascii="Arial MT"/>
                <w:sz w:val="24"/>
              </w:rPr>
            </w:pPr>
            <w:r>
              <w:rPr>
                <w:rFonts w:ascii="Arial MT"/>
                <w:sz w:val="24"/>
              </w:rPr>
              <w:t>Analytical</w:t>
            </w:r>
            <w:r>
              <w:rPr>
                <w:rFonts w:ascii="Arial MT"/>
                <w:spacing w:val="-1"/>
                <w:sz w:val="24"/>
              </w:rPr>
              <w:t> </w:t>
            </w:r>
            <w:r>
              <w:rPr>
                <w:rFonts w:ascii="Arial MT"/>
                <w:sz w:val="24"/>
              </w:rPr>
              <w:t>techniques</w:t>
            </w:r>
            <w:r>
              <w:rPr>
                <w:rFonts w:ascii="Arial MT"/>
                <w:spacing w:val="-8"/>
                <w:sz w:val="24"/>
              </w:rPr>
              <w:t> </w:t>
            </w:r>
            <w:r>
              <w:rPr>
                <w:rFonts w:ascii="Arial MT"/>
                <w:sz w:val="24"/>
              </w:rPr>
              <w:t>of</w:t>
            </w:r>
            <w:r>
              <w:rPr>
                <w:rFonts w:ascii="Arial MT"/>
                <w:spacing w:val="-2"/>
                <w:sz w:val="24"/>
              </w:rPr>
              <w:t> </w:t>
            </w:r>
            <w:r>
              <w:rPr>
                <w:rFonts w:ascii="Arial MT"/>
                <w:sz w:val="24"/>
              </w:rPr>
              <w:t>detecting</w:t>
            </w:r>
            <w:r>
              <w:rPr>
                <w:rFonts w:ascii="Arial MT"/>
                <w:spacing w:val="-3"/>
                <w:sz w:val="24"/>
              </w:rPr>
              <w:t> </w:t>
            </w:r>
            <w:r>
              <w:rPr>
                <w:rFonts w:ascii="Arial MT"/>
                <w:sz w:val="24"/>
              </w:rPr>
              <w:t>heavy</w:t>
            </w:r>
            <w:r>
              <w:rPr>
                <w:rFonts w:ascii="Arial MT"/>
                <w:spacing w:val="-2"/>
                <w:sz w:val="24"/>
              </w:rPr>
              <w:t> </w:t>
            </w:r>
            <w:r>
              <w:rPr>
                <w:rFonts w:ascii="Arial MT"/>
                <w:sz w:val="24"/>
              </w:rPr>
              <w:t>metals</w:t>
            </w:r>
            <w:r>
              <w:rPr>
                <w:rFonts w:ascii="Arial MT"/>
                <w:spacing w:val="-8"/>
                <w:sz w:val="24"/>
              </w:rPr>
              <w:t> </w:t>
            </w:r>
            <w:r>
              <w:rPr>
                <w:rFonts w:ascii="Arial MT"/>
                <w:sz w:val="24"/>
              </w:rPr>
              <w:t>in</w:t>
            </w:r>
            <w:r>
              <w:rPr>
                <w:rFonts w:ascii="Arial MT"/>
                <w:spacing w:val="-2"/>
                <w:sz w:val="24"/>
              </w:rPr>
              <w:t> solid</w:t>
            </w:r>
          </w:p>
        </w:tc>
        <w:tc>
          <w:tcPr>
            <w:tcW w:w="1047" w:type="dxa"/>
          </w:tcPr>
          <w:p>
            <w:pPr>
              <w:pStyle w:val="TableParagraph"/>
              <w:spacing w:before="74"/>
              <w:ind w:right="133"/>
              <w:jc w:val="right"/>
              <w:rPr>
                <w:rFonts w:ascii="Arial MT"/>
                <w:sz w:val="24"/>
              </w:rPr>
            </w:pPr>
            <w:r>
              <w:rPr>
                <w:rFonts w:ascii="Arial MT"/>
                <w:spacing w:val="-5"/>
                <w:sz w:val="24"/>
              </w:rPr>
              <w:t>20</w:t>
            </w:r>
          </w:p>
        </w:tc>
      </w:tr>
      <w:tr>
        <w:trPr>
          <w:trHeight w:val="437" w:hRule="atLeast"/>
        </w:trPr>
        <w:tc>
          <w:tcPr>
            <w:tcW w:w="1385" w:type="dxa"/>
          </w:tcPr>
          <w:p>
            <w:pPr>
              <w:pStyle w:val="TableParagraph"/>
              <w:spacing w:before="76"/>
              <w:ind w:left="50"/>
              <w:rPr>
                <w:rFonts w:ascii="Arial MT"/>
                <w:sz w:val="24"/>
              </w:rPr>
            </w:pPr>
            <w:r>
              <w:rPr>
                <w:rFonts w:ascii="Arial MT"/>
                <w:spacing w:val="-5"/>
                <w:sz w:val="24"/>
              </w:rPr>
              <w:t>2.7</w:t>
            </w:r>
          </w:p>
        </w:tc>
        <w:tc>
          <w:tcPr>
            <w:tcW w:w="6445" w:type="dxa"/>
          </w:tcPr>
          <w:p>
            <w:pPr>
              <w:pStyle w:val="TableParagraph"/>
              <w:spacing w:before="76"/>
              <w:ind w:left="62"/>
              <w:rPr>
                <w:rFonts w:ascii="Arial MT"/>
                <w:sz w:val="24"/>
              </w:rPr>
            </w:pPr>
            <w:r>
              <w:rPr>
                <w:rFonts w:ascii="Arial MT"/>
                <w:sz w:val="24"/>
              </w:rPr>
              <w:t>Global</w:t>
            </w:r>
            <w:r>
              <w:rPr>
                <w:rFonts w:ascii="Arial MT"/>
                <w:spacing w:val="-7"/>
                <w:sz w:val="24"/>
              </w:rPr>
              <w:t> </w:t>
            </w:r>
            <w:r>
              <w:rPr>
                <w:rFonts w:ascii="Arial MT"/>
                <w:sz w:val="24"/>
              </w:rPr>
              <w:t>perspectives</w:t>
            </w:r>
            <w:r>
              <w:rPr>
                <w:rFonts w:ascii="Arial MT"/>
                <w:spacing w:val="-4"/>
                <w:sz w:val="24"/>
              </w:rPr>
              <w:t> </w:t>
            </w:r>
            <w:r>
              <w:rPr>
                <w:rFonts w:ascii="Arial MT"/>
                <w:sz w:val="24"/>
              </w:rPr>
              <w:t>on</w:t>
            </w:r>
            <w:r>
              <w:rPr>
                <w:rFonts w:ascii="Arial MT"/>
                <w:spacing w:val="-7"/>
                <w:sz w:val="24"/>
              </w:rPr>
              <w:t> </w:t>
            </w:r>
            <w:r>
              <w:rPr>
                <w:rFonts w:ascii="Arial MT"/>
                <w:sz w:val="24"/>
              </w:rPr>
              <w:t>automobile</w:t>
            </w:r>
            <w:r>
              <w:rPr>
                <w:rFonts w:ascii="Arial MT"/>
                <w:spacing w:val="-4"/>
                <w:sz w:val="24"/>
              </w:rPr>
              <w:t> </w:t>
            </w:r>
            <w:r>
              <w:rPr>
                <w:rFonts w:ascii="Arial MT"/>
                <w:sz w:val="24"/>
              </w:rPr>
              <w:t>derived</w:t>
            </w:r>
            <w:r>
              <w:rPr>
                <w:rFonts w:ascii="Arial MT"/>
                <w:spacing w:val="-4"/>
                <w:sz w:val="24"/>
              </w:rPr>
              <w:t> </w:t>
            </w:r>
            <w:r>
              <w:rPr>
                <w:rFonts w:ascii="Arial MT"/>
                <w:sz w:val="24"/>
              </w:rPr>
              <w:t>metal</w:t>
            </w:r>
            <w:r>
              <w:rPr>
                <w:rFonts w:ascii="Arial MT"/>
                <w:spacing w:val="-4"/>
                <w:sz w:val="24"/>
              </w:rPr>
              <w:t> </w:t>
            </w:r>
            <w:r>
              <w:rPr>
                <w:rFonts w:ascii="Arial MT"/>
                <w:spacing w:val="-2"/>
                <w:sz w:val="24"/>
              </w:rPr>
              <w:t>pollution</w:t>
            </w:r>
          </w:p>
        </w:tc>
        <w:tc>
          <w:tcPr>
            <w:tcW w:w="1047" w:type="dxa"/>
          </w:tcPr>
          <w:p>
            <w:pPr>
              <w:pStyle w:val="TableParagraph"/>
              <w:spacing w:before="76"/>
              <w:ind w:right="133"/>
              <w:jc w:val="right"/>
              <w:rPr>
                <w:rFonts w:ascii="Arial MT"/>
                <w:sz w:val="24"/>
              </w:rPr>
            </w:pPr>
            <w:r>
              <w:rPr>
                <w:rFonts w:ascii="Arial MT"/>
                <w:spacing w:val="-5"/>
                <w:sz w:val="24"/>
              </w:rPr>
              <w:t>22</w:t>
            </w:r>
          </w:p>
        </w:tc>
      </w:tr>
      <w:tr>
        <w:trPr>
          <w:trHeight w:val="434" w:hRule="atLeast"/>
        </w:trPr>
        <w:tc>
          <w:tcPr>
            <w:tcW w:w="1385" w:type="dxa"/>
          </w:tcPr>
          <w:p>
            <w:pPr>
              <w:pStyle w:val="TableParagraph"/>
              <w:spacing w:before="76"/>
              <w:ind w:left="50"/>
              <w:rPr>
                <w:rFonts w:ascii="Arial MT"/>
                <w:sz w:val="24"/>
              </w:rPr>
            </w:pPr>
            <w:r>
              <w:rPr>
                <w:rFonts w:ascii="Arial MT"/>
                <w:spacing w:val="-5"/>
                <w:sz w:val="24"/>
              </w:rPr>
              <w:t>2.8</w:t>
            </w:r>
          </w:p>
        </w:tc>
        <w:tc>
          <w:tcPr>
            <w:tcW w:w="6445" w:type="dxa"/>
          </w:tcPr>
          <w:p>
            <w:pPr>
              <w:pStyle w:val="TableParagraph"/>
              <w:spacing w:before="76"/>
              <w:ind w:left="62"/>
              <w:rPr>
                <w:rFonts w:ascii="Arial MT"/>
                <w:sz w:val="24"/>
              </w:rPr>
            </w:pPr>
            <w:r>
              <w:rPr>
                <w:rFonts w:ascii="Arial MT"/>
                <w:sz w:val="24"/>
              </w:rPr>
              <w:t>Nigeria</w:t>
            </w:r>
            <w:r>
              <w:rPr>
                <w:rFonts w:ascii="Arial MT"/>
                <w:spacing w:val="-3"/>
                <w:sz w:val="24"/>
              </w:rPr>
              <w:t> </w:t>
            </w:r>
            <w:r>
              <w:rPr>
                <w:rFonts w:ascii="Arial MT"/>
                <w:sz w:val="24"/>
              </w:rPr>
              <w:t>specific</w:t>
            </w:r>
            <w:r>
              <w:rPr>
                <w:rFonts w:ascii="Arial MT"/>
                <w:spacing w:val="-3"/>
                <w:sz w:val="24"/>
              </w:rPr>
              <w:t> </w:t>
            </w:r>
            <w:r>
              <w:rPr>
                <w:rFonts w:ascii="Arial MT"/>
                <w:sz w:val="24"/>
              </w:rPr>
              <w:t>studies</w:t>
            </w:r>
            <w:r>
              <w:rPr>
                <w:rFonts w:ascii="Arial MT"/>
                <w:spacing w:val="-3"/>
                <w:sz w:val="24"/>
              </w:rPr>
              <w:t> </w:t>
            </w:r>
            <w:r>
              <w:rPr>
                <w:rFonts w:ascii="Arial MT"/>
                <w:sz w:val="24"/>
              </w:rPr>
              <w:t>and</w:t>
            </w:r>
            <w:r>
              <w:rPr>
                <w:rFonts w:ascii="Arial MT"/>
                <w:spacing w:val="-7"/>
                <w:sz w:val="24"/>
              </w:rPr>
              <w:t> </w:t>
            </w:r>
            <w:r>
              <w:rPr>
                <w:rFonts w:ascii="Arial MT"/>
                <w:sz w:val="24"/>
              </w:rPr>
              <w:t>research</w:t>
            </w:r>
            <w:r>
              <w:rPr>
                <w:rFonts w:ascii="Arial MT"/>
                <w:spacing w:val="-3"/>
                <w:sz w:val="24"/>
              </w:rPr>
              <w:t> </w:t>
            </w:r>
            <w:r>
              <w:rPr>
                <w:rFonts w:ascii="Arial MT"/>
                <w:spacing w:val="-4"/>
                <w:sz w:val="24"/>
              </w:rPr>
              <w:t>gaps</w:t>
            </w:r>
          </w:p>
        </w:tc>
        <w:tc>
          <w:tcPr>
            <w:tcW w:w="1047" w:type="dxa"/>
          </w:tcPr>
          <w:p>
            <w:pPr>
              <w:pStyle w:val="TableParagraph"/>
              <w:spacing w:before="76"/>
              <w:ind w:right="133"/>
              <w:jc w:val="right"/>
              <w:rPr>
                <w:rFonts w:ascii="Arial MT"/>
                <w:sz w:val="24"/>
              </w:rPr>
            </w:pPr>
            <w:r>
              <w:rPr>
                <w:rFonts w:ascii="Arial MT"/>
                <w:spacing w:val="-5"/>
                <w:sz w:val="24"/>
              </w:rPr>
              <w:t>24</w:t>
            </w:r>
          </w:p>
        </w:tc>
      </w:tr>
      <w:tr>
        <w:trPr>
          <w:trHeight w:val="350" w:hRule="atLeast"/>
        </w:trPr>
        <w:tc>
          <w:tcPr>
            <w:tcW w:w="1385" w:type="dxa"/>
          </w:tcPr>
          <w:p>
            <w:pPr>
              <w:pStyle w:val="TableParagraph"/>
              <w:spacing w:line="256" w:lineRule="exact" w:before="74"/>
              <w:ind w:left="50"/>
              <w:rPr>
                <w:rFonts w:ascii="Arial MT"/>
                <w:sz w:val="24"/>
              </w:rPr>
            </w:pPr>
            <w:r>
              <w:rPr>
                <w:rFonts w:ascii="Arial MT"/>
                <w:spacing w:val="-5"/>
                <w:sz w:val="24"/>
              </w:rPr>
              <w:t>2.9</w:t>
            </w:r>
          </w:p>
        </w:tc>
        <w:tc>
          <w:tcPr>
            <w:tcW w:w="6445" w:type="dxa"/>
          </w:tcPr>
          <w:p>
            <w:pPr>
              <w:pStyle w:val="TableParagraph"/>
              <w:spacing w:line="256" w:lineRule="exact" w:before="74"/>
              <w:ind w:left="62"/>
              <w:rPr>
                <w:rFonts w:ascii="Arial MT"/>
                <w:sz w:val="24"/>
              </w:rPr>
            </w:pPr>
            <w:r>
              <w:rPr>
                <w:rFonts w:ascii="Arial MT"/>
                <w:sz w:val="24"/>
              </w:rPr>
              <w:t>Theoretical and</w:t>
            </w:r>
            <w:r>
              <w:rPr>
                <w:rFonts w:ascii="Arial MT"/>
                <w:spacing w:val="-8"/>
                <w:sz w:val="24"/>
              </w:rPr>
              <w:t> </w:t>
            </w:r>
            <w:r>
              <w:rPr>
                <w:rFonts w:ascii="Arial MT"/>
                <w:sz w:val="24"/>
              </w:rPr>
              <w:t>empirical</w:t>
            </w:r>
            <w:r>
              <w:rPr>
                <w:rFonts w:ascii="Arial MT"/>
                <w:spacing w:val="-3"/>
                <w:sz w:val="24"/>
              </w:rPr>
              <w:t> </w:t>
            </w:r>
            <w:r>
              <w:rPr>
                <w:rFonts w:ascii="Arial MT"/>
                <w:spacing w:val="-4"/>
                <w:sz w:val="24"/>
              </w:rPr>
              <w:t>gaps</w:t>
            </w:r>
          </w:p>
        </w:tc>
        <w:tc>
          <w:tcPr>
            <w:tcW w:w="1047" w:type="dxa"/>
          </w:tcPr>
          <w:p>
            <w:pPr>
              <w:pStyle w:val="TableParagraph"/>
              <w:spacing w:line="256" w:lineRule="exact" w:before="74"/>
              <w:ind w:right="133"/>
              <w:jc w:val="right"/>
              <w:rPr>
                <w:rFonts w:ascii="Arial MT"/>
                <w:sz w:val="24"/>
              </w:rPr>
            </w:pPr>
            <w:r>
              <w:rPr>
                <w:rFonts w:ascii="Arial MT"/>
                <w:spacing w:val="-5"/>
                <w:sz w:val="24"/>
              </w:rPr>
              <w:t>26</w:t>
            </w:r>
          </w:p>
        </w:tc>
      </w:tr>
    </w:tbl>
    <w:p>
      <w:pPr>
        <w:pStyle w:val="TableParagraph"/>
        <w:spacing w:after="0" w:line="256" w:lineRule="exact"/>
        <w:jc w:val="right"/>
        <w:rPr>
          <w:rFonts w:ascii="Arial MT"/>
          <w:sz w:val="24"/>
        </w:rPr>
        <w:sectPr>
          <w:footerReference w:type="default" r:id="rId7"/>
          <w:pgSz w:w="12240" w:h="15840"/>
          <w:pgMar w:header="0" w:footer="379" w:top="1780" w:bottom="560" w:left="360" w:right="0"/>
        </w:sectPr>
      </w:pPr>
    </w:p>
    <w:p>
      <w:pPr>
        <w:pStyle w:val="BodyText"/>
        <w:spacing w:before="3"/>
        <w:rPr>
          <w:sz w:val="2"/>
        </w:rPr>
      </w:pPr>
    </w:p>
    <w:tbl>
      <w:tblPr>
        <w:tblW w:w="0" w:type="auto"/>
        <w:jc w:val="left"/>
        <w:tblInd w:w="11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393"/>
        <w:gridCol w:w="2232"/>
      </w:tblGrid>
      <w:tr>
        <w:trPr>
          <w:trHeight w:val="737" w:hRule="atLeast"/>
        </w:trPr>
        <w:tc>
          <w:tcPr>
            <w:tcW w:w="1393" w:type="dxa"/>
          </w:tcPr>
          <w:p>
            <w:pPr>
              <w:pStyle w:val="TableParagraph"/>
              <w:spacing w:line="301" w:lineRule="exact"/>
              <w:ind w:left="50"/>
              <w:rPr>
                <w:rFonts w:ascii="Arial MT"/>
                <w:sz w:val="27"/>
              </w:rPr>
            </w:pPr>
            <w:r>
              <w:rPr>
                <w:rFonts w:ascii="Arial MT"/>
                <w:spacing w:val="-2"/>
                <w:sz w:val="27"/>
              </w:rPr>
              <w:t>CHAPTER</w:t>
            </w:r>
          </w:p>
          <w:p>
            <w:pPr>
              <w:pStyle w:val="TableParagraph"/>
              <w:spacing w:line="290" w:lineRule="exact" w:before="126"/>
              <w:ind w:left="50"/>
              <w:rPr>
                <w:rFonts w:ascii="Arial MT"/>
                <w:sz w:val="27"/>
              </w:rPr>
            </w:pPr>
            <w:r>
              <w:rPr>
                <w:rFonts w:ascii="Arial MT"/>
                <w:spacing w:val="-2"/>
                <w:sz w:val="27"/>
              </w:rPr>
              <w:t>THREE</w:t>
            </w:r>
          </w:p>
        </w:tc>
        <w:tc>
          <w:tcPr>
            <w:tcW w:w="2232" w:type="dxa"/>
          </w:tcPr>
          <w:p>
            <w:pPr>
              <w:pStyle w:val="TableParagraph"/>
              <w:spacing w:line="301" w:lineRule="exact"/>
              <w:ind w:left="54"/>
              <w:rPr>
                <w:rFonts w:ascii="Arial MT"/>
                <w:sz w:val="27"/>
              </w:rPr>
            </w:pPr>
            <w:r>
              <w:rPr>
                <w:rFonts w:ascii="Arial MT"/>
                <w:spacing w:val="-2"/>
                <w:sz w:val="27"/>
              </w:rPr>
              <w:t>METHODOLOGY</w:t>
            </w:r>
          </w:p>
        </w:tc>
      </w:tr>
    </w:tbl>
    <w:p>
      <w:pPr>
        <w:pStyle w:val="BodyText"/>
        <w:rPr>
          <w:sz w:val="20"/>
        </w:rPr>
      </w:pPr>
    </w:p>
    <w:p>
      <w:pPr>
        <w:pStyle w:val="BodyText"/>
        <w:rPr>
          <w:sz w:val="20"/>
        </w:rPr>
      </w:pPr>
    </w:p>
    <w:p>
      <w:pPr>
        <w:pStyle w:val="BodyText"/>
        <w:spacing w:before="45"/>
        <w:rPr>
          <w:sz w:val="20"/>
        </w:rPr>
      </w:pPr>
    </w:p>
    <w:tbl>
      <w:tblPr>
        <w:tblW w:w="0" w:type="auto"/>
        <w:jc w:val="left"/>
        <w:tblInd w:w="11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13"/>
        <w:gridCol w:w="4985"/>
        <w:gridCol w:w="2891"/>
      </w:tblGrid>
      <w:tr>
        <w:trPr>
          <w:trHeight w:val="350" w:hRule="atLeast"/>
        </w:trPr>
        <w:tc>
          <w:tcPr>
            <w:tcW w:w="913" w:type="dxa"/>
          </w:tcPr>
          <w:p>
            <w:pPr>
              <w:pStyle w:val="TableParagraph"/>
              <w:spacing w:line="268" w:lineRule="exact"/>
              <w:ind w:left="50"/>
              <w:rPr>
                <w:rFonts w:ascii="Arial MT"/>
                <w:sz w:val="24"/>
              </w:rPr>
            </w:pPr>
            <w:r>
              <w:rPr>
                <w:rFonts w:ascii="Arial MT"/>
                <w:spacing w:val="-5"/>
                <w:sz w:val="24"/>
              </w:rPr>
              <w:t>3.1</w:t>
            </w:r>
          </w:p>
        </w:tc>
        <w:tc>
          <w:tcPr>
            <w:tcW w:w="4985" w:type="dxa"/>
          </w:tcPr>
          <w:p>
            <w:pPr>
              <w:pStyle w:val="TableParagraph"/>
              <w:spacing w:line="268" w:lineRule="exact"/>
              <w:ind w:left="529"/>
              <w:rPr>
                <w:rFonts w:ascii="Arial MT"/>
                <w:sz w:val="24"/>
              </w:rPr>
            </w:pPr>
            <w:r>
              <w:rPr>
                <w:rFonts w:ascii="Arial MT"/>
                <w:sz w:val="24"/>
              </w:rPr>
              <w:t>Study</w:t>
            </w:r>
            <w:r>
              <w:rPr>
                <w:rFonts w:ascii="Arial MT"/>
                <w:spacing w:val="-2"/>
                <w:sz w:val="24"/>
              </w:rPr>
              <w:t> </w:t>
            </w:r>
            <w:r>
              <w:rPr>
                <w:rFonts w:ascii="Arial MT"/>
                <w:spacing w:val="-4"/>
                <w:sz w:val="24"/>
              </w:rPr>
              <w:t>Area</w:t>
            </w:r>
          </w:p>
        </w:tc>
        <w:tc>
          <w:tcPr>
            <w:tcW w:w="2891" w:type="dxa"/>
          </w:tcPr>
          <w:p>
            <w:pPr>
              <w:pStyle w:val="TableParagraph"/>
              <w:spacing w:line="268" w:lineRule="exact"/>
              <w:ind w:right="45"/>
              <w:jc w:val="right"/>
              <w:rPr>
                <w:rFonts w:ascii="Arial MT"/>
                <w:sz w:val="24"/>
              </w:rPr>
            </w:pPr>
            <w:r>
              <w:rPr>
                <w:rFonts w:ascii="Arial MT"/>
                <w:spacing w:val="-5"/>
                <w:sz w:val="24"/>
              </w:rPr>
              <w:t>28</w:t>
            </w:r>
          </w:p>
        </w:tc>
      </w:tr>
      <w:tr>
        <w:trPr>
          <w:trHeight w:val="350" w:hRule="atLeast"/>
        </w:trPr>
        <w:tc>
          <w:tcPr>
            <w:tcW w:w="913" w:type="dxa"/>
          </w:tcPr>
          <w:p>
            <w:pPr>
              <w:pStyle w:val="TableParagraph"/>
              <w:spacing w:line="256" w:lineRule="exact" w:before="74"/>
              <w:ind w:left="50"/>
              <w:rPr>
                <w:rFonts w:ascii="Arial MT"/>
                <w:sz w:val="24"/>
              </w:rPr>
            </w:pPr>
            <w:r>
              <w:rPr>
                <w:rFonts w:ascii="Arial MT"/>
                <w:spacing w:val="-5"/>
                <w:sz w:val="24"/>
              </w:rPr>
              <w:t>3.2</w:t>
            </w:r>
          </w:p>
        </w:tc>
        <w:tc>
          <w:tcPr>
            <w:tcW w:w="4985" w:type="dxa"/>
          </w:tcPr>
          <w:p>
            <w:pPr>
              <w:pStyle w:val="TableParagraph"/>
              <w:spacing w:line="256" w:lineRule="exact" w:before="74"/>
              <w:ind w:left="529"/>
              <w:rPr>
                <w:rFonts w:ascii="Arial MT"/>
                <w:sz w:val="24"/>
              </w:rPr>
            </w:pPr>
            <w:r>
              <w:rPr>
                <w:rFonts w:ascii="Arial MT"/>
                <w:sz w:val="24"/>
              </w:rPr>
              <w:t>Sample</w:t>
            </w:r>
            <w:r>
              <w:rPr>
                <w:rFonts w:ascii="Arial MT"/>
                <w:spacing w:val="-1"/>
                <w:sz w:val="24"/>
              </w:rPr>
              <w:t> </w:t>
            </w:r>
            <w:r>
              <w:rPr>
                <w:rFonts w:ascii="Arial MT"/>
                <w:spacing w:val="-2"/>
                <w:sz w:val="24"/>
              </w:rPr>
              <w:t>collection</w:t>
            </w:r>
          </w:p>
        </w:tc>
        <w:tc>
          <w:tcPr>
            <w:tcW w:w="2891" w:type="dxa"/>
          </w:tcPr>
          <w:p>
            <w:pPr>
              <w:pStyle w:val="TableParagraph"/>
              <w:spacing w:line="256" w:lineRule="exact" w:before="74"/>
              <w:ind w:right="45"/>
              <w:jc w:val="right"/>
              <w:rPr>
                <w:rFonts w:ascii="Arial MT"/>
                <w:sz w:val="24"/>
              </w:rPr>
            </w:pPr>
            <w:r>
              <w:rPr>
                <w:rFonts w:ascii="Arial MT"/>
                <w:spacing w:val="-5"/>
                <w:sz w:val="24"/>
              </w:rPr>
              <w:t>31</w:t>
            </w:r>
          </w:p>
        </w:tc>
      </w:tr>
    </w:tbl>
    <w:p>
      <w:pPr>
        <w:pStyle w:val="BodyText"/>
        <w:rPr>
          <w:sz w:val="20"/>
        </w:rPr>
      </w:pPr>
    </w:p>
    <w:p>
      <w:pPr>
        <w:pStyle w:val="BodyText"/>
        <w:rPr>
          <w:sz w:val="20"/>
        </w:rPr>
      </w:pPr>
    </w:p>
    <w:p>
      <w:pPr>
        <w:pStyle w:val="BodyText"/>
        <w:spacing w:before="69"/>
        <w:rPr>
          <w:sz w:val="20"/>
        </w:rPr>
      </w:pPr>
    </w:p>
    <w:tbl>
      <w:tblPr>
        <w:tblW w:w="0" w:type="auto"/>
        <w:jc w:val="left"/>
        <w:tblInd w:w="11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372"/>
        <w:gridCol w:w="6914"/>
        <w:gridCol w:w="519"/>
      </w:tblGrid>
      <w:tr>
        <w:trPr>
          <w:trHeight w:val="338" w:hRule="atLeast"/>
        </w:trPr>
        <w:tc>
          <w:tcPr>
            <w:tcW w:w="1372" w:type="dxa"/>
          </w:tcPr>
          <w:p>
            <w:pPr>
              <w:pStyle w:val="TableParagraph"/>
              <w:spacing w:line="268" w:lineRule="exact"/>
              <w:ind w:left="50"/>
              <w:rPr>
                <w:rFonts w:ascii="Arial MT"/>
                <w:sz w:val="24"/>
              </w:rPr>
            </w:pPr>
            <w:r>
              <w:rPr>
                <w:rFonts w:ascii="Arial MT"/>
                <w:spacing w:val="-4"/>
                <w:sz w:val="24"/>
              </w:rPr>
              <w:t>3.2.1</w:t>
            </w:r>
          </w:p>
        </w:tc>
        <w:tc>
          <w:tcPr>
            <w:tcW w:w="6914" w:type="dxa"/>
          </w:tcPr>
          <w:p>
            <w:pPr>
              <w:pStyle w:val="TableParagraph"/>
              <w:spacing w:line="268" w:lineRule="exact"/>
              <w:ind w:left="89"/>
              <w:rPr>
                <w:rFonts w:ascii="Arial MT"/>
                <w:sz w:val="24"/>
              </w:rPr>
            </w:pPr>
            <w:r>
              <w:rPr>
                <w:rFonts w:ascii="Arial MT"/>
                <w:sz w:val="24"/>
              </w:rPr>
              <w:t>Water</w:t>
            </w:r>
            <w:r>
              <w:rPr>
                <w:rFonts w:ascii="Arial MT"/>
                <w:spacing w:val="-2"/>
                <w:sz w:val="24"/>
              </w:rPr>
              <w:t> </w:t>
            </w:r>
            <w:r>
              <w:rPr>
                <w:rFonts w:ascii="Arial MT"/>
                <w:sz w:val="24"/>
              </w:rPr>
              <w:t>sample</w:t>
            </w:r>
            <w:r>
              <w:rPr>
                <w:rFonts w:ascii="Arial MT"/>
                <w:spacing w:val="-2"/>
                <w:sz w:val="24"/>
              </w:rPr>
              <w:t> </w:t>
            </w:r>
            <w:r>
              <w:rPr>
                <w:rFonts w:ascii="Arial MT"/>
                <w:sz w:val="24"/>
              </w:rPr>
              <w:t>collection</w:t>
            </w:r>
            <w:r>
              <w:rPr>
                <w:rFonts w:ascii="Arial MT"/>
                <w:spacing w:val="-6"/>
                <w:sz w:val="24"/>
              </w:rPr>
              <w:t> </w:t>
            </w:r>
            <w:r>
              <w:rPr>
                <w:rFonts w:ascii="Arial MT"/>
                <w:sz w:val="24"/>
              </w:rPr>
              <w:t>and</w:t>
            </w:r>
            <w:r>
              <w:rPr>
                <w:rFonts w:ascii="Arial MT"/>
                <w:spacing w:val="-2"/>
                <w:sz w:val="24"/>
              </w:rPr>
              <w:t> preparation</w:t>
            </w:r>
          </w:p>
        </w:tc>
        <w:tc>
          <w:tcPr>
            <w:tcW w:w="519" w:type="dxa"/>
          </w:tcPr>
          <w:p>
            <w:pPr>
              <w:pStyle w:val="TableParagraph"/>
              <w:spacing w:line="268" w:lineRule="exact"/>
              <w:ind w:right="47"/>
              <w:jc w:val="right"/>
              <w:rPr>
                <w:rFonts w:ascii="Arial MT"/>
                <w:sz w:val="24"/>
              </w:rPr>
            </w:pPr>
            <w:r>
              <w:rPr>
                <w:rFonts w:ascii="Arial MT"/>
                <w:spacing w:val="-5"/>
                <w:sz w:val="24"/>
              </w:rPr>
              <w:t>31</w:t>
            </w:r>
          </w:p>
        </w:tc>
      </w:tr>
      <w:tr>
        <w:trPr>
          <w:trHeight w:val="406" w:hRule="atLeast"/>
        </w:trPr>
        <w:tc>
          <w:tcPr>
            <w:tcW w:w="1372" w:type="dxa"/>
          </w:tcPr>
          <w:p>
            <w:pPr>
              <w:pStyle w:val="TableParagraph"/>
              <w:spacing w:before="62"/>
              <w:ind w:left="50"/>
              <w:rPr>
                <w:rFonts w:ascii="Arial MT"/>
                <w:sz w:val="24"/>
              </w:rPr>
            </w:pPr>
            <w:r>
              <w:rPr>
                <w:rFonts w:ascii="Arial MT"/>
                <w:spacing w:val="-4"/>
                <w:sz w:val="24"/>
              </w:rPr>
              <w:t>3.2.2</w:t>
            </w:r>
          </w:p>
        </w:tc>
        <w:tc>
          <w:tcPr>
            <w:tcW w:w="6914" w:type="dxa"/>
          </w:tcPr>
          <w:p>
            <w:pPr>
              <w:pStyle w:val="TableParagraph"/>
              <w:spacing w:before="62"/>
              <w:ind w:left="89"/>
              <w:rPr>
                <w:rFonts w:ascii="Arial MT"/>
                <w:sz w:val="24"/>
              </w:rPr>
            </w:pPr>
            <w:r>
              <w:rPr>
                <w:rFonts w:ascii="Arial MT"/>
                <w:sz w:val="24"/>
              </w:rPr>
              <w:t>Soil sample</w:t>
            </w:r>
            <w:r>
              <w:rPr>
                <w:rFonts w:ascii="Arial MT"/>
                <w:spacing w:val="-3"/>
                <w:sz w:val="24"/>
              </w:rPr>
              <w:t> </w:t>
            </w:r>
            <w:r>
              <w:rPr>
                <w:rFonts w:ascii="Arial MT"/>
                <w:sz w:val="24"/>
              </w:rPr>
              <w:t>collection</w:t>
            </w:r>
            <w:r>
              <w:rPr>
                <w:rFonts w:ascii="Arial MT"/>
                <w:spacing w:val="-7"/>
                <w:sz w:val="24"/>
              </w:rPr>
              <w:t> </w:t>
            </w:r>
            <w:r>
              <w:rPr>
                <w:rFonts w:ascii="Arial MT"/>
                <w:sz w:val="24"/>
              </w:rPr>
              <w:t>and</w:t>
            </w:r>
            <w:r>
              <w:rPr>
                <w:rFonts w:ascii="Arial MT"/>
                <w:spacing w:val="-2"/>
                <w:sz w:val="24"/>
              </w:rPr>
              <w:t> preparation</w:t>
            </w:r>
          </w:p>
        </w:tc>
        <w:tc>
          <w:tcPr>
            <w:tcW w:w="519" w:type="dxa"/>
          </w:tcPr>
          <w:p>
            <w:pPr>
              <w:pStyle w:val="TableParagraph"/>
              <w:spacing w:before="62"/>
              <w:ind w:right="47"/>
              <w:jc w:val="right"/>
              <w:rPr>
                <w:rFonts w:ascii="Arial MT"/>
                <w:sz w:val="24"/>
              </w:rPr>
            </w:pPr>
            <w:r>
              <w:rPr>
                <w:rFonts w:ascii="Arial MT"/>
                <w:spacing w:val="-5"/>
                <w:sz w:val="24"/>
              </w:rPr>
              <w:t>33</w:t>
            </w:r>
          </w:p>
        </w:tc>
      </w:tr>
      <w:tr>
        <w:trPr>
          <w:trHeight w:val="453" w:hRule="atLeast"/>
        </w:trPr>
        <w:tc>
          <w:tcPr>
            <w:tcW w:w="8805" w:type="dxa"/>
            <w:gridSpan w:val="3"/>
          </w:tcPr>
          <w:p>
            <w:pPr>
              <w:pStyle w:val="TableParagraph"/>
              <w:spacing w:before="59"/>
              <w:ind w:left="50"/>
              <w:rPr>
                <w:rFonts w:ascii="Arial MT"/>
                <w:sz w:val="27"/>
              </w:rPr>
            </w:pPr>
            <w:r>
              <w:rPr>
                <w:rFonts w:ascii="Arial MT"/>
                <w:sz w:val="27"/>
              </w:rPr>
              <w:t>CHAPTER</w:t>
            </w:r>
            <w:r>
              <w:rPr>
                <w:rFonts w:ascii="Arial MT"/>
                <w:spacing w:val="-14"/>
                <w:sz w:val="27"/>
              </w:rPr>
              <w:t> </w:t>
            </w:r>
            <w:r>
              <w:rPr>
                <w:rFonts w:ascii="Arial MT"/>
                <w:spacing w:val="-4"/>
                <w:sz w:val="27"/>
              </w:rPr>
              <w:t>FOUR</w:t>
            </w:r>
          </w:p>
        </w:tc>
      </w:tr>
      <w:tr>
        <w:trPr>
          <w:trHeight w:val="434" w:hRule="atLeast"/>
        </w:trPr>
        <w:tc>
          <w:tcPr>
            <w:tcW w:w="1372" w:type="dxa"/>
          </w:tcPr>
          <w:p>
            <w:pPr>
              <w:pStyle w:val="TableParagraph"/>
              <w:spacing w:before="76"/>
              <w:ind w:left="50"/>
              <w:rPr>
                <w:rFonts w:ascii="Arial MT"/>
                <w:sz w:val="24"/>
              </w:rPr>
            </w:pPr>
            <w:r>
              <w:rPr>
                <w:rFonts w:ascii="Arial MT"/>
                <w:spacing w:val="-5"/>
                <w:sz w:val="24"/>
              </w:rPr>
              <w:t>4.0</w:t>
            </w:r>
          </w:p>
        </w:tc>
        <w:tc>
          <w:tcPr>
            <w:tcW w:w="6914" w:type="dxa"/>
          </w:tcPr>
          <w:p>
            <w:pPr>
              <w:pStyle w:val="TableParagraph"/>
              <w:spacing w:before="76"/>
              <w:ind w:left="89"/>
              <w:rPr>
                <w:rFonts w:ascii="Arial MT"/>
                <w:sz w:val="24"/>
              </w:rPr>
            </w:pPr>
            <w:r>
              <w:rPr>
                <w:rFonts w:ascii="Arial MT"/>
                <w:sz w:val="24"/>
              </w:rPr>
              <w:t>Results</w:t>
            </w:r>
            <w:r>
              <w:rPr>
                <w:rFonts w:ascii="Arial MT"/>
                <w:spacing w:val="-10"/>
                <w:sz w:val="24"/>
              </w:rPr>
              <w:t> </w:t>
            </w:r>
            <w:r>
              <w:rPr>
                <w:rFonts w:ascii="Arial MT"/>
                <w:sz w:val="24"/>
              </w:rPr>
              <w:t>and</w:t>
            </w:r>
            <w:r>
              <w:rPr>
                <w:rFonts w:ascii="Arial MT"/>
                <w:spacing w:val="-6"/>
                <w:sz w:val="24"/>
              </w:rPr>
              <w:t> </w:t>
            </w:r>
            <w:r>
              <w:rPr>
                <w:rFonts w:ascii="Arial MT"/>
                <w:spacing w:val="-2"/>
                <w:sz w:val="24"/>
              </w:rPr>
              <w:t>Discussion</w:t>
            </w:r>
          </w:p>
        </w:tc>
        <w:tc>
          <w:tcPr>
            <w:tcW w:w="519" w:type="dxa"/>
          </w:tcPr>
          <w:p>
            <w:pPr>
              <w:pStyle w:val="TableParagraph"/>
              <w:spacing w:before="76"/>
              <w:ind w:right="47"/>
              <w:jc w:val="right"/>
              <w:rPr>
                <w:rFonts w:ascii="Arial MT"/>
                <w:sz w:val="24"/>
              </w:rPr>
            </w:pPr>
            <w:r>
              <w:rPr>
                <w:rFonts w:ascii="Arial MT"/>
                <w:spacing w:val="-5"/>
                <w:sz w:val="24"/>
              </w:rPr>
              <w:t>35</w:t>
            </w:r>
          </w:p>
        </w:tc>
      </w:tr>
      <w:tr>
        <w:trPr>
          <w:trHeight w:val="434" w:hRule="atLeast"/>
        </w:trPr>
        <w:tc>
          <w:tcPr>
            <w:tcW w:w="1372" w:type="dxa"/>
          </w:tcPr>
          <w:p>
            <w:pPr>
              <w:pStyle w:val="TableParagraph"/>
              <w:spacing w:before="74"/>
              <w:ind w:left="50"/>
              <w:rPr>
                <w:rFonts w:ascii="Arial MT"/>
                <w:sz w:val="24"/>
              </w:rPr>
            </w:pPr>
            <w:r>
              <w:rPr>
                <w:rFonts w:ascii="Arial MT"/>
                <w:spacing w:val="-5"/>
                <w:sz w:val="24"/>
              </w:rPr>
              <w:t>4.1</w:t>
            </w:r>
          </w:p>
        </w:tc>
        <w:tc>
          <w:tcPr>
            <w:tcW w:w="6914" w:type="dxa"/>
          </w:tcPr>
          <w:p>
            <w:pPr>
              <w:pStyle w:val="TableParagraph"/>
              <w:spacing w:before="74"/>
              <w:ind w:left="89"/>
              <w:rPr>
                <w:rFonts w:ascii="Arial MT"/>
                <w:sz w:val="24"/>
              </w:rPr>
            </w:pPr>
            <w:r>
              <w:rPr>
                <w:rFonts w:ascii="Arial MT"/>
                <w:spacing w:val="-2"/>
                <w:sz w:val="24"/>
              </w:rPr>
              <w:t>Results</w:t>
            </w:r>
          </w:p>
        </w:tc>
        <w:tc>
          <w:tcPr>
            <w:tcW w:w="519" w:type="dxa"/>
          </w:tcPr>
          <w:p>
            <w:pPr>
              <w:pStyle w:val="TableParagraph"/>
              <w:spacing w:before="74"/>
              <w:ind w:right="47"/>
              <w:jc w:val="right"/>
              <w:rPr>
                <w:rFonts w:ascii="Arial MT"/>
                <w:sz w:val="24"/>
              </w:rPr>
            </w:pPr>
            <w:r>
              <w:rPr>
                <w:rFonts w:ascii="Arial MT"/>
                <w:spacing w:val="-5"/>
                <w:sz w:val="24"/>
              </w:rPr>
              <w:t>35</w:t>
            </w:r>
          </w:p>
        </w:tc>
      </w:tr>
      <w:tr>
        <w:trPr>
          <w:trHeight w:val="434" w:hRule="atLeast"/>
        </w:trPr>
        <w:tc>
          <w:tcPr>
            <w:tcW w:w="1372" w:type="dxa"/>
          </w:tcPr>
          <w:p>
            <w:pPr>
              <w:pStyle w:val="TableParagraph"/>
              <w:spacing w:before="76"/>
              <w:ind w:left="50"/>
              <w:rPr>
                <w:rFonts w:ascii="Arial MT"/>
                <w:sz w:val="24"/>
              </w:rPr>
            </w:pPr>
            <w:r>
              <w:rPr>
                <w:rFonts w:ascii="Arial MT"/>
                <w:spacing w:val="-5"/>
                <w:sz w:val="24"/>
              </w:rPr>
              <w:t>4.2</w:t>
            </w:r>
          </w:p>
        </w:tc>
        <w:tc>
          <w:tcPr>
            <w:tcW w:w="6914" w:type="dxa"/>
          </w:tcPr>
          <w:p>
            <w:pPr>
              <w:pStyle w:val="TableParagraph"/>
              <w:spacing w:before="76"/>
              <w:ind w:left="89"/>
              <w:rPr>
                <w:rFonts w:ascii="Arial MT"/>
                <w:sz w:val="24"/>
              </w:rPr>
            </w:pPr>
            <w:r>
              <w:rPr>
                <w:rFonts w:ascii="Arial MT"/>
                <w:sz w:val="24"/>
              </w:rPr>
              <w:t>Assessment</w:t>
            </w:r>
            <w:r>
              <w:rPr>
                <w:rFonts w:ascii="Arial MT"/>
                <w:spacing w:val="-5"/>
                <w:sz w:val="24"/>
              </w:rPr>
              <w:t> </w:t>
            </w:r>
            <w:r>
              <w:rPr>
                <w:rFonts w:ascii="Arial MT"/>
                <w:sz w:val="24"/>
              </w:rPr>
              <w:t>of</w:t>
            </w:r>
            <w:r>
              <w:rPr>
                <w:rFonts w:ascii="Arial MT"/>
                <w:spacing w:val="-3"/>
                <w:sz w:val="24"/>
              </w:rPr>
              <w:t> </w:t>
            </w:r>
            <w:r>
              <w:rPr>
                <w:rFonts w:ascii="Arial MT"/>
                <w:sz w:val="24"/>
              </w:rPr>
              <w:t>heavy</w:t>
            </w:r>
            <w:r>
              <w:rPr>
                <w:rFonts w:ascii="Arial MT"/>
                <w:spacing w:val="-2"/>
                <w:sz w:val="24"/>
              </w:rPr>
              <w:t> </w:t>
            </w:r>
            <w:r>
              <w:rPr>
                <w:rFonts w:ascii="Arial MT"/>
                <w:sz w:val="24"/>
              </w:rPr>
              <w:t>metals</w:t>
            </w:r>
            <w:r>
              <w:rPr>
                <w:rFonts w:ascii="Arial MT"/>
                <w:spacing w:val="-3"/>
                <w:sz w:val="24"/>
              </w:rPr>
              <w:t> </w:t>
            </w:r>
            <w:r>
              <w:rPr>
                <w:rFonts w:ascii="Arial MT"/>
                <w:sz w:val="24"/>
              </w:rPr>
              <w:t>health</w:t>
            </w:r>
            <w:r>
              <w:rPr>
                <w:rFonts w:ascii="Arial MT"/>
                <w:spacing w:val="-2"/>
                <w:sz w:val="24"/>
              </w:rPr>
              <w:t> </w:t>
            </w:r>
            <w:r>
              <w:rPr>
                <w:rFonts w:ascii="Arial MT"/>
                <w:sz w:val="24"/>
              </w:rPr>
              <w:t>risks</w:t>
            </w:r>
            <w:r>
              <w:rPr>
                <w:rFonts w:ascii="Arial MT"/>
                <w:spacing w:val="-7"/>
                <w:sz w:val="24"/>
              </w:rPr>
              <w:t> </w:t>
            </w:r>
            <w:r>
              <w:rPr>
                <w:rFonts w:ascii="Arial MT"/>
                <w:spacing w:val="-2"/>
                <w:sz w:val="24"/>
              </w:rPr>
              <w:t>impacts</w:t>
            </w:r>
          </w:p>
        </w:tc>
        <w:tc>
          <w:tcPr>
            <w:tcW w:w="519" w:type="dxa"/>
          </w:tcPr>
          <w:p>
            <w:pPr>
              <w:pStyle w:val="TableParagraph"/>
              <w:spacing w:before="76"/>
              <w:ind w:right="47"/>
              <w:jc w:val="right"/>
              <w:rPr>
                <w:rFonts w:ascii="Arial MT"/>
                <w:sz w:val="24"/>
              </w:rPr>
            </w:pPr>
            <w:r>
              <w:rPr>
                <w:rFonts w:ascii="Arial MT"/>
                <w:spacing w:val="-5"/>
                <w:sz w:val="24"/>
              </w:rPr>
              <w:t>37</w:t>
            </w:r>
          </w:p>
        </w:tc>
      </w:tr>
      <w:tr>
        <w:trPr>
          <w:trHeight w:val="434" w:hRule="atLeast"/>
        </w:trPr>
        <w:tc>
          <w:tcPr>
            <w:tcW w:w="1372" w:type="dxa"/>
          </w:tcPr>
          <w:p>
            <w:pPr>
              <w:pStyle w:val="TableParagraph"/>
              <w:spacing w:before="74"/>
              <w:ind w:left="50"/>
              <w:rPr>
                <w:rFonts w:ascii="Arial MT"/>
                <w:sz w:val="24"/>
              </w:rPr>
            </w:pPr>
            <w:r>
              <w:rPr>
                <w:rFonts w:ascii="Arial MT"/>
                <w:spacing w:val="-4"/>
                <w:sz w:val="24"/>
              </w:rPr>
              <w:t>4.2.1</w:t>
            </w:r>
          </w:p>
        </w:tc>
        <w:tc>
          <w:tcPr>
            <w:tcW w:w="6914" w:type="dxa"/>
          </w:tcPr>
          <w:p>
            <w:pPr>
              <w:pStyle w:val="TableParagraph"/>
              <w:spacing w:before="74"/>
              <w:ind w:left="89"/>
              <w:rPr>
                <w:rFonts w:ascii="Arial MT"/>
                <w:sz w:val="24"/>
              </w:rPr>
            </w:pPr>
            <w:r>
              <w:rPr>
                <w:rFonts w:ascii="Arial MT"/>
                <w:sz w:val="24"/>
              </w:rPr>
              <w:t>Non</w:t>
            </w:r>
            <w:r>
              <w:rPr>
                <w:rFonts w:ascii="Arial MT"/>
                <w:spacing w:val="-9"/>
                <w:sz w:val="24"/>
              </w:rPr>
              <w:t> </w:t>
            </w:r>
            <w:r>
              <w:rPr>
                <w:rFonts w:ascii="Arial MT"/>
                <w:sz w:val="24"/>
              </w:rPr>
              <w:t>carcinogenic</w:t>
            </w:r>
            <w:r>
              <w:rPr>
                <w:rFonts w:ascii="Arial MT"/>
                <w:spacing w:val="-10"/>
                <w:sz w:val="24"/>
              </w:rPr>
              <w:t> </w:t>
            </w:r>
            <w:r>
              <w:rPr>
                <w:rFonts w:ascii="Arial MT"/>
                <w:sz w:val="24"/>
              </w:rPr>
              <w:t>Risk</w:t>
            </w:r>
            <w:r>
              <w:rPr>
                <w:rFonts w:ascii="Arial MT"/>
                <w:spacing w:val="-8"/>
                <w:sz w:val="24"/>
              </w:rPr>
              <w:t> </w:t>
            </w:r>
            <w:r>
              <w:rPr>
                <w:rFonts w:ascii="Arial MT"/>
                <w:spacing w:val="-2"/>
                <w:sz w:val="24"/>
              </w:rPr>
              <w:t>Assessment</w:t>
            </w:r>
          </w:p>
        </w:tc>
        <w:tc>
          <w:tcPr>
            <w:tcW w:w="519" w:type="dxa"/>
          </w:tcPr>
          <w:p>
            <w:pPr>
              <w:pStyle w:val="TableParagraph"/>
              <w:spacing w:before="74"/>
              <w:ind w:right="47"/>
              <w:jc w:val="right"/>
              <w:rPr>
                <w:rFonts w:ascii="Arial MT"/>
                <w:sz w:val="24"/>
              </w:rPr>
            </w:pPr>
            <w:r>
              <w:rPr>
                <w:rFonts w:ascii="Arial MT"/>
                <w:spacing w:val="-5"/>
                <w:sz w:val="24"/>
              </w:rPr>
              <w:t>37</w:t>
            </w:r>
          </w:p>
        </w:tc>
      </w:tr>
      <w:tr>
        <w:trPr>
          <w:trHeight w:val="434" w:hRule="atLeast"/>
        </w:trPr>
        <w:tc>
          <w:tcPr>
            <w:tcW w:w="1372" w:type="dxa"/>
          </w:tcPr>
          <w:p>
            <w:pPr>
              <w:pStyle w:val="TableParagraph"/>
              <w:spacing w:before="76"/>
              <w:ind w:left="50"/>
              <w:rPr>
                <w:rFonts w:ascii="Arial MT"/>
                <w:sz w:val="24"/>
              </w:rPr>
            </w:pPr>
            <w:r>
              <w:rPr>
                <w:rFonts w:ascii="Arial MT"/>
                <w:spacing w:val="-4"/>
                <w:sz w:val="24"/>
              </w:rPr>
              <w:t>4.2.2</w:t>
            </w:r>
          </w:p>
        </w:tc>
        <w:tc>
          <w:tcPr>
            <w:tcW w:w="6914" w:type="dxa"/>
          </w:tcPr>
          <w:p>
            <w:pPr>
              <w:pStyle w:val="TableParagraph"/>
              <w:spacing w:before="76"/>
              <w:ind w:left="89"/>
              <w:rPr>
                <w:rFonts w:ascii="Arial MT"/>
                <w:sz w:val="24"/>
              </w:rPr>
            </w:pPr>
            <w:r>
              <w:rPr>
                <w:rFonts w:ascii="Arial MT"/>
                <w:sz w:val="24"/>
              </w:rPr>
              <w:t>The</w:t>
            </w:r>
            <w:r>
              <w:rPr>
                <w:rFonts w:ascii="Arial MT"/>
                <w:spacing w:val="-2"/>
                <w:sz w:val="24"/>
              </w:rPr>
              <w:t> </w:t>
            </w:r>
            <w:r>
              <w:rPr>
                <w:rFonts w:ascii="Arial MT"/>
                <w:sz w:val="24"/>
              </w:rPr>
              <w:t>carcinogenic</w:t>
            </w:r>
            <w:r>
              <w:rPr>
                <w:rFonts w:ascii="Arial MT"/>
                <w:spacing w:val="-7"/>
                <w:sz w:val="24"/>
              </w:rPr>
              <w:t> </w:t>
            </w:r>
            <w:r>
              <w:rPr>
                <w:rFonts w:ascii="Arial MT"/>
                <w:sz w:val="24"/>
              </w:rPr>
              <w:t>risk</w:t>
            </w:r>
            <w:r>
              <w:rPr>
                <w:rFonts w:ascii="Arial MT"/>
                <w:spacing w:val="-1"/>
                <w:sz w:val="24"/>
              </w:rPr>
              <w:t> </w:t>
            </w:r>
            <w:r>
              <w:rPr>
                <w:rFonts w:ascii="Arial MT"/>
                <w:spacing w:val="-2"/>
                <w:sz w:val="24"/>
              </w:rPr>
              <w:t>assessment</w:t>
            </w:r>
          </w:p>
        </w:tc>
        <w:tc>
          <w:tcPr>
            <w:tcW w:w="519" w:type="dxa"/>
          </w:tcPr>
          <w:p>
            <w:pPr>
              <w:pStyle w:val="TableParagraph"/>
              <w:spacing w:before="76"/>
              <w:ind w:right="47"/>
              <w:jc w:val="right"/>
              <w:rPr>
                <w:rFonts w:ascii="Arial MT"/>
                <w:sz w:val="24"/>
              </w:rPr>
            </w:pPr>
            <w:r>
              <w:rPr>
                <w:rFonts w:ascii="Arial MT"/>
                <w:spacing w:val="-5"/>
                <w:sz w:val="24"/>
              </w:rPr>
              <w:t>39</w:t>
            </w:r>
          </w:p>
        </w:tc>
      </w:tr>
      <w:tr>
        <w:trPr>
          <w:trHeight w:val="434" w:hRule="atLeast"/>
        </w:trPr>
        <w:tc>
          <w:tcPr>
            <w:tcW w:w="1372" w:type="dxa"/>
          </w:tcPr>
          <w:p>
            <w:pPr>
              <w:pStyle w:val="TableParagraph"/>
              <w:spacing w:before="74"/>
              <w:ind w:left="50"/>
              <w:rPr>
                <w:rFonts w:ascii="Arial MT"/>
                <w:sz w:val="24"/>
              </w:rPr>
            </w:pPr>
            <w:r>
              <w:rPr>
                <w:rFonts w:ascii="Arial MT"/>
                <w:spacing w:val="-5"/>
                <w:sz w:val="24"/>
              </w:rPr>
              <w:t>4.3</w:t>
            </w:r>
          </w:p>
        </w:tc>
        <w:tc>
          <w:tcPr>
            <w:tcW w:w="6914" w:type="dxa"/>
          </w:tcPr>
          <w:p>
            <w:pPr>
              <w:pStyle w:val="TableParagraph"/>
              <w:spacing w:before="74"/>
              <w:ind w:left="89"/>
              <w:rPr>
                <w:rFonts w:ascii="Arial MT"/>
                <w:sz w:val="24"/>
              </w:rPr>
            </w:pPr>
            <w:r>
              <w:rPr>
                <w:rFonts w:ascii="Arial MT"/>
                <w:sz w:val="24"/>
              </w:rPr>
              <w:t>Statistical</w:t>
            </w:r>
            <w:r>
              <w:rPr>
                <w:rFonts w:ascii="Arial MT"/>
                <w:spacing w:val="-1"/>
                <w:sz w:val="24"/>
              </w:rPr>
              <w:t> </w:t>
            </w:r>
            <w:r>
              <w:rPr>
                <w:rFonts w:ascii="Arial MT"/>
                <w:spacing w:val="-2"/>
                <w:sz w:val="24"/>
              </w:rPr>
              <w:t>analysis</w:t>
            </w:r>
          </w:p>
        </w:tc>
        <w:tc>
          <w:tcPr>
            <w:tcW w:w="519" w:type="dxa"/>
          </w:tcPr>
          <w:p>
            <w:pPr>
              <w:pStyle w:val="TableParagraph"/>
              <w:spacing w:before="74"/>
              <w:ind w:right="47"/>
              <w:jc w:val="right"/>
              <w:rPr>
                <w:rFonts w:ascii="Arial MT"/>
                <w:sz w:val="24"/>
              </w:rPr>
            </w:pPr>
            <w:r>
              <w:rPr>
                <w:rFonts w:ascii="Arial MT"/>
                <w:spacing w:val="-5"/>
                <w:sz w:val="24"/>
              </w:rPr>
              <w:t>40</w:t>
            </w:r>
          </w:p>
        </w:tc>
      </w:tr>
      <w:tr>
        <w:trPr>
          <w:trHeight w:val="436" w:hRule="atLeast"/>
        </w:trPr>
        <w:tc>
          <w:tcPr>
            <w:tcW w:w="1372" w:type="dxa"/>
          </w:tcPr>
          <w:p>
            <w:pPr>
              <w:pStyle w:val="TableParagraph"/>
              <w:spacing w:before="76"/>
              <w:ind w:left="50"/>
              <w:rPr>
                <w:rFonts w:ascii="Arial MT"/>
                <w:sz w:val="24"/>
              </w:rPr>
            </w:pPr>
            <w:r>
              <w:rPr>
                <w:rFonts w:ascii="Arial MT"/>
                <w:spacing w:val="-4"/>
                <w:sz w:val="24"/>
              </w:rPr>
              <w:t>4.3.1</w:t>
            </w:r>
          </w:p>
        </w:tc>
        <w:tc>
          <w:tcPr>
            <w:tcW w:w="6914" w:type="dxa"/>
          </w:tcPr>
          <w:p>
            <w:pPr>
              <w:pStyle w:val="TableParagraph"/>
              <w:spacing w:before="76"/>
              <w:ind w:left="89"/>
              <w:rPr>
                <w:rFonts w:ascii="Arial MT"/>
                <w:sz w:val="24"/>
              </w:rPr>
            </w:pPr>
            <w:r>
              <w:rPr>
                <w:rFonts w:ascii="Arial MT"/>
                <w:sz w:val="24"/>
              </w:rPr>
              <w:t>Heavy</w:t>
            </w:r>
            <w:r>
              <w:rPr>
                <w:rFonts w:ascii="Arial MT"/>
                <w:spacing w:val="-9"/>
                <w:sz w:val="24"/>
              </w:rPr>
              <w:t> </w:t>
            </w:r>
            <w:r>
              <w:rPr>
                <w:rFonts w:ascii="Arial MT"/>
                <w:sz w:val="24"/>
              </w:rPr>
              <w:t>metals</w:t>
            </w:r>
            <w:r>
              <w:rPr>
                <w:rFonts w:ascii="Arial MT"/>
                <w:spacing w:val="-9"/>
                <w:sz w:val="24"/>
              </w:rPr>
              <w:t> </w:t>
            </w:r>
            <w:r>
              <w:rPr>
                <w:rFonts w:ascii="Arial MT"/>
                <w:sz w:val="24"/>
              </w:rPr>
              <w:t>distribution</w:t>
            </w:r>
            <w:r>
              <w:rPr>
                <w:rFonts w:ascii="Arial MT"/>
                <w:spacing w:val="-12"/>
                <w:sz w:val="24"/>
              </w:rPr>
              <w:t> </w:t>
            </w:r>
            <w:r>
              <w:rPr>
                <w:rFonts w:ascii="Arial MT"/>
                <w:sz w:val="24"/>
              </w:rPr>
              <w:t>in</w:t>
            </w:r>
            <w:r>
              <w:rPr>
                <w:rFonts w:ascii="Arial MT"/>
                <w:spacing w:val="-8"/>
                <w:sz w:val="24"/>
              </w:rPr>
              <w:t> </w:t>
            </w:r>
            <w:r>
              <w:rPr>
                <w:rFonts w:ascii="Arial MT"/>
                <w:sz w:val="24"/>
              </w:rPr>
              <w:t>water</w:t>
            </w:r>
            <w:r>
              <w:rPr>
                <w:rFonts w:ascii="Arial MT"/>
                <w:spacing w:val="-8"/>
                <w:sz w:val="24"/>
              </w:rPr>
              <w:t> </w:t>
            </w:r>
            <w:r>
              <w:rPr>
                <w:rFonts w:ascii="Arial MT"/>
                <w:sz w:val="24"/>
              </w:rPr>
              <w:t>and</w:t>
            </w:r>
            <w:r>
              <w:rPr>
                <w:rFonts w:ascii="Arial MT"/>
                <w:spacing w:val="-9"/>
                <w:sz w:val="24"/>
              </w:rPr>
              <w:t> </w:t>
            </w:r>
            <w:r>
              <w:rPr>
                <w:rFonts w:ascii="Arial MT"/>
                <w:spacing w:val="-2"/>
                <w:sz w:val="24"/>
              </w:rPr>
              <w:t>sediments</w:t>
            </w:r>
          </w:p>
        </w:tc>
        <w:tc>
          <w:tcPr>
            <w:tcW w:w="519" w:type="dxa"/>
          </w:tcPr>
          <w:p>
            <w:pPr>
              <w:pStyle w:val="TableParagraph"/>
              <w:spacing w:before="76"/>
              <w:ind w:right="47"/>
              <w:jc w:val="right"/>
              <w:rPr>
                <w:rFonts w:ascii="Arial MT"/>
                <w:sz w:val="24"/>
              </w:rPr>
            </w:pPr>
            <w:r>
              <w:rPr>
                <w:rFonts w:ascii="Arial MT"/>
                <w:spacing w:val="-5"/>
                <w:sz w:val="24"/>
              </w:rPr>
              <w:t>42</w:t>
            </w:r>
          </w:p>
        </w:tc>
      </w:tr>
      <w:tr>
        <w:trPr>
          <w:trHeight w:val="434" w:hRule="atLeast"/>
        </w:trPr>
        <w:tc>
          <w:tcPr>
            <w:tcW w:w="1372" w:type="dxa"/>
          </w:tcPr>
          <w:p>
            <w:pPr>
              <w:pStyle w:val="TableParagraph"/>
              <w:spacing w:before="76"/>
              <w:ind w:left="50"/>
              <w:rPr>
                <w:rFonts w:ascii="Arial MT"/>
                <w:sz w:val="24"/>
              </w:rPr>
            </w:pPr>
            <w:r>
              <w:rPr>
                <w:rFonts w:ascii="Arial MT"/>
                <w:spacing w:val="-4"/>
                <w:sz w:val="24"/>
              </w:rPr>
              <w:t>4.3.2</w:t>
            </w:r>
          </w:p>
        </w:tc>
        <w:tc>
          <w:tcPr>
            <w:tcW w:w="6914" w:type="dxa"/>
          </w:tcPr>
          <w:p>
            <w:pPr>
              <w:pStyle w:val="TableParagraph"/>
              <w:spacing w:before="76"/>
              <w:ind w:left="89"/>
              <w:rPr>
                <w:rFonts w:ascii="Arial MT"/>
                <w:sz w:val="24"/>
              </w:rPr>
            </w:pPr>
            <w:r>
              <w:rPr>
                <w:rFonts w:ascii="Arial MT"/>
                <w:sz w:val="24"/>
              </w:rPr>
              <w:t>Ecological Risks</w:t>
            </w:r>
            <w:r>
              <w:rPr>
                <w:rFonts w:ascii="Arial MT"/>
                <w:spacing w:val="-3"/>
                <w:sz w:val="24"/>
              </w:rPr>
              <w:t> </w:t>
            </w:r>
            <w:r>
              <w:rPr>
                <w:rFonts w:ascii="Arial MT"/>
                <w:spacing w:val="-2"/>
                <w:sz w:val="24"/>
              </w:rPr>
              <w:t>Assessment</w:t>
            </w:r>
          </w:p>
        </w:tc>
        <w:tc>
          <w:tcPr>
            <w:tcW w:w="519" w:type="dxa"/>
          </w:tcPr>
          <w:p>
            <w:pPr>
              <w:pStyle w:val="TableParagraph"/>
              <w:spacing w:before="76"/>
              <w:ind w:right="47"/>
              <w:jc w:val="right"/>
              <w:rPr>
                <w:rFonts w:ascii="Arial MT"/>
                <w:sz w:val="24"/>
              </w:rPr>
            </w:pPr>
            <w:r>
              <w:rPr>
                <w:rFonts w:ascii="Arial MT"/>
                <w:spacing w:val="-5"/>
                <w:sz w:val="24"/>
              </w:rPr>
              <w:t>43</w:t>
            </w:r>
          </w:p>
        </w:tc>
      </w:tr>
      <w:tr>
        <w:trPr>
          <w:trHeight w:val="868" w:hRule="atLeast"/>
        </w:trPr>
        <w:tc>
          <w:tcPr>
            <w:tcW w:w="1372" w:type="dxa"/>
          </w:tcPr>
          <w:p>
            <w:pPr>
              <w:pStyle w:val="TableParagraph"/>
              <w:spacing w:before="74"/>
              <w:ind w:left="50"/>
              <w:rPr>
                <w:rFonts w:ascii="Arial MT"/>
                <w:sz w:val="24"/>
              </w:rPr>
            </w:pPr>
            <w:r>
              <w:rPr>
                <w:rFonts w:ascii="Arial MT"/>
                <w:spacing w:val="-4"/>
                <w:sz w:val="24"/>
              </w:rPr>
              <w:t>4.3.3</w:t>
            </w:r>
          </w:p>
        </w:tc>
        <w:tc>
          <w:tcPr>
            <w:tcW w:w="6914" w:type="dxa"/>
          </w:tcPr>
          <w:p>
            <w:pPr>
              <w:pStyle w:val="TableParagraph"/>
              <w:spacing w:before="74"/>
              <w:ind w:left="89"/>
              <w:rPr>
                <w:rFonts w:ascii="Arial MT"/>
                <w:sz w:val="24"/>
              </w:rPr>
            </w:pPr>
            <w:r>
              <w:rPr>
                <w:rFonts w:ascii="Arial MT"/>
                <w:sz w:val="24"/>
              </w:rPr>
              <w:t>Carcinogenic</w:t>
            </w:r>
            <w:r>
              <w:rPr>
                <w:rFonts w:ascii="Arial MT"/>
                <w:spacing w:val="-10"/>
                <w:sz w:val="24"/>
              </w:rPr>
              <w:t> </w:t>
            </w:r>
            <w:r>
              <w:rPr>
                <w:rFonts w:ascii="Arial MT"/>
                <w:sz w:val="24"/>
              </w:rPr>
              <w:t>and</w:t>
            </w:r>
            <w:r>
              <w:rPr>
                <w:rFonts w:ascii="Arial MT"/>
                <w:spacing w:val="-4"/>
                <w:sz w:val="24"/>
              </w:rPr>
              <w:t> </w:t>
            </w:r>
            <w:r>
              <w:rPr>
                <w:rFonts w:ascii="Arial MT"/>
                <w:sz w:val="24"/>
              </w:rPr>
              <w:t>Non-carcinogenic</w:t>
            </w:r>
            <w:r>
              <w:rPr>
                <w:rFonts w:ascii="Arial MT"/>
                <w:spacing w:val="-4"/>
                <w:sz w:val="24"/>
              </w:rPr>
              <w:t> </w:t>
            </w:r>
            <w:r>
              <w:rPr>
                <w:rFonts w:ascii="Arial MT"/>
                <w:sz w:val="24"/>
              </w:rPr>
              <w:t>risks</w:t>
            </w:r>
            <w:r>
              <w:rPr>
                <w:rFonts w:ascii="Arial MT"/>
                <w:spacing w:val="-9"/>
                <w:sz w:val="24"/>
              </w:rPr>
              <w:t> </w:t>
            </w:r>
            <w:r>
              <w:rPr>
                <w:rFonts w:ascii="Arial MT"/>
                <w:sz w:val="24"/>
              </w:rPr>
              <w:t>assessment</w:t>
            </w:r>
            <w:r>
              <w:rPr>
                <w:rFonts w:ascii="Arial MT"/>
                <w:spacing w:val="-5"/>
                <w:sz w:val="24"/>
              </w:rPr>
              <w:t> </w:t>
            </w:r>
            <w:r>
              <w:rPr>
                <w:rFonts w:ascii="Arial MT"/>
                <w:sz w:val="24"/>
              </w:rPr>
              <w:t>of</w:t>
            </w:r>
            <w:r>
              <w:rPr>
                <w:rFonts w:ascii="Arial MT"/>
                <w:spacing w:val="1"/>
                <w:sz w:val="24"/>
              </w:rPr>
              <w:t> </w:t>
            </w:r>
            <w:r>
              <w:rPr>
                <w:rFonts w:ascii="Arial MT"/>
                <w:spacing w:val="-2"/>
                <w:sz w:val="24"/>
              </w:rPr>
              <w:t>water</w:t>
            </w:r>
          </w:p>
          <w:p>
            <w:pPr>
              <w:pStyle w:val="TableParagraph"/>
              <w:spacing w:before="156"/>
              <w:ind w:left="89"/>
              <w:rPr>
                <w:rFonts w:ascii="Arial MT"/>
                <w:sz w:val="24"/>
              </w:rPr>
            </w:pPr>
            <w:r>
              <w:rPr>
                <w:rFonts w:ascii="Arial MT"/>
                <w:spacing w:val="-2"/>
                <w:sz w:val="24"/>
              </w:rPr>
              <w:t>samples</w:t>
            </w:r>
          </w:p>
        </w:tc>
        <w:tc>
          <w:tcPr>
            <w:tcW w:w="519" w:type="dxa"/>
          </w:tcPr>
          <w:p>
            <w:pPr>
              <w:pStyle w:val="TableParagraph"/>
              <w:spacing w:before="74"/>
              <w:ind w:right="47"/>
              <w:jc w:val="right"/>
              <w:rPr>
                <w:rFonts w:ascii="Arial MT"/>
                <w:sz w:val="24"/>
              </w:rPr>
            </w:pPr>
            <w:r>
              <w:rPr>
                <w:rFonts w:ascii="Arial MT"/>
                <w:spacing w:val="-5"/>
                <w:sz w:val="24"/>
              </w:rPr>
              <w:t>44</w:t>
            </w:r>
          </w:p>
        </w:tc>
      </w:tr>
      <w:tr>
        <w:trPr>
          <w:trHeight w:val="853" w:hRule="atLeast"/>
        </w:trPr>
        <w:tc>
          <w:tcPr>
            <w:tcW w:w="1372" w:type="dxa"/>
          </w:tcPr>
          <w:p>
            <w:pPr>
              <w:pStyle w:val="TableParagraph"/>
              <w:spacing w:before="79"/>
              <w:ind w:left="50"/>
              <w:rPr>
                <w:rFonts w:ascii="Arial MT"/>
                <w:sz w:val="24"/>
              </w:rPr>
            </w:pPr>
            <w:r>
              <w:rPr>
                <w:rFonts w:ascii="Arial MT"/>
                <w:spacing w:val="-4"/>
                <w:sz w:val="24"/>
              </w:rPr>
              <w:t>4.3.4</w:t>
            </w:r>
          </w:p>
        </w:tc>
        <w:tc>
          <w:tcPr>
            <w:tcW w:w="6914" w:type="dxa"/>
          </w:tcPr>
          <w:p>
            <w:pPr>
              <w:pStyle w:val="TableParagraph"/>
              <w:spacing w:before="79"/>
              <w:ind w:left="89"/>
              <w:rPr>
                <w:rFonts w:ascii="Arial MT"/>
                <w:sz w:val="24"/>
              </w:rPr>
            </w:pPr>
            <w:r>
              <w:rPr>
                <w:rFonts w:ascii="Arial MT"/>
                <w:sz w:val="24"/>
              </w:rPr>
              <w:t>Carcinogenic</w:t>
            </w:r>
            <w:r>
              <w:rPr>
                <w:rFonts w:ascii="Arial MT"/>
                <w:spacing w:val="-8"/>
                <w:sz w:val="24"/>
              </w:rPr>
              <w:t> </w:t>
            </w:r>
            <w:r>
              <w:rPr>
                <w:rFonts w:ascii="Arial MT"/>
                <w:sz w:val="24"/>
              </w:rPr>
              <w:t>and</w:t>
            </w:r>
            <w:r>
              <w:rPr>
                <w:rFonts w:ascii="Arial MT"/>
                <w:spacing w:val="-3"/>
                <w:sz w:val="24"/>
              </w:rPr>
              <w:t> </w:t>
            </w:r>
            <w:r>
              <w:rPr>
                <w:rFonts w:ascii="Arial MT"/>
                <w:sz w:val="24"/>
              </w:rPr>
              <w:t>non-carcinogenic</w:t>
            </w:r>
            <w:r>
              <w:rPr>
                <w:rFonts w:ascii="Arial MT"/>
                <w:spacing w:val="-8"/>
                <w:sz w:val="24"/>
              </w:rPr>
              <w:t> </w:t>
            </w:r>
            <w:r>
              <w:rPr>
                <w:rFonts w:ascii="Arial MT"/>
                <w:sz w:val="24"/>
              </w:rPr>
              <w:t>risks</w:t>
            </w:r>
            <w:r>
              <w:rPr>
                <w:rFonts w:ascii="Arial MT"/>
                <w:spacing w:val="-3"/>
                <w:sz w:val="24"/>
              </w:rPr>
              <w:t> </w:t>
            </w:r>
            <w:r>
              <w:rPr>
                <w:rFonts w:ascii="Arial MT"/>
                <w:sz w:val="24"/>
              </w:rPr>
              <w:t>assessments</w:t>
            </w:r>
            <w:r>
              <w:rPr>
                <w:rFonts w:ascii="Arial MT"/>
                <w:spacing w:val="-3"/>
                <w:sz w:val="24"/>
              </w:rPr>
              <w:t> </w:t>
            </w:r>
            <w:r>
              <w:rPr>
                <w:rFonts w:ascii="Arial MT"/>
                <w:sz w:val="24"/>
              </w:rPr>
              <w:t>of</w:t>
            </w:r>
            <w:r>
              <w:rPr>
                <w:rFonts w:ascii="Arial MT"/>
                <w:spacing w:val="-3"/>
                <w:sz w:val="24"/>
              </w:rPr>
              <w:t> </w:t>
            </w:r>
            <w:r>
              <w:rPr>
                <w:rFonts w:ascii="Arial MT"/>
                <w:spacing w:val="-4"/>
                <w:sz w:val="24"/>
              </w:rPr>
              <w:t>soil</w:t>
            </w:r>
          </w:p>
          <w:p>
            <w:pPr>
              <w:pStyle w:val="TableParagraph"/>
              <w:spacing w:before="156"/>
              <w:ind w:left="89"/>
              <w:rPr>
                <w:rFonts w:ascii="Arial MT"/>
                <w:sz w:val="24"/>
              </w:rPr>
            </w:pPr>
            <w:r>
              <w:rPr>
                <w:rFonts w:ascii="Arial MT"/>
                <w:spacing w:val="-2"/>
                <w:sz w:val="24"/>
              </w:rPr>
              <w:t>samples</w:t>
            </w:r>
          </w:p>
        </w:tc>
        <w:tc>
          <w:tcPr>
            <w:tcW w:w="519" w:type="dxa"/>
          </w:tcPr>
          <w:p>
            <w:pPr>
              <w:pStyle w:val="TableParagraph"/>
              <w:spacing w:before="79"/>
              <w:ind w:right="47"/>
              <w:jc w:val="right"/>
              <w:rPr>
                <w:rFonts w:ascii="Arial MT"/>
                <w:sz w:val="24"/>
              </w:rPr>
            </w:pPr>
            <w:r>
              <w:rPr>
                <w:rFonts w:ascii="Arial MT"/>
                <w:spacing w:val="-5"/>
                <w:sz w:val="24"/>
              </w:rPr>
              <w:t>47</w:t>
            </w:r>
          </w:p>
        </w:tc>
      </w:tr>
      <w:tr>
        <w:trPr>
          <w:trHeight w:val="450" w:hRule="atLeast"/>
        </w:trPr>
        <w:tc>
          <w:tcPr>
            <w:tcW w:w="8805" w:type="dxa"/>
            <w:gridSpan w:val="3"/>
          </w:tcPr>
          <w:p>
            <w:pPr>
              <w:pStyle w:val="TableParagraph"/>
              <w:spacing w:before="57"/>
              <w:ind w:left="50"/>
              <w:rPr>
                <w:rFonts w:ascii="Arial MT"/>
                <w:sz w:val="27"/>
              </w:rPr>
            </w:pPr>
            <w:r>
              <w:rPr>
                <w:rFonts w:ascii="Arial MT"/>
                <w:sz w:val="27"/>
              </w:rPr>
              <w:t>CHAPTER</w:t>
            </w:r>
            <w:r>
              <w:rPr>
                <w:rFonts w:ascii="Arial MT"/>
                <w:spacing w:val="-14"/>
                <w:sz w:val="27"/>
              </w:rPr>
              <w:t> </w:t>
            </w:r>
            <w:r>
              <w:rPr>
                <w:rFonts w:ascii="Arial MT"/>
                <w:spacing w:val="-4"/>
                <w:sz w:val="27"/>
              </w:rPr>
              <w:t>FIVE</w:t>
            </w:r>
          </w:p>
        </w:tc>
      </w:tr>
      <w:tr>
        <w:trPr>
          <w:trHeight w:val="436" w:hRule="atLeast"/>
        </w:trPr>
        <w:tc>
          <w:tcPr>
            <w:tcW w:w="1372" w:type="dxa"/>
          </w:tcPr>
          <w:p>
            <w:pPr>
              <w:pStyle w:val="TableParagraph"/>
              <w:spacing w:before="76"/>
              <w:ind w:left="50"/>
              <w:rPr>
                <w:rFonts w:ascii="Arial MT"/>
                <w:sz w:val="24"/>
              </w:rPr>
            </w:pPr>
            <w:r>
              <w:rPr>
                <w:rFonts w:ascii="Arial MT"/>
                <w:spacing w:val="-5"/>
                <w:sz w:val="24"/>
              </w:rPr>
              <w:t>5.0</w:t>
            </w:r>
          </w:p>
        </w:tc>
        <w:tc>
          <w:tcPr>
            <w:tcW w:w="6914" w:type="dxa"/>
          </w:tcPr>
          <w:p>
            <w:pPr>
              <w:pStyle w:val="TableParagraph"/>
              <w:spacing w:before="76"/>
              <w:ind w:left="195"/>
              <w:rPr>
                <w:rFonts w:ascii="Arial MT"/>
                <w:sz w:val="24"/>
              </w:rPr>
            </w:pPr>
            <w:r>
              <w:rPr>
                <w:rFonts w:ascii="Arial MT"/>
                <w:sz w:val="24"/>
              </w:rPr>
              <w:t>Conclusion</w:t>
            </w:r>
            <w:r>
              <w:rPr>
                <w:rFonts w:ascii="Arial MT"/>
                <w:spacing w:val="-10"/>
                <w:sz w:val="24"/>
              </w:rPr>
              <w:t> </w:t>
            </w:r>
            <w:r>
              <w:rPr>
                <w:rFonts w:ascii="Arial MT"/>
                <w:sz w:val="24"/>
              </w:rPr>
              <w:t>and</w:t>
            </w:r>
            <w:r>
              <w:rPr>
                <w:rFonts w:ascii="Arial MT"/>
                <w:spacing w:val="-10"/>
                <w:sz w:val="24"/>
              </w:rPr>
              <w:t> </w:t>
            </w:r>
            <w:r>
              <w:rPr>
                <w:rFonts w:ascii="Arial MT"/>
                <w:spacing w:val="-2"/>
                <w:sz w:val="24"/>
              </w:rPr>
              <w:t>Recommendation</w:t>
            </w:r>
          </w:p>
        </w:tc>
        <w:tc>
          <w:tcPr>
            <w:tcW w:w="519" w:type="dxa"/>
          </w:tcPr>
          <w:p>
            <w:pPr>
              <w:pStyle w:val="TableParagraph"/>
              <w:spacing w:before="76"/>
              <w:ind w:right="47"/>
              <w:jc w:val="right"/>
              <w:rPr>
                <w:rFonts w:ascii="Arial MT"/>
                <w:sz w:val="24"/>
              </w:rPr>
            </w:pPr>
            <w:r>
              <w:rPr>
                <w:rFonts w:ascii="Arial MT"/>
                <w:spacing w:val="-5"/>
                <w:sz w:val="24"/>
              </w:rPr>
              <w:t>49</w:t>
            </w:r>
          </w:p>
        </w:tc>
      </w:tr>
      <w:tr>
        <w:trPr>
          <w:trHeight w:val="434" w:hRule="atLeast"/>
        </w:trPr>
        <w:tc>
          <w:tcPr>
            <w:tcW w:w="1372" w:type="dxa"/>
          </w:tcPr>
          <w:p>
            <w:pPr>
              <w:pStyle w:val="TableParagraph"/>
              <w:spacing w:before="76"/>
              <w:ind w:left="50"/>
              <w:rPr>
                <w:rFonts w:ascii="Arial MT"/>
                <w:sz w:val="24"/>
              </w:rPr>
            </w:pPr>
            <w:r>
              <w:rPr>
                <w:rFonts w:ascii="Arial MT"/>
                <w:spacing w:val="-5"/>
                <w:sz w:val="24"/>
              </w:rPr>
              <w:t>5.1</w:t>
            </w:r>
          </w:p>
        </w:tc>
        <w:tc>
          <w:tcPr>
            <w:tcW w:w="6914" w:type="dxa"/>
          </w:tcPr>
          <w:p>
            <w:pPr>
              <w:pStyle w:val="TableParagraph"/>
              <w:spacing w:before="76"/>
              <w:ind w:left="195"/>
              <w:rPr>
                <w:rFonts w:ascii="Arial MT"/>
                <w:sz w:val="24"/>
              </w:rPr>
            </w:pPr>
            <w:r>
              <w:rPr>
                <w:rFonts w:ascii="Arial MT"/>
                <w:spacing w:val="-2"/>
                <w:sz w:val="24"/>
              </w:rPr>
              <w:t>Conclusion</w:t>
            </w:r>
          </w:p>
        </w:tc>
        <w:tc>
          <w:tcPr>
            <w:tcW w:w="519" w:type="dxa"/>
          </w:tcPr>
          <w:p>
            <w:pPr>
              <w:pStyle w:val="TableParagraph"/>
              <w:spacing w:before="76"/>
              <w:ind w:right="47"/>
              <w:jc w:val="right"/>
              <w:rPr>
                <w:rFonts w:ascii="Arial MT"/>
                <w:sz w:val="24"/>
              </w:rPr>
            </w:pPr>
            <w:r>
              <w:rPr>
                <w:rFonts w:ascii="Arial MT"/>
                <w:spacing w:val="-5"/>
                <w:sz w:val="24"/>
              </w:rPr>
              <w:t>49</w:t>
            </w:r>
          </w:p>
        </w:tc>
      </w:tr>
      <w:tr>
        <w:trPr>
          <w:trHeight w:val="434" w:hRule="atLeast"/>
        </w:trPr>
        <w:tc>
          <w:tcPr>
            <w:tcW w:w="1372" w:type="dxa"/>
          </w:tcPr>
          <w:p>
            <w:pPr>
              <w:pStyle w:val="TableParagraph"/>
              <w:spacing w:before="74"/>
              <w:ind w:left="50"/>
              <w:rPr>
                <w:rFonts w:ascii="Arial MT"/>
                <w:sz w:val="24"/>
              </w:rPr>
            </w:pPr>
            <w:r>
              <w:rPr>
                <w:rFonts w:ascii="Arial MT"/>
                <w:spacing w:val="-5"/>
                <w:sz w:val="24"/>
              </w:rPr>
              <w:t>5.2</w:t>
            </w:r>
          </w:p>
        </w:tc>
        <w:tc>
          <w:tcPr>
            <w:tcW w:w="6914" w:type="dxa"/>
          </w:tcPr>
          <w:p>
            <w:pPr>
              <w:pStyle w:val="TableParagraph"/>
              <w:spacing w:before="74"/>
              <w:ind w:left="195"/>
              <w:rPr>
                <w:rFonts w:ascii="Arial MT"/>
                <w:sz w:val="24"/>
              </w:rPr>
            </w:pPr>
            <w:r>
              <w:rPr>
                <w:rFonts w:ascii="Arial MT"/>
                <w:spacing w:val="-2"/>
                <w:sz w:val="24"/>
              </w:rPr>
              <w:t>Recommendation</w:t>
            </w:r>
          </w:p>
        </w:tc>
        <w:tc>
          <w:tcPr>
            <w:tcW w:w="519" w:type="dxa"/>
          </w:tcPr>
          <w:p>
            <w:pPr>
              <w:pStyle w:val="TableParagraph"/>
              <w:spacing w:before="74"/>
              <w:ind w:right="47"/>
              <w:jc w:val="right"/>
              <w:rPr>
                <w:rFonts w:ascii="Arial MT"/>
                <w:sz w:val="24"/>
              </w:rPr>
            </w:pPr>
            <w:r>
              <w:rPr>
                <w:rFonts w:ascii="Arial MT"/>
                <w:spacing w:val="-5"/>
                <w:sz w:val="24"/>
              </w:rPr>
              <w:t>50</w:t>
            </w:r>
          </w:p>
        </w:tc>
      </w:tr>
      <w:tr>
        <w:trPr>
          <w:trHeight w:val="352" w:hRule="atLeast"/>
        </w:trPr>
        <w:tc>
          <w:tcPr>
            <w:tcW w:w="1372" w:type="dxa"/>
          </w:tcPr>
          <w:p>
            <w:pPr>
              <w:pStyle w:val="TableParagraph"/>
              <w:spacing w:line="256" w:lineRule="exact" w:before="76"/>
              <w:ind w:left="50"/>
              <w:rPr>
                <w:rFonts w:ascii="Arial MT"/>
                <w:sz w:val="24"/>
              </w:rPr>
            </w:pPr>
            <w:r>
              <w:rPr>
                <w:rFonts w:ascii="Arial MT"/>
                <w:spacing w:val="-2"/>
                <w:sz w:val="24"/>
              </w:rPr>
              <w:t>References</w:t>
            </w:r>
          </w:p>
        </w:tc>
        <w:tc>
          <w:tcPr>
            <w:tcW w:w="6914" w:type="dxa"/>
          </w:tcPr>
          <w:p>
            <w:pPr>
              <w:pStyle w:val="TableParagraph"/>
              <w:rPr>
                <w:sz w:val="24"/>
              </w:rPr>
            </w:pPr>
          </w:p>
        </w:tc>
        <w:tc>
          <w:tcPr>
            <w:tcW w:w="519" w:type="dxa"/>
          </w:tcPr>
          <w:p>
            <w:pPr>
              <w:pStyle w:val="TableParagraph"/>
              <w:spacing w:line="256" w:lineRule="exact" w:before="76"/>
              <w:ind w:right="47"/>
              <w:jc w:val="right"/>
              <w:rPr>
                <w:rFonts w:ascii="Arial MT"/>
                <w:sz w:val="24"/>
              </w:rPr>
            </w:pPr>
            <w:r>
              <w:rPr>
                <w:rFonts w:ascii="Arial MT"/>
                <w:spacing w:val="-5"/>
                <w:sz w:val="24"/>
              </w:rPr>
              <w:t>52</w:t>
            </w:r>
          </w:p>
        </w:tc>
      </w:tr>
    </w:tbl>
    <w:p>
      <w:pPr>
        <w:pStyle w:val="TableParagraph"/>
        <w:spacing w:after="0" w:line="256" w:lineRule="exact"/>
        <w:jc w:val="right"/>
        <w:rPr>
          <w:rFonts w:ascii="Arial MT"/>
          <w:sz w:val="24"/>
        </w:rPr>
        <w:sectPr>
          <w:pgSz w:w="12240" w:h="15840"/>
          <w:pgMar w:header="0" w:footer="379" w:top="1540" w:bottom="560" w:left="360" w:right="0"/>
        </w:sectPr>
      </w:pPr>
    </w:p>
    <w:p>
      <w:pPr>
        <w:spacing w:before="65"/>
        <w:ind w:left="1076" w:right="2459" w:firstLine="0"/>
        <w:jc w:val="center"/>
        <w:rPr>
          <w:b/>
          <w:sz w:val="26"/>
        </w:rPr>
      </w:pPr>
      <w:r>
        <w:rPr>
          <w:b/>
          <w:spacing w:val="-2"/>
          <w:sz w:val="26"/>
        </w:rPr>
        <w:t>ABSTRACT</w:t>
      </w:r>
    </w:p>
    <w:p>
      <w:pPr>
        <w:pStyle w:val="BodyText"/>
        <w:spacing w:before="95"/>
        <w:rPr>
          <w:b/>
          <w:sz w:val="26"/>
        </w:rPr>
      </w:pPr>
    </w:p>
    <w:p>
      <w:pPr>
        <w:spacing w:line="280" w:lineRule="auto" w:before="1"/>
        <w:ind w:left="996" w:right="2381" w:firstLine="0"/>
        <w:jc w:val="both"/>
        <w:rPr>
          <w:i/>
          <w:sz w:val="26"/>
        </w:rPr>
      </w:pPr>
      <w:r>
        <w:rPr>
          <w:i/>
          <w:sz w:val="26"/>
        </w:rPr>
        <w:t>This</w:t>
      </w:r>
      <w:r>
        <w:rPr>
          <w:i/>
          <w:spacing w:val="-10"/>
          <w:sz w:val="26"/>
        </w:rPr>
        <w:t> </w:t>
      </w:r>
      <w:r>
        <w:rPr>
          <w:i/>
          <w:sz w:val="26"/>
        </w:rPr>
        <w:t>study</w:t>
      </w:r>
      <w:r>
        <w:rPr>
          <w:i/>
          <w:spacing w:val="-8"/>
          <w:sz w:val="26"/>
        </w:rPr>
        <w:t> </w:t>
      </w:r>
      <w:r>
        <w:rPr>
          <w:i/>
          <w:sz w:val="26"/>
        </w:rPr>
        <w:t>evaluates</w:t>
      </w:r>
      <w:r>
        <w:rPr>
          <w:i/>
          <w:spacing w:val="-10"/>
          <w:sz w:val="26"/>
        </w:rPr>
        <w:t> </w:t>
      </w:r>
      <w:r>
        <w:rPr>
          <w:i/>
          <w:sz w:val="26"/>
        </w:rPr>
        <w:t>the</w:t>
      </w:r>
      <w:r>
        <w:rPr>
          <w:i/>
          <w:spacing w:val="-11"/>
          <w:sz w:val="26"/>
        </w:rPr>
        <w:t> </w:t>
      </w:r>
      <w:r>
        <w:rPr>
          <w:i/>
          <w:sz w:val="26"/>
        </w:rPr>
        <w:t>sources</w:t>
      </w:r>
      <w:r>
        <w:rPr>
          <w:i/>
          <w:spacing w:val="-9"/>
          <w:sz w:val="26"/>
        </w:rPr>
        <w:t> </w:t>
      </w:r>
      <w:r>
        <w:rPr>
          <w:i/>
          <w:sz w:val="26"/>
        </w:rPr>
        <w:t>and</w:t>
      </w:r>
      <w:r>
        <w:rPr>
          <w:i/>
          <w:spacing w:val="-8"/>
          <w:sz w:val="26"/>
        </w:rPr>
        <w:t> </w:t>
      </w:r>
      <w:r>
        <w:rPr>
          <w:i/>
          <w:sz w:val="26"/>
        </w:rPr>
        <w:t>health</w:t>
      </w:r>
      <w:r>
        <w:rPr>
          <w:i/>
          <w:spacing w:val="-9"/>
          <w:sz w:val="26"/>
        </w:rPr>
        <w:t> </w:t>
      </w:r>
      <w:r>
        <w:rPr>
          <w:i/>
          <w:sz w:val="26"/>
        </w:rPr>
        <w:t>risks</w:t>
      </w:r>
      <w:r>
        <w:rPr>
          <w:i/>
          <w:spacing w:val="-8"/>
          <w:sz w:val="26"/>
        </w:rPr>
        <w:t> </w:t>
      </w:r>
      <w:r>
        <w:rPr>
          <w:i/>
          <w:sz w:val="26"/>
        </w:rPr>
        <w:t>of</w:t>
      </w:r>
      <w:r>
        <w:rPr>
          <w:i/>
          <w:spacing w:val="-10"/>
          <w:sz w:val="26"/>
        </w:rPr>
        <w:t> </w:t>
      </w:r>
      <w:r>
        <w:rPr>
          <w:i/>
          <w:sz w:val="26"/>
        </w:rPr>
        <w:t>heavy</w:t>
      </w:r>
      <w:r>
        <w:rPr>
          <w:i/>
          <w:spacing w:val="-8"/>
          <w:sz w:val="26"/>
        </w:rPr>
        <w:t> </w:t>
      </w:r>
      <w:r>
        <w:rPr>
          <w:i/>
          <w:sz w:val="26"/>
        </w:rPr>
        <w:t>metals</w:t>
      </w:r>
      <w:r>
        <w:rPr>
          <w:i/>
          <w:spacing w:val="-10"/>
          <w:sz w:val="26"/>
        </w:rPr>
        <w:t> </w:t>
      </w:r>
      <w:r>
        <w:rPr>
          <w:i/>
          <w:sz w:val="26"/>
        </w:rPr>
        <w:t>in</w:t>
      </w:r>
      <w:r>
        <w:rPr>
          <w:i/>
          <w:spacing w:val="-10"/>
          <w:sz w:val="26"/>
        </w:rPr>
        <w:t> </w:t>
      </w:r>
      <w:r>
        <w:rPr>
          <w:i/>
          <w:sz w:val="26"/>
        </w:rPr>
        <w:t>soil</w:t>
      </w:r>
      <w:r>
        <w:rPr>
          <w:i/>
          <w:spacing w:val="-8"/>
          <w:sz w:val="26"/>
        </w:rPr>
        <w:t> </w:t>
      </w:r>
      <w:r>
        <w:rPr>
          <w:i/>
          <w:sz w:val="26"/>
        </w:rPr>
        <w:t>and</w:t>
      </w:r>
      <w:r>
        <w:rPr>
          <w:i/>
          <w:spacing w:val="-8"/>
          <w:sz w:val="26"/>
        </w:rPr>
        <w:t> </w:t>
      </w:r>
      <w:r>
        <w:rPr>
          <w:i/>
          <w:sz w:val="26"/>
        </w:rPr>
        <w:t>water samples from</w:t>
      </w:r>
      <w:r>
        <w:rPr>
          <w:i/>
          <w:spacing w:val="-1"/>
          <w:sz w:val="26"/>
        </w:rPr>
        <w:t> </w:t>
      </w:r>
      <w:r>
        <w:rPr>
          <w:i/>
          <w:sz w:val="26"/>
        </w:rPr>
        <w:t>Ipata-Oloje spare part market in Ilorin, Nigeria. Concentrations</w:t>
      </w:r>
      <w:r>
        <w:rPr>
          <w:i/>
          <w:spacing w:val="-1"/>
          <w:sz w:val="26"/>
        </w:rPr>
        <w:t> </w:t>
      </w:r>
      <w:r>
        <w:rPr>
          <w:i/>
          <w:sz w:val="26"/>
        </w:rPr>
        <w:t>of Pb, Cd, Cr, Co, and As were analyzed using Atomic Absorption Spectrometry. Results showed higher heavy metal levels in sediment than in water, with Pb and Co exhibiting the highest concentrations in soil and water, respectively.</w:t>
      </w:r>
    </w:p>
    <w:p>
      <w:pPr>
        <w:pStyle w:val="BodyText"/>
        <w:spacing w:before="43"/>
        <w:rPr>
          <w:i/>
          <w:sz w:val="26"/>
        </w:rPr>
      </w:pPr>
    </w:p>
    <w:p>
      <w:pPr>
        <w:spacing w:line="280" w:lineRule="auto" w:before="0"/>
        <w:ind w:left="996" w:right="2376" w:firstLine="0"/>
        <w:jc w:val="both"/>
        <w:rPr>
          <w:i/>
          <w:sz w:val="26"/>
        </w:rPr>
      </w:pPr>
      <w:r>
        <w:rPr>
          <w:i/>
          <w:sz w:val="26"/>
        </w:rPr>
        <w:t>Risk assessment revealed that the Average Daily Intake (ADI) via ingestion exceeded dermal absorption for all metals, with Pb posing the highest ingestion risk and Cd the highest dermal risk. Ecological risk analysis indicated no significant environmental threat from soil contamination. The non-carcinogenic Hazard Index (HI) for both soil and water was below 1.0, suggesting negligible risk. Carcinogenic risk via ingestion was within acceptable limits (&lt;1.0E-6), but arsenic</w:t>
      </w:r>
      <w:r>
        <w:rPr>
          <w:i/>
          <w:spacing w:val="-5"/>
          <w:sz w:val="26"/>
        </w:rPr>
        <w:t> </w:t>
      </w:r>
      <w:r>
        <w:rPr>
          <w:i/>
          <w:sz w:val="26"/>
        </w:rPr>
        <w:t>exceeded</w:t>
      </w:r>
      <w:r>
        <w:rPr>
          <w:i/>
          <w:spacing w:val="-6"/>
          <w:sz w:val="26"/>
        </w:rPr>
        <w:t> </w:t>
      </w:r>
      <w:r>
        <w:rPr>
          <w:i/>
          <w:sz w:val="26"/>
        </w:rPr>
        <w:t>the</w:t>
      </w:r>
      <w:r>
        <w:rPr>
          <w:i/>
          <w:spacing w:val="-8"/>
          <w:sz w:val="26"/>
        </w:rPr>
        <w:t> </w:t>
      </w:r>
      <w:r>
        <w:rPr>
          <w:i/>
          <w:sz w:val="26"/>
        </w:rPr>
        <w:t>threshold</w:t>
      </w:r>
      <w:r>
        <w:rPr>
          <w:i/>
          <w:spacing w:val="-5"/>
          <w:sz w:val="26"/>
        </w:rPr>
        <w:t> </w:t>
      </w:r>
      <w:r>
        <w:rPr>
          <w:i/>
          <w:sz w:val="26"/>
        </w:rPr>
        <w:t>for</w:t>
      </w:r>
      <w:r>
        <w:rPr>
          <w:i/>
          <w:spacing w:val="-7"/>
          <w:sz w:val="26"/>
        </w:rPr>
        <w:t> </w:t>
      </w:r>
      <w:r>
        <w:rPr>
          <w:i/>
          <w:sz w:val="26"/>
        </w:rPr>
        <w:t>dermal</w:t>
      </w:r>
      <w:r>
        <w:rPr>
          <w:i/>
          <w:spacing w:val="-6"/>
          <w:sz w:val="26"/>
        </w:rPr>
        <w:t> </w:t>
      </w:r>
      <w:r>
        <w:rPr>
          <w:i/>
          <w:sz w:val="26"/>
        </w:rPr>
        <w:t>exposure,</w:t>
      </w:r>
      <w:r>
        <w:rPr>
          <w:i/>
          <w:spacing w:val="-6"/>
          <w:sz w:val="26"/>
        </w:rPr>
        <w:t> </w:t>
      </w:r>
      <w:r>
        <w:rPr>
          <w:i/>
          <w:sz w:val="26"/>
        </w:rPr>
        <w:t>indicating</w:t>
      </w:r>
      <w:r>
        <w:rPr>
          <w:i/>
          <w:spacing w:val="-5"/>
          <w:sz w:val="26"/>
        </w:rPr>
        <w:t> </w:t>
      </w:r>
      <w:r>
        <w:rPr>
          <w:i/>
          <w:sz w:val="26"/>
        </w:rPr>
        <w:t>a</w:t>
      </w:r>
      <w:r>
        <w:rPr>
          <w:i/>
          <w:spacing w:val="-9"/>
          <w:sz w:val="26"/>
        </w:rPr>
        <w:t> </w:t>
      </w:r>
      <w:r>
        <w:rPr>
          <w:i/>
          <w:sz w:val="26"/>
        </w:rPr>
        <w:t>potential</w:t>
      </w:r>
      <w:r>
        <w:rPr>
          <w:i/>
          <w:spacing w:val="-7"/>
          <w:sz w:val="26"/>
        </w:rPr>
        <w:t> </w:t>
      </w:r>
      <w:r>
        <w:rPr>
          <w:i/>
          <w:sz w:val="26"/>
        </w:rPr>
        <w:t>cancer risk from prolonged skin contact with contaminated soil.</w:t>
      </w:r>
    </w:p>
    <w:p>
      <w:pPr>
        <w:pStyle w:val="BodyText"/>
        <w:spacing w:before="42"/>
        <w:rPr>
          <w:i/>
          <w:sz w:val="26"/>
        </w:rPr>
      </w:pPr>
    </w:p>
    <w:p>
      <w:pPr>
        <w:spacing w:line="280" w:lineRule="auto" w:before="0"/>
        <w:ind w:left="996" w:right="2380" w:firstLine="0"/>
        <w:jc w:val="both"/>
        <w:rPr>
          <w:i/>
          <w:sz w:val="26"/>
        </w:rPr>
      </w:pPr>
      <w:r>
        <w:rPr>
          <w:i/>
          <w:sz w:val="26"/>
        </w:rPr>
        <w:t>The</w:t>
      </w:r>
      <w:r>
        <w:rPr>
          <w:i/>
          <w:spacing w:val="-5"/>
          <w:sz w:val="26"/>
        </w:rPr>
        <w:t> </w:t>
      </w:r>
      <w:r>
        <w:rPr>
          <w:i/>
          <w:sz w:val="26"/>
        </w:rPr>
        <w:t>elevated</w:t>
      </w:r>
      <w:r>
        <w:rPr>
          <w:i/>
          <w:spacing w:val="-4"/>
          <w:sz w:val="26"/>
        </w:rPr>
        <w:t> </w:t>
      </w:r>
      <w:r>
        <w:rPr>
          <w:i/>
          <w:sz w:val="26"/>
        </w:rPr>
        <w:t>metal</w:t>
      </w:r>
      <w:r>
        <w:rPr>
          <w:i/>
          <w:spacing w:val="-2"/>
          <w:sz w:val="26"/>
        </w:rPr>
        <w:t> </w:t>
      </w:r>
      <w:r>
        <w:rPr>
          <w:i/>
          <w:sz w:val="26"/>
        </w:rPr>
        <w:t>levels</w:t>
      </w:r>
      <w:r>
        <w:rPr>
          <w:i/>
          <w:spacing w:val="-5"/>
          <w:sz w:val="26"/>
        </w:rPr>
        <w:t> </w:t>
      </w:r>
      <w:r>
        <w:rPr>
          <w:i/>
          <w:sz w:val="26"/>
        </w:rPr>
        <w:t>were</w:t>
      </w:r>
      <w:r>
        <w:rPr>
          <w:i/>
          <w:spacing w:val="-5"/>
          <w:sz w:val="26"/>
        </w:rPr>
        <w:t> </w:t>
      </w:r>
      <w:r>
        <w:rPr>
          <w:i/>
          <w:sz w:val="26"/>
        </w:rPr>
        <w:t>attributed</w:t>
      </w:r>
      <w:r>
        <w:rPr>
          <w:i/>
          <w:spacing w:val="-7"/>
          <w:sz w:val="26"/>
        </w:rPr>
        <w:t> </w:t>
      </w:r>
      <w:r>
        <w:rPr>
          <w:i/>
          <w:sz w:val="26"/>
        </w:rPr>
        <w:t>to</w:t>
      </w:r>
      <w:r>
        <w:rPr>
          <w:i/>
          <w:spacing w:val="-5"/>
          <w:sz w:val="26"/>
        </w:rPr>
        <w:t> </w:t>
      </w:r>
      <w:r>
        <w:rPr>
          <w:i/>
          <w:sz w:val="26"/>
        </w:rPr>
        <w:t>anthropogenic</w:t>
      </w:r>
      <w:r>
        <w:rPr>
          <w:i/>
          <w:spacing w:val="-8"/>
          <w:sz w:val="26"/>
        </w:rPr>
        <w:t> </w:t>
      </w:r>
      <w:r>
        <w:rPr>
          <w:i/>
          <w:sz w:val="26"/>
        </w:rPr>
        <w:t>activities,</w:t>
      </w:r>
      <w:r>
        <w:rPr>
          <w:i/>
          <w:spacing w:val="-6"/>
          <w:sz w:val="26"/>
        </w:rPr>
        <w:t> </w:t>
      </w:r>
      <w:r>
        <w:rPr>
          <w:i/>
          <w:sz w:val="26"/>
        </w:rPr>
        <w:t>particularly from automobile spare parts and recycling operations. The study recommends further research using mass flux models to better understand heavy metal transport and dilution dynamics in the area.</w:t>
      </w: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spacing w:before="17"/>
        <w:rPr>
          <w:i/>
          <w:sz w:val="20"/>
        </w:rPr>
      </w:pPr>
    </w:p>
    <w:p>
      <w:pPr>
        <w:spacing w:before="0"/>
        <w:ind w:left="0" w:right="2378" w:firstLine="0"/>
        <w:jc w:val="right"/>
        <w:rPr>
          <w:rFonts w:ascii="Arial MT"/>
          <w:sz w:val="20"/>
        </w:rPr>
      </w:pPr>
      <w:r>
        <w:rPr>
          <w:rFonts w:ascii="Arial MT"/>
          <w:spacing w:val="-5"/>
          <w:w w:val="105"/>
          <w:sz w:val="20"/>
        </w:rPr>
        <w:t>vii</w:t>
      </w:r>
    </w:p>
    <w:p>
      <w:pPr>
        <w:spacing w:after="0"/>
        <w:jc w:val="right"/>
        <w:rPr>
          <w:rFonts w:ascii="Arial MT"/>
          <w:sz w:val="20"/>
        </w:rPr>
        <w:sectPr>
          <w:footerReference w:type="default" r:id="rId8"/>
          <w:pgSz w:w="12240" w:h="15840"/>
          <w:pgMar w:header="0" w:footer="0" w:top="1280" w:bottom="280" w:left="360" w:right="0"/>
        </w:sectPr>
      </w:pPr>
    </w:p>
    <w:p>
      <w:pPr>
        <w:pStyle w:val="Heading1"/>
        <w:ind w:left="0" w:right="619" w:firstLine="0"/>
        <w:jc w:val="center"/>
      </w:pPr>
      <w:r>
        <w:rPr/>
        <w:t>CHAPTER</w:t>
      </w:r>
      <w:r>
        <w:rPr>
          <w:spacing w:val="24"/>
        </w:rPr>
        <w:t> </w:t>
      </w:r>
      <w:r>
        <w:rPr>
          <w:spacing w:val="-5"/>
        </w:rPr>
        <w:t>ONE</w:t>
      </w:r>
    </w:p>
    <w:p>
      <w:pPr>
        <w:pStyle w:val="BodyText"/>
        <w:spacing w:before="182"/>
        <w:rPr>
          <w:b/>
        </w:rPr>
      </w:pPr>
    </w:p>
    <w:p>
      <w:pPr>
        <w:pStyle w:val="ListParagraph"/>
        <w:numPr>
          <w:ilvl w:val="1"/>
          <w:numId w:val="1"/>
        </w:numPr>
        <w:tabs>
          <w:tab w:pos="1537" w:val="left" w:leader="none"/>
        </w:tabs>
        <w:spacing w:line="240" w:lineRule="auto" w:before="0" w:after="0"/>
        <w:ind w:left="1537" w:right="0" w:hanging="382"/>
        <w:jc w:val="left"/>
        <w:rPr>
          <w:b/>
          <w:sz w:val="25"/>
        </w:rPr>
      </w:pPr>
      <w:r>
        <w:rPr>
          <w:b/>
          <w:spacing w:val="-2"/>
          <w:sz w:val="25"/>
        </w:rPr>
        <w:t>INTRODUCTION</w:t>
      </w:r>
    </w:p>
    <w:p>
      <w:pPr>
        <w:pStyle w:val="BodyText"/>
        <w:spacing w:before="185"/>
        <w:rPr>
          <w:b/>
        </w:rPr>
      </w:pPr>
    </w:p>
    <w:p>
      <w:pPr>
        <w:pStyle w:val="BodyText"/>
        <w:spacing w:line="496" w:lineRule="auto"/>
        <w:ind w:left="1167" w:right="1771" w:hanging="13"/>
        <w:jc w:val="both"/>
      </w:pPr>
      <w:r>
        <w:rPr/>
        <w:t>Heavy metals are naturally occurring elements with high atomic weights and densities that are at least five</w:t>
      </w:r>
      <w:r>
        <w:rPr>
          <w:spacing w:val="-1"/>
        </w:rPr>
        <w:t> </w:t>
      </w:r>
      <w:r>
        <w:rPr/>
        <w:t>times greater</w:t>
      </w:r>
      <w:r>
        <w:rPr>
          <w:spacing w:val="-1"/>
        </w:rPr>
        <w:t> </w:t>
      </w:r>
      <w:r>
        <w:rPr/>
        <w:t>than that of water. Despite</w:t>
      </w:r>
      <w:r>
        <w:rPr>
          <w:spacing w:val="-1"/>
        </w:rPr>
        <w:t> </w:t>
      </w:r>
      <w:r>
        <w:rPr/>
        <w:t>their</w:t>
      </w:r>
      <w:r>
        <w:rPr>
          <w:spacing w:val="-1"/>
        </w:rPr>
        <w:t> </w:t>
      </w:r>
      <w:r>
        <w:rPr/>
        <w:t>utility in industrial and technological applications, several heavy metals are known for their toxicity and potential to bioaccumulate in human tissues and the environment. This study focuses on assessing the presence and concentration of heavy metals in automobile parts sold and recycled at Ipata Market in Ilorin, Nigeria, a prominent hub for vehicle spare parts and informal automobile-related activities.</w:t>
      </w:r>
    </w:p>
    <w:p>
      <w:pPr>
        <w:pStyle w:val="BodyText"/>
        <w:spacing w:line="496" w:lineRule="auto" w:before="153"/>
        <w:ind w:left="1167" w:right="1769" w:hanging="13"/>
        <w:jc w:val="both"/>
      </w:pPr>
      <w:r>
        <w:rPr/>
        <w:t>This chapter introduces the core focus of the research by outlining the scope, rationale, and structure of the study. It begins with a detailed background to contextualise the concept of heavy metals, their relevance to environmental and public health, and the significance of their investigation within automobile markets. It also presents a review</w:t>
      </w:r>
      <w:r>
        <w:rPr>
          <w:spacing w:val="80"/>
        </w:rPr>
        <w:t> </w:t>
      </w:r>
      <w:r>
        <w:rPr/>
        <w:t>of global, African, and Nigerian literature on heavy metal contamination in automotive parts, highlighting current gaps and justifying the need for the present investigation. Finally, the chapter concludes with a statement of research purpose, underlining the importance of adopting a localised yet scientifically rigorous approach to evaluating heavy metal contamination in urban trade environments.</w:t>
      </w:r>
    </w:p>
    <w:p>
      <w:pPr>
        <w:pStyle w:val="BodyText"/>
        <w:spacing w:after="0" w:line="496" w:lineRule="auto"/>
        <w:jc w:val="both"/>
        <w:sectPr>
          <w:footerReference w:type="default" r:id="rId9"/>
          <w:pgSz w:w="12240" w:h="15840"/>
          <w:pgMar w:header="0" w:footer="1674" w:top="1460" w:bottom="1860" w:left="360" w:right="0"/>
          <w:pgNumType w:start="1"/>
        </w:sectPr>
      </w:pPr>
    </w:p>
    <w:p>
      <w:pPr>
        <w:pStyle w:val="Heading1"/>
        <w:numPr>
          <w:ilvl w:val="1"/>
          <w:numId w:val="1"/>
        </w:numPr>
        <w:tabs>
          <w:tab w:pos="1537" w:val="left" w:leader="none"/>
        </w:tabs>
        <w:spacing w:line="240" w:lineRule="auto" w:before="74" w:after="0"/>
        <w:ind w:left="1537" w:right="0" w:hanging="382"/>
        <w:jc w:val="left"/>
      </w:pPr>
      <w:r>
        <w:rPr/>
        <w:t>BACKGROUND</w:t>
      </w:r>
      <w:r>
        <w:rPr>
          <w:spacing w:val="17"/>
        </w:rPr>
        <w:t> </w:t>
      </w:r>
      <w:r>
        <w:rPr/>
        <w:t>OF</w:t>
      </w:r>
      <w:r>
        <w:rPr>
          <w:spacing w:val="-2"/>
        </w:rPr>
        <w:t> </w:t>
      </w:r>
      <w:r>
        <w:rPr/>
        <w:t>THE</w:t>
      </w:r>
      <w:r>
        <w:rPr>
          <w:spacing w:val="19"/>
        </w:rPr>
        <w:t> </w:t>
      </w:r>
      <w:r>
        <w:rPr>
          <w:spacing w:val="-4"/>
        </w:rPr>
        <w:t>STUDY</w:t>
      </w:r>
    </w:p>
    <w:p>
      <w:pPr>
        <w:pStyle w:val="BodyText"/>
        <w:spacing w:before="182"/>
        <w:rPr>
          <w:b/>
        </w:rPr>
      </w:pPr>
    </w:p>
    <w:p>
      <w:pPr>
        <w:pStyle w:val="BodyText"/>
        <w:spacing w:line="496" w:lineRule="auto"/>
        <w:ind w:left="1167" w:right="1772" w:hanging="13"/>
        <w:jc w:val="both"/>
      </w:pPr>
      <w:r>
        <w:rPr/>
        <w:t>Heavy metals are</w:t>
      </w:r>
      <w:r>
        <w:rPr>
          <w:spacing w:val="-1"/>
        </w:rPr>
        <w:t> </w:t>
      </w:r>
      <w:r>
        <w:rPr/>
        <w:t>a</w:t>
      </w:r>
      <w:r>
        <w:rPr>
          <w:spacing w:val="-1"/>
        </w:rPr>
        <w:t> </w:t>
      </w:r>
      <w:r>
        <w:rPr/>
        <w:t>group of</w:t>
      </w:r>
      <w:r>
        <w:rPr>
          <w:spacing w:val="-1"/>
        </w:rPr>
        <w:t> </w:t>
      </w:r>
      <w:r>
        <w:rPr/>
        <w:t>elements that include both essential (e.g., iron, zinc,</w:t>
      </w:r>
      <w:r>
        <w:rPr>
          <w:spacing w:val="-1"/>
        </w:rPr>
        <w:t> </w:t>
      </w:r>
      <w:r>
        <w:rPr/>
        <w:t>copper) and non-essential (e.g., lead, cadmium, mercury) metals, many of which become toxic when their concentrations exceed physiological thresholds. These elements are nonbiodegradable and tend to persist in the environment, thereby making their accumulation in air, water, soil, and biota a serious concern (Heidari et al., 2021). Industrialisation, urbanisation, and the increased use of metal-containing components in manufacturing and automotive sectors have led to a global rise in environmental heavy metal pollution.</w:t>
      </w:r>
    </w:p>
    <w:p>
      <w:pPr>
        <w:pStyle w:val="BodyText"/>
        <w:spacing w:line="494" w:lineRule="auto" w:before="154"/>
        <w:ind w:left="1167" w:right="1770" w:hanging="13"/>
        <w:jc w:val="both"/>
      </w:pPr>
      <w:r>
        <w:rPr/>
        <w:t>Heavy</w:t>
      </w:r>
      <w:r>
        <w:rPr>
          <w:spacing w:val="-3"/>
        </w:rPr>
        <w:t> </w:t>
      </w:r>
      <w:r>
        <w:rPr/>
        <w:t>metals</w:t>
      </w:r>
      <w:r>
        <w:rPr>
          <w:spacing w:val="-1"/>
        </w:rPr>
        <w:t> </w:t>
      </w:r>
      <w:r>
        <w:rPr/>
        <w:t>such as</w:t>
      </w:r>
      <w:r>
        <w:rPr>
          <w:spacing w:val="-3"/>
        </w:rPr>
        <w:t> </w:t>
      </w:r>
      <w:r>
        <w:rPr/>
        <w:t>lead</w:t>
      </w:r>
      <w:r>
        <w:rPr>
          <w:spacing w:val="-3"/>
        </w:rPr>
        <w:t> </w:t>
      </w:r>
      <w:r>
        <w:rPr/>
        <w:t>(Pb),</w:t>
      </w:r>
      <w:r>
        <w:rPr>
          <w:spacing w:val="-3"/>
        </w:rPr>
        <w:t> </w:t>
      </w:r>
      <w:r>
        <w:rPr/>
        <w:t>cadmium</w:t>
      </w:r>
      <w:r>
        <w:rPr>
          <w:spacing w:val="-1"/>
        </w:rPr>
        <w:t> </w:t>
      </w:r>
      <w:r>
        <w:rPr/>
        <w:t>(Cd),</w:t>
      </w:r>
      <w:r>
        <w:rPr>
          <w:spacing w:val="-4"/>
        </w:rPr>
        <w:t> </w:t>
      </w:r>
      <w:r>
        <w:rPr/>
        <w:t>chromium</w:t>
      </w:r>
      <w:r>
        <w:rPr>
          <w:spacing w:val="-1"/>
        </w:rPr>
        <w:t> </w:t>
      </w:r>
      <w:r>
        <w:rPr/>
        <w:t>(Cr),</w:t>
      </w:r>
      <w:r>
        <w:rPr>
          <w:spacing w:val="-3"/>
        </w:rPr>
        <w:t> </w:t>
      </w:r>
      <w:r>
        <w:rPr/>
        <w:t>nickel</w:t>
      </w:r>
      <w:r>
        <w:rPr>
          <w:spacing w:val="-1"/>
        </w:rPr>
        <w:t> </w:t>
      </w:r>
      <w:r>
        <w:rPr/>
        <w:t>(Ni), and</w:t>
      </w:r>
      <w:r>
        <w:rPr>
          <w:spacing w:val="-3"/>
        </w:rPr>
        <w:t> </w:t>
      </w:r>
      <w:r>
        <w:rPr/>
        <w:t>mercury (Hg) are commonly found in automotive parts such as batteries, brake pads, engine components, radiators, and paint coatings (Manasfi et al., 2021). Over time, these metals can leach into the environment during use, repair, dismantling, or improper disposal— especially in markets and workshops with minimal environmental controls.</w:t>
      </w:r>
    </w:p>
    <w:p>
      <w:pPr>
        <w:pStyle w:val="BodyText"/>
        <w:spacing w:line="496" w:lineRule="auto" w:before="168"/>
        <w:ind w:left="1167" w:right="1769" w:hanging="13"/>
        <w:jc w:val="both"/>
      </w:pPr>
      <w:r>
        <w:rPr/>
        <w:t>The toxic effects of heavy metals on human health are well documented. Lead, for instance, is a potent neurotoxin, especially dangerous to children, and is associated with developmental disorders, cognitive decline, and renal dysfunction (Obeng-Gyasi, 2019). Cadmium can damage the kidneys and bones and is classified as a human carcinogen (IARC,</w:t>
      </w:r>
      <w:r>
        <w:rPr>
          <w:spacing w:val="66"/>
        </w:rPr>
        <w:t> </w:t>
      </w:r>
      <w:r>
        <w:rPr/>
        <w:t>2020).</w:t>
      </w:r>
      <w:r>
        <w:rPr>
          <w:spacing w:val="66"/>
        </w:rPr>
        <w:t> </w:t>
      </w:r>
      <w:r>
        <w:rPr/>
        <w:t>Chromium</w:t>
      </w:r>
      <w:r>
        <w:rPr>
          <w:spacing w:val="66"/>
        </w:rPr>
        <w:t> </w:t>
      </w:r>
      <w:r>
        <w:rPr/>
        <w:t>(particularly</w:t>
      </w:r>
      <w:r>
        <w:rPr>
          <w:spacing w:val="67"/>
        </w:rPr>
        <w:t> </w:t>
      </w:r>
      <w:r>
        <w:rPr/>
        <w:t>Cr(VI))</w:t>
      </w:r>
      <w:r>
        <w:rPr>
          <w:spacing w:val="65"/>
        </w:rPr>
        <w:t> </w:t>
      </w:r>
      <w:r>
        <w:rPr/>
        <w:t>and</w:t>
      </w:r>
      <w:r>
        <w:rPr>
          <w:spacing w:val="66"/>
        </w:rPr>
        <w:t> </w:t>
      </w:r>
      <w:r>
        <w:rPr/>
        <w:t>nickel</w:t>
      </w:r>
      <w:r>
        <w:rPr>
          <w:spacing w:val="66"/>
        </w:rPr>
        <w:t> </w:t>
      </w:r>
      <w:r>
        <w:rPr/>
        <w:t>are</w:t>
      </w:r>
      <w:r>
        <w:rPr>
          <w:spacing w:val="64"/>
        </w:rPr>
        <w:t> </w:t>
      </w:r>
      <w:r>
        <w:rPr/>
        <w:t>also</w:t>
      </w:r>
      <w:r>
        <w:rPr>
          <w:spacing w:val="67"/>
        </w:rPr>
        <w:t> </w:t>
      </w:r>
      <w:r>
        <w:rPr/>
        <w:t>associated</w:t>
      </w:r>
      <w:r>
        <w:rPr>
          <w:spacing w:val="66"/>
        </w:rPr>
        <w:t> </w:t>
      </w:r>
      <w:r>
        <w:rPr>
          <w:spacing w:val="-4"/>
        </w:rPr>
        <w:t>with</w:t>
      </w:r>
    </w:p>
    <w:p>
      <w:pPr>
        <w:pStyle w:val="BodyText"/>
        <w:spacing w:after="0" w:line="496" w:lineRule="auto"/>
        <w:jc w:val="both"/>
        <w:sectPr>
          <w:pgSz w:w="12240" w:h="15840"/>
          <w:pgMar w:header="0" w:footer="1674" w:top="1460" w:bottom="1860" w:left="360" w:right="0"/>
        </w:sectPr>
      </w:pPr>
    </w:p>
    <w:p>
      <w:pPr>
        <w:pStyle w:val="BodyText"/>
        <w:spacing w:line="496" w:lineRule="auto" w:before="74"/>
        <w:ind w:left="1167" w:right="1774"/>
        <w:jc w:val="both"/>
      </w:pPr>
      <w:r>
        <w:rPr/>
        <w:t>respiratory issues and skin sensitisation, while</w:t>
      </w:r>
      <w:r>
        <w:rPr>
          <w:spacing w:val="-2"/>
        </w:rPr>
        <w:t> </w:t>
      </w:r>
      <w:r>
        <w:rPr/>
        <w:t>long-term exposure</w:t>
      </w:r>
      <w:r>
        <w:rPr>
          <w:spacing w:val="-1"/>
        </w:rPr>
        <w:t> </w:t>
      </w:r>
      <w:r>
        <w:rPr/>
        <w:t>to mercury affects the nervous, digestive, and immune systems (Islam et al., 2018).</w:t>
      </w:r>
    </w:p>
    <w:p>
      <w:pPr>
        <w:pStyle w:val="BodyText"/>
        <w:spacing w:line="496" w:lineRule="auto" w:before="159"/>
        <w:ind w:left="1167" w:right="1771" w:hanging="13"/>
        <w:jc w:val="both"/>
      </w:pPr>
      <w:r>
        <w:rPr/>
        <w:t>Environmentally, heavy metals contaminate soil, disrupt microbial activities, and affect plant growth. Runoffs from automotive waste or improperly discarded parts contribute</w:t>
      </w:r>
      <w:r>
        <w:rPr>
          <w:spacing w:val="80"/>
        </w:rPr>
        <w:t> </w:t>
      </w:r>
      <w:r>
        <w:rPr/>
        <w:t>to the accumulation of toxic metals in urban and peri-urban soils, thereby posing risks to local agriculture and water supplies. In areas without adequate regulatory oversight, informal automobile markets often function as unmonitored pollution hotspots.</w:t>
      </w:r>
    </w:p>
    <w:p>
      <w:pPr>
        <w:pStyle w:val="BodyText"/>
        <w:spacing w:line="496" w:lineRule="auto" w:before="156"/>
        <w:ind w:left="1167" w:right="1770" w:hanging="13"/>
        <w:jc w:val="both"/>
      </w:pPr>
      <w:r>
        <w:rPr/>
        <w:t>Automobile components are an under-examined yet critical source of heavy metal pollution, particularly in developing nations where vehicle importation, dismantling, and part reuse are extensive and largely informal. Markets such as Ipata in Ilorin operate as secondary centres for automobile maintenance and disposal, where components are handled, repurposed, and discarded without strict environmental regulation. Studying heavy metals in these parts is essential for three key reasons.</w:t>
      </w:r>
    </w:p>
    <w:p>
      <w:pPr>
        <w:pStyle w:val="BodyText"/>
        <w:spacing w:line="496" w:lineRule="auto" w:before="153"/>
        <w:ind w:left="1167" w:right="1771" w:hanging="13"/>
        <w:jc w:val="both"/>
      </w:pPr>
      <w:r>
        <w:rPr/>
        <w:t>Firstly, it provides baseline data for environmental health and pollution risk assessments, especially in urban areas where direct human exposure to metals may be high. Secondly, it aids in formulating better policies for waste management and occupational health in</w:t>
      </w:r>
      <w:r>
        <w:rPr>
          <w:spacing w:val="40"/>
        </w:rPr>
        <w:t> </w:t>
      </w:r>
      <w:r>
        <w:rPr/>
        <w:t>the informal sector. Lastly, understanding the metal content of these components supports broader efforts to assess the environmental footprint of automotive waste in the context of global climate change mitigation and resource sustainability (Adusei et al., </w:t>
      </w:r>
      <w:r>
        <w:rPr>
          <w:spacing w:val="-2"/>
        </w:rPr>
        <w:t>2020).</w:t>
      </w:r>
    </w:p>
    <w:p>
      <w:pPr>
        <w:pStyle w:val="BodyText"/>
        <w:spacing w:after="0" w:line="496" w:lineRule="auto"/>
        <w:jc w:val="both"/>
        <w:sectPr>
          <w:pgSz w:w="12240" w:h="15840"/>
          <w:pgMar w:header="0" w:footer="1674" w:top="1460" w:bottom="1860" w:left="360" w:right="0"/>
        </w:sectPr>
      </w:pPr>
    </w:p>
    <w:p>
      <w:pPr>
        <w:pStyle w:val="BodyText"/>
        <w:spacing w:line="496" w:lineRule="auto" w:before="74"/>
        <w:ind w:left="1167" w:right="1768" w:hanging="13"/>
        <w:jc w:val="both"/>
      </w:pPr>
      <w:r>
        <w:rPr/>
        <w:t>Globally, several studies have assessed heavy metal contamination in vehicular components. For instance, research by Lyu et al. (2022) in China demonstrated the significant presence of Pb, Cr, and Cd in brake and tyre wear particles, contributing to urban air and soil pollution. Similarly, Alghamdi et al. (2021) examined the release of metals from used engine oil and lubricants, highlighting their role in long-term soil contamination. These studies affirm that vehicles—both in active use and in scrap form— represent mobile sources of persistent environmental pollutants.</w:t>
      </w:r>
    </w:p>
    <w:p>
      <w:pPr>
        <w:pStyle w:val="BodyText"/>
        <w:spacing w:line="496" w:lineRule="auto" w:before="152"/>
        <w:ind w:left="1167" w:right="1773" w:hanging="13"/>
        <w:jc w:val="both"/>
      </w:pPr>
      <w:r>
        <w:rPr/>
        <w:t>Recent advances in spectroscopy and analytical chemistry have improved the detection</w:t>
      </w:r>
      <w:r>
        <w:rPr>
          <w:spacing w:val="40"/>
        </w:rPr>
        <w:t> </w:t>
      </w:r>
      <w:r>
        <w:rPr/>
        <w:t>of metal contaminants in automotive waste. However, while such studies are prevalent</w:t>
      </w:r>
      <w:r>
        <w:rPr>
          <w:spacing w:val="80"/>
        </w:rPr>
        <w:t> </w:t>
      </w:r>
      <w:r>
        <w:rPr/>
        <w:t>in Europe, North</w:t>
      </w:r>
      <w:r>
        <w:rPr>
          <w:spacing w:val="-14"/>
        </w:rPr>
        <w:t> </w:t>
      </w:r>
      <w:r>
        <w:rPr/>
        <w:t>America,</w:t>
      </w:r>
      <w:r>
        <w:rPr>
          <w:spacing w:val="-1"/>
        </w:rPr>
        <w:t> </w:t>
      </w:r>
      <w:r>
        <w:rPr/>
        <w:t>and East</w:t>
      </w:r>
      <w:r>
        <w:rPr>
          <w:spacing w:val="-14"/>
        </w:rPr>
        <w:t> </w:t>
      </w:r>
      <w:r>
        <w:rPr/>
        <w:t>Asia,</w:t>
      </w:r>
      <w:r>
        <w:rPr>
          <w:spacing w:val="-1"/>
        </w:rPr>
        <w:t> </w:t>
      </w:r>
      <w:r>
        <w:rPr/>
        <w:t>similar research</w:t>
      </w:r>
      <w:r>
        <w:rPr>
          <w:spacing w:val="-1"/>
        </w:rPr>
        <w:t> </w:t>
      </w:r>
      <w:r>
        <w:rPr/>
        <w:t>in sub-Saharan</w:t>
      </w:r>
      <w:r>
        <w:rPr>
          <w:spacing w:val="-14"/>
        </w:rPr>
        <w:t> </w:t>
      </w:r>
      <w:r>
        <w:rPr/>
        <w:t>Africa remains limited and underfunded. This geographic gap in research reinforces the importance of studies conducted in Nigeria and other African countries, where informal automobile reuse and recycling practices are widespread but poorly regulated.</w:t>
      </w:r>
    </w:p>
    <w:p>
      <w:pPr>
        <w:pStyle w:val="BodyText"/>
        <w:spacing w:line="496" w:lineRule="auto" w:before="156"/>
        <w:ind w:left="1167" w:right="1770" w:hanging="13"/>
        <w:jc w:val="both"/>
      </w:pPr>
      <w:r>
        <w:rPr/>
        <w:t>In the</w:t>
      </w:r>
      <w:r>
        <w:rPr>
          <w:spacing w:val="-5"/>
        </w:rPr>
        <w:t> </w:t>
      </w:r>
      <w:r>
        <w:rPr/>
        <w:t>African context, growing urbanisation and dependence on imported used vehicles have intensified concerns about the environmental risks posed by automobile-derived pollutants.</w:t>
      </w:r>
      <w:r>
        <w:rPr>
          <w:spacing w:val="-2"/>
        </w:rPr>
        <w:t> </w:t>
      </w:r>
      <w:r>
        <w:rPr/>
        <w:t>A study in Ghana by Doyi et al. (2021) evaluated heavy metal accumulation</w:t>
      </w:r>
      <w:r>
        <w:rPr>
          <w:spacing w:val="40"/>
        </w:rPr>
        <w:t> </w:t>
      </w:r>
      <w:r>
        <w:rPr/>
        <w:t>in soils around scrap yards and found elevated concentrations of Pb and Cr. In South Africa, Mngomezulu and Monyai (2019) assessed leachates from dismantled car</w:t>
      </w:r>
      <w:r>
        <w:rPr>
          <w:spacing w:val="40"/>
        </w:rPr>
        <w:t> </w:t>
      </w:r>
      <w:r>
        <w:rPr/>
        <w:t>batteries and discovered hazardous levels of Cd and Pb entering the soil and water </w:t>
      </w:r>
      <w:r>
        <w:rPr>
          <w:spacing w:val="-2"/>
        </w:rPr>
        <w:t>systems.</w:t>
      </w:r>
    </w:p>
    <w:p>
      <w:pPr>
        <w:pStyle w:val="BodyText"/>
        <w:spacing w:after="0" w:line="496" w:lineRule="auto"/>
        <w:jc w:val="both"/>
        <w:sectPr>
          <w:pgSz w:w="12240" w:h="15840"/>
          <w:pgMar w:header="0" w:footer="1674" w:top="1460" w:bottom="1860" w:left="360" w:right="0"/>
        </w:sectPr>
      </w:pPr>
    </w:p>
    <w:p>
      <w:pPr>
        <w:pStyle w:val="BodyText"/>
        <w:spacing w:line="494" w:lineRule="auto" w:before="74"/>
        <w:ind w:left="1167" w:right="1772" w:hanging="13"/>
        <w:jc w:val="both"/>
      </w:pPr>
      <w:r>
        <w:rPr/>
        <w:t>Moreover, the informal nature of vehicle dismantling across Africa results in direct exposure of workers to heavy metals through inhalation, ingestion, and dermal absorption. Studies have highlighted the need for better environmental monitoring and health surveillance of workers in auto-part markets and scrap yards (Ochieng et al., </w:t>
      </w:r>
      <w:r>
        <w:rPr>
          <w:spacing w:val="-2"/>
        </w:rPr>
        <w:t>2020).</w:t>
      </w:r>
    </w:p>
    <w:p>
      <w:pPr>
        <w:pStyle w:val="BodyText"/>
        <w:spacing w:line="494" w:lineRule="auto" w:before="171"/>
        <w:ind w:left="1167" w:right="1776" w:hanging="13"/>
        <w:jc w:val="both"/>
      </w:pPr>
      <w:r>
        <w:rPr/>
        <w:t>Despite increasing awareness, regulatory enforcement remains weak in many African nations. Often, limited institutional capacity and lack of public awareness hinder the implementation of sustainable practices. Research efforts in African countries are therefore increasingly focused on generating localised evidence to inform policy and occupational safety standards.</w:t>
      </w:r>
    </w:p>
    <w:p>
      <w:pPr>
        <w:pStyle w:val="BodyText"/>
        <w:spacing w:line="496" w:lineRule="auto" w:before="168"/>
        <w:ind w:left="1167" w:right="1770" w:hanging="13"/>
        <w:jc w:val="both"/>
      </w:pPr>
      <w:r>
        <w:rPr/>
        <w:t>Nigeria, as one of Africa’s largest automobile markets, is heavily reliant on the importation of used vehicles and spare parts. Informal markets such as Ladipo (Lagos), Nkpor (Anambra), and Ipata (Ilorin) serve as central hubs for the sale, modification, and disposal of these components. Several studies have begun to explore the environmental health implications of such markets.</w:t>
      </w:r>
    </w:p>
    <w:p>
      <w:pPr>
        <w:pStyle w:val="BodyText"/>
        <w:spacing w:line="494" w:lineRule="auto" w:before="157"/>
        <w:ind w:left="1167" w:right="1770" w:hanging="13"/>
        <w:jc w:val="both"/>
      </w:pPr>
      <w:r>
        <w:rPr/>
        <w:t>Iwegbue et al. (2019) analysed metal concentrations in vehicle brake pads and found</w:t>
      </w:r>
      <w:r>
        <w:rPr>
          <w:spacing w:val="40"/>
        </w:rPr>
        <w:t> </w:t>
      </w:r>
      <w:r>
        <w:rPr/>
        <w:t>high levels of copper, zinc, and lead. Similarly, Olatunji et al. (2022) investigated heavy metal contamination around auto-mechanic workshops in Ibadan and reported soil Pb levels</w:t>
      </w:r>
      <w:r>
        <w:rPr>
          <w:spacing w:val="33"/>
        </w:rPr>
        <w:t> </w:t>
      </w:r>
      <w:r>
        <w:rPr/>
        <w:t>exceeding</w:t>
      </w:r>
      <w:r>
        <w:rPr>
          <w:spacing w:val="26"/>
        </w:rPr>
        <w:t> </w:t>
      </w:r>
      <w:r>
        <w:rPr/>
        <w:t>WHO</w:t>
      </w:r>
      <w:r>
        <w:rPr>
          <w:spacing w:val="31"/>
        </w:rPr>
        <w:t> </w:t>
      </w:r>
      <w:r>
        <w:rPr/>
        <w:t>safety</w:t>
      </w:r>
      <w:r>
        <w:rPr>
          <w:spacing w:val="32"/>
        </w:rPr>
        <w:t> </w:t>
      </w:r>
      <w:r>
        <w:rPr/>
        <w:t>limits.</w:t>
      </w:r>
      <w:r>
        <w:rPr>
          <w:spacing w:val="33"/>
        </w:rPr>
        <w:t> </w:t>
      </w:r>
      <w:r>
        <w:rPr/>
        <w:t>In</w:t>
      </w:r>
      <w:r>
        <w:rPr>
          <w:spacing w:val="31"/>
        </w:rPr>
        <w:t> </w:t>
      </w:r>
      <w:r>
        <w:rPr/>
        <w:t>Kano,</w:t>
      </w:r>
      <w:r>
        <w:rPr>
          <w:spacing w:val="11"/>
        </w:rPr>
        <w:t> </w:t>
      </w:r>
      <w:r>
        <w:rPr/>
        <w:t>Akinola</w:t>
      </w:r>
      <w:r>
        <w:rPr>
          <w:spacing w:val="31"/>
        </w:rPr>
        <w:t> </w:t>
      </w:r>
      <w:r>
        <w:rPr/>
        <w:t>et</w:t>
      </w:r>
      <w:r>
        <w:rPr>
          <w:spacing w:val="32"/>
        </w:rPr>
        <w:t> </w:t>
      </w:r>
      <w:r>
        <w:rPr/>
        <w:t>al.</w:t>
      </w:r>
      <w:r>
        <w:rPr>
          <w:spacing w:val="32"/>
        </w:rPr>
        <w:t> </w:t>
      </w:r>
      <w:r>
        <w:rPr/>
        <w:t>(2023)</w:t>
      </w:r>
      <w:r>
        <w:rPr>
          <w:spacing w:val="31"/>
        </w:rPr>
        <w:t> </w:t>
      </w:r>
      <w:r>
        <w:rPr/>
        <w:t>detected</w:t>
      </w:r>
      <w:r>
        <w:rPr>
          <w:spacing w:val="31"/>
        </w:rPr>
        <w:t> </w:t>
      </w:r>
      <w:r>
        <w:rPr>
          <w:spacing w:val="-2"/>
        </w:rPr>
        <w:t>elevated</w:t>
      </w:r>
    </w:p>
    <w:p>
      <w:pPr>
        <w:pStyle w:val="BodyText"/>
        <w:spacing w:after="0" w:line="494" w:lineRule="auto"/>
        <w:jc w:val="both"/>
        <w:sectPr>
          <w:pgSz w:w="12240" w:h="15840"/>
          <w:pgMar w:header="0" w:footer="1674" w:top="1460" w:bottom="1860" w:left="360" w:right="0"/>
        </w:sectPr>
      </w:pPr>
    </w:p>
    <w:p>
      <w:pPr>
        <w:pStyle w:val="BodyText"/>
        <w:spacing w:line="496" w:lineRule="auto" w:before="74"/>
        <w:ind w:left="1167" w:right="1776"/>
        <w:jc w:val="both"/>
      </w:pPr>
      <w:r>
        <w:rPr/>
        <w:t>levels of chromium and cadmium in roadside dust samples collected near vehicle repair </w:t>
      </w:r>
      <w:r>
        <w:rPr>
          <w:spacing w:val="-2"/>
        </w:rPr>
        <w:t>hubs.</w:t>
      </w:r>
    </w:p>
    <w:p>
      <w:pPr>
        <w:pStyle w:val="BodyText"/>
        <w:spacing w:line="496" w:lineRule="auto" w:before="159"/>
        <w:ind w:left="1167" w:right="1771" w:hanging="13"/>
        <w:jc w:val="both"/>
      </w:pPr>
      <w:r>
        <w:rPr/>
        <w:t>These studies collectively point to a pattern of heavy metal pollution associated with automobile activities. However, the regional variability of Nigeria's markets—due to differences in soil composition, trade dynamics, and climate—necessitates site-specific assessments. Ipata Market in Ilorin, for example, serves both Kwara State and neighbouring North Central regions and has not been extensively studied for metal contamination despite its prominence in the automobile trade.</w:t>
      </w:r>
    </w:p>
    <w:p>
      <w:pPr>
        <w:pStyle w:val="BodyText"/>
        <w:spacing w:line="496" w:lineRule="auto" w:before="155"/>
        <w:ind w:left="1167" w:right="1769" w:hanging="13"/>
        <w:jc w:val="both"/>
      </w:pPr>
      <w:r>
        <w:rPr/>
        <w:t>Given the paucity of local data and the environmental and public health risks of unregulated automotive part handling, this study seeks to assess the concentration of selected heavy metals—particularly Pb, Cd, Cr, Ni, and Zn—in commonly used automobile parts sold in Ipata Market, Ilorin. By doing so, it aims to establish a baseline for environmental monitoring, identify potential health risks, and contribute</w:t>
      </w:r>
      <w:r>
        <w:rPr>
          <w:spacing w:val="-1"/>
        </w:rPr>
        <w:t> </w:t>
      </w:r>
      <w:r>
        <w:rPr/>
        <w:t>to evidence- based policymaking.</w:t>
      </w:r>
    </w:p>
    <w:p>
      <w:pPr>
        <w:pStyle w:val="BodyText"/>
        <w:spacing w:line="496" w:lineRule="auto" w:before="153"/>
        <w:ind w:left="1167" w:right="1772" w:hanging="13"/>
        <w:jc w:val="both"/>
      </w:pPr>
      <w:r>
        <w:rPr/>
        <w:t>The study employs analytical methods validated by recent environmental chemistry literature and aligns with global efforts to improve sustainability in the vehicle lifecycle. Furthermore, the project bridges the gap between environmental science and public health, providing valuable insights for local stakeholders, including market operators, environmental agencies, and policymakers.</w:t>
      </w:r>
    </w:p>
    <w:p>
      <w:pPr>
        <w:pStyle w:val="BodyText"/>
        <w:spacing w:after="0" w:line="496" w:lineRule="auto"/>
        <w:jc w:val="both"/>
        <w:sectPr>
          <w:pgSz w:w="12240" w:h="15840"/>
          <w:pgMar w:header="0" w:footer="1674" w:top="1460" w:bottom="1860" w:left="360" w:right="0"/>
        </w:sectPr>
      </w:pPr>
    </w:p>
    <w:p>
      <w:pPr>
        <w:pStyle w:val="Heading1"/>
        <w:numPr>
          <w:ilvl w:val="1"/>
          <w:numId w:val="1"/>
        </w:numPr>
        <w:tabs>
          <w:tab w:pos="1537" w:val="left" w:leader="none"/>
        </w:tabs>
        <w:spacing w:line="240" w:lineRule="auto" w:before="74" w:after="0"/>
        <w:ind w:left="1537" w:right="0" w:hanging="382"/>
        <w:jc w:val="left"/>
      </w:pPr>
      <w:r>
        <w:rPr/>
        <w:t>STATEMENT</w:t>
      </w:r>
      <w:r>
        <w:rPr>
          <w:spacing w:val="-2"/>
        </w:rPr>
        <w:t> </w:t>
      </w:r>
      <w:r>
        <w:rPr/>
        <w:t>OF</w:t>
      </w:r>
      <w:r>
        <w:rPr>
          <w:spacing w:val="-12"/>
        </w:rPr>
        <w:t> </w:t>
      </w:r>
      <w:r>
        <w:rPr/>
        <w:t>THE</w:t>
      </w:r>
      <w:r>
        <w:rPr>
          <w:spacing w:val="4"/>
        </w:rPr>
        <w:t> </w:t>
      </w:r>
      <w:r>
        <w:rPr>
          <w:spacing w:val="-2"/>
        </w:rPr>
        <w:t>PROBLEM</w:t>
      </w:r>
    </w:p>
    <w:p>
      <w:pPr>
        <w:pStyle w:val="BodyText"/>
        <w:spacing w:before="182"/>
        <w:rPr>
          <w:b/>
        </w:rPr>
      </w:pPr>
    </w:p>
    <w:p>
      <w:pPr>
        <w:pStyle w:val="BodyText"/>
        <w:spacing w:line="496" w:lineRule="auto"/>
        <w:ind w:left="1167" w:right="1768" w:hanging="13"/>
        <w:jc w:val="both"/>
      </w:pPr>
      <w:r>
        <w:rPr/>
        <w:t>The increasing reliance on used automobile parts in urban markets such as Ipata, Ilorin, has led to a proliferation of informal practices surrounding vehicle dismantling, repair, and resale. While these practices contribute significantly to local economies and provide employment opportunities, they are often unregulated and environmentally precarious. One under-researched dimension of this issue is the potential release and accumulation</w:t>
      </w:r>
      <w:r>
        <w:rPr>
          <w:spacing w:val="40"/>
        </w:rPr>
        <w:t> </w:t>
      </w:r>
      <w:r>
        <w:rPr/>
        <w:t>of heavy metals from these parts into the immediate environment and, by extension, the human population in contact with them.</w:t>
      </w:r>
    </w:p>
    <w:p>
      <w:pPr>
        <w:pStyle w:val="BodyText"/>
        <w:spacing w:line="496" w:lineRule="auto" w:before="155"/>
        <w:ind w:left="1167" w:right="1771" w:hanging="13"/>
        <w:jc w:val="both"/>
      </w:pPr>
      <w:r>
        <w:rPr/>
        <w:t>In Nigeria, attention to heavy metal contamination is generally concentrated on mining regions, industrial effluents, and agricultural soils. However, vehicle parts—particularly brake pads, batteries, radiators, and engine blocks—are known globally to contain significant quantities of hazardous metals such as lead (Pb), cadmium (Cd), chromium (Cr), and nickel (Ni), which may leach into the environment during routine mechanical activities (Iwegbue et al., 2019; Manasfi et al., 2021). The absence of effective environmental regulations in markets such as Ipata raises serious concerns about prolonged human and ecological exposure to these contaminants.</w:t>
      </w:r>
    </w:p>
    <w:p>
      <w:pPr>
        <w:pStyle w:val="BodyText"/>
        <w:spacing w:line="496" w:lineRule="auto" w:before="152"/>
        <w:ind w:left="1167" w:right="1774" w:hanging="13"/>
        <w:jc w:val="both"/>
      </w:pPr>
      <w:r>
        <w:rPr/>
        <w:t>Moreover, there is a distinct lack of baseline data regarding the specific types and concentrations of heavy metals in commonly handled automobile components in Ilorin. This</w:t>
      </w:r>
      <w:r>
        <w:rPr>
          <w:spacing w:val="11"/>
        </w:rPr>
        <w:t> </w:t>
      </w:r>
      <w:r>
        <w:rPr/>
        <w:t>knowledge</w:t>
      </w:r>
      <w:r>
        <w:rPr>
          <w:spacing w:val="10"/>
        </w:rPr>
        <w:t> </w:t>
      </w:r>
      <w:r>
        <w:rPr/>
        <w:t>gap</w:t>
      </w:r>
      <w:r>
        <w:rPr>
          <w:spacing w:val="14"/>
        </w:rPr>
        <w:t> </w:t>
      </w:r>
      <w:r>
        <w:rPr/>
        <w:t>makes</w:t>
      </w:r>
      <w:r>
        <w:rPr>
          <w:spacing w:val="11"/>
        </w:rPr>
        <w:t> </w:t>
      </w:r>
      <w:r>
        <w:rPr/>
        <w:t>it</w:t>
      </w:r>
      <w:r>
        <w:rPr>
          <w:spacing w:val="13"/>
        </w:rPr>
        <w:t> </w:t>
      </w:r>
      <w:r>
        <w:rPr/>
        <w:t>difficult</w:t>
      </w:r>
      <w:r>
        <w:rPr>
          <w:spacing w:val="13"/>
        </w:rPr>
        <w:t> </w:t>
      </w:r>
      <w:r>
        <w:rPr/>
        <w:t>to</w:t>
      </w:r>
      <w:r>
        <w:rPr>
          <w:spacing w:val="12"/>
        </w:rPr>
        <w:t> </w:t>
      </w:r>
      <w:r>
        <w:rPr/>
        <w:t>formulate</w:t>
      </w:r>
      <w:r>
        <w:rPr>
          <w:spacing w:val="10"/>
        </w:rPr>
        <w:t> </w:t>
      </w:r>
      <w:r>
        <w:rPr/>
        <w:t>localised</w:t>
      </w:r>
      <w:r>
        <w:rPr>
          <w:spacing w:val="12"/>
        </w:rPr>
        <w:t> </w:t>
      </w:r>
      <w:r>
        <w:rPr/>
        <w:t>risk</w:t>
      </w:r>
      <w:r>
        <w:rPr>
          <w:spacing w:val="14"/>
        </w:rPr>
        <w:t> </w:t>
      </w:r>
      <w:r>
        <w:rPr/>
        <w:t>assessments</w:t>
      </w:r>
      <w:r>
        <w:rPr>
          <w:spacing w:val="11"/>
        </w:rPr>
        <w:t> </w:t>
      </w:r>
      <w:r>
        <w:rPr/>
        <w:t>or</w:t>
      </w:r>
      <w:r>
        <w:rPr>
          <w:spacing w:val="12"/>
        </w:rPr>
        <w:t> </w:t>
      </w:r>
      <w:r>
        <w:rPr>
          <w:spacing w:val="-2"/>
        </w:rPr>
        <w:t>inform</w:t>
      </w:r>
    </w:p>
    <w:p>
      <w:pPr>
        <w:pStyle w:val="BodyText"/>
        <w:spacing w:after="0" w:line="496" w:lineRule="auto"/>
        <w:jc w:val="both"/>
        <w:sectPr>
          <w:pgSz w:w="12240" w:h="15840"/>
          <w:pgMar w:header="0" w:footer="1674" w:top="1460" w:bottom="1860" w:left="360" w:right="0"/>
        </w:sectPr>
      </w:pPr>
    </w:p>
    <w:p>
      <w:pPr>
        <w:pStyle w:val="BodyText"/>
        <w:spacing w:line="496" w:lineRule="auto" w:before="74"/>
        <w:ind w:left="1167" w:right="1778"/>
        <w:jc w:val="both"/>
      </w:pPr>
      <w:r>
        <w:rPr/>
        <w:t>occupational safety guidelines for mechanics, traders, and residents in and around the </w:t>
      </w:r>
      <w:r>
        <w:rPr>
          <w:spacing w:val="-2"/>
        </w:rPr>
        <w:t>market.</w:t>
      </w:r>
    </w:p>
    <w:p>
      <w:pPr>
        <w:pStyle w:val="BodyText"/>
        <w:spacing w:line="496" w:lineRule="auto" w:before="159"/>
        <w:ind w:left="1167" w:right="1769" w:hanging="13"/>
        <w:jc w:val="both"/>
      </w:pPr>
      <w:r>
        <w:rPr/>
        <w:t>Given the widespread handling of these parts without protective gear, frequent soil contact, and exposure to residual fluids, the possibility of chronic, low-dose exposure among the population is high. This scenario poses long-term implications for public health, especially in a region where medical surveillance for heavy metal toxicity is minimal. Thus, the problem is not only environmental but also epidemiological and </w:t>
      </w:r>
      <w:r>
        <w:rPr>
          <w:spacing w:val="-2"/>
        </w:rPr>
        <w:t>regulatory.</w:t>
      </w:r>
    </w:p>
    <w:p>
      <w:pPr>
        <w:pStyle w:val="BodyText"/>
        <w:spacing w:line="494" w:lineRule="auto" w:before="155"/>
        <w:ind w:left="1167" w:right="1778" w:hanging="13"/>
        <w:jc w:val="both"/>
      </w:pPr>
      <w:r>
        <w:rPr/>
        <w:t>In this context, a scientific assessment of heavy metals in automobile parts at Ipata Market becomes imperative to bridge the gap between informal automotive practices</w:t>
      </w:r>
      <w:r>
        <w:rPr>
          <w:spacing w:val="80"/>
        </w:rPr>
        <w:t> </w:t>
      </w:r>
      <w:r>
        <w:rPr/>
        <w:t>and the hidden environmental health risks they may harbour.</w:t>
      </w:r>
    </w:p>
    <w:p>
      <w:pPr>
        <w:pStyle w:val="Heading1"/>
        <w:numPr>
          <w:ilvl w:val="2"/>
          <w:numId w:val="2"/>
        </w:numPr>
        <w:tabs>
          <w:tab w:pos="1728" w:val="left" w:leader="none"/>
        </w:tabs>
        <w:spacing w:line="240" w:lineRule="auto" w:before="165" w:after="0"/>
        <w:ind w:left="1728" w:right="0" w:hanging="573"/>
        <w:jc w:val="left"/>
      </w:pPr>
      <w:r>
        <w:rPr/>
        <w:t>RESEARCH</w:t>
      </w:r>
      <w:r>
        <w:rPr>
          <w:spacing w:val="8"/>
        </w:rPr>
        <w:t> </w:t>
      </w:r>
      <w:r>
        <w:rPr>
          <w:spacing w:val="-5"/>
        </w:rPr>
        <w:t>AIM</w:t>
      </w:r>
    </w:p>
    <w:p>
      <w:pPr>
        <w:pStyle w:val="BodyText"/>
        <w:spacing w:before="185"/>
        <w:rPr>
          <w:b/>
        </w:rPr>
      </w:pPr>
    </w:p>
    <w:p>
      <w:pPr>
        <w:pStyle w:val="BodyText"/>
        <w:spacing w:line="496" w:lineRule="auto"/>
        <w:ind w:left="1167" w:right="1773" w:hanging="13"/>
        <w:jc w:val="both"/>
      </w:pPr>
      <w:r>
        <w:rPr/>
        <w:t>To assess the concentration and distribution of selected heavy metals in commonly used automobile parts sold in Ipata Market, Ilorin, with a view to evaluating potential environmental and public health risks.</w:t>
      </w:r>
    </w:p>
    <w:p>
      <w:pPr>
        <w:pStyle w:val="Heading1"/>
        <w:numPr>
          <w:ilvl w:val="2"/>
          <w:numId w:val="2"/>
        </w:numPr>
        <w:tabs>
          <w:tab w:pos="1728" w:val="left" w:leader="none"/>
        </w:tabs>
        <w:spacing w:line="240" w:lineRule="auto" w:before="158" w:after="0"/>
        <w:ind w:left="1728" w:right="0" w:hanging="573"/>
        <w:jc w:val="left"/>
      </w:pPr>
      <w:r>
        <w:rPr/>
        <w:t>RESEARCH</w:t>
      </w:r>
      <w:r>
        <w:rPr>
          <w:spacing w:val="23"/>
        </w:rPr>
        <w:t> </w:t>
      </w:r>
      <w:r>
        <w:rPr>
          <w:spacing w:val="-2"/>
        </w:rPr>
        <w:t>OBJECTIVES</w:t>
      </w:r>
    </w:p>
    <w:p>
      <w:pPr>
        <w:pStyle w:val="BodyText"/>
        <w:spacing w:before="145"/>
        <w:rPr>
          <w:b/>
        </w:rPr>
      </w:pPr>
    </w:p>
    <w:p>
      <w:pPr>
        <w:pStyle w:val="ListParagraph"/>
        <w:numPr>
          <w:ilvl w:val="0"/>
          <w:numId w:val="3"/>
        </w:numPr>
        <w:tabs>
          <w:tab w:pos="1167" w:val="left" w:leader="none"/>
          <w:tab w:pos="1764" w:val="left" w:leader="none"/>
        </w:tabs>
        <w:spacing w:line="554" w:lineRule="auto" w:before="1" w:after="0"/>
        <w:ind w:left="1167" w:right="1772" w:hanging="13"/>
        <w:jc w:val="both"/>
        <w:rPr>
          <w:sz w:val="25"/>
        </w:rPr>
      </w:pPr>
      <w:r>
        <w:rPr>
          <w:sz w:val="25"/>
        </w:rPr>
        <w:t>To</w:t>
      </w:r>
      <w:r>
        <w:rPr>
          <w:spacing w:val="-14"/>
          <w:sz w:val="25"/>
        </w:rPr>
        <w:t> </w:t>
      </w:r>
      <w:r>
        <w:rPr>
          <w:sz w:val="25"/>
        </w:rPr>
        <w:t>determine</w:t>
      </w:r>
      <w:r>
        <w:rPr>
          <w:spacing w:val="-9"/>
          <w:sz w:val="25"/>
        </w:rPr>
        <w:t> </w:t>
      </w:r>
      <w:r>
        <w:rPr>
          <w:sz w:val="25"/>
        </w:rPr>
        <w:t>the</w:t>
      </w:r>
      <w:r>
        <w:rPr>
          <w:spacing w:val="-9"/>
          <w:sz w:val="25"/>
        </w:rPr>
        <w:t> </w:t>
      </w:r>
      <w:r>
        <w:rPr>
          <w:sz w:val="25"/>
        </w:rPr>
        <w:t>levels</w:t>
      </w:r>
      <w:r>
        <w:rPr>
          <w:spacing w:val="-7"/>
          <w:sz w:val="25"/>
        </w:rPr>
        <w:t> </w:t>
      </w:r>
      <w:r>
        <w:rPr>
          <w:sz w:val="25"/>
        </w:rPr>
        <w:t>of</w:t>
      </w:r>
      <w:r>
        <w:rPr>
          <w:spacing w:val="-6"/>
          <w:sz w:val="25"/>
        </w:rPr>
        <w:t> </w:t>
      </w:r>
      <w:r>
        <w:rPr>
          <w:sz w:val="25"/>
        </w:rPr>
        <w:t>heavy</w:t>
      </w:r>
      <w:r>
        <w:rPr>
          <w:spacing w:val="-8"/>
          <w:sz w:val="25"/>
        </w:rPr>
        <w:t> </w:t>
      </w:r>
      <w:r>
        <w:rPr>
          <w:sz w:val="25"/>
        </w:rPr>
        <w:t>metals</w:t>
      </w:r>
      <w:r>
        <w:rPr>
          <w:spacing w:val="-7"/>
          <w:sz w:val="25"/>
        </w:rPr>
        <w:t> </w:t>
      </w:r>
      <w:r>
        <w:rPr>
          <w:sz w:val="25"/>
        </w:rPr>
        <w:t>(Pb,</w:t>
      </w:r>
      <w:r>
        <w:rPr>
          <w:spacing w:val="-7"/>
          <w:sz w:val="25"/>
        </w:rPr>
        <w:t> </w:t>
      </w:r>
      <w:r>
        <w:rPr>
          <w:sz w:val="25"/>
        </w:rPr>
        <w:t>Cd,</w:t>
      </w:r>
      <w:r>
        <w:rPr>
          <w:spacing w:val="-8"/>
          <w:sz w:val="25"/>
        </w:rPr>
        <w:t> </w:t>
      </w:r>
      <w:r>
        <w:rPr>
          <w:sz w:val="25"/>
        </w:rPr>
        <w:t>Cr,</w:t>
      </w:r>
      <w:r>
        <w:rPr>
          <w:spacing w:val="-5"/>
          <w:sz w:val="25"/>
        </w:rPr>
        <w:t> </w:t>
      </w:r>
      <w:r>
        <w:rPr>
          <w:sz w:val="25"/>
        </w:rPr>
        <w:t>Co,</w:t>
      </w:r>
      <w:r>
        <w:rPr>
          <w:spacing w:val="-16"/>
          <w:sz w:val="25"/>
        </w:rPr>
        <w:t> </w:t>
      </w:r>
      <w:r>
        <w:rPr>
          <w:sz w:val="25"/>
        </w:rPr>
        <w:t>As)</w:t>
      </w:r>
      <w:r>
        <w:rPr>
          <w:spacing w:val="-5"/>
          <w:sz w:val="25"/>
        </w:rPr>
        <w:t> </w:t>
      </w:r>
      <w:r>
        <w:rPr>
          <w:sz w:val="25"/>
        </w:rPr>
        <w:t>in</w:t>
      </w:r>
      <w:r>
        <w:rPr>
          <w:spacing w:val="-7"/>
          <w:sz w:val="25"/>
        </w:rPr>
        <w:t> </w:t>
      </w:r>
      <w:r>
        <w:rPr>
          <w:sz w:val="25"/>
        </w:rPr>
        <w:t>selected</w:t>
      </w:r>
      <w:r>
        <w:rPr>
          <w:spacing w:val="-8"/>
          <w:sz w:val="25"/>
        </w:rPr>
        <w:t> </w:t>
      </w:r>
      <w:r>
        <w:rPr>
          <w:sz w:val="25"/>
        </w:rPr>
        <w:t>automobile parts commonly sold in Ipata Market. ii. Evaluate non-carcinogenic and carcinogenic health risks.</w:t>
      </w:r>
    </w:p>
    <w:p>
      <w:pPr>
        <w:pStyle w:val="ListParagraph"/>
        <w:spacing w:after="0" w:line="554" w:lineRule="auto"/>
        <w:jc w:val="both"/>
        <w:rPr>
          <w:sz w:val="25"/>
        </w:rPr>
        <w:sectPr>
          <w:pgSz w:w="12240" w:h="15840"/>
          <w:pgMar w:header="0" w:footer="1674" w:top="1460" w:bottom="1860" w:left="360" w:right="0"/>
        </w:sectPr>
      </w:pPr>
    </w:p>
    <w:p>
      <w:pPr>
        <w:pStyle w:val="ListParagraph"/>
        <w:numPr>
          <w:ilvl w:val="0"/>
          <w:numId w:val="3"/>
        </w:numPr>
        <w:tabs>
          <w:tab w:pos="1167" w:val="left" w:leader="none"/>
          <w:tab w:pos="1767" w:val="left" w:leader="none"/>
        </w:tabs>
        <w:spacing w:line="496" w:lineRule="auto" w:before="74" w:after="0"/>
        <w:ind w:left="1167" w:right="1776" w:hanging="13"/>
        <w:jc w:val="left"/>
        <w:rPr>
          <w:sz w:val="25"/>
        </w:rPr>
      </w:pPr>
      <w:r>
        <w:rPr>
          <w:sz w:val="25"/>
        </w:rPr>
        <w:t>To</w:t>
      </w:r>
      <w:r>
        <w:rPr>
          <w:spacing w:val="38"/>
          <w:sz w:val="25"/>
        </w:rPr>
        <w:t> </w:t>
      </w:r>
      <w:r>
        <w:rPr>
          <w:sz w:val="25"/>
        </w:rPr>
        <w:t>evaluate</w:t>
      </w:r>
      <w:r>
        <w:rPr>
          <w:spacing w:val="37"/>
          <w:sz w:val="25"/>
        </w:rPr>
        <w:t> </w:t>
      </w:r>
      <w:r>
        <w:rPr>
          <w:sz w:val="25"/>
        </w:rPr>
        <w:t>the</w:t>
      </w:r>
      <w:r>
        <w:rPr>
          <w:spacing w:val="37"/>
          <w:sz w:val="25"/>
        </w:rPr>
        <w:t> </w:t>
      </w:r>
      <w:r>
        <w:rPr>
          <w:sz w:val="25"/>
        </w:rPr>
        <w:t>potential</w:t>
      </w:r>
      <w:r>
        <w:rPr>
          <w:spacing w:val="39"/>
          <w:sz w:val="25"/>
        </w:rPr>
        <w:t> </w:t>
      </w:r>
      <w:r>
        <w:rPr>
          <w:sz w:val="25"/>
        </w:rPr>
        <w:t>environmental</w:t>
      </w:r>
      <w:r>
        <w:rPr>
          <w:spacing w:val="38"/>
          <w:sz w:val="25"/>
        </w:rPr>
        <w:t> </w:t>
      </w:r>
      <w:r>
        <w:rPr>
          <w:sz w:val="25"/>
        </w:rPr>
        <w:t>and</w:t>
      </w:r>
      <w:r>
        <w:rPr>
          <w:spacing w:val="38"/>
          <w:sz w:val="25"/>
        </w:rPr>
        <w:t> </w:t>
      </w:r>
      <w:r>
        <w:rPr>
          <w:sz w:val="25"/>
        </w:rPr>
        <w:t>health</w:t>
      </w:r>
      <w:r>
        <w:rPr>
          <w:spacing w:val="38"/>
          <w:sz w:val="25"/>
        </w:rPr>
        <w:t> </w:t>
      </w:r>
      <w:r>
        <w:rPr>
          <w:sz w:val="25"/>
        </w:rPr>
        <w:t>implications</w:t>
      </w:r>
      <w:r>
        <w:rPr>
          <w:spacing w:val="38"/>
          <w:sz w:val="25"/>
        </w:rPr>
        <w:t> </w:t>
      </w:r>
      <w:r>
        <w:rPr>
          <w:sz w:val="25"/>
        </w:rPr>
        <w:t>of</w:t>
      </w:r>
      <w:r>
        <w:rPr>
          <w:spacing w:val="37"/>
          <w:sz w:val="25"/>
        </w:rPr>
        <w:t> </w:t>
      </w:r>
      <w:r>
        <w:rPr>
          <w:sz w:val="25"/>
        </w:rPr>
        <w:t>the</w:t>
      </w:r>
      <w:r>
        <w:rPr>
          <w:spacing w:val="37"/>
          <w:sz w:val="25"/>
        </w:rPr>
        <w:t> </w:t>
      </w:r>
      <w:r>
        <w:rPr>
          <w:sz w:val="25"/>
        </w:rPr>
        <w:t>detected heavy metals within the context of the Ipata Market environment.</w:t>
      </w:r>
    </w:p>
    <w:p>
      <w:pPr>
        <w:pStyle w:val="Heading1"/>
        <w:numPr>
          <w:ilvl w:val="1"/>
          <w:numId w:val="4"/>
        </w:numPr>
        <w:tabs>
          <w:tab w:pos="1537" w:val="left" w:leader="none"/>
        </w:tabs>
        <w:spacing w:line="240" w:lineRule="auto" w:before="159" w:after="0"/>
        <w:ind w:left="1537" w:right="0" w:hanging="382"/>
        <w:jc w:val="left"/>
      </w:pPr>
      <w:r>
        <w:rPr/>
        <w:t>RESEARCH</w:t>
      </w:r>
      <w:r>
        <w:rPr>
          <w:spacing w:val="23"/>
        </w:rPr>
        <w:t> </w:t>
      </w:r>
      <w:r>
        <w:rPr>
          <w:spacing w:val="-2"/>
        </w:rPr>
        <w:t>QUESTION</w:t>
      </w:r>
    </w:p>
    <w:p>
      <w:pPr>
        <w:pStyle w:val="BodyText"/>
        <w:spacing w:before="182"/>
        <w:rPr>
          <w:b/>
        </w:rPr>
      </w:pPr>
    </w:p>
    <w:p>
      <w:pPr>
        <w:pStyle w:val="BodyText"/>
        <w:spacing w:line="496" w:lineRule="auto"/>
        <w:ind w:left="1167" w:right="1779" w:hanging="13"/>
        <w:jc w:val="both"/>
      </w:pPr>
      <w:r>
        <w:rPr/>
        <w:t>What are the levels and implications of heavy metal concentrations in selected automobile parts sold at Ipata Market, Ilorin?</w:t>
      </w:r>
    </w:p>
    <w:p>
      <w:pPr>
        <w:pStyle w:val="Heading1"/>
        <w:numPr>
          <w:ilvl w:val="1"/>
          <w:numId w:val="4"/>
        </w:numPr>
        <w:tabs>
          <w:tab w:pos="1537" w:val="left" w:leader="none"/>
        </w:tabs>
        <w:spacing w:line="240" w:lineRule="auto" w:before="160" w:after="0"/>
        <w:ind w:left="1537" w:right="0" w:hanging="382"/>
        <w:jc w:val="left"/>
      </w:pPr>
      <w:r>
        <w:rPr/>
        <w:t>JUSTIFICATION</w:t>
      </w:r>
      <w:r>
        <w:rPr>
          <w:spacing w:val="9"/>
        </w:rPr>
        <w:t> </w:t>
      </w:r>
      <w:r>
        <w:rPr/>
        <w:t>OF</w:t>
      </w:r>
      <w:r>
        <w:rPr>
          <w:spacing w:val="-5"/>
        </w:rPr>
        <w:t> </w:t>
      </w:r>
      <w:r>
        <w:rPr/>
        <w:t>THE</w:t>
      </w:r>
      <w:r>
        <w:rPr>
          <w:spacing w:val="14"/>
        </w:rPr>
        <w:t> </w:t>
      </w:r>
      <w:r>
        <w:rPr>
          <w:spacing w:val="-4"/>
        </w:rPr>
        <w:t>STUDY</w:t>
      </w:r>
    </w:p>
    <w:p>
      <w:pPr>
        <w:pStyle w:val="BodyText"/>
        <w:spacing w:before="184"/>
        <w:rPr>
          <w:b/>
        </w:rPr>
      </w:pPr>
    </w:p>
    <w:p>
      <w:pPr>
        <w:pStyle w:val="BodyText"/>
        <w:spacing w:line="496" w:lineRule="auto"/>
        <w:ind w:left="1167" w:right="1771" w:hanging="13"/>
        <w:jc w:val="both"/>
      </w:pPr>
      <w:r>
        <w:rPr/>
        <w:t>This research is both timely and necessary, given the growing informal economy surrounding automobile maintenance and part resales in Nigeria. While global studies have identified vehicle components as major contributors to urban heavy metal pollution (Lyu et al., 2022; Alghamdi et al., 2021), there remains a significant knowledge gap concerning how this manifests in local contexts such as Ipata Market.</w:t>
      </w:r>
      <w:r>
        <w:rPr>
          <w:spacing w:val="-3"/>
        </w:rPr>
        <w:t> </w:t>
      </w:r>
      <w:r>
        <w:rPr/>
        <w:t>This study focuses on specific parts—based on their usage and recyclability—ensures the data generated</w:t>
      </w:r>
      <w:r>
        <w:rPr>
          <w:spacing w:val="80"/>
        </w:rPr>
        <w:t> </w:t>
      </w:r>
      <w:r>
        <w:rPr/>
        <w:t>are directly relevant to public health and environmental management in Ilorin.</w:t>
      </w:r>
    </w:p>
    <w:p>
      <w:pPr>
        <w:pStyle w:val="BodyText"/>
        <w:spacing w:line="496" w:lineRule="auto" w:before="153"/>
        <w:ind w:left="1167" w:right="1773" w:hanging="13"/>
        <w:jc w:val="both"/>
      </w:pPr>
      <w:r>
        <w:rPr/>
        <w:t>Furthermore, the research question addresses an urgent need for evidence-based responses to the invisible yet escalating problem of heavy metal exposure. This is especially crucial in areas like Ipata, where public awareness and protective regulations are minimal, but daily exposure to potentially toxic metals is routine.</w:t>
      </w:r>
    </w:p>
    <w:p>
      <w:pPr>
        <w:pStyle w:val="BodyText"/>
        <w:spacing w:line="496" w:lineRule="auto" w:before="157"/>
        <w:ind w:left="1167" w:right="1774" w:hanging="13"/>
        <w:jc w:val="both"/>
      </w:pPr>
      <w:r>
        <w:rPr/>
        <w:t>Ultimately, the study is worth undertaking because it contributes to the global discourse on</w:t>
      </w:r>
      <w:r>
        <w:rPr>
          <w:spacing w:val="22"/>
        </w:rPr>
        <w:t> </w:t>
      </w:r>
      <w:r>
        <w:rPr/>
        <w:t>environmental</w:t>
      </w:r>
      <w:r>
        <w:rPr>
          <w:spacing w:val="22"/>
        </w:rPr>
        <w:t> </w:t>
      </w:r>
      <w:r>
        <w:rPr/>
        <w:t>pollution</w:t>
      </w:r>
      <w:r>
        <w:rPr>
          <w:spacing w:val="22"/>
        </w:rPr>
        <w:t> </w:t>
      </w:r>
      <w:r>
        <w:rPr/>
        <w:t>from</w:t>
      </w:r>
      <w:r>
        <w:rPr>
          <w:spacing w:val="23"/>
        </w:rPr>
        <w:t> </w:t>
      </w:r>
      <w:r>
        <w:rPr/>
        <w:t>anthropogenic</w:t>
      </w:r>
      <w:r>
        <w:rPr>
          <w:spacing w:val="21"/>
        </w:rPr>
        <w:t> </w:t>
      </w:r>
      <w:r>
        <w:rPr/>
        <w:t>sources,</w:t>
      </w:r>
      <w:r>
        <w:rPr>
          <w:spacing w:val="22"/>
        </w:rPr>
        <w:t> </w:t>
      </w:r>
      <w:r>
        <w:rPr/>
        <w:t>while</w:t>
      </w:r>
      <w:r>
        <w:rPr>
          <w:spacing w:val="21"/>
        </w:rPr>
        <w:t> </w:t>
      </w:r>
      <w:r>
        <w:rPr/>
        <w:t>providing</w:t>
      </w:r>
      <w:r>
        <w:rPr>
          <w:spacing w:val="22"/>
        </w:rPr>
        <w:t> </w:t>
      </w:r>
      <w:r>
        <w:rPr/>
        <w:t>localised</w:t>
      </w:r>
      <w:r>
        <w:rPr>
          <w:spacing w:val="22"/>
        </w:rPr>
        <w:t> </w:t>
      </w:r>
      <w:r>
        <w:rPr>
          <w:spacing w:val="-4"/>
        </w:rPr>
        <w:t>data</w:t>
      </w:r>
    </w:p>
    <w:p>
      <w:pPr>
        <w:pStyle w:val="BodyText"/>
        <w:spacing w:after="0" w:line="496" w:lineRule="auto"/>
        <w:jc w:val="both"/>
        <w:sectPr>
          <w:pgSz w:w="12240" w:h="15840"/>
          <w:pgMar w:header="0" w:footer="1674" w:top="1460" w:bottom="1860" w:left="360" w:right="0"/>
        </w:sectPr>
      </w:pPr>
    </w:p>
    <w:p>
      <w:pPr>
        <w:pStyle w:val="BodyText"/>
        <w:spacing w:line="496" w:lineRule="auto" w:before="74"/>
        <w:ind w:left="1167" w:right="1772"/>
        <w:jc w:val="both"/>
      </w:pPr>
      <w:r>
        <w:rPr/>
        <w:t>critical for policy formulation, environmental health advocacy, and future remediation efforts. It lays the groundwork for environmental monitoring in informal automotive markets and could inform sustainable practices in Nigeria’s urban centres.</w:t>
      </w:r>
    </w:p>
    <w:p>
      <w:pPr>
        <w:pStyle w:val="BodyText"/>
        <w:spacing w:after="0" w:line="496" w:lineRule="auto"/>
        <w:jc w:val="both"/>
        <w:sectPr>
          <w:footerReference w:type="default" r:id="rId10"/>
          <w:pgSz w:w="12240" w:h="15840"/>
          <w:pgMar w:header="0" w:footer="1674" w:top="1460" w:bottom="1860" w:left="360" w:right="0"/>
        </w:sectPr>
      </w:pPr>
    </w:p>
    <w:p>
      <w:pPr>
        <w:spacing w:before="74"/>
        <w:ind w:left="0" w:right="614" w:firstLine="0"/>
        <w:jc w:val="center"/>
        <w:rPr>
          <w:b/>
          <w:sz w:val="25"/>
        </w:rPr>
      </w:pPr>
      <w:r>
        <w:rPr>
          <w:b/>
          <w:sz w:val="25"/>
        </w:rPr>
        <w:t>CHAPTER</w:t>
      </w:r>
      <w:r>
        <w:rPr>
          <w:b/>
          <w:spacing w:val="18"/>
          <w:sz w:val="25"/>
        </w:rPr>
        <w:t> </w:t>
      </w:r>
      <w:r>
        <w:rPr>
          <w:b/>
          <w:spacing w:val="-5"/>
          <w:sz w:val="25"/>
        </w:rPr>
        <w:t>TWO</w:t>
      </w:r>
    </w:p>
    <w:p>
      <w:pPr>
        <w:pStyle w:val="BodyText"/>
        <w:spacing w:before="182"/>
        <w:rPr>
          <w:b/>
        </w:rPr>
      </w:pPr>
    </w:p>
    <w:p>
      <w:pPr>
        <w:spacing w:before="0"/>
        <w:ind w:left="0" w:right="627" w:firstLine="0"/>
        <w:jc w:val="center"/>
        <w:rPr>
          <w:b/>
          <w:sz w:val="25"/>
        </w:rPr>
      </w:pPr>
      <w:r>
        <w:rPr>
          <w:b/>
          <w:sz w:val="25"/>
        </w:rPr>
        <w:t>LITERATURE</w:t>
      </w:r>
      <w:r>
        <w:rPr>
          <w:b/>
          <w:spacing w:val="11"/>
          <w:sz w:val="25"/>
        </w:rPr>
        <w:t> </w:t>
      </w:r>
      <w:r>
        <w:rPr>
          <w:b/>
          <w:spacing w:val="-2"/>
          <w:sz w:val="25"/>
        </w:rPr>
        <w:t>REVIEW</w:t>
      </w:r>
    </w:p>
    <w:p>
      <w:pPr>
        <w:pStyle w:val="BodyText"/>
        <w:spacing w:before="185"/>
        <w:rPr>
          <w:b/>
        </w:rPr>
      </w:pPr>
    </w:p>
    <w:p>
      <w:pPr>
        <w:pStyle w:val="ListParagraph"/>
        <w:numPr>
          <w:ilvl w:val="1"/>
          <w:numId w:val="5"/>
        </w:numPr>
        <w:tabs>
          <w:tab w:pos="1537" w:val="left" w:leader="none"/>
        </w:tabs>
        <w:spacing w:line="240" w:lineRule="auto" w:before="0" w:after="0"/>
        <w:ind w:left="1537" w:right="0" w:hanging="382"/>
        <w:jc w:val="left"/>
        <w:rPr>
          <w:b/>
          <w:sz w:val="25"/>
        </w:rPr>
      </w:pPr>
      <w:r>
        <w:rPr>
          <w:b/>
          <w:sz w:val="25"/>
        </w:rPr>
        <w:t>LITERATURE</w:t>
      </w:r>
      <w:r>
        <w:rPr>
          <w:b/>
          <w:spacing w:val="11"/>
          <w:sz w:val="25"/>
        </w:rPr>
        <w:t> </w:t>
      </w:r>
      <w:r>
        <w:rPr>
          <w:b/>
          <w:spacing w:val="-2"/>
          <w:sz w:val="25"/>
        </w:rPr>
        <w:t>REVIEW</w:t>
      </w:r>
    </w:p>
    <w:p>
      <w:pPr>
        <w:pStyle w:val="BodyText"/>
        <w:spacing w:before="182"/>
        <w:rPr>
          <w:b/>
        </w:rPr>
      </w:pPr>
    </w:p>
    <w:p>
      <w:pPr>
        <w:pStyle w:val="BodyText"/>
        <w:spacing w:line="496" w:lineRule="auto" w:before="1"/>
        <w:ind w:left="1167" w:right="1770" w:hanging="13"/>
        <w:jc w:val="both"/>
      </w:pPr>
      <w:r>
        <w:rPr/>
        <w:t>This chapter critically examines the existing literature on heavy metal contamination, with particular emphasis on its occurrence in automobile parts. Given the study’s focus on Ipata Market, Ilorin, the literature review aims to situate the research within the broader discourse of environmental pollution from anthropogenic sources, notably those arising from informal vehicular dismantling and part reuse.</w:t>
      </w:r>
    </w:p>
    <w:p>
      <w:pPr>
        <w:pStyle w:val="BodyText"/>
        <w:spacing w:line="494" w:lineRule="auto" w:before="156"/>
        <w:ind w:left="1167" w:right="1776" w:hanging="13"/>
        <w:jc w:val="both"/>
      </w:pPr>
      <w:r>
        <w:rPr/>
        <w:t>The purpose of the literature review is to identify, synthesise, and critically assess peerreviewed studies that address the sources, environmental impacts, health implications, and detection methods of heavy metals in vehicle components. This</w:t>
      </w:r>
      <w:r>
        <w:rPr>
          <w:spacing w:val="40"/>
        </w:rPr>
        <w:t> </w:t>
      </w:r>
      <w:r>
        <w:rPr/>
        <w:t>enables a grounded understanding of current knowledge, theoretical frameworks, and methodological approaches relevant to the study.</w:t>
      </w:r>
    </w:p>
    <w:p>
      <w:pPr>
        <w:pStyle w:val="BodyText"/>
        <w:spacing w:line="496" w:lineRule="auto" w:before="169"/>
        <w:ind w:left="1167" w:right="1772" w:hanging="13"/>
        <w:jc w:val="both"/>
      </w:pPr>
      <w:r>
        <w:rPr/>
        <w:t>The structure of the chapter is thematic. It begins with the conceptualisation of heavy metals, followed by a discussion of their environmental sources—both natural and anthropogenic. Subsequently, it explores specific studies on heavy metals in automobile parts, their release mechanisms, and comparisons across geographical contexts. This chapter</w:t>
      </w:r>
      <w:r>
        <w:rPr>
          <w:spacing w:val="31"/>
        </w:rPr>
        <w:t> </w:t>
      </w:r>
      <w:r>
        <w:rPr/>
        <w:t>concludes</w:t>
      </w:r>
      <w:r>
        <w:rPr>
          <w:spacing w:val="30"/>
        </w:rPr>
        <w:t> </w:t>
      </w:r>
      <w:r>
        <w:rPr/>
        <w:t>by</w:t>
      </w:r>
      <w:r>
        <w:rPr>
          <w:spacing w:val="29"/>
        </w:rPr>
        <w:t> </w:t>
      </w:r>
      <w:r>
        <w:rPr/>
        <w:t>highlighting</w:t>
      </w:r>
      <w:r>
        <w:rPr>
          <w:spacing w:val="30"/>
        </w:rPr>
        <w:t> </w:t>
      </w:r>
      <w:r>
        <w:rPr/>
        <w:t>the</w:t>
      </w:r>
      <w:r>
        <w:rPr>
          <w:spacing w:val="29"/>
        </w:rPr>
        <w:t> </w:t>
      </w:r>
      <w:r>
        <w:rPr/>
        <w:t>empirical</w:t>
      </w:r>
      <w:r>
        <w:rPr>
          <w:spacing w:val="31"/>
        </w:rPr>
        <w:t> </w:t>
      </w:r>
      <w:r>
        <w:rPr/>
        <w:t>and</w:t>
      </w:r>
      <w:r>
        <w:rPr>
          <w:spacing w:val="29"/>
        </w:rPr>
        <w:t> </w:t>
      </w:r>
      <w:r>
        <w:rPr/>
        <w:t>theoretical</w:t>
      </w:r>
      <w:r>
        <w:rPr>
          <w:spacing w:val="31"/>
        </w:rPr>
        <w:t> </w:t>
      </w:r>
      <w:r>
        <w:rPr/>
        <w:t>gaps</w:t>
      </w:r>
      <w:r>
        <w:rPr>
          <w:spacing w:val="30"/>
        </w:rPr>
        <w:t> </w:t>
      </w:r>
      <w:r>
        <w:rPr/>
        <w:t>the</w:t>
      </w:r>
      <w:r>
        <w:rPr>
          <w:spacing w:val="30"/>
        </w:rPr>
        <w:t> </w:t>
      </w:r>
      <w:r>
        <w:rPr/>
        <w:t>current</w:t>
      </w:r>
      <w:r>
        <w:rPr>
          <w:spacing w:val="30"/>
        </w:rPr>
        <w:t> </w:t>
      </w:r>
      <w:r>
        <w:rPr>
          <w:spacing w:val="-2"/>
        </w:rPr>
        <w:t>study</w:t>
      </w:r>
    </w:p>
    <w:p>
      <w:pPr>
        <w:pStyle w:val="BodyText"/>
        <w:spacing w:after="0" w:line="496" w:lineRule="auto"/>
        <w:jc w:val="both"/>
        <w:sectPr>
          <w:footerReference w:type="default" r:id="rId11"/>
          <w:pgSz w:w="12240" w:h="15840"/>
          <w:pgMar w:header="0" w:footer="1674" w:top="1460" w:bottom="1860" w:left="360" w:right="0"/>
          <w:pgNumType w:start="1"/>
        </w:sectPr>
      </w:pPr>
    </w:p>
    <w:p>
      <w:pPr>
        <w:pStyle w:val="BodyText"/>
        <w:spacing w:line="496" w:lineRule="auto" w:before="74"/>
        <w:ind w:left="1167" w:right="1777"/>
        <w:jc w:val="both"/>
      </w:pPr>
      <w:r>
        <w:rPr/>
        <w:t>seeks to address, thereby establishing a rationale for the research conducted in Ilorin, </w:t>
      </w:r>
      <w:r>
        <w:rPr>
          <w:spacing w:val="-2"/>
        </w:rPr>
        <w:t>Nigeria.</w:t>
      </w:r>
    </w:p>
    <w:p>
      <w:pPr>
        <w:pStyle w:val="Heading1"/>
        <w:numPr>
          <w:ilvl w:val="1"/>
          <w:numId w:val="5"/>
        </w:numPr>
        <w:tabs>
          <w:tab w:pos="1537" w:val="left" w:leader="none"/>
        </w:tabs>
        <w:spacing w:line="240" w:lineRule="auto" w:before="159" w:after="0"/>
        <w:ind w:left="1537" w:right="0" w:hanging="382"/>
        <w:jc w:val="left"/>
      </w:pPr>
      <w:r>
        <w:rPr/>
        <w:t>CONCEPTUALISING</w:t>
      </w:r>
      <w:r>
        <w:rPr>
          <w:spacing w:val="12"/>
        </w:rPr>
        <w:t> </w:t>
      </w:r>
      <w:r>
        <w:rPr/>
        <w:t>HEAVY</w:t>
      </w:r>
      <w:r>
        <w:rPr>
          <w:spacing w:val="3"/>
        </w:rPr>
        <w:t> </w:t>
      </w:r>
      <w:r>
        <w:rPr>
          <w:spacing w:val="-2"/>
        </w:rPr>
        <w:t>METALS</w:t>
      </w:r>
    </w:p>
    <w:p>
      <w:pPr>
        <w:pStyle w:val="BodyText"/>
        <w:spacing w:before="182"/>
        <w:rPr>
          <w:b/>
        </w:rPr>
      </w:pPr>
    </w:p>
    <w:p>
      <w:pPr>
        <w:pStyle w:val="BodyText"/>
        <w:spacing w:line="496" w:lineRule="auto"/>
        <w:ind w:left="1167" w:right="1767" w:hanging="13"/>
        <w:jc w:val="both"/>
      </w:pPr>
      <w:r>
        <w:rPr/>
        <w:t>Heavy metals are a loosely defined group of elements characterised by relatively high atomic mass and density—typically above 5 g/cm³—and known for their potential to be toxic or ecotoxic at low concentrations (Heidari et al., 2021). While there is no universally agreed definition, the term often encompasses both essential and non- essential trace elements found in environmental matrices such as soil, air, and water. Common heavy metals of concern include lead (Pb), cadmium (Cd), mercury (Hg), chromium (Cr), arsenic (As), zinc (Zn), copper (Cu), and nickel (Ni).</w:t>
      </w:r>
    </w:p>
    <w:p>
      <w:pPr>
        <w:pStyle w:val="BodyText"/>
        <w:spacing w:line="496" w:lineRule="auto" w:before="155"/>
        <w:ind w:left="1167" w:right="1771" w:hanging="13"/>
        <w:jc w:val="both"/>
      </w:pPr>
      <w:r>
        <w:rPr/>
        <w:t>The</w:t>
      </w:r>
      <w:r>
        <w:rPr>
          <w:spacing w:val="-5"/>
        </w:rPr>
        <w:t> </w:t>
      </w:r>
      <w:r>
        <w:rPr/>
        <w:t>classification</w:t>
      </w:r>
      <w:r>
        <w:rPr>
          <w:spacing w:val="-4"/>
        </w:rPr>
        <w:t> </w:t>
      </w:r>
      <w:r>
        <w:rPr/>
        <w:t>of</w:t>
      </w:r>
      <w:r>
        <w:rPr>
          <w:spacing w:val="-1"/>
        </w:rPr>
        <w:t> </w:t>
      </w:r>
      <w:r>
        <w:rPr/>
        <w:t>heavy</w:t>
      </w:r>
      <w:r>
        <w:rPr>
          <w:spacing w:val="-4"/>
        </w:rPr>
        <w:t> </w:t>
      </w:r>
      <w:r>
        <w:rPr/>
        <w:t>metals</w:t>
      </w:r>
      <w:r>
        <w:rPr>
          <w:spacing w:val="-3"/>
        </w:rPr>
        <w:t> </w:t>
      </w:r>
      <w:r>
        <w:rPr/>
        <w:t>can</w:t>
      </w:r>
      <w:r>
        <w:rPr>
          <w:spacing w:val="-4"/>
        </w:rPr>
        <w:t> </w:t>
      </w:r>
      <w:r>
        <w:rPr/>
        <w:t>be</w:t>
      </w:r>
      <w:r>
        <w:rPr>
          <w:spacing w:val="-1"/>
        </w:rPr>
        <w:t> </w:t>
      </w:r>
      <w:r>
        <w:rPr/>
        <w:t>broadly divided</w:t>
      </w:r>
      <w:r>
        <w:rPr>
          <w:spacing w:val="-4"/>
        </w:rPr>
        <w:t> </w:t>
      </w:r>
      <w:r>
        <w:rPr/>
        <w:t>into</w:t>
      </w:r>
      <w:r>
        <w:rPr>
          <w:spacing w:val="-4"/>
        </w:rPr>
        <w:t> </w:t>
      </w:r>
      <w:r>
        <w:rPr/>
        <w:t>essential</w:t>
      </w:r>
      <w:r>
        <w:rPr>
          <w:spacing w:val="-3"/>
        </w:rPr>
        <w:t> </w:t>
      </w:r>
      <w:r>
        <w:rPr/>
        <w:t>and non-essential categories. Essential metals—such as zinc, copper, and iron—are required in trace amounts for biological processes but become harmful when their concentrations exceed physiological limits (Islam et al., 2018). Non-essential metals, such as cadmium, lead, and mercury, have no known biological function and tend to be highly toxic even at low exposure levels (IARC, 2020).</w:t>
      </w:r>
    </w:p>
    <w:p>
      <w:pPr>
        <w:pStyle w:val="BodyText"/>
        <w:spacing w:line="496" w:lineRule="auto" w:before="154"/>
        <w:ind w:left="1167" w:right="1772" w:hanging="13"/>
        <w:jc w:val="both"/>
      </w:pPr>
      <w:r>
        <w:rPr/>
        <w:t>Heavy metals exhibit unique toxicokinetic behaviour due to their chemical persistence and inability to degrade biologically. Once released into the environment, these metals may</w:t>
      </w:r>
      <w:r>
        <w:rPr>
          <w:spacing w:val="75"/>
        </w:rPr>
        <w:t> </w:t>
      </w:r>
      <w:r>
        <w:rPr/>
        <w:t>undergo</w:t>
      </w:r>
      <w:r>
        <w:rPr>
          <w:spacing w:val="76"/>
        </w:rPr>
        <w:t> </w:t>
      </w:r>
      <w:r>
        <w:rPr/>
        <w:t>various</w:t>
      </w:r>
      <w:r>
        <w:rPr>
          <w:spacing w:val="77"/>
        </w:rPr>
        <w:t> </w:t>
      </w:r>
      <w:r>
        <w:rPr/>
        <w:t>transformation</w:t>
      </w:r>
      <w:r>
        <w:rPr>
          <w:spacing w:val="76"/>
        </w:rPr>
        <w:t> </w:t>
      </w:r>
      <w:r>
        <w:rPr/>
        <w:t>processes—such</w:t>
      </w:r>
      <w:r>
        <w:rPr>
          <w:spacing w:val="77"/>
        </w:rPr>
        <w:t> </w:t>
      </w:r>
      <w:r>
        <w:rPr/>
        <w:t>as</w:t>
      </w:r>
      <w:r>
        <w:rPr>
          <w:spacing w:val="76"/>
        </w:rPr>
        <w:t> </w:t>
      </w:r>
      <w:r>
        <w:rPr/>
        <w:t>oxidation,</w:t>
      </w:r>
      <w:r>
        <w:rPr>
          <w:spacing w:val="77"/>
        </w:rPr>
        <w:t> </w:t>
      </w:r>
      <w:r>
        <w:rPr/>
        <w:t>methylation,</w:t>
      </w:r>
      <w:r>
        <w:rPr>
          <w:spacing w:val="76"/>
        </w:rPr>
        <w:t> </w:t>
      </w:r>
      <w:r>
        <w:rPr>
          <w:spacing w:val="-5"/>
        </w:rPr>
        <w:t>or</w:t>
      </w:r>
    </w:p>
    <w:p>
      <w:pPr>
        <w:pStyle w:val="BodyText"/>
        <w:spacing w:after="0" w:line="496" w:lineRule="auto"/>
        <w:jc w:val="both"/>
        <w:sectPr>
          <w:pgSz w:w="12240" w:h="15840"/>
          <w:pgMar w:header="0" w:footer="1674" w:top="1460" w:bottom="1860" w:left="360" w:right="0"/>
        </w:sectPr>
      </w:pPr>
    </w:p>
    <w:p>
      <w:pPr>
        <w:pStyle w:val="BodyText"/>
        <w:spacing w:line="496" w:lineRule="auto" w:before="74"/>
        <w:ind w:left="1167" w:right="1774"/>
        <w:jc w:val="both"/>
      </w:pPr>
      <w:r>
        <w:rPr/>
        <w:t>complexation—that affect their mobility and bioavailability. Upon exposure, heavy metals enter the human body through several pathways: inhalation (breathing airborne particles or fumes), ingestion (e.g., via contaminated food, soil, or water), and dermal absorption (particularly in occupational settings).</w:t>
      </w:r>
    </w:p>
    <w:p>
      <w:pPr>
        <w:pStyle w:val="BodyText"/>
        <w:spacing w:line="496" w:lineRule="auto" w:before="157"/>
        <w:ind w:left="1167" w:right="1773" w:hanging="13"/>
        <w:jc w:val="both"/>
      </w:pPr>
      <w:r>
        <w:rPr/>
        <w:t>Inhalation is considered a major route of exposure in environments contaminated by particulate emissions, such as auto-mechanic workshops and urban roadways (ObengGyasi, 2019). For instance, brake pad wear generates airborne particles rich in Cu, Pb, and Zn, which can be inhaled by nearby workers and pedestrians. Ingestion is a concern in areas where soil contamination is prevalent, especially among children engaging in hand-tomouth behaviours. Dermal contact, though generally a less efficient route, becomes significant in occupational scenarios involving unprotected handling of greasy or metallic automotive parts.</w:t>
      </w:r>
    </w:p>
    <w:p>
      <w:pPr>
        <w:pStyle w:val="BodyText"/>
        <w:spacing w:line="496" w:lineRule="auto" w:before="152"/>
        <w:ind w:left="1167" w:right="1769" w:hanging="13"/>
        <w:jc w:val="both"/>
      </w:pPr>
      <w:r>
        <w:rPr/>
        <w:t>Critically, the health impacts of these metals are influenced not only by their concentration but also by their chemical speciation, exposure frequency, and the vulnerability of the exposed population (Heidari et al., 2021). Chronic low-dose</w:t>
      </w:r>
      <w:r>
        <w:rPr>
          <w:spacing w:val="40"/>
        </w:rPr>
        <w:t> </w:t>
      </w:r>
      <w:r>
        <w:rPr/>
        <w:t>exposure is particularly problematic as symptoms may not be immediate but can lead to long-term neurological, renal, or immunological damage. This underscores the importance of monitoring heavy metals in environments where human-metal</w:t>
      </w:r>
      <w:r>
        <w:rPr>
          <w:spacing w:val="80"/>
        </w:rPr>
        <w:t> </w:t>
      </w:r>
      <w:r>
        <w:rPr/>
        <w:t>interactions are routine yet poorly regulated, such as automobile markets and informal </w:t>
      </w:r>
      <w:r>
        <w:rPr>
          <w:spacing w:val="-2"/>
        </w:rPr>
        <w:t>workshops.</w:t>
      </w:r>
    </w:p>
    <w:p>
      <w:pPr>
        <w:pStyle w:val="BodyText"/>
        <w:spacing w:after="0" w:line="496" w:lineRule="auto"/>
        <w:jc w:val="both"/>
        <w:sectPr>
          <w:pgSz w:w="12240" w:h="15840"/>
          <w:pgMar w:header="0" w:footer="1674" w:top="1460" w:bottom="1860" w:left="360" w:right="0"/>
        </w:sectPr>
      </w:pPr>
    </w:p>
    <w:p>
      <w:pPr>
        <w:pStyle w:val="Heading1"/>
        <w:numPr>
          <w:ilvl w:val="1"/>
          <w:numId w:val="5"/>
        </w:numPr>
        <w:tabs>
          <w:tab w:pos="1537" w:val="left" w:leader="none"/>
        </w:tabs>
        <w:spacing w:line="240" w:lineRule="auto" w:before="74" w:after="0"/>
        <w:ind w:left="1537" w:right="0" w:hanging="382"/>
        <w:jc w:val="left"/>
      </w:pPr>
      <w:r>
        <w:rPr/>
        <w:t>SOURCES</w:t>
      </w:r>
      <w:r>
        <w:rPr>
          <w:spacing w:val="4"/>
        </w:rPr>
        <w:t> </w:t>
      </w:r>
      <w:r>
        <w:rPr/>
        <w:t>OF</w:t>
      </w:r>
      <w:r>
        <w:rPr>
          <w:spacing w:val="-6"/>
        </w:rPr>
        <w:t> </w:t>
      </w:r>
      <w:r>
        <w:rPr/>
        <w:t>HEAVY</w:t>
      </w:r>
      <w:r>
        <w:rPr>
          <w:spacing w:val="-5"/>
        </w:rPr>
        <w:t> </w:t>
      </w:r>
      <w:r>
        <w:rPr/>
        <w:t>METALS</w:t>
      </w:r>
      <w:r>
        <w:rPr>
          <w:spacing w:val="6"/>
        </w:rPr>
        <w:t> </w:t>
      </w:r>
      <w:r>
        <w:rPr/>
        <w:t>IN</w:t>
      </w:r>
      <w:r>
        <w:rPr>
          <w:spacing w:val="-2"/>
        </w:rPr>
        <w:t> </w:t>
      </w:r>
      <w:r>
        <w:rPr/>
        <w:t>THE</w:t>
      </w:r>
      <w:r>
        <w:rPr>
          <w:spacing w:val="2"/>
        </w:rPr>
        <w:t> </w:t>
      </w:r>
      <w:r>
        <w:rPr>
          <w:spacing w:val="-2"/>
        </w:rPr>
        <w:t>ENVIRONMENT</w:t>
      </w:r>
    </w:p>
    <w:p>
      <w:pPr>
        <w:pStyle w:val="BodyText"/>
        <w:spacing w:before="182"/>
        <w:rPr>
          <w:b/>
        </w:rPr>
      </w:pPr>
    </w:p>
    <w:p>
      <w:pPr>
        <w:pStyle w:val="BodyText"/>
        <w:spacing w:line="494" w:lineRule="auto"/>
        <w:ind w:left="1155" w:right="1768"/>
        <w:jc w:val="both"/>
      </w:pPr>
      <w:r>
        <w:rPr/>
        <w:t>Heavy metals in the environment originate from both natural and anthropogenic sources. Understanding the relative contribution of these sources is essential to environmental</w:t>
      </w:r>
      <w:r>
        <w:rPr>
          <w:spacing w:val="80"/>
        </w:rPr>
        <w:t> </w:t>
      </w:r>
      <w:r>
        <w:rPr/>
        <w:t>risk assessment, particularly in urban industrial zones where metal pollutants often accumulate in soil and air. These elements when introduced into the environment by activities like the one taking place at Ipata Oloje automobile spare part and recycling market, usually find their way into human bodies to an extent via ingestion of soil (dust) particles, through food chain, drinking of contaminated water and dermal contact. Some of these HMs are vital to human life as sources of minerals and vitamins, and/or play irreplaceable physiological roles in the human body but become toxic at higher concentration</w:t>
      </w:r>
      <w:r>
        <w:rPr>
          <w:spacing w:val="-2"/>
        </w:rPr>
        <w:t> </w:t>
      </w:r>
      <w:r>
        <w:rPr/>
        <w:t>and</w:t>
      </w:r>
      <w:r>
        <w:rPr>
          <w:spacing w:val="-2"/>
        </w:rPr>
        <w:t> </w:t>
      </w:r>
      <w:r>
        <w:rPr/>
        <w:t>can</w:t>
      </w:r>
      <w:r>
        <w:rPr>
          <w:spacing w:val="-2"/>
        </w:rPr>
        <w:t> </w:t>
      </w:r>
      <w:r>
        <w:rPr/>
        <w:t>therefore</w:t>
      </w:r>
      <w:r>
        <w:rPr>
          <w:spacing w:val="-3"/>
        </w:rPr>
        <w:t> </w:t>
      </w:r>
      <w:r>
        <w:rPr/>
        <w:t>result to</w:t>
      </w:r>
      <w:r>
        <w:rPr>
          <w:spacing w:val="-1"/>
        </w:rPr>
        <w:t> </w:t>
      </w:r>
      <w:r>
        <w:rPr/>
        <w:t>poisoning</w:t>
      </w:r>
      <w:r>
        <w:rPr>
          <w:spacing w:val="-1"/>
        </w:rPr>
        <w:t> </w:t>
      </w:r>
      <w:r>
        <w:rPr/>
        <w:t>at</w:t>
      </w:r>
      <w:r>
        <w:rPr>
          <w:spacing w:val="-1"/>
        </w:rPr>
        <w:t> </w:t>
      </w:r>
      <w:r>
        <w:rPr/>
        <w:t>relatively</w:t>
      </w:r>
      <w:r>
        <w:rPr>
          <w:spacing w:val="-2"/>
        </w:rPr>
        <w:t> </w:t>
      </w:r>
      <w:r>
        <w:rPr/>
        <w:t>high</w:t>
      </w:r>
      <w:r>
        <w:rPr>
          <w:spacing w:val="-1"/>
        </w:rPr>
        <w:t> </w:t>
      </w:r>
      <w:r>
        <w:rPr/>
        <w:t>concentrations.</w:t>
      </w:r>
      <w:r>
        <w:rPr>
          <w:spacing w:val="-4"/>
        </w:rPr>
        <w:t> </w:t>
      </w:r>
      <w:r>
        <w:rPr/>
        <w:t>This poisoning may result from inhaling air of high concentration near emission sources, drinking-water contamination, or ingestion via food chain. The terrible thing about these heavy metals in the</w:t>
      </w:r>
      <w:r>
        <w:rPr>
          <w:spacing w:val="-1"/>
        </w:rPr>
        <w:t> </w:t>
      </w:r>
      <w:r>
        <w:rPr/>
        <w:t>human body is that they tend</w:t>
      </w:r>
      <w:r>
        <w:rPr>
          <w:spacing w:val="-1"/>
        </w:rPr>
        <w:t> </w:t>
      </w:r>
      <w:r>
        <w:rPr/>
        <w:t>to bio-accumulate.</w:t>
      </w:r>
      <w:r>
        <w:rPr>
          <w:spacing w:val="-1"/>
        </w:rPr>
        <w:t> </w:t>
      </w:r>
      <w:r>
        <w:rPr/>
        <w:t>If</w:t>
      </w:r>
      <w:r>
        <w:rPr>
          <w:spacing w:val="-1"/>
        </w:rPr>
        <w:t> </w:t>
      </w:r>
      <w:r>
        <w:rPr/>
        <w:t>these HMs accrue in the tissues faster than the body’s detoxification rate, there would be a gradual build-</w:t>
      </w:r>
      <w:r>
        <w:rPr>
          <w:spacing w:val="40"/>
        </w:rPr>
        <w:t> </w:t>
      </w:r>
      <w:r>
        <w:rPr/>
        <w:t>up of these toxins. Bioaccumulation is the gradual build-up of chemicals in living organisms with respect to the chemical’s concentration in the environment over time. Any time compounds are ingested, stockpiled quicker than they are used up or excreted, these compounds end up being accumulated in the body (Orosun </w:t>
      </w:r>
      <w:r>
        <w:rPr>
          <w:i/>
        </w:rPr>
        <w:t>et al., </w:t>
      </w:r>
      <w:r>
        <w:rPr/>
        <w:t>2020)</w:t>
      </w:r>
    </w:p>
    <w:p>
      <w:pPr>
        <w:pStyle w:val="BodyText"/>
        <w:spacing w:after="0" w:line="494" w:lineRule="auto"/>
        <w:jc w:val="both"/>
        <w:sectPr>
          <w:pgSz w:w="12240" w:h="15840"/>
          <w:pgMar w:header="0" w:footer="1674" w:top="1460" w:bottom="1860" w:left="360" w:right="0"/>
        </w:sectPr>
      </w:pPr>
    </w:p>
    <w:p>
      <w:pPr>
        <w:pStyle w:val="BodyText"/>
        <w:spacing w:line="494" w:lineRule="auto" w:before="74"/>
        <w:ind w:left="1167" w:right="1774" w:hanging="13"/>
        <w:jc w:val="both"/>
      </w:pPr>
      <w:r>
        <w:rPr/>
        <w:t>Natural sources of heavy metals include geological weathering of metal-rich rocks, volcanic eruptions, and forest fires. These processes release metals such as Fe, Mn, Cu, and Zn into the environment through erosion or atmospheric transport. For example, volcanic eruptions emit mercury and arsenic into the atmosphere, while soil weathering can</w:t>
      </w:r>
      <w:r>
        <w:rPr>
          <w:spacing w:val="-1"/>
        </w:rPr>
        <w:t> </w:t>
      </w:r>
      <w:r>
        <w:rPr/>
        <w:t>contribute</w:t>
      </w:r>
      <w:r>
        <w:rPr>
          <w:spacing w:val="-3"/>
        </w:rPr>
        <w:t> </w:t>
      </w:r>
      <w:r>
        <w:rPr/>
        <w:t>to</w:t>
      </w:r>
      <w:r>
        <w:rPr>
          <w:spacing w:val="1"/>
        </w:rPr>
        <w:t> </w:t>
      </w:r>
      <w:r>
        <w:rPr/>
        <w:t>background</w:t>
      </w:r>
      <w:r>
        <w:rPr>
          <w:spacing w:val="-1"/>
        </w:rPr>
        <w:t> </w:t>
      </w:r>
      <w:r>
        <w:rPr/>
        <w:t>concentrations</w:t>
      </w:r>
      <w:r>
        <w:rPr>
          <w:spacing w:val="-1"/>
        </w:rPr>
        <w:t> </w:t>
      </w:r>
      <w:r>
        <w:rPr/>
        <w:t>of</w:t>
      </w:r>
      <w:r>
        <w:rPr>
          <w:spacing w:val="-2"/>
        </w:rPr>
        <w:t> </w:t>
      </w:r>
      <w:r>
        <w:rPr/>
        <w:t>nickel and</w:t>
      </w:r>
      <w:r>
        <w:rPr>
          <w:spacing w:val="-1"/>
        </w:rPr>
        <w:t> </w:t>
      </w:r>
      <w:r>
        <w:rPr/>
        <w:t>chromium (Islam</w:t>
      </w:r>
      <w:r>
        <w:rPr>
          <w:spacing w:val="-1"/>
        </w:rPr>
        <w:t> </w:t>
      </w:r>
      <w:r>
        <w:rPr/>
        <w:t>et</w:t>
      </w:r>
      <w:r>
        <w:rPr>
          <w:spacing w:val="1"/>
        </w:rPr>
        <w:t> </w:t>
      </w:r>
      <w:r>
        <w:rPr/>
        <w:t>al., </w:t>
      </w:r>
      <w:r>
        <w:rPr>
          <w:spacing w:val="-2"/>
        </w:rPr>
        <w:t>2018).</w:t>
      </w:r>
    </w:p>
    <w:p>
      <w:pPr>
        <w:pStyle w:val="BodyText"/>
        <w:spacing w:line="494" w:lineRule="auto" w:before="171"/>
        <w:ind w:left="1167" w:right="1779" w:hanging="13"/>
        <w:jc w:val="both"/>
      </w:pPr>
      <w:r>
        <w:rPr/>
        <w:t>However, such natural contributions are typically slow and occur over geological timescales, rarely accounting for the elevated concentrations observed in urban areas.</w:t>
      </w:r>
    </w:p>
    <w:p>
      <w:pPr>
        <w:pStyle w:val="BodyText"/>
        <w:spacing w:line="496" w:lineRule="auto" w:before="164"/>
        <w:ind w:left="1167" w:right="1778" w:hanging="13"/>
        <w:jc w:val="both"/>
      </w:pPr>
      <w:r>
        <w:rPr/>
        <w:t>By contrast, anthropogenic sources have a more immediate and concentrated impact. These include:</w:t>
      </w:r>
    </w:p>
    <w:p>
      <w:pPr>
        <w:pStyle w:val="BodyText"/>
        <w:spacing w:line="494" w:lineRule="auto" w:before="160"/>
        <w:ind w:left="1167" w:right="1773" w:hanging="13"/>
        <w:jc w:val="both"/>
      </w:pPr>
      <w:r>
        <w:rPr>
          <w:b/>
        </w:rPr>
        <w:t>Industrial emissions</w:t>
      </w:r>
      <w:r>
        <w:rPr/>
        <w:t>: Heavy metals are emitted from manufacturing facilities,</w:t>
      </w:r>
      <w:r>
        <w:rPr>
          <w:spacing w:val="80"/>
        </w:rPr>
        <w:t> </w:t>
      </w:r>
      <w:r>
        <w:rPr/>
        <w:t>especially those involved in metal processing, cement production, and waste</w:t>
      </w:r>
      <w:r>
        <w:rPr>
          <w:spacing w:val="40"/>
        </w:rPr>
        <w:t> </w:t>
      </w:r>
      <w:r>
        <w:rPr/>
        <w:t>incineration. Airborne particulates from such operations often contain lead, cadmium, and chromium, which settle on nearby surfaces and enter local ecosystems (Manasfi et al., 2021).</w:t>
      </w:r>
    </w:p>
    <w:p>
      <w:pPr>
        <w:pStyle w:val="BodyText"/>
        <w:spacing w:line="496" w:lineRule="auto" w:before="168"/>
        <w:ind w:left="1167" w:right="1775" w:hanging="13"/>
        <w:jc w:val="both"/>
      </w:pPr>
      <w:r>
        <w:rPr>
          <w:b/>
        </w:rPr>
        <w:t>Mining activities</w:t>
      </w:r>
      <w:r>
        <w:rPr/>
        <w:t>: The extraction and refining of metals generate tailings and runoff containing high concentrations of Pb, Cd, and As. In countries such as Nigeria and Ghana, artisanal mining activities are notorious for contributing to localised contamination and adverse health effects (Doyi et al., 2021).</w:t>
      </w:r>
    </w:p>
    <w:p>
      <w:pPr>
        <w:pStyle w:val="BodyText"/>
        <w:spacing w:after="0" w:line="496" w:lineRule="auto"/>
        <w:jc w:val="both"/>
        <w:sectPr>
          <w:pgSz w:w="12240" w:h="15840"/>
          <w:pgMar w:header="0" w:footer="1674" w:top="1460" w:bottom="1860" w:left="360" w:right="0"/>
        </w:sectPr>
      </w:pPr>
    </w:p>
    <w:p>
      <w:pPr>
        <w:pStyle w:val="BodyText"/>
        <w:spacing w:line="494" w:lineRule="auto" w:before="74"/>
        <w:ind w:left="1167" w:right="1772" w:hanging="13"/>
        <w:jc w:val="both"/>
      </w:pPr>
      <w:r>
        <w:rPr>
          <w:b/>
        </w:rPr>
        <w:t>Urban vehicular</w:t>
      </w:r>
      <w:r>
        <w:rPr>
          <w:b/>
          <w:spacing w:val="-5"/>
        </w:rPr>
        <w:t> </w:t>
      </w:r>
      <w:r>
        <w:rPr>
          <w:b/>
        </w:rPr>
        <w:t>emissions</w:t>
      </w:r>
      <w:r>
        <w:rPr/>
        <w:t>: Motor vehicles contribute to heavy metal pollution through exhaust fumes, tyre wear, brake pad abrasion, and leakage of fluids such as lubricants and coolants. Although leaded petrol has been phased out in many countries, including Nigeria,</w:t>
      </w:r>
      <w:r>
        <w:rPr>
          <w:spacing w:val="-3"/>
        </w:rPr>
        <w:t> </w:t>
      </w:r>
      <w:r>
        <w:rPr/>
        <w:t>residual</w:t>
      </w:r>
      <w:r>
        <w:rPr>
          <w:spacing w:val="-2"/>
        </w:rPr>
        <w:t> </w:t>
      </w:r>
      <w:r>
        <w:rPr/>
        <w:t>lead</w:t>
      </w:r>
      <w:r>
        <w:rPr>
          <w:spacing w:val="-3"/>
        </w:rPr>
        <w:t> </w:t>
      </w:r>
      <w:r>
        <w:rPr/>
        <w:t>persists</w:t>
      </w:r>
      <w:r>
        <w:rPr>
          <w:spacing w:val="-2"/>
        </w:rPr>
        <w:t> </w:t>
      </w:r>
      <w:r>
        <w:rPr/>
        <w:t>in</w:t>
      </w:r>
      <w:r>
        <w:rPr>
          <w:spacing w:val="-2"/>
        </w:rPr>
        <w:t> </w:t>
      </w:r>
      <w:r>
        <w:rPr/>
        <w:t>soils</w:t>
      </w:r>
      <w:r>
        <w:rPr>
          <w:spacing w:val="-2"/>
        </w:rPr>
        <w:t> </w:t>
      </w:r>
      <w:r>
        <w:rPr/>
        <w:t>near</w:t>
      </w:r>
      <w:r>
        <w:rPr>
          <w:spacing w:val="-5"/>
        </w:rPr>
        <w:t> </w:t>
      </w:r>
      <w:r>
        <w:rPr/>
        <w:t>high-traffic</w:t>
      </w:r>
      <w:r>
        <w:rPr>
          <w:spacing w:val="-5"/>
        </w:rPr>
        <w:t> </w:t>
      </w:r>
      <w:r>
        <w:rPr/>
        <w:t>areas</w:t>
      </w:r>
      <w:r>
        <w:rPr>
          <w:spacing w:val="-3"/>
        </w:rPr>
        <w:t> </w:t>
      </w:r>
      <w:r>
        <w:rPr/>
        <w:t>(Akinola</w:t>
      </w:r>
      <w:r>
        <w:rPr>
          <w:spacing w:val="-3"/>
        </w:rPr>
        <w:t> </w:t>
      </w:r>
      <w:r>
        <w:rPr/>
        <w:t>et</w:t>
      </w:r>
      <w:r>
        <w:rPr>
          <w:spacing w:val="-2"/>
        </w:rPr>
        <w:t> </w:t>
      </w:r>
      <w:r>
        <w:rPr/>
        <w:t>al.,</w:t>
      </w:r>
      <w:r>
        <w:rPr>
          <w:spacing w:val="-2"/>
        </w:rPr>
        <w:t> </w:t>
      </w:r>
      <w:r>
        <w:rPr/>
        <w:t>2023).</w:t>
      </w:r>
      <w:r>
        <w:rPr>
          <w:spacing w:val="-3"/>
        </w:rPr>
        <w:t> </w:t>
      </w:r>
      <w:r>
        <w:rPr/>
        <w:t>Brake wear and tyre degradation continue to emit zinc, copper, and lead into the environment.</w:t>
      </w:r>
    </w:p>
    <w:p>
      <w:pPr>
        <w:pStyle w:val="BodyText"/>
        <w:spacing w:line="496" w:lineRule="auto" w:before="171"/>
        <w:ind w:left="1167" w:right="1767" w:hanging="13"/>
        <w:jc w:val="both"/>
      </w:pPr>
      <w:r>
        <w:rPr>
          <w:b/>
        </w:rPr>
        <w:t>Waste</w:t>
      </w:r>
      <w:r>
        <w:rPr>
          <w:b/>
          <w:spacing w:val="-3"/>
        </w:rPr>
        <w:t> </w:t>
      </w:r>
      <w:r>
        <w:rPr>
          <w:b/>
        </w:rPr>
        <w:t>from</w:t>
      </w:r>
      <w:r>
        <w:rPr>
          <w:b/>
          <w:spacing w:val="-3"/>
        </w:rPr>
        <w:t> </w:t>
      </w:r>
      <w:r>
        <w:rPr>
          <w:b/>
        </w:rPr>
        <w:t>automobile</w:t>
      </w:r>
      <w:r>
        <w:rPr>
          <w:b/>
          <w:spacing w:val="-3"/>
        </w:rPr>
        <w:t> </w:t>
      </w:r>
      <w:r>
        <w:rPr>
          <w:b/>
        </w:rPr>
        <w:t>repair</w:t>
      </w:r>
      <w:r>
        <w:rPr>
          <w:b/>
          <w:spacing w:val="-6"/>
        </w:rPr>
        <w:t> </w:t>
      </w:r>
      <w:r>
        <w:rPr>
          <w:b/>
        </w:rPr>
        <w:t>and</w:t>
      </w:r>
      <w:r>
        <w:rPr>
          <w:b/>
          <w:spacing w:val="-5"/>
        </w:rPr>
        <w:t> </w:t>
      </w:r>
      <w:r>
        <w:rPr>
          <w:b/>
        </w:rPr>
        <w:t>dismantling</w:t>
      </w:r>
      <w:r>
        <w:rPr/>
        <w:t>:</w:t>
      </w:r>
      <w:r>
        <w:rPr>
          <w:spacing w:val="-11"/>
        </w:rPr>
        <w:t> </w:t>
      </w:r>
      <w:r>
        <w:rPr/>
        <w:t>This</w:t>
      </w:r>
      <w:r>
        <w:rPr>
          <w:spacing w:val="-2"/>
        </w:rPr>
        <w:t> </w:t>
      </w:r>
      <w:r>
        <w:rPr/>
        <w:t>is</w:t>
      </w:r>
      <w:r>
        <w:rPr>
          <w:spacing w:val="-1"/>
        </w:rPr>
        <w:t> </w:t>
      </w:r>
      <w:r>
        <w:rPr/>
        <w:t>especially</w:t>
      </w:r>
      <w:r>
        <w:rPr>
          <w:spacing w:val="-1"/>
        </w:rPr>
        <w:t> </w:t>
      </w:r>
      <w:r>
        <w:rPr/>
        <w:t>relevant</w:t>
      </w:r>
      <w:r>
        <w:rPr>
          <w:spacing w:val="-1"/>
        </w:rPr>
        <w:t> </w:t>
      </w:r>
      <w:r>
        <w:rPr/>
        <w:t>in</w:t>
      </w:r>
      <w:r>
        <w:rPr>
          <w:spacing w:val="-1"/>
        </w:rPr>
        <w:t> </w:t>
      </w:r>
      <w:r>
        <w:rPr/>
        <w:t>informal settings such as Ipata Market. Used automobile parts such as batteries, brake pads, and radiators contain significant metal content. During repair or dismantling, these parts may release metal shavings, dust, or oily residues into the environment, contaminating surrounding soil and posing risks to handlers and residents. For example, Iwegbue et al. (2019) reported elevated concentrations of Pb and Cu in areas surrounding auto- mechanic shops in Nigeria.</w:t>
      </w:r>
    </w:p>
    <w:p>
      <w:pPr>
        <w:pStyle w:val="BodyText"/>
        <w:spacing w:line="496" w:lineRule="auto" w:before="152"/>
        <w:ind w:left="1167" w:right="1775" w:hanging="13"/>
        <w:jc w:val="both"/>
      </w:pPr>
      <w:r>
        <w:rPr/>
        <w:t>Case studies from across the globe provide concrete evidence of these anthropogenic impacts. In</w:t>
      </w:r>
      <w:r>
        <w:rPr>
          <w:spacing w:val="-1"/>
        </w:rPr>
        <w:t> </w:t>
      </w:r>
      <w:r>
        <w:rPr/>
        <w:t>China, Lyu et</w:t>
      </w:r>
      <w:r>
        <w:rPr>
          <w:spacing w:val="-4"/>
        </w:rPr>
        <w:t> </w:t>
      </w:r>
      <w:r>
        <w:rPr/>
        <w:t>al. (2022)</w:t>
      </w:r>
      <w:r>
        <w:rPr>
          <w:spacing w:val="-1"/>
        </w:rPr>
        <w:t> </w:t>
      </w:r>
      <w:r>
        <w:rPr/>
        <w:t>demonstrated that brake</w:t>
      </w:r>
      <w:r>
        <w:rPr>
          <w:spacing w:val="-1"/>
        </w:rPr>
        <w:t> </w:t>
      </w:r>
      <w:r>
        <w:rPr/>
        <w:t>and tyre</w:t>
      </w:r>
      <w:r>
        <w:rPr>
          <w:spacing w:val="-1"/>
        </w:rPr>
        <w:t> </w:t>
      </w:r>
      <w:r>
        <w:rPr/>
        <w:t>wear</w:t>
      </w:r>
      <w:r>
        <w:rPr>
          <w:spacing w:val="-1"/>
        </w:rPr>
        <w:t> </w:t>
      </w:r>
      <w:r>
        <w:rPr/>
        <w:t>accounted for up to 40% of urban airborne particulate metal concentrations. In South Africa, Mngomezulu and Monyai (2019) found hazardous levels of Cd and Pb in soil samples collected from</w:t>
      </w:r>
      <w:r>
        <w:rPr>
          <w:spacing w:val="-1"/>
        </w:rPr>
        <w:t> </w:t>
      </w:r>
      <w:r>
        <w:rPr/>
        <w:t>informal</w:t>
      </w:r>
      <w:r>
        <w:rPr>
          <w:spacing w:val="-1"/>
        </w:rPr>
        <w:t> </w:t>
      </w:r>
      <w:r>
        <w:rPr/>
        <w:t>vehicle</w:t>
      </w:r>
      <w:r>
        <w:rPr>
          <w:spacing w:val="-4"/>
        </w:rPr>
        <w:t> </w:t>
      </w:r>
      <w:r>
        <w:rPr/>
        <w:t>dismantling</w:t>
      </w:r>
      <w:r>
        <w:rPr>
          <w:spacing w:val="-1"/>
        </w:rPr>
        <w:t> </w:t>
      </w:r>
      <w:r>
        <w:rPr/>
        <w:t>sites.</w:t>
      </w:r>
      <w:r>
        <w:rPr>
          <w:spacing w:val="-3"/>
        </w:rPr>
        <w:t> </w:t>
      </w:r>
      <w:r>
        <w:rPr/>
        <w:t>In</w:t>
      </w:r>
      <w:r>
        <w:rPr>
          <w:spacing w:val="-3"/>
        </w:rPr>
        <w:t> </w:t>
      </w:r>
      <w:r>
        <w:rPr/>
        <w:t>Ghana, Doyi</w:t>
      </w:r>
      <w:r>
        <w:rPr>
          <w:spacing w:val="-3"/>
        </w:rPr>
        <w:t> </w:t>
      </w:r>
      <w:r>
        <w:rPr/>
        <w:t>et al.</w:t>
      </w:r>
      <w:r>
        <w:rPr>
          <w:spacing w:val="-1"/>
        </w:rPr>
        <w:t> </w:t>
      </w:r>
      <w:r>
        <w:rPr/>
        <w:t>(2021)</w:t>
      </w:r>
      <w:r>
        <w:rPr>
          <w:spacing w:val="-4"/>
        </w:rPr>
        <w:t> </w:t>
      </w:r>
      <w:r>
        <w:rPr/>
        <w:t>noted</w:t>
      </w:r>
      <w:r>
        <w:rPr>
          <w:spacing w:val="-3"/>
        </w:rPr>
        <w:t> </w:t>
      </w:r>
      <w:r>
        <w:rPr/>
        <w:t>that automobile workshops were hotspots for Pb and Cr accumulation in urban soils.</w:t>
      </w:r>
    </w:p>
    <w:p>
      <w:pPr>
        <w:pStyle w:val="BodyText"/>
        <w:spacing w:line="496" w:lineRule="auto" w:before="153"/>
        <w:ind w:left="1167" w:right="1775" w:hanging="13"/>
        <w:jc w:val="both"/>
      </w:pPr>
      <w:r>
        <w:rPr/>
        <w:t>These findings are consistent with research conducted in Nigeria. Olatunji et al. (2022) examined</w:t>
      </w:r>
      <w:r>
        <w:rPr>
          <w:spacing w:val="27"/>
        </w:rPr>
        <w:t> </w:t>
      </w:r>
      <w:r>
        <w:rPr/>
        <w:t>soils</w:t>
      </w:r>
      <w:r>
        <w:rPr>
          <w:spacing w:val="29"/>
        </w:rPr>
        <w:t> </w:t>
      </w:r>
      <w:r>
        <w:rPr/>
        <w:t>in</w:t>
      </w:r>
      <w:r>
        <w:rPr>
          <w:spacing w:val="29"/>
        </w:rPr>
        <w:t> </w:t>
      </w:r>
      <w:r>
        <w:rPr/>
        <w:t>auto-mechanic</w:t>
      </w:r>
      <w:r>
        <w:rPr>
          <w:spacing w:val="28"/>
        </w:rPr>
        <w:t> </w:t>
      </w:r>
      <w:r>
        <w:rPr/>
        <w:t>clusters</w:t>
      </w:r>
      <w:r>
        <w:rPr>
          <w:spacing w:val="28"/>
        </w:rPr>
        <w:t> </w:t>
      </w:r>
      <w:r>
        <w:rPr/>
        <w:t>in</w:t>
      </w:r>
      <w:r>
        <w:rPr>
          <w:spacing w:val="29"/>
        </w:rPr>
        <w:t> </w:t>
      </w:r>
      <w:r>
        <w:rPr/>
        <w:t>Ibadan</w:t>
      </w:r>
      <w:r>
        <w:rPr>
          <w:spacing w:val="28"/>
        </w:rPr>
        <w:t> </w:t>
      </w:r>
      <w:r>
        <w:rPr/>
        <w:t>and</w:t>
      </w:r>
      <w:r>
        <w:rPr>
          <w:spacing w:val="27"/>
        </w:rPr>
        <w:t> </w:t>
      </w:r>
      <w:r>
        <w:rPr/>
        <w:t>found</w:t>
      </w:r>
      <w:r>
        <w:rPr>
          <w:spacing w:val="28"/>
        </w:rPr>
        <w:t> </w:t>
      </w:r>
      <w:r>
        <w:rPr/>
        <w:t>Pb</w:t>
      </w:r>
      <w:r>
        <w:rPr>
          <w:spacing w:val="28"/>
        </w:rPr>
        <w:t> </w:t>
      </w:r>
      <w:r>
        <w:rPr/>
        <w:t>levels</w:t>
      </w:r>
      <w:r>
        <w:rPr>
          <w:spacing w:val="27"/>
        </w:rPr>
        <w:t> </w:t>
      </w:r>
      <w:r>
        <w:rPr/>
        <w:t>far</w:t>
      </w:r>
      <w:r>
        <w:rPr>
          <w:spacing w:val="28"/>
        </w:rPr>
        <w:t> </w:t>
      </w:r>
      <w:r>
        <w:rPr>
          <w:spacing w:val="-2"/>
        </w:rPr>
        <w:t>exceeding</w:t>
      </w:r>
    </w:p>
    <w:p>
      <w:pPr>
        <w:pStyle w:val="BodyText"/>
        <w:spacing w:after="0" w:line="496" w:lineRule="auto"/>
        <w:jc w:val="both"/>
        <w:sectPr>
          <w:pgSz w:w="12240" w:h="15840"/>
          <w:pgMar w:header="0" w:footer="1674" w:top="1460" w:bottom="1860" w:left="360" w:right="0"/>
        </w:sectPr>
      </w:pPr>
    </w:p>
    <w:p>
      <w:pPr>
        <w:pStyle w:val="BodyText"/>
        <w:spacing w:line="496" w:lineRule="auto" w:before="74"/>
        <w:ind w:left="1167" w:right="1768"/>
        <w:jc w:val="both"/>
      </w:pPr>
      <w:r>
        <w:rPr/>
        <w:t>WHO and FAO permissible limits. Similarly, Akinola et al. (2023) reported dangerous accumulations</w:t>
      </w:r>
      <w:r>
        <w:rPr>
          <w:spacing w:val="-5"/>
        </w:rPr>
        <w:t> </w:t>
      </w:r>
      <w:r>
        <w:rPr/>
        <w:t>of</w:t>
      </w:r>
      <w:r>
        <w:rPr>
          <w:spacing w:val="-4"/>
        </w:rPr>
        <w:t> </w:t>
      </w:r>
      <w:r>
        <w:rPr/>
        <w:t>Ni</w:t>
      </w:r>
      <w:r>
        <w:rPr>
          <w:spacing w:val="-5"/>
        </w:rPr>
        <w:t> </w:t>
      </w:r>
      <w:r>
        <w:rPr/>
        <w:t>and Cr</w:t>
      </w:r>
      <w:r>
        <w:rPr>
          <w:spacing w:val="-6"/>
        </w:rPr>
        <w:t> </w:t>
      </w:r>
      <w:r>
        <w:rPr/>
        <w:t>in</w:t>
      </w:r>
      <w:r>
        <w:rPr>
          <w:spacing w:val="-5"/>
        </w:rPr>
        <w:t> </w:t>
      </w:r>
      <w:r>
        <w:rPr/>
        <w:t>roadside</w:t>
      </w:r>
      <w:r>
        <w:rPr>
          <w:spacing w:val="-3"/>
        </w:rPr>
        <w:t> </w:t>
      </w:r>
      <w:r>
        <w:rPr/>
        <w:t>dust</w:t>
      </w:r>
      <w:r>
        <w:rPr>
          <w:spacing w:val="-5"/>
        </w:rPr>
        <w:t> </w:t>
      </w:r>
      <w:r>
        <w:rPr/>
        <w:t>in</w:t>
      </w:r>
      <w:r>
        <w:rPr>
          <w:spacing w:val="-5"/>
        </w:rPr>
        <w:t> </w:t>
      </w:r>
      <w:r>
        <w:rPr/>
        <w:t>Kano.</w:t>
      </w:r>
      <w:r>
        <w:rPr>
          <w:spacing w:val="-9"/>
        </w:rPr>
        <w:t> </w:t>
      </w:r>
      <w:r>
        <w:rPr/>
        <w:t>These</w:t>
      </w:r>
      <w:r>
        <w:rPr>
          <w:spacing w:val="-6"/>
        </w:rPr>
        <w:t> </w:t>
      </w:r>
      <w:r>
        <w:rPr/>
        <w:t>studies</w:t>
      </w:r>
      <w:r>
        <w:rPr>
          <w:spacing w:val="-3"/>
        </w:rPr>
        <w:t> </w:t>
      </w:r>
      <w:r>
        <w:rPr/>
        <w:t>confirm</w:t>
      </w:r>
      <w:r>
        <w:rPr>
          <w:spacing w:val="-3"/>
        </w:rPr>
        <w:t> </w:t>
      </w:r>
      <w:r>
        <w:rPr/>
        <w:t>that</w:t>
      </w:r>
      <w:r>
        <w:rPr>
          <w:spacing w:val="-5"/>
        </w:rPr>
        <w:t> </w:t>
      </w:r>
      <w:r>
        <w:rPr/>
        <w:t>informal automobile-related activities—particularly in unpaved, crowded environments—are major contributors to heavy metal pollution.</w:t>
      </w:r>
    </w:p>
    <w:p>
      <w:pPr>
        <w:pStyle w:val="BodyText"/>
        <w:spacing w:line="494" w:lineRule="auto" w:before="157"/>
        <w:ind w:left="1167" w:right="1775" w:hanging="13"/>
        <w:jc w:val="both"/>
      </w:pPr>
      <w:r>
        <w:rPr/>
        <w:t>The critical issue is that unlike industries or mines, informal markets are rarely subject</w:t>
      </w:r>
      <w:r>
        <w:rPr>
          <w:spacing w:val="80"/>
          <w:w w:val="150"/>
        </w:rPr>
        <w:t> </w:t>
      </w:r>
      <w:r>
        <w:rPr/>
        <w:t>to environmental regulations, monitoring, or remediation. The widespread handling of toxic materials without adequate protective equipment further compounds human exposure risks.</w:t>
      </w:r>
    </w:p>
    <w:p>
      <w:pPr>
        <w:pStyle w:val="BodyText"/>
        <w:spacing w:line="494" w:lineRule="auto" w:before="169"/>
        <w:ind w:left="1167" w:right="1776" w:hanging="13"/>
        <w:jc w:val="both"/>
      </w:pPr>
      <w:r>
        <w:rPr/>
        <w:t>Thus, assessing and understanding heavy metal sources in such contexts becomes vital for developing interventions tailored to urban environmental realities in Nigeria and </w:t>
      </w:r>
      <w:r>
        <w:rPr>
          <w:spacing w:val="-2"/>
        </w:rPr>
        <w:t>beyond.</w:t>
      </w:r>
    </w:p>
    <w:p>
      <w:pPr>
        <w:pStyle w:val="Heading1"/>
        <w:numPr>
          <w:ilvl w:val="1"/>
          <w:numId w:val="5"/>
        </w:numPr>
        <w:tabs>
          <w:tab w:pos="1537" w:val="left" w:leader="none"/>
        </w:tabs>
        <w:spacing w:line="240" w:lineRule="auto" w:before="164" w:after="0"/>
        <w:ind w:left="1537" w:right="0" w:hanging="382"/>
        <w:jc w:val="left"/>
      </w:pPr>
      <w:r>
        <w:rPr/>
        <w:t>HEAVY</w:t>
      </w:r>
      <w:r>
        <w:rPr>
          <w:spacing w:val="-6"/>
        </w:rPr>
        <w:t> </w:t>
      </w:r>
      <w:r>
        <w:rPr/>
        <w:t>METALS</w:t>
      </w:r>
      <w:r>
        <w:rPr>
          <w:spacing w:val="6"/>
        </w:rPr>
        <w:t> </w:t>
      </w:r>
      <w:r>
        <w:rPr/>
        <w:t>IN</w:t>
      </w:r>
      <w:r>
        <w:rPr>
          <w:spacing w:val="-13"/>
        </w:rPr>
        <w:t> </w:t>
      </w:r>
      <w:r>
        <w:rPr/>
        <w:t>AUTOMOBILE</w:t>
      </w:r>
      <w:r>
        <w:rPr>
          <w:spacing w:val="4"/>
        </w:rPr>
        <w:t> </w:t>
      </w:r>
      <w:r>
        <w:rPr>
          <w:spacing w:val="-2"/>
        </w:rPr>
        <w:t>COMPONENTS</w:t>
      </w:r>
    </w:p>
    <w:p>
      <w:pPr>
        <w:pStyle w:val="BodyText"/>
        <w:spacing w:before="185"/>
        <w:rPr>
          <w:b/>
        </w:rPr>
      </w:pPr>
    </w:p>
    <w:p>
      <w:pPr>
        <w:pStyle w:val="BodyText"/>
        <w:spacing w:line="496" w:lineRule="auto"/>
        <w:ind w:left="1167" w:right="1774" w:hanging="13"/>
        <w:jc w:val="both"/>
      </w:pPr>
      <w:r>
        <w:rPr/>
        <w:t>Automobile parts are complex assemblies of metal alloys, polymers, and composite materials, many of which contain trace and sometimes substantial quantities of heavy metals. These materials serve critical mechanical and electrical functions but also represent potential sources of environmental and occupational contamination when poorly managed or disposed of.</w:t>
      </w:r>
    </w:p>
    <w:p>
      <w:pPr>
        <w:pStyle w:val="BodyText"/>
        <w:spacing w:line="496" w:lineRule="auto" w:before="154"/>
        <w:ind w:left="1167" w:right="1775" w:hanging="13"/>
        <w:jc w:val="both"/>
      </w:pPr>
      <w:r>
        <w:rPr/>
        <w:t>Brake pads are among the most recognised contributors to heavy metal emissions from vehicles.</w:t>
      </w:r>
      <w:r>
        <w:rPr>
          <w:spacing w:val="24"/>
        </w:rPr>
        <w:t>  </w:t>
      </w:r>
      <w:r>
        <w:rPr/>
        <w:t>They</w:t>
      </w:r>
      <w:r>
        <w:rPr>
          <w:spacing w:val="30"/>
        </w:rPr>
        <w:t>  </w:t>
      </w:r>
      <w:r>
        <w:rPr/>
        <w:t>are</w:t>
      </w:r>
      <w:r>
        <w:rPr>
          <w:spacing w:val="29"/>
        </w:rPr>
        <w:t>  </w:t>
      </w:r>
      <w:r>
        <w:rPr/>
        <w:t>manufactured</w:t>
      </w:r>
      <w:r>
        <w:rPr>
          <w:spacing w:val="29"/>
        </w:rPr>
        <w:t>  </w:t>
      </w:r>
      <w:r>
        <w:rPr/>
        <w:t>using</w:t>
      </w:r>
      <w:r>
        <w:rPr>
          <w:spacing w:val="29"/>
        </w:rPr>
        <w:t>  </w:t>
      </w:r>
      <w:r>
        <w:rPr/>
        <w:t>metal-containing</w:t>
      </w:r>
      <w:r>
        <w:rPr>
          <w:spacing w:val="29"/>
        </w:rPr>
        <w:t>  </w:t>
      </w:r>
      <w:r>
        <w:rPr/>
        <w:t>binders,</w:t>
      </w:r>
      <w:r>
        <w:rPr>
          <w:spacing w:val="30"/>
        </w:rPr>
        <w:t>  </w:t>
      </w:r>
      <w:r>
        <w:rPr/>
        <w:t>abrasives,</w:t>
      </w:r>
      <w:r>
        <w:rPr>
          <w:spacing w:val="29"/>
        </w:rPr>
        <w:t>  </w:t>
      </w:r>
      <w:r>
        <w:rPr>
          <w:spacing w:val="-5"/>
        </w:rPr>
        <w:t>and</w:t>
      </w:r>
    </w:p>
    <w:p>
      <w:pPr>
        <w:pStyle w:val="BodyText"/>
        <w:spacing w:after="0" w:line="496" w:lineRule="auto"/>
        <w:jc w:val="both"/>
        <w:sectPr>
          <w:pgSz w:w="12240" w:h="15840"/>
          <w:pgMar w:header="0" w:footer="1674" w:top="1460" w:bottom="1860" w:left="360" w:right="0"/>
        </w:sectPr>
      </w:pPr>
    </w:p>
    <w:p>
      <w:pPr>
        <w:pStyle w:val="BodyText"/>
        <w:spacing w:line="496" w:lineRule="auto" w:before="74"/>
        <w:ind w:left="1167" w:right="1773"/>
        <w:jc w:val="both"/>
      </w:pPr>
      <w:r>
        <w:rPr/>
        <w:t>lubricants. Studies by Adusei et al. (2020) and Lyu et al. (2022) have identified significant concentrations of copper (Cu), lead (Pb), and zinc (Zn) in brake pad dust. When frictional wear occurs during braking, these metals are released as fine airborne particles that may settle in roadside dust or be inhaled by nearby individuals.</w:t>
      </w:r>
    </w:p>
    <w:p>
      <w:pPr>
        <w:pStyle w:val="BodyText"/>
        <w:spacing w:line="496" w:lineRule="auto" w:before="157"/>
        <w:ind w:left="1167" w:right="1772" w:hanging="13"/>
        <w:jc w:val="both"/>
      </w:pPr>
      <w:r>
        <w:rPr/>
        <w:t>Batteries, particularly lead-acid types used in older vehicles, contain high concentrations of lead and cadmium. Improper storage, dismantling, or disposal of batteries—as often observed in markets like Ipata—can result in acid spills and heavy metal leakage. Mngomezulu and Monyai (2019) observed dangerously elevated Pb levels in soil samples taken from South African battery dismantling sites. In Nigeria, battery-related Pb pollution has been linked to localised soil and water contamination (Iwegbue et al., </w:t>
      </w:r>
      <w:r>
        <w:rPr>
          <w:spacing w:val="-2"/>
        </w:rPr>
        <w:t>2019).</w:t>
      </w:r>
    </w:p>
    <w:p>
      <w:pPr>
        <w:pStyle w:val="BodyText"/>
        <w:spacing w:line="496" w:lineRule="auto" w:before="153"/>
        <w:ind w:left="1167" w:right="1776" w:hanging="13"/>
        <w:jc w:val="both"/>
      </w:pPr>
      <w:r>
        <w:rPr/>
        <w:t>Radiators and cooling systems often utilise metal alloys containing chromium (Cr), nickel (Ni), and zinc to enhance heat resistance and corrosion control. Over time, these metals may leach into cooling fluids or be released during maintenance and scrapping activities.</w:t>
      </w:r>
      <w:r>
        <w:rPr>
          <w:spacing w:val="-3"/>
        </w:rPr>
        <w:t> </w:t>
      </w:r>
      <w:r>
        <w:rPr/>
        <w:t>Alghamdi et al. (2021) reported that used radiator fluids contained detectable levels of heavy metals that could contaminate soil when spilled.</w:t>
      </w:r>
    </w:p>
    <w:p>
      <w:pPr>
        <w:pStyle w:val="BodyText"/>
        <w:spacing w:line="494" w:lineRule="auto" w:before="156"/>
        <w:ind w:left="1167" w:right="1774" w:hanging="13"/>
        <w:jc w:val="both"/>
      </w:pPr>
      <w:r>
        <w:rPr/>
        <w:t>Engine</w:t>
      </w:r>
      <w:r>
        <w:rPr>
          <w:spacing w:val="-2"/>
        </w:rPr>
        <w:t> </w:t>
      </w:r>
      <w:r>
        <w:rPr/>
        <w:t>blocks</w:t>
      </w:r>
      <w:r>
        <w:rPr>
          <w:spacing w:val="-1"/>
        </w:rPr>
        <w:t> </w:t>
      </w:r>
      <w:r>
        <w:rPr/>
        <w:t>and associated</w:t>
      </w:r>
      <w:r>
        <w:rPr>
          <w:spacing w:val="-1"/>
        </w:rPr>
        <w:t> </w:t>
      </w:r>
      <w:r>
        <w:rPr/>
        <w:t>components are</w:t>
      </w:r>
      <w:r>
        <w:rPr>
          <w:spacing w:val="-2"/>
        </w:rPr>
        <w:t> </w:t>
      </w:r>
      <w:r>
        <w:rPr/>
        <w:t>commonly</w:t>
      </w:r>
      <w:r>
        <w:rPr>
          <w:spacing w:val="-1"/>
        </w:rPr>
        <w:t> </w:t>
      </w:r>
      <w:r>
        <w:rPr/>
        <w:t>composed</w:t>
      </w:r>
      <w:r>
        <w:rPr>
          <w:spacing w:val="-1"/>
        </w:rPr>
        <w:t> </w:t>
      </w:r>
      <w:r>
        <w:rPr/>
        <w:t>of cast iron</w:t>
      </w:r>
      <w:r>
        <w:rPr>
          <w:spacing w:val="-2"/>
        </w:rPr>
        <w:t> </w:t>
      </w:r>
      <w:r>
        <w:rPr/>
        <w:t>and</w:t>
      </w:r>
      <w:r>
        <w:rPr>
          <w:spacing w:val="-1"/>
        </w:rPr>
        <w:t> </w:t>
      </w:r>
      <w:r>
        <w:rPr/>
        <w:t>steel alloys, often infused with nickel, chromium, or molybdenum for durability. While generally</w:t>
      </w:r>
      <w:r>
        <w:rPr>
          <w:spacing w:val="3"/>
        </w:rPr>
        <w:t> </w:t>
      </w:r>
      <w:r>
        <w:rPr/>
        <w:t>stable</w:t>
      </w:r>
      <w:r>
        <w:rPr>
          <w:spacing w:val="3"/>
        </w:rPr>
        <w:t> </w:t>
      </w:r>
      <w:r>
        <w:rPr/>
        <w:t>during</w:t>
      </w:r>
      <w:r>
        <w:rPr>
          <w:spacing w:val="2"/>
        </w:rPr>
        <w:t> </w:t>
      </w:r>
      <w:r>
        <w:rPr/>
        <w:t>use,</w:t>
      </w:r>
      <w:r>
        <w:rPr>
          <w:spacing w:val="4"/>
        </w:rPr>
        <w:t> </w:t>
      </w:r>
      <w:r>
        <w:rPr/>
        <w:t>these</w:t>
      </w:r>
      <w:r>
        <w:rPr>
          <w:spacing w:val="2"/>
        </w:rPr>
        <w:t> </w:t>
      </w:r>
      <w:r>
        <w:rPr/>
        <w:t>components</w:t>
      </w:r>
      <w:r>
        <w:rPr>
          <w:spacing w:val="3"/>
        </w:rPr>
        <w:t> </w:t>
      </w:r>
      <w:r>
        <w:rPr/>
        <w:t>release</w:t>
      </w:r>
      <w:r>
        <w:rPr>
          <w:spacing w:val="3"/>
        </w:rPr>
        <w:t> </w:t>
      </w:r>
      <w:r>
        <w:rPr/>
        <w:t>metal</w:t>
      </w:r>
      <w:r>
        <w:rPr>
          <w:spacing w:val="4"/>
        </w:rPr>
        <w:t> </w:t>
      </w:r>
      <w:r>
        <w:rPr/>
        <w:t>particulates</w:t>
      </w:r>
      <w:r>
        <w:rPr>
          <w:spacing w:val="4"/>
        </w:rPr>
        <w:t> </w:t>
      </w:r>
      <w:r>
        <w:rPr/>
        <w:t>during</w:t>
      </w:r>
      <w:r>
        <w:rPr>
          <w:spacing w:val="2"/>
        </w:rPr>
        <w:t> </w:t>
      </w:r>
      <w:r>
        <w:rPr>
          <w:spacing w:val="-2"/>
        </w:rPr>
        <w:t>grinding,</w:t>
      </w:r>
    </w:p>
    <w:p>
      <w:pPr>
        <w:pStyle w:val="BodyText"/>
        <w:spacing w:after="0" w:line="494" w:lineRule="auto"/>
        <w:jc w:val="both"/>
        <w:sectPr>
          <w:pgSz w:w="12240" w:h="15840"/>
          <w:pgMar w:header="0" w:footer="1674" w:top="1460" w:bottom="1860" w:left="360" w:right="0"/>
        </w:sectPr>
      </w:pPr>
    </w:p>
    <w:p>
      <w:pPr>
        <w:pStyle w:val="BodyText"/>
        <w:spacing w:line="496" w:lineRule="auto" w:before="74"/>
        <w:ind w:left="1167" w:right="1775"/>
        <w:jc w:val="both"/>
      </w:pPr>
      <w:r>
        <w:rPr/>
        <w:t>cutting, or</w:t>
      </w:r>
      <w:r>
        <w:rPr>
          <w:spacing w:val="-2"/>
        </w:rPr>
        <w:t> </w:t>
      </w:r>
      <w:r>
        <w:rPr/>
        <w:t>disassembly.</w:t>
      </w:r>
      <w:r>
        <w:rPr>
          <w:spacing w:val="-3"/>
        </w:rPr>
        <w:t> </w:t>
      </w:r>
      <w:r>
        <w:rPr/>
        <w:t>Waste</w:t>
      </w:r>
      <w:r>
        <w:rPr>
          <w:spacing w:val="-1"/>
        </w:rPr>
        <w:t> </w:t>
      </w:r>
      <w:r>
        <w:rPr/>
        <w:t>oils</w:t>
      </w:r>
      <w:r>
        <w:rPr>
          <w:spacing w:val="-1"/>
        </w:rPr>
        <w:t> </w:t>
      </w:r>
      <w:r>
        <w:rPr/>
        <w:t>and</w:t>
      </w:r>
      <w:r>
        <w:rPr>
          <w:spacing w:val="-1"/>
        </w:rPr>
        <w:t> </w:t>
      </w:r>
      <w:r>
        <w:rPr/>
        <w:t>greases</w:t>
      </w:r>
      <w:r>
        <w:rPr>
          <w:spacing w:val="-1"/>
        </w:rPr>
        <w:t> </w:t>
      </w:r>
      <w:r>
        <w:rPr/>
        <w:t>used</w:t>
      </w:r>
      <w:r>
        <w:rPr>
          <w:spacing w:val="-1"/>
        </w:rPr>
        <w:t> </w:t>
      </w:r>
      <w:r>
        <w:rPr/>
        <w:t>in engines are also vectors</w:t>
      </w:r>
      <w:r>
        <w:rPr>
          <w:spacing w:val="-1"/>
        </w:rPr>
        <w:t> </w:t>
      </w:r>
      <w:r>
        <w:rPr/>
        <w:t>for</w:t>
      </w:r>
      <w:r>
        <w:rPr>
          <w:spacing w:val="-2"/>
        </w:rPr>
        <w:t> </w:t>
      </w:r>
      <w:r>
        <w:rPr/>
        <w:t>metal contamination, particularly in unregulated disposal scenarios.</w:t>
      </w:r>
    </w:p>
    <w:p>
      <w:pPr>
        <w:pStyle w:val="BodyText"/>
        <w:spacing w:line="496" w:lineRule="auto" w:before="159"/>
        <w:ind w:left="1167" w:right="1774" w:hanging="13"/>
        <w:jc w:val="both"/>
      </w:pPr>
      <w:r>
        <w:rPr/>
        <w:t>The mechanisms of metal release from these parts include mechanical wear (e.g., braking), thermal stress (e.g., engine heat), chemical degradation (e.g., battery</w:t>
      </w:r>
      <w:r>
        <w:rPr>
          <w:spacing w:val="40"/>
        </w:rPr>
        <w:t> </w:t>
      </w:r>
      <w:r>
        <w:rPr/>
        <w:t>corrosion), and physical dismantling. In informal markets, these processes often occur</w:t>
      </w:r>
      <w:r>
        <w:rPr>
          <w:spacing w:val="80"/>
        </w:rPr>
        <w:t> </w:t>
      </w:r>
      <w:r>
        <w:rPr/>
        <w:t>on bare soil or concrete surfaces without containment measures, facilitating the transfer of metals into the surrounding environment.</w:t>
      </w:r>
    </w:p>
    <w:p>
      <w:pPr>
        <w:pStyle w:val="BodyText"/>
        <w:spacing w:line="496" w:lineRule="auto" w:before="156"/>
        <w:ind w:left="1167" w:right="1774" w:hanging="13"/>
        <w:jc w:val="both"/>
      </w:pPr>
      <w:r>
        <w:rPr/>
        <w:t>Comparative studies highlight distinct regional differences. In high-income countries, regulations such as the EU Restriction of Hazardous Substances (RoHS) directive limit the permissible metal content in vehicle components. Consequently, brake pads and batteries in Europe tend to contain lower concentrations of Pb and Cd (Manasfi et al., 2021). By contrast, in low- and middle-income countries (LMICs), including Nigeria, imported second-hand parts are rarely subjected to environmental screening or control. Many of these parts originate from decommissioned vehicles abroad, raising concerns about transboundary waste dumping (Ochieng et al., 2020).</w:t>
      </w:r>
    </w:p>
    <w:p>
      <w:pPr>
        <w:pStyle w:val="BodyText"/>
        <w:spacing w:line="494" w:lineRule="auto" w:before="152"/>
        <w:ind w:left="1167" w:right="1772" w:hanging="13"/>
        <w:jc w:val="both"/>
      </w:pPr>
      <w:r>
        <w:rPr/>
        <w:t>In Nigeria, studies by Akinola et al. (2023) and Olatunji et al. (2022) confirm that automechanic areas are saturated with metal-rich dust and soils, pointing directly to automobile components as a primary source. However, despite growing concern, there remains</w:t>
      </w:r>
      <w:r>
        <w:rPr>
          <w:spacing w:val="18"/>
        </w:rPr>
        <w:t> </w:t>
      </w:r>
      <w:r>
        <w:rPr/>
        <w:t>a</w:t>
      </w:r>
      <w:r>
        <w:rPr>
          <w:spacing w:val="17"/>
        </w:rPr>
        <w:t> </w:t>
      </w:r>
      <w:r>
        <w:rPr/>
        <w:t>lack</w:t>
      </w:r>
      <w:r>
        <w:rPr>
          <w:spacing w:val="18"/>
        </w:rPr>
        <w:t> </w:t>
      </w:r>
      <w:r>
        <w:rPr/>
        <w:t>of</w:t>
      </w:r>
      <w:r>
        <w:rPr>
          <w:spacing w:val="18"/>
        </w:rPr>
        <w:t> </w:t>
      </w:r>
      <w:r>
        <w:rPr/>
        <w:t>data</w:t>
      </w:r>
      <w:r>
        <w:rPr>
          <w:spacing w:val="17"/>
        </w:rPr>
        <w:t> </w:t>
      </w:r>
      <w:r>
        <w:rPr/>
        <w:t>on</w:t>
      </w:r>
      <w:r>
        <w:rPr>
          <w:spacing w:val="18"/>
        </w:rPr>
        <w:t> </w:t>
      </w:r>
      <w:r>
        <w:rPr/>
        <w:t>which</w:t>
      </w:r>
      <w:r>
        <w:rPr>
          <w:spacing w:val="18"/>
        </w:rPr>
        <w:t> </w:t>
      </w:r>
      <w:r>
        <w:rPr/>
        <w:t>parts</w:t>
      </w:r>
      <w:r>
        <w:rPr>
          <w:spacing w:val="19"/>
        </w:rPr>
        <w:t> </w:t>
      </w:r>
      <w:r>
        <w:rPr/>
        <w:t>contribute</w:t>
      </w:r>
      <w:r>
        <w:rPr>
          <w:spacing w:val="17"/>
        </w:rPr>
        <w:t> </w:t>
      </w:r>
      <w:r>
        <w:rPr/>
        <w:t>most</w:t>
      </w:r>
      <w:r>
        <w:rPr>
          <w:spacing w:val="19"/>
        </w:rPr>
        <w:t> </w:t>
      </w:r>
      <w:r>
        <w:rPr/>
        <w:t>significantly</w:t>
      </w:r>
      <w:r>
        <w:rPr>
          <w:spacing w:val="19"/>
        </w:rPr>
        <w:t> </w:t>
      </w:r>
      <w:r>
        <w:rPr/>
        <w:t>to</w:t>
      </w:r>
      <w:r>
        <w:rPr>
          <w:spacing w:val="19"/>
        </w:rPr>
        <w:t> </w:t>
      </w:r>
      <w:r>
        <w:rPr/>
        <w:t>contamination</w:t>
      </w:r>
      <w:r>
        <w:rPr>
          <w:spacing w:val="20"/>
        </w:rPr>
        <w:t> </w:t>
      </w:r>
      <w:r>
        <w:rPr>
          <w:spacing w:val="-5"/>
        </w:rPr>
        <w:t>in</w:t>
      </w:r>
    </w:p>
    <w:p>
      <w:pPr>
        <w:pStyle w:val="BodyText"/>
        <w:spacing w:after="0" w:line="494" w:lineRule="auto"/>
        <w:jc w:val="both"/>
        <w:sectPr>
          <w:pgSz w:w="12240" w:h="15840"/>
          <w:pgMar w:header="0" w:footer="1674" w:top="1460" w:bottom="1860" w:left="360" w:right="0"/>
        </w:sectPr>
      </w:pPr>
    </w:p>
    <w:p>
      <w:pPr>
        <w:pStyle w:val="BodyText"/>
        <w:spacing w:line="496" w:lineRule="auto" w:before="74"/>
        <w:ind w:left="1167" w:right="1774"/>
        <w:jc w:val="both"/>
      </w:pPr>
      <w:r>
        <w:rPr/>
        <w:t>specific markets. This highlights the need for targeted studies—such as the present one</w:t>
      </w:r>
      <w:r>
        <w:rPr>
          <w:spacing w:val="40"/>
        </w:rPr>
        <w:t> </w:t>
      </w:r>
      <w:r>
        <w:rPr/>
        <w:t>in Ipata Market—to identify high-risk components and inform future regulation.</w:t>
      </w:r>
    </w:p>
    <w:p>
      <w:pPr>
        <w:pStyle w:val="Heading1"/>
        <w:numPr>
          <w:ilvl w:val="1"/>
          <w:numId w:val="5"/>
        </w:numPr>
        <w:tabs>
          <w:tab w:pos="1537" w:val="left" w:leader="none"/>
        </w:tabs>
        <w:spacing w:line="240" w:lineRule="auto" w:before="159" w:after="0"/>
        <w:ind w:left="1537" w:right="0" w:hanging="382"/>
        <w:jc w:val="left"/>
      </w:pPr>
      <w:r>
        <w:rPr/>
        <w:t>HEALTH</w:t>
      </w:r>
      <w:r>
        <w:rPr>
          <w:spacing w:val="-9"/>
        </w:rPr>
        <w:t> </w:t>
      </w:r>
      <w:r>
        <w:rPr/>
        <w:t>AND</w:t>
      </w:r>
      <w:r>
        <w:rPr>
          <w:spacing w:val="8"/>
        </w:rPr>
        <w:t> </w:t>
      </w:r>
      <w:r>
        <w:rPr/>
        <w:t>ENVIRONMENTAL</w:t>
      </w:r>
      <w:r>
        <w:rPr>
          <w:spacing w:val="-8"/>
        </w:rPr>
        <w:t> </w:t>
      </w:r>
      <w:r>
        <w:rPr/>
        <w:t>EFFECTS</w:t>
      </w:r>
      <w:r>
        <w:rPr>
          <w:spacing w:val="10"/>
        </w:rPr>
        <w:t> </w:t>
      </w:r>
      <w:r>
        <w:rPr/>
        <w:t>OF</w:t>
      </w:r>
      <w:r>
        <w:rPr>
          <w:spacing w:val="-3"/>
        </w:rPr>
        <w:t> </w:t>
      </w:r>
      <w:r>
        <w:rPr/>
        <w:t>KEY</w:t>
      </w:r>
      <w:r>
        <w:rPr>
          <w:spacing w:val="-1"/>
        </w:rPr>
        <w:t> </w:t>
      </w:r>
      <w:r>
        <w:rPr/>
        <w:t>HEAVY </w:t>
      </w:r>
      <w:r>
        <w:rPr>
          <w:spacing w:val="-2"/>
        </w:rPr>
        <w:t>METALS</w:t>
      </w:r>
    </w:p>
    <w:p>
      <w:pPr>
        <w:pStyle w:val="BodyText"/>
        <w:spacing w:before="182"/>
        <w:rPr>
          <w:b/>
        </w:rPr>
      </w:pPr>
    </w:p>
    <w:p>
      <w:pPr>
        <w:pStyle w:val="BodyText"/>
        <w:spacing w:line="496" w:lineRule="auto"/>
        <w:ind w:left="1167" w:right="1775" w:hanging="13"/>
        <w:jc w:val="both"/>
      </w:pPr>
      <w:r>
        <w:rPr/>
        <w:t>Heavy metals pose significant health and environmental threats due to their bioaccumulative nature, persistence in the environment, and toxicity even at low concentrations. This section explores the toxicological and ecological consequences of the major metals typically found in automobile components.</w:t>
      </w:r>
    </w:p>
    <w:p>
      <w:pPr>
        <w:pStyle w:val="BodyText"/>
        <w:spacing w:line="496" w:lineRule="auto" w:before="158"/>
        <w:ind w:left="1167" w:right="1772" w:hanging="13"/>
        <w:jc w:val="both"/>
      </w:pPr>
      <w:r>
        <w:rPr/>
        <w:t>Lead (Pb) is a well-known neurotoxin. Chronic exposure can result in cognitive dysfunction, developmental delays in children, and damage to the renal and cardiovascular systems. According to the International Agency for Research on Cancer (IARC), lead and its compounds are classified as probable human carcinogens (Group 2A)</w:t>
      </w:r>
      <w:r>
        <w:rPr>
          <w:spacing w:val="-3"/>
        </w:rPr>
        <w:t> </w:t>
      </w:r>
      <w:r>
        <w:rPr/>
        <w:t>(IARC, 2020).</w:t>
      </w:r>
      <w:r>
        <w:rPr>
          <w:spacing w:val="-4"/>
        </w:rPr>
        <w:t> </w:t>
      </w:r>
      <w:r>
        <w:rPr/>
        <w:t>The</w:t>
      </w:r>
      <w:r>
        <w:rPr>
          <w:spacing w:val="-3"/>
        </w:rPr>
        <w:t> </w:t>
      </w:r>
      <w:r>
        <w:rPr/>
        <w:t>WHO</w:t>
      </w:r>
      <w:r>
        <w:rPr>
          <w:spacing w:val="-3"/>
        </w:rPr>
        <w:t> </w:t>
      </w:r>
      <w:r>
        <w:rPr/>
        <w:t>(2021)</w:t>
      </w:r>
      <w:r>
        <w:rPr>
          <w:spacing w:val="-2"/>
        </w:rPr>
        <w:t> </w:t>
      </w:r>
      <w:r>
        <w:rPr/>
        <w:t>reports that no safe level of</w:t>
      </w:r>
      <w:r>
        <w:rPr>
          <w:spacing w:val="-2"/>
        </w:rPr>
        <w:t> </w:t>
      </w:r>
      <w:r>
        <w:rPr/>
        <w:t>lead exposure</w:t>
      </w:r>
      <w:r>
        <w:rPr>
          <w:spacing w:val="-3"/>
        </w:rPr>
        <w:t> </w:t>
      </w:r>
      <w:r>
        <w:rPr/>
        <w:t>has been identified, with neurodevelopmental toxicity especially concerning in children. In dismantling and autorepair environments, lead is released from batteries, solder, and painted components, contaminating soil and inhalable dust (Gupta et al., 2020).</w:t>
      </w:r>
    </w:p>
    <w:p>
      <w:pPr>
        <w:pStyle w:val="BodyText"/>
        <w:spacing w:line="496" w:lineRule="auto" w:before="151"/>
        <w:ind w:left="1167" w:right="1776" w:hanging="13"/>
        <w:jc w:val="both"/>
      </w:pPr>
      <w:r>
        <w:rPr/>
        <w:t>Cadmium (Cd) is another hazardous metal prevalent in vehicle batteries and brake systems.</w:t>
      </w:r>
      <w:r>
        <w:rPr>
          <w:spacing w:val="-4"/>
        </w:rPr>
        <w:t> </w:t>
      </w:r>
      <w:r>
        <w:rPr/>
        <w:t>The</w:t>
      </w:r>
      <w:r>
        <w:rPr>
          <w:spacing w:val="-4"/>
        </w:rPr>
        <w:t> </w:t>
      </w:r>
      <w:r>
        <w:rPr/>
        <w:t>IARC</w:t>
      </w:r>
      <w:r>
        <w:rPr>
          <w:spacing w:val="-1"/>
        </w:rPr>
        <w:t> </w:t>
      </w:r>
      <w:r>
        <w:rPr/>
        <w:t>(2019)</w:t>
      </w:r>
      <w:r>
        <w:rPr>
          <w:spacing w:val="-3"/>
        </w:rPr>
        <w:t> </w:t>
      </w:r>
      <w:r>
        <w:rPr/>
        <w:t>classifies cadmium</w:t>
      </w:r>
      <w:r>
        <w:rPr>
          <w:spacing w:val="-1"/>
        </w:rPr>
        <w:t> </w:t>
      </w:r>
      <w:r>
        <w:rPr/>
        <w:t>and</w:t>
      </w:r>
      <w:r>
        <w:rPr>
          <w:spacing w:val="-3"/>
        </w:rPr>
        <w:t> </w:t>
      </w:r>
      <w:r>
        <w:rPr/>
        <w:t>cadmium</w:t>
      </w:r>
      <w:r>
        <w:rPr>
          <w:spacing w:val="-1"/>
        </w:rPr>
        <w:t> </w:t>
      </w:r>
      <w:r>
        <w:rPr/>
        <w:t>compounds as</w:t>
      </w:r>
      <w:r>
        <w:rPr>
          <w:spacing w:val="-1"/>
        </w:rPr>
        <w:t> </w:t>
      </w:r>
      <w:r>
        <w:rPr/>
        <w:t>carcinogenic to humans (Group 1), associated with prostate and lung cancers. Chronic cadmium exposure</w:t>
      </w:r>
      <w:r>
        <w:rPr>
          <w:spacing w:val="18"/>
        </w:rPr>
        <w:t> </w:t>
      </w:r>
      <w:r>
        <w:rPr/>
        <w:t>primarily</w:t>
      </w:r>
      <w:r>
        <w:rPr>
          <w:spacing w:val="21"/>
        </w:rPr>
        <w:t> </w:t>
      </w:r>
      <w:r>
        <w:rPr/>
        <w:t>affects</w:t>
      </w:r>
      <w:r>
        <w:rPr>
          <w:spacing w:val="21"/>
        </w:rPr>
        <w:t> </w:t>
      </w:r>
      <w:r>
        <w:rPr/>
        <w:t>the</w:t>
      </w:r>
      <w:r>
        <w:rPr>
          <w:spacing w:val="20"/>
        </w:rPr>
        <w:t> </w:t>
      </w:r>
      <w:r>
        <w:rPr/>
        <w:t>kidneys</w:t>
      </w:r>
      <w:r>
        <w:rPr>
          <w:spacing w:val="20"/>
        </w:rPr>
        <w:t> </w:t>
      </w:r>
      <w:r>
        <w:rPr/>
        <w:t>and</w:t>
      </w:r>
      <w:r>
        <w:rPr>
          <w:spacing w:val="24"/>
        </w:rPr>
        <w:t> </w:t>
      </w:r>
      <w:r>
        <w:rPr/>
        <w:t>liver</w:t>
      </w:r>
      <w:r>
        <w:rPr>
          <w:spacing w:val="22"/>
        </w:rPr>
        <w:t> </w:t>
      </w:r>
      <w:r>
        <w:rPr/>
        <w:t>and</w:t>
      </w:r>
      <w:r>
        <w:rPr>
          <w:spacing w:val="21"/>
        </w:rPr>
        <w:t> </w:t>
      </w:r>
      <w:r>
        <w:rPr/>
        <w:t>may</w:t>
      </w:r>
      <w:r>
        <w:rPr>
          <w:spacing w:val="20"/>
        </w:rPr>
        <w:t> </w:t>
      </w:r>
      <w:r>
        <w:rPr/>
        <w:t>cause</w:t>
      </w:r>
      <w:r>
        <w:rPr>
          <w:spacing w:val="20"/>
        </w:rPr>
        <w:t> </w:t>
      </w:r>
      <w:r>
        <w:rPr/>
        <w:t>bone</w:t>
      </w:r>
      <w:r>
        <w:rPr>
          <w:spacing w:val="22"/>
        </w:rPr>
        <w:t> </w:t>
      </w:r>
      <w:r>
        <w:rPr>
          <w:spacing w:val="-2"/>
        </w:rPr>
        <w:t>demineralisation.</w:t>
      </w:r>
    </w:p>
    <w:p>
      <w:pPr>
        <w:pStyle w:val="BodyText"/>
        <w:spacing w:after="0" w:line="496" w:lineRule="auto"/>
        <w:jc w:val="both"/>
        <w:sectPr>
          <w:footerReference w:type="default" r:id="rId12"/>
          <w:pgSz w:w="12240" w:h="15840"/>
          <w:pgMar w:header="0" w:footer="1674" w:top="1460" w:bottom="1860" w:left="360" w:right="0"/>
        </w:sectPr>
      </w:pPr>
    </w:p>
    <w:p>
      <w:pPr>
        <w:pStyle w:val="BodyText"/>
        <w:spacing w:line="496" w:lineRule="auto" w:before="74"/>
        <w:ind w:left="1167" w:right="1776"/>
        <w:jc w:val="both"/>
      </w:pPr>
      <w:r>
        <w:rPr/>
        <w:t>Soil</w:t>
      </w:r>
      <w:r>
        <w:rPr>
          <w:spacing w:val="-5"/>
        </w:rPr>
        <w:t> </w:t>
      </w:r>
      <w:r>
        <w:rPr/>
        <w:t>contaminated</w:t>
      </w:r>
      <w:r>
        <w:rPr>
          <w:spacing w:val="-6"/>
        </w:rPr>
        <w:t> </w:t>
      </w:r>
      <w:r>
        <w:rPr/>
        <w:t>with</w:t>
      </w:r>
      <w:r>
        <w:rPr>
          <w:spacing w:val="-5"/>
        </w:rPr>
        <w:t> </w:t>
      </w:r>
      <w:r>
        <w:rPr/>
        <w:t>cadmium</w:t>
      </w:r>
      <w:r>
        <w:rPr>
          <w:spacing w:val="-5"/>
        </w:rPr>
        <w:t> </w:t>
      </w:r>
      <w:r>
        <w:rPr/>
        <w:t>from</w:t>
      </w:r>
      <w:r>
        <w:rPr>
          <w:spacing w:val="-5"/>
        </w:rPr>
        <w:t> </w:t>
      </w:r>
      <w:r>
        <w:rPr/>
        <w:t>auto</w:t>
      </w:r>
      <w:r>
        <w:rPr>
          <w:spacing w:val="-5"/>
        </w:rPr>
        <w:t> </w:t>
      </w:r>
      <w:r>
        <w:rPr/>
        <w:t>waste</w:t>
      </w:r>
      <w:r>
        <w:rPr>
          <w:spacing w:val="-2"/>
        </w:rPr>
        <w:t> </w:t>
      </w:r>
      <w:r>
        <w:rPr/>
        <w:t>can</w:t>
      </w:r>
      <w:r>
        <w:rPr>
          <w:spacing w:val="-6"/>
        </w:rPr>
        <w:t> </w:t>
      </w:r>
      <w:r>
        <w:rPr/>
        <w:t>leach</w:t>
      </w:r>
      <w:r>
        <w:rPr>
          <w:spacing w:val="-6"/>
        </w:rPr>
        <w:t> </w:t>
      </w:r>
      <w:r>
        <w:rPr/>
        <w:t>into</w:t>
      </w:r>
      <w:r>
        <w:rPr>
          <w:spacing w:val="-6"/>
        </w:rPr>
        <w:t> </w:t>
      </w:r>
      <w:r>
        <w:rPr/>
        <w:t>crops,</w:t>
      </w:r>
      <w:r>
        <w:rPr>
          <w:spacing w:val="-6"/>
        </w:rPr>
        <w:t> </w:t>
      </w:r>
      <w:r>
        <w:rPr/>
        <w:t>posing</w:t>
      </w:r>
      <w:r>
        <w:rPr>
          <w:spacing w:val="-6"/>
        </w:rPr>
        <w:t> </w:t>
      </w:r>
      <w:r>
        <w:rPr/>
        <w:t>food</w:t>
      </w:r>
      <w:r>
        <w:rPr>
          <w:spacing w:val="-6"/>
        </w:rPr>
        <w:t> </w:t>
      </w:r>
      <w:r>
        <w:rPr/>
        <w:t>chain risks (Yabe et al., 2021).</w:t>
      </w:r>
    </w:p>
    <w:p>
      <w:pPr>
        <w:pStyle w:val="BodyText"/>
        <w:spacing w:line="496" w:lineRule="auto" w:before="159"/>
        <w:ind w:left="1167" w:right="1769" w:hanging="13"/>
        <w:jc w:val="both"/>
      </w:pPr>
      <w:r>
        <w:rPr/>
        <w:t>Chromium (Cr), particularly hexavalent chromium (Cr⁶⁺), is used in coatings and engine parts. It causes respiratory tract irritation, skin ulcers, and allergic dermatitis. Cr⁶⁺ is classified as a Group 1 carcinogen by IARC and is linked to lung cancer in occupationally exposed individuals (IARC, 2018). Soil and water near auto-dismantling sites</w:t>
      </w:r>
      <w:r>
        <w:rPr>
          <w:spacing w:val="-2"/>
        </w:rPr>
        <w:t> </w:t>
      </w:r>
      <w:r>
        <w:rPr/>
        <w:t>have</w:t>
      </w:r>
      <w:r>
        <w:rPr>
          <w:spacing w:val="-3"/>
        </w:rPr>
        <w:t> </w:t>
      </w:r>
      <w:r>
        <w:rPr/>
        <w:t>shown</w:t>
      </w:r>
      <w:r>
        <w:rPr>
          <w:spacing w:val="-2"/>
        </w:rPr>
        <w:t> </w:t>
      </w:r>
      <w:r>
        <w:rPr/>
        <w:t>elevated chromium</w:t>
      </w:r>
      <w:r>
        <w:rPr>
          <w:spacing w:val="-1"/>
        </w:rPr>
        <w:t> </w:t>
      </w:r>
      <w:r>
        <w:rPr/>
        <w:t>levels,</w:t>
      </w:r>
      <w:r>
        <w:rPr>
          <w:spacing w:val="-1"/>
        </w:rPr>
        <w:t> </w:t>
      </w:r>
      <w:r>
        <w:rPr/>
        <w:t>impairing</w:t>
      </w:r>
      <w:r>
        <w:rPr>
          <w:spacing w:val="-2"/>
        </w:rPr>
        <w:t> </w:t>
      </w:r>
      <w:r>
        <w:rPr/>
        <w:t>microbial</w:t>
      </w:r>
      <w:r>
        <w:rPr>
          <w:spacing w:val="-1"/>
        </w:rPr>
        <w:t> </w:t>
      </w:r>
      <w:r>
        <w:rPr/>
        <w:t>soil</w:t>
      </w:r>
      <w:r>
        <w:rPr>
          <w:spacing w:val="-1"/>
        </w:rPr>
        <w:t> </w:t>
      </w:r>
      <w:r>
        <w:rPr/>
        <w:t>health</w:t>
      </w:r>
      <w:r>
        <w:rPr>
          <w:spacing w:val="-2"/>
        </w:rPr>
        <w:t> </w:t>
      </w:r>
      <w:r>
        <w:rPr/>
        <w:t>and</w:t>
      </w:r>
      <w:r>
        <w:rPr>
          <w:spacing w:val="-2"/>
        </w:rPr>
        <w:t> </w:t>
      </w:r>
      <w:r>
        <w:rPr/>
        <w:t>affecting groundwater quality (Eze et al., 2022).</w:t>
      </w:r>
    </w:p>
    <w:p>
      <w:pPr>
        <w:pStyle w:val="BodyText"/>
        <w:spacing w:line="494" w:lineRule="auto" w:before="155"/>
        <w:ind w:left="1167" w:right="1770" w:hanging="13"/>
        <w:jc w:val="both"/>
      </w:pPr>
      <w:r>
        <w:rPr/>
        <w:t>Nickel (Ni) is widely used in automotive alloys. Long-term inhalation of nickel dust or fumes</w:t>
      </w:r>
      <w:r>
        <w:rPr>
          <w:spacing w:val="-1"/>
        </w:rPr>
        <w:t> </w:t>
      </w:r>
      <w:r>
        <w:rPr/>
        <w:t>can</w:t>
      </w:r>
      <w:r>
        <w:rPr>
          <w:spacing w:val="-1"/>
        </w:rPr>
        <w:t> </w:t>
      </w:r>
      <w:r>
        <w:rPr/>
        <w:t>cause</w:t>
      </w:r>
      <w:r>
        <w:rPr>
          <w:spacing w:val="-2"/>
        </w:rPr>
        <w:t> </w:t>
      </w:r>
      <w:r>
        <w:rPr/>
        <w:t>respiratory</w:t>
      </w:r>
      <w:r>
        <w:rPr>
          <w:spacing w:val="-2"/>
        </w:rPr>
        <w:t> </w:t>
      </w:r>
      <w:r>
        <w:rPr/>
        <w:t>ailments,</w:t>
      </w:r>
      <w:r>
        <w:rPr>
          <w:spacing w:val="-1"/>
        </w:rPr>
        <w:t> </w:t>
      </w:r>
      <w:r>
        <w:rPr/>
        <w:t>such</w:t>
      </w:r>
      <w:r>
        <w:rPr>
          <w:spacing w:val="-1"/>
        </w:rPr>
        <w:t> </w:t>
      </w:r>
      <w:r>
        <w:rPr/>
        <w:t>as</w:t>
      </w:r>
      <w:r>
        <w:rPr>
          <w:spacing w:val="-1"/>
        </w:rPr>
        <w:t> </w:t>
      </w:r>
      <w:r>
        <w:rPr/>
        <w:t>bronchitis</w:t>
      </w:r>
      <w:r>
        <w:rPr>
          <w:spacing w:val="-1"/>
        </w:rPr>
        <w:t> </w:t>
      </w:r>
      <w:r>
        <w:rPr/>
        <w:t>and</w:t>
      </w:r>
      <w:r>
        <w:rPr>
          <w:spacing w:val="-1"/>
        </w:rPr>
        <w:t> </w:t>
      </w:r>
      <w:r>
        <w:rPr/>
        <w:t>asthma,</w:t>
      </w:r>
      <w:r>
        <w:rPr>
          <w:spacing w:val="-1"/>
        </w:rPr>
        <w:t> </w:t>
      </w:r>
      <w:r>
        <w:rPr/>
        <w:t>and</w:t>
      </w:r>
      <w:r>
        <w:rPr>
          <w:spacing w:val="-1"/>
        </w:rPr>
        <w:t> </w:t>
      </w:r>
      <w:r>
        <w:rPr/>
        <w:t>is</w:t>
      </w:r>
      <w:r>
        <w:rPr>
          <w:spacing w:val="-3"/>
        </w:rPr>
        <w:t> </w:t>
      </w:r>
      <w:r>
        <w:rPr/>
        <w:t>a</w:t>
      </w:r>
      <w:r>
        <w:rPr>
          <w:spacing w:val="-2"/>
        </w:rPr>
        <w:t> </w:t>
      </w:r>
      <w:r>
        <w:rPr/>
        <w:t>known</w:t>
      </w:r>
      <w:r>
        <w:rPr>
          <w:spacing w:val="-2"/>
        </w:rPr>
        <w:t> </w:t>
      </w:r>
      <w:r>
        <w:rPr/>
        <w:t>skin sensitiser (WHO, 2020). The IARC classifies certain nickel compounds as carcinogenic (Group 1), especially in the context of occupational exposure (IARC, 2020).</w:t>
      </w:r>
    </w:p>
    <w:p>
      <w:pPr>
        <w:pStyle w:val="BodyText"/>
        <w:spacing w:line="496" w:lineRule="auto" w:before="167"/>
        <w:ind w:left="1167" w:right="1774" w:hanging="13"/>
        <w:jc w:val="both"/>
      </w:pPr>
      <w:r>
        <w:rPr/>
        <w:t>Zinc (Zn), though essential in trace amounts, can be harmful at elevated levels. Automobile tyres and oils are major sources. Excess zinc in the environment leads to phytotoxicity and alters soil microbial activity, reducing crop productivity. In humans, excessive ingestion can cause gastrointestinal irritation and disrupt copper metabolism (Liang et al., 2019).</w:t>
      </w:r>
    </w:p>
    <w:p>
      <w:pPr>
        <w:pStyle w:val="BodyText"/>
        <w:spacing w:line="496" w:lineRule="auto" w:before="156"/>
        <w:ind w:left="1167" w:right="1774" w:hanging="13"/>
        <w:jc w:val="both"/>
      </w:pPr>
      <w:r>
        <w:rPr/>
        <w:t>Environmental contamination from these metals affects terrestrial and aquatic systems. Soils</w:t>
      </w:r>
      <w:r>
        <w:rPr>
          <w:spacing w:val="34"/>
        </w:rPr>
        <w:t> </w:t>
      </w:r>
      <w:r>
        <w:rPr/>
        <w:t>around</w:t>
      </w:r>
      <w:r>
        <w:rPr>
          <w:spacing w:val="34"/>
        </w:rPr>
        <w:t> </w:t>
      </w:r>
      <w:r>
        <w:rPr/>
        <w:t>automobile</w:t>
      </w:r>
      <w:r>
        <w:rPr>
          <w:spacing w:val="31"/>
        </w:rPr>
        <w:t> </w:t>
      </w:r>
      <w:r>
        <w:rPr/>
        <w:t>repair</w:t>
      </w:r>
      <w:r>
        <w:rPr>
          <w:spacing w:val="33"/>
        </w:rPr>
        <w:t> </w:t>
      </w:r>
      <w:r>
        <w:rPr/>
        <w:t>hubs</w:t>
      </w:r>
      <w:r>
        <w:rPr>
          <w:spacing w:val="35"/>
        </w:rPr>
        <w:t> </w:t>
      </w:r>
      <w:r>
        <w:rPr/>
        <w:t>have</w:t>
      </w:r>
      <w:r>
        <w:rPr>
          <w:spacing w:val="33"/>
        </w:rPr>
        <w:t> </w:t>
      </w:r>
      <w:r>
        <w:rPr/>
        <w:t>shown</w:t>
      </w:r>
      <w:r>
        <w:rPr>
          <w:spacing w:val="36"/>
        </w:rPr>
        <w:t> </w:t>
      </w:r>
      <w:r>
        <w:rPr/>
        <w:t>reduced</w:t>
      </w:r>
      <w:r>
        <w:rPr>
          <w:spacing w:val="34"/>
        </w:rPr>
        <w:t> </w:t>
      </w:r>
      <w:r>
        <w:rPr/>
        <w:t>fertility</w:t>
      </w:r>
      <w:r>
        <w:rPr>
          <w:spacing w:val="35"/>
        </w:rPr>
        <w:t> </w:t>
      </w:r>
      <w:r>
        <w:rPr/>
        <w:t>due</w:t>
      </w:r>
      <w:r>
        <w:rPr>
          <w:spacing w:val="33"/>
        </w:rPr>
        <w:t> </w:t>
      </w:r>
      <w:r>
        <w:rPr/>
        <w:t>to</w:t>
      </w:r>
      <w:r>
        <w:rPr>
          <w:spacing w:val="35"/>
        </w:rPr>
        <w:t> </w:t>
      </w:r>
      <w:r>
        <w:rPr/>
        <w:t>heavy</w:t>
      </w:r>
      <w:r>
        <w:rPr>
          <w:spacing w:val="33"/>
        </w:rPr>
        <w:t> </w:t>
      </w:r>
      <w:r>
        <w:rPr>
          <w:spacing w:val="-2"/>
        </w:rPr>
        <w:t>metal</w:t>
      </w:r>
    </w:p>
    <w:p>
      <w:pPr>
        <w:pStyle w:val="BodyText"/>
        <w:spacing w:after="0" w:line="496" w:lineRule="auto"/>
        <w:jc w:val="both"/>
        <w:sectPr>
          <w:footerReference w:type="default" r:id="rId13"/>
          <w:pgSz w:w="12240" w:h="15840"/>
          <w:pgMar w:header="0" w:footer="1674" w:top="1460" w:bottom="1860" w:left="360" w:right="0"/>
          <w:pgNumType w:start="1"/>
        </w:sectPr>
      </w:pPr>
    </w:p>
    <w:p>
      <w:pPr>
        <w:pStyle w:val="BodyText"/>
        <w:spacing w:line="496" w:lineRule="auto" w:before="74"/>
        <w:ind w:left="1167" w:right="1775"/>
        <w:jc w:val="both"/>
      </w:pPr>
      <w:r>
        <w:rPr/>
        <w:t>accumulation, leading to bioaccumulation in plants and contamination of the food chain (Bortey-Sam et al., 2020). Leaching of metals into groundwater poses additional public health risks, particularly in peri-urban areas with informal dismantling operations.</w:t>
      </w:r>
    </w:p>
    <w:p>
      <w:pPr>
        <w:pStyle w:val="BodyText"/>
        <w:spacing w:line="496" w:lineRule="auto" w:before="158"/>
        <w:ind w:left="1167" w:right="1770" w:hanging="13"/>
        <w:jc w:val="both"/>
      </w:pPr>
      <w:r>
        <w:rPr/>
        <w:t>Understanding these effects underscores the need for proper environmental and occupational</w:t>
      </w:r>
      <w:r>
        <w:rPr>
          <w:spacing w:val="-2"/>
        </w:rPr>
        <w:t> </w:t>
      </w:r>
      <w:r>
        <w:rPr/>
        <w:t>safety</w:t>
      </w:r>
      <w:r>
        <w:rPr>
          <w:spacing w:val="-2"/>
        </w:rPr>
        <w:t> </w:t>
      </w:r>
      <w:r>
        <w:rPr/>
        <w:t>protocols</w:t>
      </w:r>
      <w:r>
        <w:rPr>
          <w:spacing w:val="-2"/>
        </w:rPr>
        <w:t> </w:t>
      </w:r>
      <w:r>
        <w:rPr/>
        <w:t>in</w:t>
      </w:r>
      <w:r>
        <w:rPr>
          <w:spacing w:val="-2"/>
        </w:rPr>
        <w:t> </w:t>
      </w:r>
      <w:r>
        <w:rPr/>
        <w:t>markets</w:t>
      </w:r>
      <w:r>
        <w:rPr>
          <w:spacing w:val="-2"/>
        </w:rPr>
        <w:t> </w:t>
      </w:r>
      <w:r>
        <w:rPr/>
        <w:t>such</w:t>
      </w:r>
      <w:r>
        <w:rPr>
          <w:spacing w:val="-3"/>
        </w:rPr>
        <w:t> </w:t>
      </w:r>
      <w:r>
        <w:rPr/>
        <w:t>as</w:t>
      </w:r>
      <w:r>
        <w:rPr>
          <w:spacing w:val="-3"/>
        </w:rPr>
        <w:t> </w:t>
      </w:r>
      <w:r>
        <w:rPr/>
        <w:t>IPATA,</w:t>
      </w:r>
      <w:r>
        <w:rPr>
          <w:spacing w:val="-3"/>
        </w:rPr>
        <w:t> </w:t>
      </w:r>
      <w:r>
        <w:rPr/>
        <w:t>where</w:t>
      </w:r>
      <w:r>
        <w:rPr>
          <w:spacing w:val="-5"/>
        </w:rPr>
        <w:t> </w:t>
      </w:r>
      <w:r>
        <w:rPr/>
        <w:t>informal</w:t>
      </w:r>
      <w:r>
        <w:rPr>
          <w:spacing w:val="-3"/>
        </w:rPr>
        <w:t> </w:t>
      </w:r>
      <w:r>
        <w:rPr/>
        <w:t>automobile</w:t>
      </w:r>
      <w:r>
        <w:rPr>
          <w:spacing w:val="-3"/>
        </w:rPr>
        <w:t> </w:t>
      </w:r>
      <w:r>
        <w:rPr/>
        <w:t>part trade and dismantling are prevalent.</w:t>
      </w:r>
    </w:p>
    <w:p>
      <w:pPr>
        <w:pStyle w:val="Heading1"/>
        <w:numPr>
          <w:ilvl w:val="1"/>
          <w:numId w:val="5"/>
        </w:numPr>
        <w:tabs>
          <w:tab w:pos="1167" w:val="left" w:leader="none"/>
          <w:tab w:pos="1520" w:val="left" w:leader="none"/>
        </w:tabs>
        <w:spacing w:line="482" w:lineRule="auto" w:before="158" w:after="0"/>
        <w:ind w:left="1167" w:right="2309" w:hanging="13"/>
        <w:jc w:val="left"/>
      </w:pPr>
      <w:r>
        <w:rPr/>
        <w:t>ANALYTICAL</w:t>
      </w:r>
      <w:r>
        <w:rPr>
          <w:spacing w:val="-14"/>
        </w:rPr>
        <w:t> </w:t>
      </w:r>
      <w:r>
        <w:rPr/>
        <w:t>TECHNIQUES FOR DETECTING HEAVY</w:t>
      </w:r>
      <w:r>
        <w:rPr>
          <w:spacing w:val="-2"/>
        </w:rPr>
        <w:t> </w:t>
      </w:r>
      <w:r>
        <w:rPr/>
        <w:t>METALS IN </w:t>
      </w:r>
      <w:r>
        <w:rPr>
          <w:spacing w:val="-2"/>
        </w:rPr>
        <w:t>SOLIDS</w:t>
      </w:r>
    </w:p>
    <w:p>
      <w:pPr>
        <w:pStyle w:val="BodyText"/>
        <w:spacing w:line="494" w:lineRule="auto" w:before="176"/>
        <w:ind w:left="1167" w:right="1771" w:hanging="13"/>
        <w:jc w:val="both"/>
      </w:pPr>
      <w:r>
        <w:rPr/>
        <w:t>Accurate determination of heavy metal concentrations in automobile parts and contaminated solids requires robust analytical techniques. This section discusses widely used methodologies for assessing heavy metals, especially in solid waste and metallic </w:t>
      </w:r>
      <w:r>
        <w:rPr>
          <w:spacing w:val="-2"/>
        </w:rPr>
        <w:t>residues.</w:t>
      </w:r>
    </w:p>
    <w:p>
      <w:pPr>
        <w:pStyle w:val="Heading2"/>
        <w:spacing w:before="166"/>
        <w:jc w:val="both"/>
      </w:pPr>
      <w:r>
        <w:rPr/>
        <w:t>Sample</w:t>
      </w:r>
      <w:r>
        <w:rPr>
          <w:spacing w:val="13"/>
        </w:rPr>
        <w:t> </w:t>
      </w:r>
      <w:r>
        <w:rPr/>
        <w:t>Collection</w:t>
      </w:r>
      <w:r>
        <w:rPr>
          <w:spacing w:val="13"/>
        </w:rPr>
        <w:t> </w:t>
      </w:r>
      <w:r>
        <w:rPr/>
        <w:t>and</w:t>
      </w:r>
      <w:r>
        <w:rPr>
          <w:spacing w:val="11"/>
        </w:rPr>
        <w:t> </w:t>
      </w:r>
      <w:r>
        <w:rPr>
          <w:spacing w:val="-2"/>
        </w:rPr>
        <w:t>Preparation</w:t>
      </w:r>
    </w:p>
    <w:p>
      <w:pPr>
        <w:pStyle w:val="BodyText"/>
        <w:spacing w:before="185"/>
        <w:rPr>
          <w:b/>
        </w:rPr>
      </w:pPr>
    </w:p>
    <w:p>
      <w:pPr>
        <w:pStyle w:val="BodyText"/>
        <w:spacing w:line="494" w:lineRule="auto"/>
        <w:ind w:left="1155" w:right="1819"/>
      </w:pPr>
      <w:r>
        <w:rPr/>
        <w:t>Effective analysis begins with representative sampling and appropriate preparation. Samples are usually dried, ground, and digested using acid mixtures (commonly HNO₃</w:t>
      </w:r>
      <w:r>
        <w:rPr>
          <w:spacing w:val="40"/>
        </w:rPr>
        <w:t> </w:t>
      </w:r>
      <w:r>
        <w:rPr/>
        <w:t>or aqua regia) to extract metal ions for analysis.</w:t>
      </w:r>
      <w:r>
        <w:rPr>
          <w:spacing w:val="-2"/>
        </w:rPr>
        <w:t> </w:t>
      </w:r>
      <w:r>
        <w:rPr/>
        <w:t>This pre-treatment ensures homogeneity and consistent analytical outcomes (Okoro et al., 2021).</w:t>
      </w:r>
    </w:p>
    <w:p>
      <w:pPr>
        <w:pStyle w:val="BodyText"/>
        <w:spacing w:after="0" w:line="494" w:lineRule="auto"/>
        <w:sectPr>
          <w:pgSz w:w="12240" w:h="15840"/>
          <w:pgMar w:header="0" w:footer="1674" w:top="1460" w:bottom="1860" w:left="360" w:right="0"/>
        </w:sectPr>
      </w:pPr>
    </w:p>
    <w:p>
      <w:pPr>
        <w:pStyle w:val="Heading2"/>
      </w:pPr>
      <w:r>
        <w:rPr/>
        <w:t>Atomic</w:t>
      </w:r>
      <w:r>
        <w:rPr>
          <w:spacing w:val="2"/>
        </w:rPr>
        <w:t> </w:t>
      </w:r>
      <w:r>
        <w:rPr/>
        <w:t>Absorption</w:t>
      </w:r>
      <w:r>
        <w:rPr>
          <w:spacing w:val="20"/>
        </w:rPr>
        <w:t> </w:t>
      </w:r>
      <w:r>
        <w:rPr/>
        <w:t>Spectroscopy</w:t>
      </w:r>
      <w:r>
        <w:rPr>
          <w:spacing w:val="20"/>
        </w:rPr>
        <w:t> </w:t>
      </w:r>
      <w:r>
        <w:rPr>
          <w:spacing w:val="-2"/>
        </w:rPr>
        <w:t>(AAS)</w:t>
      </w:r>
    </w:p>
    <w:p>
      <w:pPr>
        <w:pStyle w:val="BodyText"/>
        <w:spacing w:before="182"/>
        <w:rPr>
          <w:b/>
        </w:rPr>
      </w:pPr>
    </w:p>
    <w:p>
      <w:pPr>
        <w:pStyle w:val="BodyText"/>
        <w:spacing w:line="496" w:lineRule="auto"/>
        <w:ind w:left="1167" w:right="1773" w:hanging="13"/>
        <w:jc w:val="both"/>
      </w:pPr>
      <w:r>
        <w:rPr/>
        <w:t>AAS remains a gold-standard method for quantifying heavy metals in environmental samples due to its specificity, low detection limits, and cost-effectiveness. It is particularly suited to low-resource settings. However, it requires meticulous calibration and can only analyse one element at a time (Yakubu et al., 2020).</w:t>
      </w:r>
    </w:p>
    <w:p>
      <w:pPr>
        <w:pStyle w:val="Heading2"/>
        <w:spacing w:before="158"/>
      </w:pPr>
      <w:r>
        <w:rPr/>
        <w:t>Inductively</w:t>
      </w:r>
      <w:r>
        <w:rPr>
          <w:spacing w:val="16"/>
        </w:rPr>
        <w:t> </w:t>
      </w:r>
      <w:r>
        <w:rPr/>
        <w:t>Coupled</w:t>
      </w:r>
      <w:r>
        <w:rPr>
          <w:spacing w:val="18"/>
        </w:rPr>
        <w:t> </w:t>
      </w:r>
      <w:r>
        <w:rPr/>
        <w:t>Plasma</w:t>
      </w:r>
      <w:r>
        <w:rPr>
          <w:spacing w:val="19"/>
        </w:rPr>
        <w:t> </w:t>
      </w:r>
      <w:r>
        <w:rPr/>
        <w:t>Mass</w:t>
      </w:r>
      <w:r>
        <w:rPr>
          <w:spacing w:val="18"/>
        </w:rPr>
        <w:t> </w:t>
      </w:r>
      <w:r>
        <w:rPr/>
        <w:t>Spectrometry</w:t>
      </w:r>
      <w:r>
        <w:rPr>
          <w:spacing w:val="19"/>
        </w:rPr>
        <w:t> </w:t>
      </w:r>
      <w:r>
        <w:rPr/>
        <w:t>(ICP-</w:t>
      </w:r>
      <w:r>
        <w:rPr>
          <w:spacing w:val="-5"/>
        </w:rPr>
        <w:t>MS)</w:t>
      </w:r>
    </w:p>
    <w:p>
      <w:pPr>
        <w:pStyle w:val="BodyText"/>
        <w:spacing w:before="185"/>
        <w:rPr>
          <w:b/>
        </w:rPr>
      </w:pPr>
    </w:p>
    <w:p>
      <w:pPr>
        <w:pStyle w:val="BodyText"/>
        <w:spacing w:line="494" w:lineRule="auto"/>
        <w:ind w:left="1167" w:right="1773" w:hanging="13"/>
        <w:jc w:val="both"/>
      </w:pPr>
      <w:r>
        <w:rPr/>
        <w:t>ICP-MS offers ultra-trace detection levels and multi-element analysis, making it ideal</w:t>
      </w:r>
      <w:r>
        <w:rPr>
          <w:spacing w:val="80"/>
        </w:rPr>
        <w:t> </w:t>
      </w:r>
      <w:r>
        <w:rPr/>
        <w:t>for complex matrices such as alloy fragments and soil. Its high sensitivity and broad dynamic range make it widely used in academic and industrial laboratories. However,</w:t>
      </w:r>
      <w:r>
        <w:rPr>
          <w:spacing w:val="40"/>
        </w:rPr>
        <w:t> </w:t>
      </w:r>
      <w:r>
        <w:rPr/>
        <w:t>the high operational and maintenance costs limit its applicability in developing countries (Tang et al., 2019).</w:t>
      </w:r>
    </w:p>
    <w:p>
      <w:pPr>
        <w:pStyle w:val="Heading2"/>
        <w:spacing w:before="168"/>
      </w:pPr>
      <w:r>
        <w:rPr/>
        <w:t>X-Ray</w:t>
      </w:r>
      <w:r>
        <w:rPr>
          <w:spacing w:val="16"/>
        </w:rPr>
        <w:t> </w:t>
      </w:r>
      <w:r>
        <w:rPr/>
        <w:t>Fluorescence</w:t>
      </w:r>
      <w:r>
        <w:rPr>
          <w:spacing w:val="17"/>
        </w:rPr>
        <w:t> </w:t>
      </w:r>
      <w:r>
        <w:rPr>
          <w:spacing w:val="-2"/>
        </w:rPr>
        <w:t>(XRF)</w:t>
      </w:r>
    </w:p>
    <w:p>
      <w:pPr>
        <w:pStyle w:val="BodyText"/>
        <w:spacing w:before="185"/>
        <w:rPr>
          <w:b/>
        </w:rPr>
      </w:pPr>
    </w:p>
    <w:p>
      <w:pPr>
        <w:pStyle w:val="BodyText"/>
        <w:spacing w:line="494" w:lineRule="auto"/>
        <w:ind w:left="1167" w:right="1770" w:hanging="13"/>
        <w:jc w:val="both"/>
      </w:pPr>
      <w:r>
        <w:rPr/>
        <w:t>XRF is a non-destructive, rapid method that requires minimal sample preparation. It is particularly effective for solid metallic samples and is increasingly adopted for field screening. Although less sensitive than ICP-MS, portable XRF devices enable on-site analysis of automobile components and contaminated soils (Ezeonu et al., 2022).</w:t>
      </w:r>
    </w:p>
    <w:p>
      <w:pPr>
        <w:pStyle w:val="BodyText"/>
        <w:spacing w:line="496" w:lineRule="auto" w:before="167"/>
        <w:ind w:left="1167" w:right="1775" w:hanging="13"/>
        <w:jc w:val="both"/>
      </w:pPr>
      <w:r>
        <w:rPr/>
        <w:t>In contexts like IPATA Market, combining XRF and AAS allows preliminary field assessment</w:t>
      </w:r>
      <w:r>
        <w:rPr>
          <w:spacing w:val="42"/>
        </w:rPr>
        <w:t> </w:t>
      </w:r>
      <w:r>
        <w:rPr/>
        <w:t>followed</w:t>
      </w:r>
      <w:r>
        <w:rPr>
          <w:spacing w:val="45"/>
        </w:rPr>
        <w:t> </w:t>
      </w:r>
      <w:r>
        <w:rPr/>
        <w:t>by</w:t>
      </w:r>
      <w:r>
        <w:rPr>
          <w:spacing w:val="46"/>
        </w:rPr>
        <w:t> </w:t>
      </w:r>
      <w:r>
        <w:rPr/>
        <w:t>confirmatory</w:t>
      </w:r>
      <w:r>
        <w:rPr>
          <w:spacing w:val="45"/>
        </w:rPr>
        <w:t> </w:t>
      </w:r>
      <w:r>
        <w:rPr/>
        <w:t>laboratory</w:t>
      </w:r>
      <w:r>
        <w:rPr>
          <w:spacing w:val="45"/>
        </w:rPr>
        <w:t> </w:t>
      </w:r>
      <w:r>
        <w:rPr/>
        <w:t>analysis.</w:t>
      </w:r>
      <w:r>
        <w:rPr>
          <w:spacing w:val="42"/>
        </w:rPr>
        <w:t> </w:t>
      </w:r>
      <w:r>
        <w:rPr/>
        <w:t>Nonetheless,</w:t>
      </w:r>
      <w:r>
        <w:rPr>
          <w:spacing w:val="44"/>
        </w:rPr>
        <w:t> </w:t>
      </w:r>
      <w:r>
        <w:rPr/>
        <w:t>local</w:t>
      </w:r>
      <w:r>
        <w:rPr>
          <w:spacing w:val="44"/>
        </w:rPr>
        <w:t> </w:t>
      </w:r>
      <w:r>
        <w:rPr>
          <w:spacing w:val="-2"/>
        </w:rPr>
        <w:t>capacity</w:t>
      </w:r>
    </w:p>
    <w:p>
      <w:pPr>
        <w:pStyle w:val="BodyText"/>
        <w:spacing w:after="0" w:line="496" w:lineRule="auto"/>
        <w:jc w:val="both"/>
        <w:sectPr>
          <w:pgSz w:w="12240" w:h="15840"/>
          <w:pgMar w:header="0" w:footer="1674" w:top="1460" w:bottom="1860" w:left="360" w:right="0"/>
        </w:sectPr>
      </w:pPr>
    </w:p>
    <w:p>
      <w:pPr>
        <w:pStyle w:val="BodyText"/>
        <w:spacing w:line="496" w:lineRule="auto" w:before="74"/>
        <w:ind w:left="1167" w:right="1773"/>
        <w:jc w:val="both"/>
      </w:pPr>
      <w:r>
        <w:rPr/>
        <w:t>limitations—such as inadequate infrastructure, lack of skilled personnel, and equipment maintenance—pose barriers to widespread deployment.</w:t>
      </w:r>
    </w:p>
    <w:p>
      <w:pPr>
        <w:pStyle w:val="BodyText"/>
        <w:spacing w:line="496" w:lineRule="auto" w:before="159"/>
        <w:ind w:left="1167" w:right="1769" w:hanging="13"/>
        <w:jc w:val="both"/>
      </w:pPr>
      <w:r>
        <w:rPr/>
        <w:t>Continued development of portable, low-cost detection tools remains crucial for enhancing environmental monitoring in auto-related industries in Nigeria and other low- and middleincome countries (LMICs).</w:t>
      </w:r>
    </w:p>
    <w:p>
      <w:pPr>
        <w:pStyle w:val="Heading1"/>
        <w:numPr>
          <w:ilvl w:val="1"/>
          <w:numId w:val="5"/>
        </w:numPr>
        <w:tabs>
          <w:tab w:pos="1767" w:val="left" w:leader="none"/>
          <w:tab w:pos="3297" w:val="left" w:leader="none"/>
          <w:tab w:pos="5592" w:val="left" w:leader="none"/>
          <w:tab w:pos="6357" w:val="left" w:leader="none"/>
        </w:tabs>
        <w:spacing w:line="499" w:lineRule="auto" w:before="191" w:after="0"/>
        <w:ind w:left="1767" w:right="2477" w:hanging="612"/>
        <w:jc w:val="left"/>
      </w:pPr>
      <w:r>
        <w:rPr>
          <w:spacing w:val="-2"/>
        </w:rPr>
        <w:t>GLOBAL</w:t>
      </w:r>
      <w:r>
        <w:rPr/>
        <w:tab/>
      </w:r>
      <w:r>
        <w:rPr>
          <w:spacing w:val="-2"/>
        </w:rPr>
        <w:t>PERSPECTIVES</w:t>
      </w:r>
      <w:r>
        <w:rPr/>
        <w:tab/>
      </w:r>
      <w:r>
        <w:rPr>
          <w:spacing w:val="-6"/>
        </w:rPr>
        <w:t>ON</w:t>
      </w:r>
      <w:r>
        <w:rPr/>
        <w:tab/>
      </w:r>
      <w:r>
        <w:rPr>
          <w:spacing w:val="-2"/>
        </w:rPr>
        <w:t>AUTOMOBILE-DERIVED </w:t>
      </w:r>
      <w:r>
        <w:rPr/>
        <w:t>METAL</w:t>
      </w:r>
      <w:r>
        <w:rPr>
          <w:spacing w:val="-6"/>
        </w:rPr>
        <w:t> </w:t>
      </w:r>
      <w:r>
        <w:rPr/>
        <w:t>POLLUTION</w:t>
      </w:r>
    </w:p>
    <w:p>
      <w:pPr>
        <w:pStyle w:val="BodyText"/>
        <w:spacing w:line="496" w:lineRule="auto" w:before="151"/>
        <w:ind w:left="1167" w:right="1774" w:hanging="13"/>
        <w:jc w:val="both"/>
      </w:pPr>
      <w:r>
        <w:rPr/>
        <w:t>The environmental burden of automobile-derived heavy metals is a global concern, particularly in urban centres with large vehicle populations and auto-repair clusters. Crosscountry</w:t>
      </w:r>
      <w:r>
        <w:rPr>
          <w:spacing w:val="-3"/>
        </w:rPr>
        <w:t> </w:t>
      </w:r>
      <w:r>
        <w:rPr/>
        <w:t>studies</w:t>
      </w:r>
      <w:r>
        <w:rPr>
          <w:spacing w:val="-2"/>
        </w:rPr>
        <w:t> </w:t>
      </w:r>
      <w:r>
        <w:rPr/>
        <w:t>reveal</w:t>
      </w:r>
      <w:r>
        <w:rPr>
          <w:spacing w:val="-2"/>
        </w:rPr>
        <w:t> </w:t>
      </w:r>
      <w:r>
        <w:rPr/>
        <w:t>varied contamination</w:t>
      </w:r>
      <w:r>
        <w:rPr>
          <w:spacing w:val="-2"/>
        </w:rPr>
        <w:t> </w:t>
      </w:r>
      <w:r>
        <w:rPr/>
        <w:t>levels</w:t>
      </w:r>
      <w:r>
        <w:rPr>
          <w:spacing w:val="-2"/>
        </w:rPr>
        <w:t> </w:t>
      </w:r>
      <w:r>
        <w:rPr/>
        <w:t>shaped by</w:t>
      </w:r>
      <w:r>
        <w:rPr>
          <w:spacing w:val="-3"/>
        </w:rPr>
        <w:t> </w:t>
      </w:r>
      <w:r>
        <w:rPr/>
        <w:t>regulatory,</w:t>
      </w:r>
      <w:r>
        <w:rPr>
          <w:spacing w:val="-3"/>
        </w:rPr>
        <w:t> </w:t>
      </w:r>
      <w:r>
        <w:rPr/>
        <w:t>economic, and technological contexts.</w:t>
      </w:r>
    </w:p>
    <w:p>
      <w:pPr>
        <w:pStyle w:val="BodyText"/>
        <w:spacing w:line="496" w:lineRule="auto" w:before="157"/>
        <w:ind w:left="1167" w:right="1770" w:hanging="13"/>
        <w:jc w:val="both"/>
      </w:pPr>
      <w:r>
        <w:rPr/>
        <w:t>In</w:t>
      </w:r>
      <w:r>
        <w:rPr>
          <w:spacing w:val="-9"/>
        </w:rPr>
        <w:t> </w:t>
      </w:r>
      <w:r>
        <w:rPr/>
        <w:t>Asia, industrialised and developing nations alike contend with heavy metal emissions from vehicular sources. In India, Mishra et al. (2021) reported high concentrations of lead, cadmium, and chromium in soils near informal auto-repair yards in Delhi, often exceeding</w:t>
      </w:r>
      <w:r>
        <w:rPr>
          <w:spacing w:val="-5"/>
        </w:rPr>
        <w:t> </w:t>
      </w:r>
      <w:r>
        <w:rPr/>
        <w:t>WHO</w:t>
      </w:r>
      <w:r>
        <w:rPr>
          <w:spacing w:val="-1"/>
        </w:rPr>
        <w:t> </w:t>
      </w:r>
      <w:r>
        <w:rPr/>
        <w:t>limits.</w:t>
      </w:r>
      <w:r>
        <w:rPr>
          <w:spacing w:val="-1"/>
        </w:rPr>
        <w:t> </w:t>
      </w:r>
      <w:r>
        <w:rPr/>
        <w:t>Similarly,</w:t>
      </w:r>
      <w:r>
        <w:rPr>
          <w:spacing w:val="-2"/>
        </w:rPr>
        <w:t> </w:t>
      </w:r>
      <w:r>
        <w:rPr/>
        <w:t>studies</w:t>
      </w:r>
      <w:r>
        <w:rPr>
          <w:spacing w:val="-3"/>
        </w:rPr>
        <w:t> </w:t>
      </w:r>
      <w:r>
        <w:rPr/>
        <w:t>from</w:t>
      </w:r>
      <w:r>
        <w:rPr>
          <w:spacing w:val="-1"/>
        </w:rPr>
        <w:t> </w:t>
      </w:r>
      <w:r>
        <w:rPr/>
        <w:t>China’s</w:t>
      </w:r>
      <w:r>
        <w:rPr>
          <w:spacing w:val="-2"/>
        </w:rPr>
        <w:t> </w:t>
      </w:r>
      <w:r>
        <w:rPr/>
        <w:t>urban centres</w:t>
      </w:r>
      <w:r>
        <w:rPr>
          <w:spacing w:val="-2"/>
        </w:rPr>
        <w:t> </w:t>
      </w:r>
      <w:r>
        <w:rPr/>
        <w:t>indicate</w:t>
      </w:r>
      <w:r>
        <w:rPr>
          <w:spacing w:val="-3"/>
        </w:rPr>
        <w:t> </w:t>
      </w:r>
      <w:r>
        <w:rPr/>
        <w:t>that</w:t>
      </w:r>
      <w:r>
        <w:rPr>
          <w:spacing w:val="-2"/>
        </w:rPr>
        <w:t> </w:t>
      </w:r>
      <w:r>
        <w:rPr/>
        <w:t>heavy metals in roadside soils are strongly correlated with vehicular traffic and unregulated dismantling</w:t>
      </w:r>
      <w:r>
        <w:rPr>
          <w:spacing w:val="-1"/>
        </w:rPr>
        <w:t> </w:t>
      </w:r>
      <w:r>
        <w:rPr/>
        <w:t>(Zhao</w:t>
      </w:r>
      <w:r>
        <w:rPr>
          <w:spacing w:val="-3"/>
        </w:rPr>
        <w:t> </w:t>
      </w:r>
      <w:r>
        <w:rPr/>
        <w:t>et al., 2019).</w:t>
      </w:r>
      <w:r>
        <w:rPr>
          <w:spacing w:val="-3"/>
        </w:rPr>
        <w:t> </w:t>
      </w:r>
      <w:r>
        <w:rPr/>
        <w:t>South</w:t>
      </w:r>
      <w:r>
        <w:rPr>
          <w:spacing w:val="-1"/>
        </w:rPr>
        <w:t> </w:t>
      </w:r>
      <w:r>
        <w:rPr/>
        <w:t>Korea</w:t>
      </w:r>
      <w:r>
        <w:rPr>
          <w:spacing w:val="-4"/>
        </w:rPr>
        <w:t> </w:t>
      </w:r>
      <w:r>
        <w:rPr/>
        <w:t>has</w:t>
      </w:r>
      <w:r>
        <w:rPr>
          <w:spacing w:val="-1"/>
        </w:rPr>
        <w:t> </w:t>
      </w:r>
      <w:r>
        <w:rPr/>
        <w:t>implemented</w:t>
      </w:r>
      <w:r>
        <w:rPr>
          <w:spacing w:val="-3"/>
        </w:rPr>
        <w:t> </w:t>
      </w:r>
      <w:r>
        <w:rPr/>
        <w:t>stringent</w:t>
      </w:r>
      <w:r>
        <w:rPr>
          <w:spacing w:val="-1"/>
        </w:rPr>
        <w:t> </w:t>
      </w:r>
      <w:r>
        <w:rPr/>
        <w:t>pollution</w:t>
      </w:r>
      <w:r>
        <w:rPr>
          <w:spacing w:val="-3"/>
        </w:rPr>
        <w:t> </w:t>
      </w:r>
      <w:r>
        <w:rPr/>
        <w:t>control measures, but localised hotspots remain near industrial vehicle centres (Park et al.,</w:t>
      </w:r>
      <w:r>
        <w:rPr>
          <w:spacing w:val="40"/>
        </w:rPr>
        <w:t> </w:t>
      </w:r>
      <w:r>
        <w:rPr>
          <w:spacing w:val="-2"/>
        </w:rPr>
        <w:t>2020).</w:t>
      </w:r>
    </w:p>
    <w:p>
      <w:pPr>
        <w:pStyle w:val="BodyText"/>
        <w:spacing w:after="0" w:line="496" w:lineRule="auto"/>
        <w:jc w:val="both"/>
        <w:sectPr>
          <w:pgSz w:w="12240" w:h="15840"/>
          <w:pgMar w:header="0" w:footer="1674" w:top="1460" w:bottom="1860" w:left="360" w:right="0"/>
        </w:sectPr>
      </w:pPr>
    </w:p>
    <w:p>
      <w:pPr>
        <w:pStyle w:val="BodyText"/>
        <w:spacing w:line="496" w:lineRule="auto" w:before="74"/>
        <w:ind w:left="1167" w:right="1772" w:hanging="13"/>
        <w:jc w:val="both"/>
      </w:pPr>
      <w:r>
        <w:rPr/>
        <w:t>In Europe and North America, strong environmental regulations, including the EU Restriction of Hazardous Substances Directive (RoHS) and US EPA standards, have curbed emissions of toxic metals. For instance, brake pad manufacturers in the US have reduced copper content through the Better Brakes Rule, mitigating runoff contamination (US EPA, 2021). Nevertheless, urban areas with legacy contamination, such as Detroit, still report elevated soil lead levels due to historical vehicular emissions (White et al., </w:t>
      </w:r>
      <w:r>
        <w:rPr>
          <w:spacing w:val="-2"/>
        </w:rPr>
        <w:t>2020).</w:t>
      </w:r>
    </w:p>
    <w:p>
      <w:pPr>
        <w:pStyle w:val="BodyText"/>
        <w:spacing w:line="496" w:lineRule="auto" w:before="152"/>
        <w:ind w:left="1167" w:right="1772" w:hanging="13"/>
        <w:jc w:val="both"/>
      </w:pPr>
      <w:r>
        <w:rPr/>
        <w:t>In contrast, Africa’s rapid urbanisation and weak environmental oversight have exacerbated the problem. Studies in Ghana (Bortey-Sam et al., 2020) and Kenya (Odhiambo et al., 2018) have shown that auto-mechanic clusters are significant contributors to soil and air heavy metal pollution. Waste oils, metal scraps, and battery residues are often discarded improperly, contaminating soil, water, and air.</w:t>
      </w:r>
    </w:p>
    <w:p>
      <w:pPr>
        <w:pStyle w:val="BodyText"/>
        <w:spacing w:line="496" w:lineRule="auto" w:before="157"/>
        <w:ind w:left="1167" w:right="1774" w:hanging="13"/>
        <w:jc w:val="both"/>
      </w:pPr>
      <w:r>
        <w:rPr/>
        <w:t>In Nigeria, markets such as Ladipo in Lagos and IPATA in Ilorin serve as major automotive hubs with informal dismantling and reassembly activities. Eze et al. (2022) observed that heavy metals including Pb, Cd, and Zn were present in alarming concentrations in soil samples from auto-repair sites in Enugu. The lack of occupational health protocols and environmental protection policies enables continued degradation.</w:t>
      </w:r>
    </w:p>
    <w:p>
      <w:pPr>
        <w:pStyle w:val="BodyText"/>
        <w:spacing w:line="494" w:lineRule="auto" w:before="156"/>
        <w:ind w:left="1167" w:right="1771" w:hanging="13"/>
        <w:jc w:val="both"/>
      </w:pPr>
      <w:r>
        <w:rPr/>
        <w:t>Comparative studies underscore the role of regulatory frameworks and technological adoption</w:t>
      </w:r>
      <w:r>
        <w:rPr>
          <w:spacing w:val="28"/>
        </w:rPr>
        <w:t>  </w:t>
      </w:r>
      <w:r>
        <w:rPr/>
        <w:t>in</w:t>
      </w:r>
      <w:r>
        <w:rPr>
          <w:spacing w:val="28"/>
        </w:rPr>
        <w:t>  </w:t>
      </w:r>
      <w:r>
        <w:rPr/>
        <w:t>reducing</w:t>
      </w:r>
      <w:r>
        <w:rPr>
          <w:spacing w:val="28"/>
        </w:rPr>
        <w:t>  </w:t>
      </w:r>
      <w:r>
        <w:rPr/>
        <w:t>automotive-derived</w:t>
      </w:r>
      <w:r>
        <w:rPr>
          <w:spacing w:val="28"/>
        </w:rPr>
        <w:t>  </w:t>
      </w:r>
      <w:r>
        <w:rPr/>
        <w:t>metal</w:t>
      </w:r>
      <w:r>
        <w:rPr>
          <w:spacing w:val="29"/>
        </w:rPr>
        <w:t>  </w:t>
      </w:r>
      <w:r>
        <w:rPr/>
        <w:t>pollution.</w:t>
      </w:r>
      <w:r>
        <w:rPr>
          <w:spacing w:val="28"/>
        </w:rPr>
        <w:t>  </w:t>
      </w:r>
      <w:r>
        <w:rPr/>
        <w:t>Countries</w:t>
      </w:r>
      <w:r>
        <w:rPr>
          <w:spacing w:val="28"/>
        </w:rPr>
        <w:t>  </w:t>
      </w:r>
      <w:r>
        <w:rPr/>
        <w:t>with</w:t>
      </w:r>
      <w:r>
        <w:rPr>
          <w:spacing w:val="28"/>
        </w:rPr>
        <w:t>  </w:t>
      </w:r>
      <w:r>
        <w:rPr>
          <w:spacing w:val="-2"/>
        </w:rPr>
        <w:t>strong</w:t>
      </w:r>
    </w:p>
    <w:p>
      <w:pPr>
        <w:pStyle w:val="BodyText"/>
        <w:spacing w:after="0" w:line="494" w:lineRule="auto"/>
        <w:jc w:val="both"/>
        <w:sectPr>
          <w:pgSz w:w="12240" w:h="15840"/>
          <w:pgMar w:header="0" w:footer="1674" w:top="1460" w:bottom="1860" w:left="360" w:right="0"/>
        </w:sectPr>
      </w:pPr>
    </w:p>
    <w:p>
      <w:pPr>
        <w:pStyle w:val="BodyText"/>
        <w:spacing w:line="496" w:lineRule="auto" w:before="74"/>
        <w:ind w:left="1167" w:right="1775"/>
        <w:jc w:val="both"/>
      </w:pPr>
      <w:r>
        <w:rPr/>
        <w:t>enforcement mechanisms and public awareness have achieved measurable success in pollution reduction, while developing nations still face escalating risks.</w:t>
      </w:r>
    </w:p>
    <w:p>
      <w:pPr>
        <w:pStyle w:val="BodyText"/>
        <w:spacing w:line="496" w:lineRule="auto" w:before="159"/>
        <w:ind w:left="1167" w:right="1778" w:hanging="13"/>
        <w:jc w:val="both"/>
      </w:pPr>
      <w:r>
        <w:rPr/>
        <w:t>Understanding this global disparity is critical for informing localised solutions tailored</w:t>
      </w:r>
      <w:r>
        <w:rPr>
          <w:spacing w:val="80"/>
        </w:rPr>
        <w:t> </w:t>
      </w:r>
      <w:r>
        <w:rPr/>
        <w:t>to the socio-economic and infrastructural realities of environments like IPATA</w:t>
      </w:r>
      <w:r>
        <w:rPr>
          <w:spacing w:val="-1"/>
        </w:rPr>
        <w:t> </w:t>
      </w:r>
      <w:r>
        <w:rPr/>
        <w:t>Market.</w:t>
      </w:r>
    </w:p>
    <w:p>
      <w:pPr>
        <w:pStyle w:val="Heading1"/>
        <w:numPr>
          <w:ilvl w:val="1"/>
          <w:numId w:val="5"/>
        </w:numPr>
        <w:tabs>
          <w:tab w:pos="1537" w:val="left" w:leader="none"/>
        </w:tabs>
        <w:spacing w:line="240" w:lineRule="auto" w:before="158" w:after="0"/>
        <w:ind w:left="1537" w:right="0" w:hanging="382"/>
        <w:jc w:val="left"/>
      </w:pPr>
      <w:r>
        <w:rPr/>
        <w:t>NIGERIA-SPECIFIC</w:t>
      </w:r>
      <w:r>
        <w:rPr>
          <w:spacing w:val="24"/>
        </w:rPr>
        <w:t> </w:t>
      </w:r>
      <w:r>
        <w:rPr/>
        <w:t>STUDIES</w:t>
      </w:r>
      <w:r>
        <w:rPr>
          <w:spacing w:val="3"/>
        </w:rPr>
        <w:t> </w:t>
      </w:r>
      <w:r>
        <w:rPr/>
        <w:t>AND</w:t>
      </w:r>
      <w:r>
        <w:rPr>
          <w:spacing w:val="24"/>
        </w:rPr>
        <w:t> </w:t>
      </w:r>
      <w:r>
        <w:rPr/>
        <w:t>RESEARCH</w:t>
      </w:r>
      <w:r>
        <w:rPr>
          <w:spacing w:val="24"/>
        </w:rPr>
        <w:t> </w:t>
      </w:r>
      <w:r>
        <w:rPr>
          <w:spacing w:val="-4"/>
        </w:rPr>
        <w:t>GAPS</w:t>
      </w:r>
    </w:p>
    <w:p>
      <w:pPr>
        <w:pStyle w:val="BodyText"/>
        <w:spacing w:before="183"/>
        <w:rPr>
          <w:b/>
        </w:rPr>
      </w:pPr>
    </w:p>
    <w:p>
      <w:pPr>
        <w:pStyle w:val="BodyText"/>
        <w:spacing w:line="496" w:lineRule="auto" w:before="1"/>
        <w:ind w:left="1167" w:right="1771" w:hanging="13"/>
        <w:jc w:val="both"/>
      </w:pPr>
      <w:r>
        <w:rPr/>
        <w:t>Studies</w:t>
      </w:r>
      <w:r>
        <w:rPr>
          <w:spacing w:val="-2"/>
        </w:rPr>
        <w:t> </w:t>
      </w:r>
      <w:r>
        <w:rPr/>
        <w:t>on</w:t>
      </w:r>
      <w:r>
        <w:rPr>
          <w:spacing w:val="-2"/>
        </w:rPr>
        <w:t> </w:t>
      </w:r>
      <w:r>
        <w:rPr/>
        <w:t>heavy</w:t>
      </w:r>
      <w:r>
        <w:rPr>
          <w:spacing w:val="-2"/>
        </w:rPr>
        <w:t> </w:t>
      </w:r>
      <w:r>
        <w:rPr/>
        <w:t>metal</w:t>
      </w:r>
      <w:r>
        <w:rPr>
          <w:spacing w:val="-1"/>
        </w:rPr>
        <w:t> </w:t>
      </w:r>
      <w:r>
        <w:rPr/>
        <w:t>contamination</w:t>
      </w:r>
      <w:r>
        <w:rPr>
          <w:spacing w:val="-1"/>
        </w:rPr>
        <w:t> </w:t>
      </w:r>
      <w:r>
        <w:rPr/>
        <w:t>in</w:t>
      </w:r>
      <w:r>
        <w:rPr>
          <w:spacing w:val="-1"/>
        </w:rPr>
        <w:t> </w:t>
      </w:r>
      <w:r>
        <w:rPr/>
        <w:t>Nigeria</w:t>
      </w:r>
      <w:r>
        <w:rPr>
          <w:spacing w:val="-3"/>
        </w:rPr>
        <w:t> </w:t>
      </w:r>
      <w:r>
        <w:rPr/>
        <w:t>have</w:t>
      </w:r>
      <w:r>
        <w:rPr>
          <w:spacing w:val="-3"/>
        </w:rPr>
        <w:t> </w:t>
      </w:r>
      <w:r>
        <w:rPr/>
        <w:t>primarily</w:t>
      </w:r>
      <w:r>
        <w:rPr>
          <w:spacing w:val="-2"/>
        </w:rPr>
        <w:t> </w:t>
      </w:r>
      <w:r>
        <w:rPr/>
        <w:t>centred</w:t>
      </w:r>
      <w:r>
        <w:rPr>
          <w:spacing w:val="-2"/>
        </w:rPr>
        <w:t> </w:t>
      </w:r>
      <w:r>
        <w:rPr/>
        <w:t>on urban</w:t>
      </w:r>
      <w:r>
        <w:rPr>
          <w:spacing w:val="-2"/>
        </w:rPr>
        <w:t> </w:t>
      </w:r>
      <w:r>
        <w:rPr/>
        <w:t>centres such as Lagos, Ibadan, Kano, and</w:t>
      </w:r>
      <w:r>
        <w:rPr>
          <w:spacing w:val="-13"/>
        </w:rPr>
        <w:t> </w:t>
      </w:r>
      <w:r>
        <w:rPr/>
        <w:t>Aba, with a</w:t>
      </w:r>
      <w:r>
        <w:rPr>
          <w:spacing w:val="-1"/>
        </w:rPr>
        <w:t> </w:t>
      </w:r>
      <w:r>
        <w:rPr/>
        <w:t>predominant focus on industrial sites, road dust, auto-mechanic workshops, and electronic waste disposal locations. For instance, Adefehinti et al. (2020) investigated heavy metals in road dust across major traffic corridors in Lagos, reporting elevated levels of Pb, Cd, Zn, and Cu, particularly near mechanic villages. Similarly, Nwachukwu and Umunnakwe (2018) found significant concentrations of Cr and Ni around auto-repair</w:t>
      </w:r>
      <w:r>
        <w:rPr>
          <w:spacing w:val="26"/>
        </w:rPr>
        <w:t> </w:t>
      </w:r>
      <w:r>
        <w:rPr/>
        <w:t>clusters in Aba, where direct discharge</w:t>
      </w:r>
      <w:r>
        <w:rPr>
          <w:spacing w:val="80"/>
        </w:rPr>
        <w:t> </w:t>
      </w:r>
      <w:r>
        <w:rPr/>
        <w:t>of waste materials into the surrounding environment is common. These studies have raised alarms over the environmental and human health implications of unregulated vehicular and mechanical</w:t>
      </w:r>
    </w:p>
    <w:p>
      <w:pPr>
        <w:pStyle w:val="BodyText"/>
        <w:spacing w:line="277" w:lineRule="exact"/>
        <w:ind w:left="1155"/>
      </w:pPr>
      <w:r>
        <w:rPr>
          <w:spacing w:val="-2"/>
        </w:rPr>
        <w:t>activities.</w:t>
      </w:r>
    </w:p>
    <w:p>
      <w:pPr>
        <w:pStyle w:val="BodyText"/>
        <w:spacing w:before="187"/>
      </w:pPr>
    </w:p>
    <w:p>
      <w:pPr>
        <w:pStyle w:val="BodyText"/>
        <w:spacing w:line="496" w:lineRule="auto"/>
        <w:ind w:left="1167" w:right="1774" w:hanging="13"/>
        <w:jc w:val="both"/>
      </w:pPr>
      <w:r>
        <w:rPr/>
        <w:t>In Ibadan, research by Oyeyiola et al. (2019) analysed soils around battery repair workshops, finding alarming levels of Pb and Cd above WHO and FEPA (Federal Environmental</w:t>
      </w:r>
      <w:r>
        <w:rPr>
          <w:spacing w:val="2"/>
        </w:rPr>
        <w:t> </w:t>
      </w:r>
      <w:r>
        <w:rPr/>
        <w:t>Protection</w:t>
      </w:r>
      <w:r>
        <w:rPr>
          <w:spacing w:val="-14"/>
        </w:rPr>
        <w:t> </w:t>
      </w:r>
      <w:r>
        <w:rPr/>
        <w:t>Agency)</w:t>
      </w:r>
      <w:r>
        <w:rPr>
          <w:spacing w:val="1"/>
        </w:rPr>
        <w:t> </w:t>
      </w:r>
      <w:r>
        <w:rPr/>
        <w:t>permissible</w:t>
      </w:r>
      <w:r>
        <w:rPr>
          <w:spacing w:val="1"/>
        </w:rPr>
        <w:t> </w:t>
      </w:r>
      <w:r>
        <w:rPr/>
        <w:t>limits.</w:t>
      </w:r>
      <w:r>
        <w:rPr>
          <w:spacing w:val="4"/>
        </w:rPr>
        <w:t> </w:t>
      </w:r>
      <w:r>
        <w:rPr/>
        <w:t>In</w:t>
      </w:r>
      <w:r>
        <w:rPr>
          <w:spacing w:val="2"/>
        </w:rPr>
        <w:t> </w:t>
      </w:r>
      <w:r>
        <w:rPr/>
        <w:t>Kano,</w:t>
      </w:r>
      <w:r>
        <w:rPr>
          <w:spacing w:val="2"/>
        </w:rPr>
        <w:t> </w:t>
      </w:r>
      <w:r>
        <w:rPr/>
        <w:t>Mohammed</w:t>
      </w:r>
      <w:r>
        <w:rPr>
          <w:spacing w:val="3"/>
        </w:rPr>
        <w:t> </w:t>
      </w:r>
      <w:r>
        <w:rPr/>
        <w:t>et</w:t>
      </w:r>
      <w:r>
        <w:rPr>
          <w:spacing w:val="4"/>
        </w:rPr>
        <w:t> </w:t>
      </w:r>
      <w:r>
        <w:rPr/>
        <w:t>al.</w:t>
      </w:r>
      <w:r>
        <w:rPr>
          <w:spacing w:val="4"/>
        </w:rPr>
        <w:t> </w:t>
      </w:r>
      <w:r>
        <w:rPr>
          <w:spacing w:val="-2"/>
        </w:rPr>
        <w:t>(2021)</w:t>
      </w:r>
    </w:p>
    <w:p>
      <w:pPr>
        <w:pStyle w:val="BodyText"/>
        <w:spacing w:after="0" w:line="496" w:lineRule="auto"/>
        <w:jc w:val="both"/>
        <w:sectPr>
          <w:pgSz w:w="12240" w:h="15840"/>
          <w:pgMar w:header="0" w:footer="1674" w:top="1460" w:bottom="1860" w:left="360" w:right="0"/>
        </w:sectPr>
      </w:pPr>
    </w:p>
    <w:p>
      <w:pPr>
        <w:pStyle w:val="BodyText"/>
        <w:spacing w:line="494" w:lineRule="auto" w:before="74"/>
        <w:ind w:left="1167" w:right="1770"/>
        <w:jc w:val="both"/>
      </w:pPr>
      <w:r>
        <w:rPr/>
        <w:t>assessed heavy metal contamination in urban soil and observed correlations between</w:t>
      </w:r>
      <w:r>
        <w:rPr>
          <w:spacing w:val="40"/>
        </w:rPr>
        <w:t> </w:t>
      </w:r>
      <w:r>
        <w:rPr/>
        <w:t>high traffic density, informal vehicle maintenance practices, and metal accumulation in adjacent soils and drains. These findings provide strong evidence that auto-related activities in Nigerian cities contribute significantly to heavy metal loadings in the terrestrial environment.</w:t>
      </w:r>
    </w:p>
    <w:p>
      <w:pPr>
        <w:pStyle w:val="BodyText"/>
        <w:spacing w:line="496" w:lineRule="auto" w:before="171"/>
        <w:ind w:left="1167" w:right="1770" w:hanging="13"/>
        <w:jc w:val="both"/>
      </w:pPr>
      <w:r>
        <w:rPr/>
        <w:t>However, most of these studies are limited to large-scale urban environments or highly industrialised cities. They often overlook market environments such as Ipata Market in Ilorin, where automobile dismantling, repairs, spare parts trading, and metal reuse are rampant yet largely unregulated. The informal economy in such spaces remains understudied despite its significant footprint on the local environment. Additionally,</w:t>
      </w:r>
      <w:r>
        <w:rPr>
          <w:spacing w:val="40"/>
        </w:rPr>
        <w:t> </w:t>
      </w:r>
      <w:r>
        <w:rPr/>
        <w:t>prior research in Nigeria often treats “automobile waste” in a generalised fashion, with insufficient attention to the differential heavy metal composition of specific car parts such as brake pads, batteries, or radiators.</w:t>
      </w:r>
    </w:p>
    <w:p>
      <w:pPr>
        <w:pStyle w:val="BodyText"/>
        <w:spacing w:line="496" w:lineRule="auto" w:before="151"/>
        <w:ind w:left="1167" w:right="1772" w:hanging="13"/>
        <w:jc w:val="both"/>
      </w:pPr>
      <w:r>
        <w:rPr/>
        <w:t>Furthermore, while some studies have evaluated the environmental dimension of pollution, few have adequately linked heavy metal data to potential human exposure pathways— particularly among market workers, traders, and local residents. Ilorin and the broader North Central zone of Nigeria are notably underrepresented in this domain. The absence of baseline data from these areas constrains public health planning, risk assessments, and environmental regulation enforcement.</w:t>
      </w:r>
    </w:p>
    <w:p>
      <w:pPr>
        <w:pStyle w:val="BodyText"/>
        <w:spacing w:after="0" w:line="496" w:lineRule="auto"/>
        <w:jc w:val="both"/>
        <w:sectPr>
          <w:pgSz w:w="12240" w:h="15840"/>
          <w:pgMar w:header="0" w:footer="1674" w:top="1460" w:bottom="1860" w:left="360" w:right="0"/>
        </w:sectPr>
      </w:pPr>
    </w:p>
    <w:p>
      <w:pPr>
        <w:pStyle w:val="BodyText"/>
        <w:spacing w:line="494" w:lineRule="auto" w:before="74"/>
        <w:ind w:left="1155" w:right="1774"/>
        <w:jc w:val="both"/>
      </w:pPr>
      <w:r>
        <w:rPr/>
        <w:t>Therefore, this study addresses a critical research gap by focusing specifically on automobile parts as a source of heavy metals in a bustling market environment in Ilorin. By analysing discrete part types for specific metal pollutants, the study seeks to generate granular data that can inform local health risk interventions, policy frameworks, and environmental management plans.</w:t>
      </w:r>
    </w:p>
    <w:p>
      <w:pPr>
        <w:pStyle w:val="Heading1"/>
        <w:numPr>
          <w:ilvl w:val="1"/>
          <w:numId w:val="5"/>
        </w:numPr>
        <w:tabs>
          <w:tab w:pos="1532" w:val="left" w:leader="none"/>
        </w:tabs>
        <w:spacing w:line="240" w:lineRule="auto" w:before="171" w:after="0"/>
        <w:ind w:left="1532" w:right="0" w:hanging="377"/>
        <w:jc w:val="left"/>
      </w:pPr>
      <w:r>
        <w:rPr/>
        <w:t>THEORETICAL</w:t>
      </w:r>
      <w:r>
        <w:rPr>
          <w:spacing w:val="-14"/>
        </w:rPr>
        <w:t> </w:t>
      </w:r>
      <w:r>
        <w:rPr/>
        <w:t>AND</w:t>
      </w:r>
      <w:r>
        <w:rPr>
          <w:spacing w:val="30"/>
        </w:rPr>
        <w:t> </w:t>
      </w:r>
      <w:r>
        <w:rPr/>
        <w:t>EMPIRICAL</w:t>
      </w:r>
      <w:r>
        <w:rPr>
          <w:spacing w:val="8"/>
        </w:rPr>
        <w:t> </w:t>
      </w:r>
      <w:r>
        <w:rPr>
          <w:spacing w:val="-4"/>
        </w:rPr>
        <w:t>GAPS</w:t>
      </w:r>
    </w:p>
    <w:p>
      <w:pPr>
        <w:pStyle w:val="BodyText"/>
        <w:spacing w:before="182"/>
        <w:rPr>
          <w:b/>
        </w:rPr>
      </w:pPr>
    </w:p>
    <w:p>
      <w:pPr>
        <w:pStyle w:val="BodyText"/>
        <w:spacing w:line="496" w:lineRule="auto"/>
        <w:ind w:left="1167" w:right="1773" w:hanging="13"/>
        <w:jc w:val="both"/>
      </w:pPr>
      <w:r>
        <w:rPr/>
        <w:t>Despite the growing literature on heavy metal contamination in urban Nigeria, notable theoretical</w:t>
      </w:r>
      <w:r>
        <w:rPr>
          <w:spacing w:val="-5"/>
        </w:rPr>
        <w:t> </w:t>
      </w:r>
      <w:r>
        <w:rPr/>
        <w:t>and</w:t>
      </w:r>
      <w:r>
        <w:rPr>
          <w:spacing w:val="-2"/>
        </w:rPr>
        <w:t> </w:t>
      </w:r>
      <w:r>
        <w:rPr/>
        <w:t>empirical</w:t>
      </w:r>
      <w:r>
        <w:rPr>
          <w:spacing w:val="-1"/>
        </w:rPr>
        <w:t> </w:t>
      </w:r>
      <w:r>
        <w:rPr/>
        <w:t>gaps</w:t>
      </w:r>
      <w:r>
        <w:rPr>
          <w:spacing w:val="-5"/>
        </w:rPr>
        <w:t> </w:t>
      </w:r>
      <w:r>
        <w:rPr/>
        <w:t>remain.</w:t>
      </w:r>
      <w:r>
        <w:rPr>
          <w:spacing w:val="-8"/>
        </w:rPr>
        <w:t> </w:t>
      </w:r>
      <w:r>
        <w:rPr/>
        <w:t>Theoretically,</w:t>
      </w:r>
      <w:r>
        <w:rPr>
          <w:spacing w:val="-6"/>
        </w:rPr>
        <w:t> </w:t>
      </w:r>
      <w:r>
        <w:rPr/>
        <w:t>most</w:t>
      </w:r>
      <w:r>
        <w:rPr>
          <w:spacing w:val="-3"/>
        </w:rPr>
        <w:t> </w:t>
      </w:r>
      <w:r>
        <w:rPr/>
        <w:t>studies</w:t>
      </w:r>
      <w:r>
        <w:rPr>
          <w:spacing w:val="-6"/>
        </w:rPr>
        <w:t> </w:t>
      </w:r>
      <w:r>
        <w:rPr/>
        <w:t>have</w:t>
      </w:r>
      <w:r>
        <w:rPr>
          <w:spacing w:val="-7"/>
        </w:rPr>
        <w:t> </w:t>
      </w:r>
      <w:r>
        <w:rPr/>
        <w:t>failed</w:t>
      </w:r>
      <w:r>
        <w:rPr>
          <w:spacing w:val="-6"/>
        </w:rPr>
        <w:t> </w:t>
      </w:r>
      <w:r>
        <w:rPr/>
        <w:t>to</w:t>
      </w:r>
      <w:r>
        <w:rPr>
          <w:spacing w:val="-5"/>
        </w:rPr>
        <w:t> </w:t>
      </w:r>
      <w:r>
        <w:rPr/>
        <w:t>integrate comprehensive pollution pathway models that explain the link between the contamination source, transmission medium, and exposed population. Many investigations rely on point sampling or area-based measurements without embedding these within a conceptual framework that could predict or explain patterns of exposure and accumulation.</w:t>
      </w:r>
    </w:p>
    <w:p>
      <w:pPr>
        <w:pStyle w:val="BodyText"/>
        <w:spacing w:line="496" w:lineRule="auto" w:before="152"/>
        <w:ind w:left="1167" w:right="1772" w:hanging="13"/>
        <w:jc w:val="both"/>
      </w:pPr>
      <w:r>
        <w:rPr/>
        <w:t>Empirically, one of the most critical gaps lies in the lack of specificity regarding the types of automobile parts studied. Studies often refer to "automobile waste" or</w:t>
      </w:r>
      <w:r>
        <w:rPr>
          <w:spacing w:val="40"/>
        </w:rPr>
        <w:t> </w:t>
      </w:r>
      <w:r>
        <w:rPr/>
        <w:t>"mechanic sites" generically, with little breakdown of the different components, each of which</w:t>
      </w:r>
      <w:r>
        <w:rPr>
          <w:spacing w:val="-2"/>
        </w:rPr>
        <w:t> </w:t>
      </w:r>
      <w:r>
        <w:rPr/>
        <w:t>may</w:t>
      </w:r>
      <w:r>
        <w:rPr>
          <w:spacing w:val="-2"/>
        </w:rPr>
        <w:t> </w:t>
      </w:r>
      <w:r>
        <w:rPr/>
        <w:t>have</w:t>
      </w:r>
      <w:r>
        <w:rPr>
          <w:spacing w:val="-3"/>
        </w:rPr>
        <w:t> </w:t>
      </w:r>
      <w:r>
        <w:rPr/>
        <w:t>distinct metal</w:t>
      </w:r>
      <w:r>
        <w:rPr>
          <w:spacing w:val="-1"/>
        </w:rPr>
        <w:t> </w:t>
      </w:r>
      <w:r>
        <w:rPr/>
        <w:t>profiles</w:t>
      </w:r>
      <w:r>
        <w:rPr>
          <w:spacing w:val="-2"/>
        </w:rPr>
        <w:t> </w:t>
      </w:r>
      <w:r>
        <w:rPr/>
        <w:t>and</w:t>
      </w:r>
      <w:r>
        <w:rPr>
          <w:spacing w:val="-2"/>
        </w:rPr>
        <w:t> </w:t>
      </w:r>
      <w:r>
        <w:rPr/>
        <w:t>release mechanisms.</w:t>
      </w:r>
      <w:r>
        <w:rPr>
          <w:spacing w:val="-2"/>
        </w:rPr>
        <w:t> </w:t>
      </w:r>
      <w:r>
        <w:rPr/>
        <w:t>For</w:t>
      </w:r>
      <w:r>
        <w:rPr>
          <w:spacing w:val="-3"/>
        </w:rPr>
        <w:t> </w:t>
      </w:r>
      <w:r>
        <w:rPr/>
        <w:t>instance,</w:t>
      </w:r>
      <w:r>
        <w:rPr>
          <w:spacing w:val="-2"/>
        </w:rPr>
        <w:t> </w:t>
      </w:r>
      <w:r>
        <w:rPr/>
        <w:t>brake</w:t>
      </w:r>
      <w:r>
        <w:rPr>
          <w:spacing w:val="-3"/>
        </w:rPr>
        <w:t> </w:t>
      </w:r>
      <w:r>
        <w:rPr/>
        <w:t>pads typically contain copper, zinc, and lead, whereas batteries are more likely to leach cadmium and lead. The absence of such disaggregated data limits the potential for tailored intervention or substitution of hazardous components.</w:t>
      </w:r>
    </w:p>
    <w:p>
      <w:pPr>
        <w:pStyle w:val="BodyText"/>
        <w:spacing w:after="0" w:line="496" w:lineRule="auto"/>
        <w:jc w:val="both"/>
        <w:sectPr>
          <w:pgSz w:w="12240" w:h="15840"/>
          <w:pgMar w:header="0" w:footer="1674" w:top="1460" w:bottom="1860" w:left="360" w:right="0"/>
        </w:sectPr>
      </w:pPr>
    </w:p>
    <w:p>
      <w:pPr>
        <w:pStyle w:val="BodyText"/>
        <w:spacing w:line="496" w:lineRule="auto" w:before="74"/>
        <w:ind w:left="1167" w:right="1770" w:hanging="13"/>
        <w:jc w:val="both"/>
      </w:pPr>
      <w:r>
        <w:rPr/>
        <w:t>Moreover, very few studies conduct full environmental health risk assessments linked to heavy metal presence in automobile</w:t>
      </w:r>
      <w:r>
        <w:rPr>
          <w:spacing w:val="-1"/>
        </w:rPr>
        <w:t> </w:t>
      </w:r>
      <w:r>
        <w:rPr/>
        <w:t>components.</w:t>
      </w:r>
      <w:r>
        <w:rPr>
          <w:spacing w:val="-11"/>
        </w:rPr>
        <w:t> </w:t>
      </w:r>
      <w:r>
        <w:rPr/>
        <w:t>Although some research acknowledges the presence of heavy metals, it seldom quantifies the potential human exposure through ingestion (e.g., hand-to-mouth contact), inhalation (e.g., of fine particles), or dermal pathways. This omission is significant given that traders, technicians, and customers in informal markets like Ipata are likely to have prolonged and repeated contact with contaminated surfaces and air.</w:t>
      </w:r>
    </w:p>
    <w:p>
      <w:pPr>
        <w:pStyle w:val="BodyText"/>
        <w:spacing w:line="496" w:lineRule="auto" w:before="152"/>
        <w:ind w:left="1167" w:right="1771" w:hanging="13"/>
        <w:jc w:val="both"/>
      </w:pPr>
      <w:r>
        <w:rPr/>
        <w:t>Another pressing empirical gap is the lack of regulatory benchmarks and monitoring practices for informal market environments. The majority of Nigerian environmental regulations</w:t>
      </w:r>
      <w:r>
        <w:rPr>
          <w:spacing w:val="-4"/>
        </w:rPr>
        <w:t> </w:t>
      </w:r>
      <w:r>
        <w:rPr/>
        <w:t>are</w:t>
      </w:r>
      <w:r>
        <w:rPr>
          <w:spacing w:val="-6"/>
        </w:rPr>
        <w:t> </w:t>
      </w:r>
      <w:r>
        <w:rPr/>
        <w:t>either</w:t>
      </w:r>
      <w:r>
        <w:rPr>
          <w:spacing w:val="-5"/>
        </w:rPr>
        <w:t> </w:t>
      </w:r>
      <w:r>
        <w:rPr/>
        <w:t>outdated</w:t>
      </w:r>
      <w:r>
        <w:rPr>
          <w:spacing w:val="-5"/>
        </w:rPr>
        <w:t> </w:t>
      </w:r>
      <w:r>
        <w:rPr/>
        <w:t>or</w:t>
      </w:r>
      <w:r>
        <w:rPr>
          <w:spacing w:val="-5"/>
        </w:rPr>
        <w:t> </w:t>
      </w:r>
      <w:r>
        <w:rPr/>
        <w:t>poorly</w:t>
      </w:r>
      <w:r>
        <w:rPr>
          <w:spacing w:val="-5"/>
        </w:rPr>
        <w:t> </w:t>
      </w:r>
      <w:r>
        <w:rPr/>
        <w:t>enforced,</w:t>
      </w:r>
      <w:r>
        <w:rPr>
          <w:spacing w:val="-1"/>
        </w:rPr>
        <w:t> </w:t>
      </w:r>
      <w:r>
        <w:rPr/>
        <w:t>especially</w:t>
      </w:r>
      <w:r>
        <w:rPr>
          <w:spacing w:val="-4"/>
        </w:rPr>
        <w:t> </w:t>
      </w:r>
      <w:r>
        <w:rPr/>
        <w:t>in</w:t>
      </w:r>
      <w:r>
        <w:rPr>
          <w:spacing w:val="-4"/>
        </w:rPr>
        <w:t> </w:t>
      </w:r>
      <w:r>
        <w:rPr/>
        <w:t>areas</w:t>
      </w:r>
      <w:r>
        <w:rPr>
          <w:spacing w:val="-4"/>
        </w:rPr>
        <w:t> </w:t>
      </w:r>
      <w:r>
        <w:rPr/>
        <w:t>outside</w:t>
      </w:r>
      <w:r>
        <w:rPr>
          <w:spacing w:val="-6"/>
        </w:rPr>
        <w:t> </w:t>
      </w:r>
      <w:r>
        <w:rPr/>
        <w:t>the</w:t>
      </w:r>
      <w:r>
        <w:rPr>
          <w:spacing w:val="-5"/>
        </w:rPr>
        <w:t> </w:t>
      </w:r>
      <w:r>
        <w:rPr/>
        <w:t>purview of</w:t>
      </w:r>
      <w:r>
        <w:rPr>
          <w:spacing w:val="-5"/>
        </w:rPr>
        <w:t> </w:t>
      </w:r>
      <w:r>
        <w:rPr/>
        <w:t>industrial pollution</w:t>
      </w:r>
      <w:r>
        <w:rPr>
          <w:spacing w:val="-5"/>
        </w:rPr>
        <w:t> </w:t>
      </w:r>
      <w:r>
        <w:rPr/>
        <w:t>control.</w:t>
      </w:r>
      <w:r>
        <w:rPr>
          <w:spacing w:val="-7"/>
        </w:rPr>
        <w:t> </w:t>
      </w:r>
      <w:r>
        <w:rPr/>
        <w:t>While</w:t>
      </w:r>
      <w:r>
        <w:rPr>
          <w:spacing w:val="-2"/>
        </w:rPr>
        <w:t> </w:t>
      </w:r>
      <w:r>
        <w:rPr/>
        <w:t>FEPA</w:t>
      </w:r>
      <w:r>
        <w:rPr>
          <w:spacing w:val="-16"/>
        </w:rPr>
        <w:t> </w:t>
      </w:r>
      <w:r>
        <w:rPr/>
        <w:t>and NESREA</w:t>
      </w:r>
      <w:r>
        <w:rPr>
          <w:spacing w:val="-16"/>
        </w:rPr>
        <w:t> </w:t>
      </w:r>
      <w:r>
        <w:rPr/>
        <w:t>provide</w:t>
      </w:r>
      <w:r>
        <w:rPr>
          <w:spacing w:val="-2"/>
        </w:rPr>
        <w:t> </w:t>
      </w:r>
      <w:r>
        <w:rPr/>
        <w:t>general environmental quality standards, these are not sufficiently adapted to the realities of informal economic hubs, where materials are dismantled, reused, and resold without adequate safety </w:t>
      </w:r>
      <w:r>
        <w:rPr>
          <w:spacing w:val="-2"/>
        </w:rPr>
        <w:t>oversight.</w:t>
      </w:r>
    </w:p>
    <w:p>
      <w:pPr>
        <w:pStyle w:val="BodyText"/>
        <w:spacing w:line="494" w:lineRule="auto" w:before="155"/>
        <w:ind w:left="1167" w:right="1769" w:hanging="13"/>
        <w:jc w:val="both"/>
      </w:pPr>
      <w:r>
        <w:rPr/>
        <w:t>This study aims to bridge these theoretical and empirical gaps by adopting a conceptual pollution pathway framework and conducting component-specific assessments. It</w:t>
      </w:r>
      <w:r>
        <w:rPr>
          <w:spacing w:val="80"/>
          <w:w w:val="150"/>
        </w:rPr>
        <w:t> </w:t>
      </w:r>
      <w:r>
        <w:rPr/>
        <w:t>further addresses the need for locally relevant data that can inform public health guidelines and environmental risk communication in Ilorin and similar contexts.</w:t>
      </w:r>
    </w:p>
    <w:p>
      <w:pPr>
        <w:pStyle w:val="BodyText"/>
        <w:spacing w:after="0" w:line="494" w:lineRule="auto"/>
        <w:jc w:val="both"/>
        <w:sectPr>
          <w:pgSz w:w="12240" w:h="15840"/>
          <w:pgMar w:header="0" w:footer="1674" w:top="1460" w:bottom="1860" w:left="360" w:right="0"/>
        </w:sectPr>
      </w:pPr>
    </w:p>
    <w:p>
      <w:pPr>
        <w:pStyle w:val="Heading1"/>
        <w:spacing w:line="631" w:lineRule="auto"/>
        <w:ind w:left="3604" w:right="4224" w:firstLine="0"/>
        <w:jc w:val="center"/>
      </w:pPr>
      <w:r>
        <w:rPr/>
        <w:t>CHAPTER </w:t>
      </w:r>
      <w:r>
        <w:rPr/>
        <w:t>THREE </w:t>
      </w:r>
      <w:r>
        <w:rPr>
          <w:spacing w:val="-2"/>
        </w:rPr>
        <w:t>METHODOLOGY</w:t>
      </w:r>
    </w:p>
    <w:p>
      <w:pPr>
        <w:pStyle w:val="ListParagraph"/>
        <w:numPr>
          <w:ilvl w:val="1"/>
          <w:numId w:val="6"/>
        </w:numPr>
        <w:tabs>
          <w:tab w:pos="1537" w:val="left" w:leader="none"/>
        </w:tabs>
        <w:spacing w:line="240" w:lineRule="auto" w:before="5" w:after="0"/>
        <w:ind w:left="1537" w:right="0" w:hanging="382"/>
        <w:jc w:val="left"/>
        <w:rPr>
          <w:b/>
          <w:sz w:val="25"/>
        </w:rPr>
      </w:pPr>
      <w:r>
        <w:rPr>
          <w:b/>
          <w:sz w:val="25"/>
        </w:rPr>
        <w:t>STUDY</w:t>
      </w:r>
      <w:r>
        <w:rPr>
          <w:b/>
          <w:spacing w:val="-23"/>
          <w:sz w:val="25"/>
        </w:rPr>
        <w:t> </w:t>
      </w:r>
      <w:r>
        <w:rPr>
          <w:b/>
          <w:sz w:val="25"/>
        </w:rPr>
        <w:t>AREA: IPATA</w:t>
      </w:r>
      <w:r>
        <w:rPr>
          <w:b/>
          <w:spacing w:val="-12"/>
          <w:sz w:val="25"/>
        </w:rPr>
        <w:t> </w:t>
      </w:r>
      <w:r>
        <w:rPr>
          <w:b/>
          <w:sz w:val="25"/>
        </w:rPr>
        <w:t>OLOJE</w:t>
      </w:r>
      <w:r>
        <w:rPr>
          <w:b/>
          <w:spacing w:val="3"/>
          <w:sz w:val="25"/>
        </w:rPr>
        <w:t> </w:t>
      </w:r>
      <w:r>
        <w:rPr>
          <w:b/>
          <w:sz w:val="25"/>
        </w:rPr>
        <w:t>MARKET,</w:t>
      </w:r>
      <w:r>
        <w:rPr>
          <w:b/>
          <w:spacing w:val="2"/>
          <w:sz w:val="25"/>
        </w:rPr>
        <w:t> </w:t>
      </w:r>
      <w:r>
        <w:rPr>
          <w:b/>
          <w:spacing w:val="-2"/>
          <w:sz w:val="25"/>
        </w:rPr>
        <w:t>ILORIN</w:t>
      </w:r>
    </w:p>
    <w:p>
      <w:pPr>
        <w:pStyle w:val="BodyText"/>
        <w:spacing w:before="182"/>
        <w:rPr>
          <w:b/>
        </w:rPr>
      </w:pPr>
    </w:p>
    <w:p>
      <w:pPr>
        <w:pStyle w:val="BodyText"/>
        <w:spacing w:line="496" w:lineRule="auto"/>
        <w:ind w:left="1167" w:right="1770" w:hanging="13"/>
        <w:jc w:val="both"/>
      </w:pPr>
      <w:r>
        <w:rPr/>
        <w:t>Ipata Oloje Market is located in Ilorin West Local Government Area of Kwara State, Nigeria. It is a well-known hub for automobile parts—both new and second-hand attracting traders and consumers from across North Central Nigeria.</w:t>
      </w:r>
      <w:r>
        <w:rPr>
          <w:spacing w:val="-2"/>
        </w:rPr>
        <w:t> </w:t>
      </w:r>
      <w:r>
        <w:rPr/>
        <w:t>The market features dense clusters of open-air stalls, workshops, and dismantling sites where vehicles are stripped for resale or reuse. Informal handling, disposal, and repurposing practices dominate the market environment.</w:t>
      </w:r>
    </w:p>
    <w:p>
      <w:pPr>
        <w:pStyle w:val="BodyText"/>
        <w:spacing w:line="496" w:lineRule="auto" w:before="154"/>
        <w:ind w:left="1167" w:right="1772" w:hanging="13"/>
        <w:jc w:val="both"/>
      </w:pPr>
      <w:r>
        <w:rPr/>
        <w:t>The geographical coordinates of Ipata-Oloje Market are approximately Latitude 8.5080° N</w:t>
      </w:r>
      <w:r>
        <w:rPr>
          <w:spacing w:val="-4"/>
        </w:rPr>
        <w:t> </w:t>
      </w:r>
      <w:r>
        <w:rPr/>
        <w:t>and</w:t>
      </w:r>
      <w:r>
        <w:rPr>
          <w:spacing w:val="-3"/>
        </w:rPr>
        <w:t> </w:t>
      </w:r>
      <w:r>
        <w:rPr/>
        <w:t>Longitude</w:t>
      </w:r>
      <w:r>
        <w:rPr>
          <w:spacing w:val="-4"/>
        </w:rPr>
        <w:t> </w:t>
      </w:r>
      <w:r>
        <w:rPr/>
        <w:t>4.5366</w:t>
      </w:r>
      <w:r>
        <w:rPr>
          <w:spacing w:val="-3"/>
        </w:rPr>
        <w:t> </w:t>
      </w:r>
      <w:r>
        <w:rPr/>
        <w:t>°</w:t>
      </w:r>
      <w:r>
        <w:rPr>
          <w:spacing w:val="-3"/>
        </w:rPr>
        <w:t> </w:t>
      </w:r>
      <w:r>
        <w:rPr/>
        <w:t>E</w:t>
      </w:r>
      <w:r>
        <w:rPr>
          <w:spacing w:val="-3"/>
        </w:rPr>
        <w:t> </w:t>
      </w:r>
      <w:r>
        <w:rPr/>
        <w:t>(Google</w:t>
      </w:r>
      <w:r>
        <w:rPr>
          <w:spacing w:val="-3"/>
        </w:rPr>
        <w:t> </w:t>
      </w:r>
      <w:r>
        <w:rPr/>
        <w:t>Earth,</w:t>
      </w:r>
      <w:r>
        <w:rPr>
          <w:spacing w:val="-3"/>
        </w:rPr>
        <w:t> </w:t>
      </w:r>
      <w:r>
        <w:rPr/>
        <w:t>2024).</w:t>
      </w:r>
      <w:r>
        <w:rPr>
          <w:spacing w:val="-3"/>
        </w:rPr>
        <w:t> </w:t>
      </w:r>
      <w:r>
        <w:rPr/>
        <w:t>The</w:t>
      </w:r>
      <w:r>
        <w:rPr>
          <w:spacing w:val="-4"/>
        </w:rPr>
        <w:t> </w:t>
      </w:r>
      <w:r>
        <w:rPr/>
        <w:t>location</w:t>
      </w:r>
      <w:r>
        <w:rPr>
          <w:spacing w:val="-3"/>
        </w:rPr>
        <w:t> </w:t>
      </w:r>
      <w:r>
        <w:rPr/>
        <w:t>was</w:t>
      </w:r>
      <w:r>
        <w:rPr>
          <w:spacing w:val="-3"/>
        </w:rPr>
        <w:t> </w:t>
      </w:r>
      <w:r>
        <w:rPr/>
        <w:t>purposefully</w:t>
      </w:r>
      <w:r>
        <w:rPr>
          <w:spacing w:val="-3"/>
        </w:rPr>
        <w:t> </w:t>
      </w:r>
      <w:r>
        <w:rPr/>
        <w:t>chosen for several compelling reasons. First, the market's environmental relevance arises from</w:t>
      </w:r>
      <w:r>
        <w:rPr>
          <w:spacing w:val="40"/>
        </w:rPr>
        <w:t> </w:t>
      </w:r>
      <w:r>
        <w:rPr/>
        <w:t>its commercial density, which indicates a high volume of potential contaminants.</w:t>
      </w:r>
      <w:r>
        <w:rPr>
          <w:spacing w:val="40"/>
        </w:rPr>
        <w:t> </w:t>
      </w:r>
      <w:r>
        <w:rPr/>
        <w:t>Second, its proximity to surrounding residential neighborhoods raises serious concerns regarding public health, as nearby residents and traders could be exposed to hazardous materials, particularly heavy metals that can leach into local water supplies.</w:t>
      </w:r>
    </w:p>
    <w:p>
      <w:pPr>
        <w:pStyle w:val="BodyText"/>
        <w:spacing w:line="494" w:lineRule="auto" w:before="155"/>
        <w:ind w:left="1167" w:right="1775" w:hanging="13"/>
        <w:jc w:val="both"/>
      </w:pPr>
      <w:r>
        <w:rPr/>
        <w:t>Research surrounding the impact of informal automotive practices on urban environmental health is extensive. Studies have emphasized the role of markets like Ipata-Oloje</w:t>
      </w:r>
      <w:r>
        <w:rPr>
          <w:spacing w:val="18"/>
        </w:rPr>
        <w:t> </w:t>
      </w:r>
      <w:r>
        <w:rPr/>
        <w:t>in</w:t>
      </w:r>
      <w:r>
        <w:rPr>
          <w:spacing w:val="19"/>
        </w:rPr>
        <w:t> </w:t>
      </w:r>
      <w:r>
        <w:rPr/>
        <w:t>exacerbating</w:t>
      </w:r>
      <w:r>
        <w:rPr>
          <w:spacing w:val="20"/>
        </w:rPr>
        <w:t> </w:t>
      </w:r>
      <w:r>
        <w:rPr/>
        <w:t>urban</w:t>
      </w:r>
      <w:r>
        <w:rPr>
          <w:spacing w:val="20"/>
        </w:rPr>
        <w:t> </w:t>
      </w:r>
      <w:r>
        <w:rPr/>
        <w:t>contamination.</w:t>
      </w:r>
      <w:r>
        <w:rPr>
          <w:spacing w:val="1"/>
        </w:rPr>
        <w:t> </w:t>
      </w:r>
      <w:r>
        <w:rPr/>
        <w:t>Akinola</w:t>
      </w:r>
      <w:r>
        <w:rPr>
          <w:spacing w:val="19"/>
        </w:rPr>
        <w:t> </w:t>
      </w:r>
      <w:r>
        <w:rPr/>
        <w:t>et</w:t>
      </w:r>
      <w:r>
        <w:rPr>
          <w:spacing w:val="19"/>
        </w:rPr>
        <w:t> </w:t>
      </w:r>
      <w:r>
        <w:rPr/>
        <w:t>al.</w:t>
      </w:r>
      <w:r>
        <w:rPr>
          <w:spacing w:val="20"/>
        </w:rPr>
        <w:t> </w:t>
      </w:r>
      <w:r>
        <w:rPr/>
        <w:t>(2021)</w:t>
      </w:r>
      <w:r>
        <w:rPr>
          <w:spacing w:val="18"/>
        </w:rPr>
        <w:t> </w:t>
      </w:r>
      <w:r>
        <w:rPr/>
        <w:t>and</w:t>
      </w:r>
      <w:r>
        <w:rPr>
          <w:spacing w:val="22"/>
        </w:rPr>
        <w:t> </w:t>
      </w:r>
      <w:r>
        <w:rPr/>
        <w:t>Olayinka</w:t>
      </w:r>
      <w:r>
        <w:rPr>
          <w:spacing w:val="18"/>
        </w:rPr>
        <w:t> </w:t>
      </w:r>
      <w:r>
        <w:rPr>
          <w:spacing w:val="-10"/>
        </w:rPr>
        <w:t>&amp;</w:t>
      </w:r>
    </w:p>
    <w:p>
      <w:pPr>
        <w:pStyle w:val="BodyText"/>
        <w:spacing w:after="0" w:line="494" w:lineRule="auto"/>
        <w:jc w:val="both"/>
        <w:sectPr>
          <w:footerReference w:type="default" r:id="rId14"/>
          <w:pgSz w:w="12240" w:h="15840"/>
          <w:pgMar w:header="0" w:footer="1674" w:top="1460" w:bottom="1860" w:left="360" w:right="0"/>
        </w:sectPr>
      </w:pPr>
    </w:p>
    <w:p>
      <w:pPr>
        <w:pStyle w:val="BodyText"/>
        <w:spacing w:line="496" w:lineRule="auto" w:before="74"/>
        <w:ind w:left="1167" w:right="1769"/>
        <w:jc w:val="both"/>
      </w:pPr>
      <w:r>
        <w:rPr/>
        <w:t>Alo (2018) have investigated similar locales and noted the perilous effects of hazardous waste on local ecosystems. Given these precedents, the Ipata-Oloje market stands out as</w:t>
      </w:r>
      <w:r>
        <w:rPr>
          <w:spacing w:val="40"/>
        </w:rPr>
        <w:t> </w:t>
      </w:r>
      <w:r>
        <w:rPr/>
        <w:t>a significant case study for assessing potential environmental and health risks from contaminated water sources.</w:t>
      </w:r>
    </w:p>
    <w:p>
      <w:pPr>
        <w:pStyle w:val="BodyText"/>
        <w:spacing w:after="0" w:line="496" w:lineRule="auto"/>
        <w:jc w:val="both"/>
        <w:sectPr>
          <w:footerReference w:type="default" r:id="rId15"/>
          <w:pgSz w:w="12240" w:h="15840"/>
          <w:pgMar w:header="0" w:footer="1674" w:top="1460" w:bottom="1860" w:left="360" w:right="0"/>
          <w:pgNumType w:start="1"/>
        </w:sectPr>
      </w:pPr>
    </w:p>
    <w:p>
      <w:pPr>
        <w:pStyle w:val="BodyText"/>
        <w:ind w:left="1257"/>
        <w:rPr>
          <w:sz w:val="20"/>
        </w:rPr>
      </w:pPr>
      <w:r>
        <w:rPr>
          <w:sz w:val="20"/>
        </w:rPr>
        <w:drawing>
          <wp:inline distT="0" distB="0" distL="0" distR="0">
            <wp:extent cx="5705856" cy="5808726"/>
            <wp:effectExtent l="0" t="0" r="0" b="0"/>
            <wp:docPr id="11" name="Image 11"/>
            <wp:cNvGraphicFramePr>
              <a:graphicFrameLocks/>
            </wp:cNvGraphicFramePr>
            <a:graphic>
              <a:graphicData uri="http://schemas.openxmlformats.org/drawingml/2006/picture">
                <pic:pic>
                  <pic:nvPicPr>
                    <pic:cNvPr id="11" name="Image 11"/>
                    <pic:cNvPicPr/>
                  </pic:nvPicPr>
                  <pic:blipFill>
                    <a:blip r:embed="rId16" cstate="print"/>
                    <a:stretch>
                      <a:fillRect/>
                    </a:stretch>
                  </pic:blipFill>
                  <pic:spPr>
                    <a:xfrm>
                      <a:off x="0" y="0"/>
                      <a:ext cx="5705856" cy="5808726"/>
                    </a:xfrm>
                    <a:prstGeom prst="rect">
                      <a:avLst/>
                    </a:prstGeom>
                  </pic:spPr>
                </pic:pic>
              </a:graphicData>
            </a:graphic>
          </wp:inline>
        </w:drawing>
      </w:r>
      <w:r>
        <w:rPr>
          <w:sz w:val="20"/>
        </w:rPr>
      </w:r>
    </w:p>
    <w:p>
      <w:pPr>
        <w:pStyle w:val="BodyText"/>
        <w:spacing w:before="145"/>
      </w:pPr>
    </w:p>
    <w:p>
      <w:pPr>
        <w:pStyle w:val="BodyText"/>
        <w:ind w:left="1155"/>
      </w:pPr>
      <w:r>
        <w:rPr/>
        <w:t>Fig.</w:t>
      </w:r>
      <w:r>
        <w:rPr>
          <w:spacing w:val="9"/>
        </w:rPr>
        <w:t> </w:t>
      </w:r>
      <w:r>
        <w:rPr/>
        <w:t>1:</w:t>
      </w:r>
      <w:r>
        <w:rPr>
          <w:spacing w:val="11"/>
        </w:rPr>
        <w:t> </w:t>
      </w:r>
      <w:r>
        <w:rPr/>
        <w:t>Map</w:t>
      </w:r>
      <w:r>
        <w:rPr>
          <w:spacing w:val="10"/>
        </w:rPr>
        <w:t> </w:t>
      </w:r>
      <w:r>
        <w:rPr/>
        <w:t>showing</w:t>
      </w:r>
      <w:r>
        <w:rPr>
          <w:spacing w:val="10"/>
        </w:rPr>
        <w:t> </w:t>
      </w:r>
      <w:r>
        <w:rPr/>
        <w:t>the</w:t>
      </w:r>
      <w:r>
        <w:rPr>
          <w:spacing w:val="9"/>
        </w:rPr>
        <w:t> </w:t>
      </w:r>
      <w:r>
        <w:rPr/>
        <w:t>study</w:t>
      </w:r>
      <w:r>
        <w:rPr>
          <w:spacing w:val="9"/>
        </w:rPr>
        <w:t> </w:t>
      </w:r>
      <w:r>
        <w:rPr/>
        <w:t>area;</w:t>
      </w:r>
      <w:r>
        <w:rPr>
          <w:spacing w:val="10"/>
        </w:rPr>
        <w:t> </w:t>
      </w:r>
      <w:r>
        <w:rPr/>
        <w:t>Ipata</w:t>
      </w:r>
      <w:r>
        <w:rPr>
          <w:spacing w:val="10"/>
        </w:rPr>
        <w:t> </w:t>
      </w:r>
      <w:r>
        <w:rPr>
          <w:spacing w:val="-4"/>
        </w:rPr>
        <w:t>Oloje</w:t>
      </w:r>
    </w:p>
    <w:p>
      <w:pPr>
        <w:pStyle w:val="BodyText"/>
        <w:spacing w:after="0"/>
        <w:sectPr>
          <w:pgSz w:w="12240" w:h="15840"/>
          <w:pgMar w:header="0" w:footer="1674" w:top="1520" w:bottom="1860" w:left="360" w:right="0"/>
        </w:sectPr>
      </w:pPr>
    </w:p>
    <w:p>
      <w:pPr>
        <w:pStyle w:val="Heading1"/>
        <w:numPr>
          <w:ilvl w:val="1"/>
          <w:numId w:val="6"/>
        </w:numPr>
        <w:tabs>
          <w:tab w:pos="1537" w:val="left" w:leader="none"/>
        </w:tabs>
        <w:spacing w:line="240" w:lineRule="auto" w:before="74" w:after="0"/>
        <w:ind w:left="1537" w:right="0" w:hanging="382"/>
        <w:jc w:val="left"/>
      </w:pPr>
      <w:r>
        <w:rPr/>
        <w:t>SAMPLE</w:t>
      </w:r>
      <w:r>
        <w:rPr>
          <w:spacing w:val="20"/>
        </w:rPr>
        <w:t> </w:t>
      </w:r>
      <w:r>
        <w:rPr>
          <w:spacing w:val="-2"/>
        </w:rPr>
        <w:t>COLLECTION</w:t>
      </w:r>
    </w:p>
    <w:p>
      <w:pPr>
        <w:pStyle w:val="BodyText"/>
        <w:spacing w:before="182"/>
        <w:rPr>
          <w:b/>
        </w:rPr>
      </w:pPr>
    </w:p>
    <w:p>
      <w:pPr>
        <w:pStyle w:val="ListParagraph"/>
        <w:numPr>
          <w:ilvl w:val="2"/>
          <w:numId w:val="6"/>
        </w:numPr>
        <w:tabs>
          <w:tab w:pos="1723" w:val="left" w:leader="none"/>
        </w:tabs>
        <w:spacing w:line="240" w:lineRule="auto" w:before="0" w:after="0"/>
        <w:ind w:left="1723" w:right="0" w:hanging="568"/>
        <w:jc w:val="left"/>
        <w:rPr>
          <w:b/>
          <w:sz w:val="25"/>
        </w:rPr>
      </w:pPr>
      <w:r>
        <w:rPr>
          <w:b/>
          <w:sz w:val="25"/>
        </w:rPr>
        <w:t>WATER</w:t>
      </w:r>
      <w:r>
        <w:rPr>
          <w:b/>
          <w:spacing w:val="7"/>
          <w:sz w:val="25"/>
        </w:rPr>
        <w:t> </w:t>
      </w:r>
      <w:r>
        <w:rPr>
          <w:b/>
          <w:sz w:val="25"/>
        </w:rPr>
        <w:t>SAMPLE</w:t>
      </w:r>
      <w:r>
        <w:rPr>
          <w:b/>
          <w:spacing w:val="9"/>
          <w:sz w:val="25"/>
        </w:rPr>
        <w:t> </w:t>
      </w:r>
      <w:r>
        <w:rPr>
          <w:b/>
          <w:sz w:val="25"/>
        </w:rPr>
        <w:t>COLLECTION</w:t>
      </w:r>
      <w:r>
        <w:rPr>
          <w:b/>
          <w:spacing w:val="-9"/>
          <w:sz w:val="25"/>
        </w:rPr>
        <w:t> </w:t>
      </w:r>
      <w:r>
        <w:rPr>
          <w:b/>
          <w:sz w:val="25"/>
        </w:rPr>
        <w:t>AND</w:t>
      </w:r>
      <w:r>
        <w:rPr>
          <w:b/>
          <w:spacing w:val="12"/>
          <w:sz w:val="25"/>
        </w:rPr>
        <w:t> </w:t>
      </w:r>
      <w:r>
        <w:rPr>
          <w:b/>
          <w:spacing w:val="-2"/>
          <w:sz w:val="25"/>
        </w:rPr>
        <w:t>PREPARATION</w:t>
      </w:r>
    </w:p>
    <w:p>
      <w:pPr>
        <w:pStyle w:val="BodyText"/>
        <w:spacing w:before="185"/>
        <w:rPr>
          <w:b/>
        </w:rPr>
      </w:pPr>
    </w:p>
    <w:p>
      <w:pPr>
        <w:pStyle w:val="BodyText"/>
        <w:spacing w:line="496" w:lineRule="auto"/>
        <w:ind w:left="1167" w:right="1819" w:hanging="13"/>
      </w:pPr>
      <w:r>
        <w:rPr/>
        <w:t>Water samples were methodically collected from several locations within the market to ensure comprehensive data collection:</w:t>
      </w:r>
    </w:p>
    <w:p>
      <w:pPr>
        <w:pStyle w:val="ListParagraph"/>
        <w:numPr>
          <w:ilvl w:val="3"/>
          <w:numId w:val="6"/>
        </w:numPr>
        <w:tabs>
          <w:tab w:pos="1167" w:val="left" w:leader="none"/>
          <w:tab w:pos="1767" w:val="left" w:leader="none"/>
        </w:tabs>
        <w:spacing w:line="496" w:lineRule="auto" w:before="160" w:after="0"/>
        <w:ind w:left="1167" w:right="2150" w:hanging="13"/>
        <w:jc w:val="left"/>
        <w:rPr>
          <w:sz w:val="25"/>
        </w:rPr>
      </w:pPr>
      <w:r>
        <w:rPr>
          <w:sz w:val="25"/>
        </w:rPr>
        <w:t>Open Wells: Often used by local traders for daily activities, these wells can be highly susceptible to contamination from nearby mechanical activities.</w:t>
      </w:r>
    </w:p>
    <w:p>
      <w:pPr>
        <w:pStyle w:val="ListParagraph"/>
        <w:numPr>
          <w:ilvl w:val="3"/>
          <w:numId w:val="6"/>
        </w:numPr>
        <w:tabs>
          <w:tab w:pos="1167" w:val="left" w:leader="none"/>
          <w:tab w:pos="1767" w:val="left" w:leader="none"/>
        </w:tabs>
        <w:spacing w:line="491" w:lineRule="auto" w:before="158" w:after="0"/>
        <w:ind w:left="1167" w:right="1926" w:hanging="13"/>
        <w:jc w:val="left"/>
        <w:rPr>
          <w:sz w:val="25"/>
        </w:rPr>
      </w:pPr>
      <w:r>
        <w:rPr>
          <w:sz w:val="25"/>
        </w:rPr>
        <w:t>Borehole: In addition to open wells, samples were taken from boreholes, as they serve as an important source of water for many residents and traders in the vicinity, thereby influencing their exposure to contaminants.</w:t>
      </w:r>
    </w:p>
    <w:p>
      <w:pPr>
        <w:pStyle w:val="Heading2"/>
        <w:spacing w:before="166"/>
        <w:ind w:left="1218"/>
      </w:pPr>
      <w:r>
        <w:rPr/>
        <w:t>Sampling</w:t>
      </w:r>
      <w:r>
        <w:rPr>
          <w:spacing w:val="20"/>
        </w:rPr>
        <w:t> </w:t>
      </w:r>
      <w:r>
        <w:rPr>
          <w:spacing w:val="-2"/>
        </w:rPr>
        <w:t>Procedure</w:t>
      </w:r>
    </w:p>
    <w:p>
      <w:pPr>
        <w:pStyle w:val="BodyText"/>
        <w:spacing w:before="182"/>
        <w:rPr>
          <w:b/>
        </w:rPr>
      </w:pPr>
    </w:p>
    <w:p>
      <w:pPr>
        <w:pStyle w:val="BodyText"/>
        <w:spacing w:line="496" w:lineRule="auto"/>
        <w:ind w:left="1167" w:right="1819" w:hanging="13"/>
      </w:pPr>
      <w:r>
        <w:rPr/>
        <w:t>A</w:t>
      </w:r>
      <w:r>
        <w:rPr>
          <w:spacing w:val="-1"/>
        </w:rPr>
        <w:t> </w:t>
      </w:r>
      <w:r>
        <w:rPr/>
        <w:t>systematic approach was taken to collect water samples, with a focus on maintaining integrity and ensuring reliability of results:</w:t>
      </w:r>
    </w:p>
    <w:p>
      <w:pPr>
        <w:pStyle w:val="ListParagraph"/>
        <w:numPr>
          <w:ilvl w:val="3"/>
          <w:numId w:val="6"/>
        </w:numPr>
        <w:tabs>
          <w:tab w:pos="1167" w:val="left" w:leader="none"/>
          <w:tab w:pos="1767" w:val="left" w:leader="none"/>
        </w:tabs>
        <w:spacing w:line="496" w:lineRule="auto" w:before="159" w:after="0"/>
        <w:ind w:left="1167" w:right="1772" w:hanging="13"/>
        <w:jc w:val="left"/>
        <w:rPr>
          <w:sz w:val="25"/>
        </w:rPr>
      </w:pPr>
      <w:r>
        <w:rPr>
          <w:sz w:val="25"/>
        </w:rPr>
        <w:t>Sample</w:t>
      </w:r>
      <w:r>
        <w:rPr>
          <w:spacing w:val="40"/>
          <w:sz w:val="25"/>
        </w:rPr>
        <w:t> </w:t>
      </w:r>
      <w:r>
        <w:rPr>
          <w:sz w:val="25"/>
        </w:rPr>
        <w:t>Containers:</w:t>
      </w:r>
      <w:r>
        <w:rPr>
          <w:spacing w:val="40"/>
          <w:sz w:val="25"/>
        </w:rPr>
        <w:t> </w:t>
      </w:r>
      <w:r>
        <w:rPr>
          <w:sz w:val="25"/>
        </w:rPr>
        <w:t>Samples</w:t>
      </w:r>
      <w:r>
        <w:rPr>
          <w:spacing w:val="40"/>
          <w:sz w:val="25"/>
        </w:rPr>
        <w:t> </w:t>
      </w:r>
      <w:r>
        <w:rPr>
          <w:sz w:val="25"/>
        </w:rPr>
        <w:t>were</w:t>
      </w:r>
      <w:r>
        <w:rPr>
          <w:spacing w:val="40"/>
          <w:sz w:val="25"/>
        </w:rPr>
        <w:t> </w:t>
      </w:r>
      <w:r>
        <w:rPr>
          <w:sz w:val="25"/>
        </w:rPr>
        <w:t>collected</w:t>
      </w:r>
      <w:r>
        <w:rPr>
          <w:spacing w:val="40"/>
          <w:sz w:val="25"/>
        </w:rPr>
        <w:t> </w:t>
      </w:r>
      <w:r>
        <w:rPr>
          <w:sz w:val="25"/>
        </w:rPr>
        <w:t>using</w:t>
      </w:r>
      <w:r>
        <w:rPr>
          <w:spacing w:val="40"/>
          <w:sz w:val="25"/>
        </w:rPr>
        <w:t> </w:t>
      </w:r>
      <w:r>
        <w:rPr>
          <w:sz w:val="25"/>
        </w:rPr>
        <w:t>pre-washed,</w:t>
      </w:r>
      <w:r>
        <w:rPr>
          <w:spacing w:val="40"/>
          <w:sz w:val="25"/>
        </w:rPr>
        <w:t> </w:t>
      </w:r>
      <w:r>
        <w:rPr>
          <w:sz w:val="25"/>
        </w:rPr>
        <w:t>sterilized</w:t>
      </w:r>
      <w:r>
        <w:rPr>
          <w:spacing w:val="40"/>
          <w:sz w:val="25"/>
        </w:rPr>
        <w:t> </w:t>
      </w:r>
      <w:r>
        <w:rPr>
          <w:sz w:val="25"/>
        </w:rPr>
        <w:t>1-liter plastic bottles to eliminate any potential for contamination.</w:t>
      </w:r>
    </w:p>
    <w:p>
      <w:pPr>
        <w:pStyle w:val="ListParagraph"/>
        <w:numPr>
          <w:ilvl w:val="3"/>
          <w:numId w:val="6"/>
        </w:numPr>
        <w:tabs>
          <w:tab w:pos="1167" w:val="left" w:leader="none"/>
          <w:tab w:pos="1767" w:val="left" w:leader="none"/>
        </w:tabs>
        <w:spacing w:line="496" w:lineRule="auto" w:before="159" w:after="0"/>
        <w:ind w:left="1167" w:right="1779" w:hanging="13"/>
        <w:jc w:val="left"/>
        <w:rPr>
          <w:sz w:val="25"/>
        </w:rPr>
      </w:pPr>
      <w:r>
        <w:rPr>
          <w:sz w:val="25"/>
        </w:rPr>
        <w:t>Time</w:t>
      </w:r>
      <w:r>
        <w:rPr>
          <w:spacing w:val="40"/>
          <w:sz w:val="25"/>
        </w:rPr>
        <w:t> </w:t>
      </w:r>
      <w:r>
        <w:rPr>
          <w:sz w:val="25"/>
        </w:rPr>
        <w:t>of</w:t>
      </w:r>
      <w:r>
        <w:rPr>
          <w:spacing w:val="40"/>
          <w:sz w:val="25"/>
        </w:rPr>
        <w:t> </w:t>
      </w:r>
      <w:r>
        <w:rPr>
          <w:sz w:val="25"/>
        </w:rPr>
        <w:t>Collection:</w:t>
      </w:r>
      <w:r>
        <w:rPr>
          <w:spacing w:val="40"/>
          <w:sz w:val="25"/>
        </w:rPr>
        <w:t> </w:t>
      </w:r>
      <w:r>
        <w:rPr>
          <w:sz w:val="25"/>
        </w:rPr>
        <w:t>Samples</w:t>
      </w:r>
      <w:r>
        <w:rPr>
          <w:spacing w:val="40"/>
          <w:sz w:val="25"/>
        </w:rPr>
        <w:t> </w:t>
      </w:r>
      <w:r>
        <w:rPr>
          <w:sz w:val="25"/>
        </w:rPr>
        <w:t>were</w:t>
      </w:r>
      <w:r>
        <w:rPr>
          <w:spacing w:val="40"/>
          <w:sz w:val="25"/>
        </w:rPr>
        <w:t> </w:t>
      </w:r>
      <w:r>
        <w:rPr>
          <w:sz w:val="25"/>
        </w:rPr>
        <w:t>collected</w:t>
      </w:r>
      <w:r>
        <w:rPr>
          <w:spacing w:val="40"/>
          <w:sz w:val="25"/>
        </w:rPr>
        <w:t> </w:t>
      </w:r>
      <w:r>
        <w:rPr>
          <w:sz w:val="25"/>
        </w:rPr>
        <w:t>early</w:t>
      </w:r>
      <w:r>
        <w:rPr>
          <w:spacing w:val="40"/>
          <w:sz w:val="25"/>
        </w:rPr>
        <w:t> </w:t>
      </w:r>
      <w:r>
        <w:rPr>
          <w:sz w:val="25"/>
        </w:rPr>
        <w:t>in</w:t>
      </w:r>
      <w:r>
        <w:rPr>
          <w:spacing w:val="40"/>
          <w:sz w:val="25"/>
        </w:rPr>
        <w:t> </w:t>
      </w:r>
      <w:r>
        <w:rPr>
          <w:sz w:val="25"/>
        </w:rPr>
        <w:t>the</w:t>
      </w:r>
      <w:r>
        <w:rPr>
          <w:spacing w:val="40"/>
          <w:sz w:val="25"/>
        </w:rPr>
        <w:t> </w:t>
      </w:r>
      <w:r>
        <w:rPr>
          <w:sz w:val="25"/>
        </w:rPr>
        <w:t>morning,</w:t>
      </w:r>
      <w:r>
        <w:rPr>
          <w:spacing w:val="40"/>
          <w:sz w:val="25"/>
        </w:rPr>
        <w:t> </w:t>
      </w:r>
      <w:r>
        <w:rPr>
          <w:sz w:val="25"/>
        </w:rPr>
        <w:t>strategically selected to avoid diurnal variations that could affect water quality measurements.</w:t>
      </w:r>
    </w:p>
    <w:p>
      <w:pPr>
        <w:pStyle w:val="ListParagraph"/>
        <w:spacing w:after="0" w:line="496" w:lineRule="auto"/>
        <w:jc w:val="left"/>
        <w:rPr>
          <w:sz w:val="25"/>
        </w:rPr>
        <w:sectPr>
          <w:pgSz w:w="12240" w:h="15840"/>
          <w:pgMar w:header="0" w:footer="1674" w:top="1460" w:bottom="1860" w:left="360" w:right="0"/>
        </w:sectPr>
      </w:pPr>
    </w:p>
    <w:p>
      <w:pPr>
        <w:pStyle w:val="ListParagraph"/>
        <w:numPr>
          <w:ilvl w:val="3"/>
          <w:numId w:val="6"/>
        </w:numPr>
        <w:tabs>
          <w:tab w:pos="1167" w:val="left" w:leader="none"/>
          <w:tab w:pos="1765" w:val="left" w:leader="none"/>
        </w:tabs>
        <w:spacing w:line="491" w:lineRule="auto" w:before="74" w:after="0"/>
        <w:ind w:left="1167" w:right="1774" w:hanging="13"/>
        <w:jc w:val="both"/>
        <w:rPr>
          <w:sz w:val="25"/>
        </w:rPr>
      </w:pPr>
      <w:r>
        <w:rPr>
          <w:sz w:val="25"/>
        </w:rPr>
        <w:t>Acidification: Immediately after collection, samples were acidified with nitric acid (HNO₃ ) to stabilize the metal content and prevent precipitation, ensuring a more</w:t>
      </w:r>
      <w:r>
        <w:rPr>
          <w:spacing w:val="40"/>
          <w:sz w:val="25"/>
        </w:rPr>
        <w:t> </w:t>
      </w:r>
      <w:r>
        <w:rPr>
          <w:sz w:val="25"/>
        </w:rPr>
        <w:t>accurate analysis.</w:t>
      </w:r>
    </w:p>
    <w:p>
      <w:pPr>
        <w:pStyle w:val="ListParagraph"/>
        <w:numPr>
          <w:ilvl w:val="3"/>
          <w:numId w:val="6"/>
        </w:numPr>
        <w:tabs>
          <w:tab w:pos="1167" w:val="left" w:leader="none"/>
          <w:tab w:pos="1765" w:val="left" w:leader="none"/>
        </w:tabs>
        <w:spacing w:line="496" w:lineRule="auto" w:before="165" w:after="0"/>
        <w:ind w:left="1167" w:right="1778" w:hanging="13"/>
        <w:jc w:val="both"/>
        <w:rPr>
          <w:sz w:val="25"/>
        </w:rPr>
      </w:pPr>
      <w:r>
        <w:rPr>
          <w:sz w:val="25"/>
        </w:rPr>
        <w:t>Storage: Each sample was labeled and placed in a cooler box to maintain temperature consistency before undergoing laboratory analysis.</w:t>
      </w:r>
    </w:p>
    <w:p>
      <w:pPr>
        <w:pStyle w:val="Heading2"/>
        <w:spacing w:before="159"/>
        <w:jc w:val="both"/>
      </w:pPr>
      <w:r>
        <w:rPr/>
        <w:t>Sample</w:t>
      </w:r>
      <w:r>
        <w:rPr>
          <w:spacing w:val="15"/>
        </w:rPr>
        <w:t> </w:t>
      </w:r>
      <w:r>
        <w:rPr>
          <w:spacing w:val="-2"/>
        </w:rPr>
        <w:t>Preparation</w:t>
      </w:r>
    </w:p>
    <w:p>
      <w:pPr>
        <w:pStyle w:val="BodyText"/>
        <w:spacing w:before="182"/>
        <w:rPr>
          <w:b/>
        </w:rPr>
      </w:pPr>
    </w:p>
    <w:p>
      <w:pPr>
        <w:pStyle w:val="BodyText"/>
        <w:spacing w:line="491" w:lineRule="auto" w:before="1"/>
        <w:ind w:left="1167" w:right="1943" w:hanging="13"/>
      </w:pPr>
      <w:r>
        <w:rPr/>
        <w:t>To accurately determine the concentration of PTMs in the collected water samples, a thorough sample preparation process was employed. Water samples underwent</w:t>
      </w:r>
      <w:r>
        <w:rPr>
          <w:spacing w:val="80"/>
        </w:rPr>
        <w:t> </w:t>
      </w:r>
      <w:r>
        <w:rPr/>
        <w:t>digestion utilizing the aqua regia method, formulated in a 3:1 ratio (HCl:HNO₃ ). This ratio is particularly suited for the oxidation of metals, enhancing the recovery of a wide range of elements.</w:t>
      </w:r>
    </w:p>
    <w:p>
      <w:pPr>
        <w:pStyle w:val="ListParagraph"/>
        <w:numPr>
          <w:ilvl w:val="3"/>
          <w:numId w:val="6"/>
        </w:numPr>
        <w:tabs>
          <w:tab w:pos="1167" w:val="left" w:leader="none"/>
          <w:tab w:pos="1765" w:val="left" w:leader="none"/>
        </w:tabs>
        <w:spacing w:line="491" w:lineRule="auto" w:before="167" w:after="0"/>
        <w:ind w:left="1167" w:right="1948" w:hanging="13"/>
        <w:jc w:val="both"/>
        <w:rPr>
          <w:sz w:val="25"/>
        </w:rPr>
      </w:pPr>
      <w:r>
        <w:rPr>
          <w:sz w:val="25"/>
        </w:rPr>
        <w:t>Digestion Procedure:</w:t>
      </w:r>
      <w:r>
        <w:rPr>
          <w:spacing w:val="-4"/>
          <w:sz w:val="25"/>
        </w:rPr>
        <w:t> </w:t>
      </w:r>
      <w:r>
        <w:rPr>
          <w:sz w:val="25"/>
        </w:rPr>
        <w:t>A</w:t>
      </w:r>
      <w:r>
        <w:rPr>
          <w:spacing w:val="-5"/>
          <w:sz w:val="25"/>
        </w:rPr>
        <w:t> </w:t>
      </w:r>
      <w:r>
        <w:rPr>
          <w:sz w:val="25"/>
        </w:rPr>
        <w:t>100 ml aliquot of the water sample was measured into a clean 250 ml digestion flask. Subsequently, 15 ml of concentrated nitric acid and 5 ml of concentrated hydrochloric acid were added to the flask.</w:t>
      </w:r>
    </w:p>
    <w:p>
      <w:pPr>
        <w:pStyle w:val="ListParagraph"/>
        <w:numPr>
          <w:ilvl w:val="3"/>
          <w:numId w:val="6"/>
        </w:numPr>
        <w:tabs>
          <w:tab w:pos="1167" w:val="left" w:leader="none"/>
          <w:tab w:pos="1767" w:val="left" w:leader="none"/>
        </w:tabs>
        <w:spacing w:line="491" w:lineRule="auto" w:before="166" w:after="0"/>
        <w:ind w:left="1167" w:right="2043" w:hanging="13"/>
        <w:jc w:val="left"/>
        <w:rPr>
          <w:sz w:val="25"/>
        </w:rPr>
      </w:pPr>
      <w:r>
        <w:rPr>
          <w:sz w:val="25"/>
        </w:rPr>
        <w:t>Heating Process: The sample was subjected to controlled heating on a hot plate for approximately 15 minutes, ensuring that evaporation reduced the volume to less than 50 ml. Care was taken to prevent drying out, with special attention given to the bottomof the flask to avoid residue.</w:t>
      </w:r>
    </w:p>
    <w:p>
      <w:pPr>
        <w:pStyle w:val="ListParagraph"/>
        <w:spacing w:after="0" w:line="491" w:lineRule="auto"/>
        <w:jc w:val="left"/>
        <w:rPr>
          <w:sz w:val="25"/>
        </w:rPr>
        <w:sectPr>
          <w:pgSz w:w="12240" w:h="15840"/>
          <w:pgMar w:header="0" w:footer="1674" w:top="1460" w:bottom="1860" w:left="360" w:right="0"/>
        </w:sectPr>
      </w:pPr>
    </w:p>
    <w:p>
      <w:pPr>
        <w:pStyle w:val="ListParagraph"/>
        <w:numPr>
          <w:ilvl w:val="3"/>
          <w:numId w:val="6"/>
        </w:numPr>
        <w:tabs>
          <w:tab w:pos="1167" w:val="left" w:leader="none"/>
          <w:tab w:pos="1767" w:val="left" w:leader="none"/>
        </w:tabs>
        <w:spacing w:line="491" w:lineRule="auto" w:before="74" w:after="0"/>
        <w:ind w:left="1167" w:right="2011" w:hanging="13"/>
        <w:jc w:val="left"/>
        <w:rPr>
          <w:sz w:val="25"/>
        </w:rPr>
      </w:pPr>
      <w:r>
        <w:rPr>
          <w:sz w:val="25"/>
        </w:rPr>
        <w:t>Cooling and Filtration: Once the digestion was complete, the flask was allowed to cool to room temperature. The cooled mixture was then filtered through Whatman No. 1 filter paper into 50 ml standard plastic vials, ensuring thorough rinsing with distilled water to maximize sample recovery.</w:t>
      </w:r>
      <w:r>
        <w:rPr>
          <w:spacing w:val="-4"/>
          <w:sz w:val="25"/>
        </w:rPr>
        <w:t> </w:t>
      </w:r>
      <w:r>
        <w:rPr>
          <w:sz w:val="25"/>
        </w:rPr>
        <w:t>A</w:t>
      </w:r>
      <w:r>
        <w:rPr>
          <w:spacing w:val="-2"/>
          <w:sz w:val="25"/>
        </w:rPr>
        <w:t> </w:t>
      </w:r>
      <w:r>
        <w:rPr>
          <w:sz w:val="25"/>
        </w:rPr>
        <w:t>few milliliters of distilled water were added and the mixture was filtered into a 25 ml standard flask and it was transferred into a plastic reagent bottle for</w:t>
      </w:r>
      <w:r>
        <w:rPr>
          <w:spacing w:val="-3"/>
          <w:sz w:val="25"/>
        </w:rPr>
        <w:t> </w:t>
      </w:r>
      <w:r>
        <w:rPr>
          <w:sz w:val="25"/>
        </w:rPr>
        <w:t>Atomic Absorption Spectrometry (AAS). The</w:t>
      </w:r>
      <w:r>
        <w:rPr>
          <w:spacing w:val="-3"/>
          <w:sz w:val="25"/>
        </w:rPr>
        <w:t> </w:t>
      </w:r>
      <w:r>
        <w:rPr>
          <w:sz w:val="25"/>
        </w:rPr>
        <w:t>Atomic Absorption Spectrometry was carried out at University of Ilorin central research laboratory using Buck Scientific Model 210 VGP Atomic Absorption </w:t>
      </w:r>
      <w:r>
        <w:rPr>
          <w:spacing w:val="-2"/>
          <w:sz w:val="25"/>
        </w:rPr>
        <w:t>Spectrophotometer.</w:t>
      </w:r>
    </w:p>
    <w:p>
      <w:pPr>
        <w:pStyle w:val="Heading1"/>
        <w:numPr>
          <w:ilvl w:val="2"/>
          <w:numId w:val="6"/>
        </w:numPr>
        <w:tabs>
          <w:tab w:pos="1728" w:val="left" w:leader="none"/>
        </w:tabs>
        <w:spacing w:line="240" w:lineRule="auto" w:before="266" w:after="0"/>
        <w:ind w:left="1728" w:right="0" w:hanging="573"/>
        <w:jc w:val="left"/>
      </w:pPr>
      <w:r>
        <w:rPr/>
        <w:t>SOIL</w:t>
      </w:r>
      <w:r>
        <w:rPr>
          <w:spacing w:val="2"/>
        </w:rPr>
        <w:t> </w:t>
      </w:r>
      <w:r>
        <w:rPr/>
        <w:t>SAMPLE</w:t>
      </w:r>
      <w:r>
        <w:rPr>
          <w:spacing w:val="22"/>
        </w:rPr>
        <w:t> </w:t>
      </w:r>
      <w:r>
        <w:rPr/>
        <w:t>COLLECTION</w:t>
      </w:r>
      <w:r>
        <w:rPr>
          <w:spacing w:val="-1"/>
        </w:rPr>
        <w:t> </w:t>
      </w:r>
      <w:r>
        <w:rPr/>
        <w:t>AND</w:t>
      </w:r>
      <w:r>
        <w:rPr>
          <w:spacing w:val="21"/>
        </w:rPr>
        <w:t> </w:t>
      </w:r>
      <w:r>
        <w:rPr>
          <w:spacing w:val="-2"/>
        </w:rPr>
        <w:t>PREPARATION</w:t>
      </w:r>
    </w:p>
    <w:p>
      <w:pPr>
        <w:pStyle w:val="BodyText"/>
        <w:spacing w:before="6"/>
        <w:rPr>
          <w:b/>
        </w:rPr>
      </w:pPr>
    </w:p>
    <w:p>
      <w:pPr>
        <w:pStyle w:val="BodyText"/>
        <w:spacing w:line="491" w:lineRule="auto" w:before="1"/>
        <w:ind w:left="1167" w:right="1819" w:hanging="13"/>
      </w:pPr>
      <w:r>
        <w:rPr/>
        <w:t>A total of twelve (12) sediment samples were collected from the market. The sediment samples were collected using a soil auger and put in black nylon bags about 2kg each. These samples were sent to the laboratory where they were screened to remove macroscopic traces of stones, glass, rubber, hair, animal, and plant matter to ensure that the materials to be analyzed are free from such contaminants. The samples were air- dried at room temperature in the Laboratory for some days to reduce the mass contribution of water and to avoid any chemical reaction (Kanu, </w:t>
      </w:r>
      <w:r>
        <w:rPr>
          <w:i/>
        </w:rPr>
        <w:t>et al., </w:t>
      </w:r>
      <w:r>
        <w:rPr/>
        <w:t>2013). The samples were ground using an agate mortar and sieved through a 1 mm sieve mesh and stored in well-labeled plastic containers for digestion. Aqua Regia Method was</w:t>
      </w:r>
      <w:r>
        <w:rPr>
          <w:spacing w:val="40"/>
        </w:rPr>
        <w:t> </w:t>
      </w:r>
      <w:r>
        <w:rPr/>
        <w:t>employed for the digestion of trace metals in soil samples. 1g of each sample (soil) was</w:t>
      </w:r>
    </w:p>
    <w:p>
      <w:pPr>
        <w:pStyle w:val="BodyText"/>
        <w:spacing w:after="0" w:line="491" w:lineRule="auto"/>
        <w:sectPr>
          <w:pgSz w:w="12240" w:h="15840"/>
          <w:pgMar w:header="0" w:footer="1674" w:top="1460" w:bottom="1860" w:left="360" w:right="0"/>
        </w:sectPr>
      </w:pPr>
    </w:p>
    <w:p>
      <w:pPr>
        <w:pStyle w:val="BodyText"/>
        <w:spacing w:line="491" w:lineRule="auto" w:before="74"/>
        <w:ind w:left="1167" w:right="1943"/>
      </w:pPr>
      <w:r>
        <w:rPr/>
        <w:t>weighed into a clean digestion flask and 9 ml of concentrated HNO</w:t>
      </w:r>
      <w:r>
        <w:rPr>
          <w:vertAlign w:val="subscript"/>
        </w:rPr>
        <w:t>3</w:t>
      </w:r>
      <w:r>
        <w:rPr>
          <w:vertAlign w:val="baseline"/>
        </w:rPr>
        <w:t>, 3 ml of concentrated HCl were added into the sample in the digestion flask (USEPA, 1986).</w:t>
      </w:r>
      <w:r>
        <w:rPr>
          <w:spacing w:val="80"/>
          <w:vertAlign w:val="baseline"/>
        </w:rPr>
        <w:t> </w:t>
      </w:r>
      <w:r>
        <w:rPr>
          <w:vertAlign w:val="baseline"/>
        </w:rPr>
        <w:t>The whole samples were heated in a hot plate until all the brownish fumes expelled out (Nitrogenous Compound), which confirm that the sample is digested and the samples were allowed to cool at room temperature and a few milliliters of distilled water added, and</w:t>
      </w:r>
      <w:r>
        <w:rPr>
          <w:spacing w:val="23"/>
          <w:vertAlign w:val="baseline"/>
        </w:rPr>
        <w:t> </w:t>
      </w:r>
      <w:r>
        <w:rPr>
          <w:vertAlign w:val="baseline"/>
        </w:rPr>
        <w:t>the</w:t>
      </w:r>
      <w:r>
        <w:rPr>
          <w:spacing w:val="23"/>
          <w:vertAlign w:val="baseline"/>
        </w:rPr>
        <w:t> </w:t>
      </w:r>
      <w:r>
        <w:rPr>
          <w:vertAlign w:val="baseline"/>
        </w:rPr>
        <w:t>mixture</w:t>
      </w:r>
      <w:r>
        <w:rPr>
          <w:spacing w:val="21"/>
          <w:vertAlign w:val="baseline"/>
        </w:rPr>
        <w:t> </w:t>
      </w:r>
      <w:r>
        <w:rPr>
          <w:vertAlign w:val="baseline"/>
        </w:rPr>
        <w:t>was</w:t>
      </w:r>
      <w:r>
        <w:rPr>
          <w:spacing w:val="23"/>
          <w:vertAlign w:val="baseline"/>
        </w:rPr>
        <w:t> </w:t>
      </w:r>
      <w:r>
        <w:rPr>
          <w:vertAlign w:val="baseline"/>
        </w:rPr>
        <w:t>filtered</w:t>
      </w:r>
      <w:r>
        <w:rPr>
          <w:spacing w:val="23"/>
          <w:vertAlign w:val="baseline"/>
        </w:rPr>
        <w:t> </w:t>
      </w:r>
      <w:r>
        <w:rPr>
          <w:vertAlign w:val="baseline"/>
        </w:rPr>
        <w:t>into</w:t>
      </w:r>
      <w:r>
        <w:rPr>
          <w:spacing w:val="23"/>
          <w:vertAlign w:val="baseline"/>
        </w:rPr>
        <w:t> </w:t>
      </w:r>
      <w:r>
        <w:rPr>
          <w:vertAlign w:val="baseline"/>
        </w:rPr>
        <w:t>25</w:t>
      </w:r>
      <w:r>
        <w:rPr>
          <w:spacing w:val="23"/>
          <w:vertAlign w:val="baseline"/>
        </w:rPr>
        <w:t> </w:t>
      </w:r>
      <w:r>
        <w:rPr>
          <w:vertAlign w:val="baseline"/>
        </w:rPr>
        <w:t>ml</w:t>
      </w:r>
      <w:r>
        <w:rPr>
          <w:spacing w:val="25"/>
          <w:vertAlign w:val="baseline"/>
        </w:rPr>
        <w:t> </w:t>
      </w:r>
      <w:r>
        <w:rPr>
          <w:vertAlign w:val="baseline"/>
        </w:rPr>
        <w:t>standard</w:t>
      </w:r>
      <w:r>
        <w:rPr>
          <w:spacing w:val="23"/>
          <w:vertAlign w:val="baseline"/>
        </w:rPr>
        <w:t> </w:t>
      </w:r>
      <w:r>
        <w:rPr>
          <w:vertAlign w:val="baseline"/>
        </w:rPr>
        <w:t>flask</w:t>
      </w:r>
      <w:r>
        <w:rPr>
          <w:spacing w:val="23"/>
          <w:vertAlign w:val="baseline"/>
        </w:rPr>
        <w:t> </w:t>
      </w:r>
      <w:r>
        <w:rPr>
          <w:vertAlign w:val="baseline"/>
        </w:rPr>
        <w:t>which</w:t>
      </w:r>
      <w:r>
        <w:rPr>
          <w:spacing w:val="23"/>
          <w:vertAlign w:val="baseline"/>
        </w:rPr>
        <w:t> </w:t>
      </w:r>
      <w:r>
        <w:rPr>
          <w:vertAlign w:val="baseline"/>
        </w:rPr>
        <w:t>was</w:t>
      </w:r>
      <w:r>
        <w:rPr>
          <w:spacing w:val="23"/>
          <w:vertAlign w:val="baseline"/>
        </w:rPr>
        <w:t> </w:t>
      </w:r>
      <w:r>
        <w:rPr>
          <w:vertAlign w:val="baseline"/>
        </w:rPr>
        <w:t>transferred</w:t>
      </w:r>
      <w:r>
        <w:rPr>
          <w:spacing w:val="23"/>
          <w:vertAlign w:val="baseline"/>
        </w:rPr>
        <w:t> </w:t>
      </w:r>
      <w:r>
        <w:rPr>
          <w:vertAlign w:val="baseline"/>
        </w:rPr>
        <w:t>into plastic reagent bottle for Atomic Absorption Spectrometry (AAS) for the quantitative determination of chemical elements. The technique measures the concentrations of elements</w:t>
      </w:r>
      <w:r>
        <w:rPr>
          <w:spacing w:val="21"/>
          <w:vertAlign w:val="baseline"/>
        </w:rPr>
        <w:t> </w:t>
      </w:r>
      <w:r>
        <w:rPr>
          <w:vertAlign w:val="baseline"/>
        </w:rPr>
        <w:t>in</w:t>
      </w:r>
      <w:r>
        <w:rPr>
          <w:spacing w:val="21"/>
          <w:vertAlign w:val="baseline"/>
        </w:rPr>
        <w:t> </w:t>
      </w:r>
      <w:r>
        <w:rPr>
          <w:vertAlign w:val="baseline"/>
        </w:rPr>
        <w:t>digested</w:t>
      </w:r>
      <w:r>
        <w:rPr>
          <w:spacing w:val="19"/>
          <w:vertAlign w:val="baseline"/>
        </w:rPr>
        <w:t> </w:t>
      </w:r>
      <w:r>
        <w:rPr>
          <w:vertAlign w:val="baseline"/>
        </w:rPr>
        <w:t>samples</w:t>
      </w:r>
      <w:r>
        <w:rPr>
          <w:spacing w:val="21"/>
          <w:vertAlign w:val="baseline"/>
        </w:rPr>
        <w:t> </w:t>
      </w:r>
      <w:r>
        <w:rPr>
          <w:vertAlign w:val="baseline"/>
        </w:rPr>
        <w:t>down</w:t>
      </w:r>
      <w:r>
        <w:rPr>
          <w:spacing w:val="21"/>
          <w:vertAlign w:val="baseline"/>
        </w:rPr>
        <w:t> </w:t>
      </w:r>
      <w:r>
        <w:rPr>
          <w:vertAlign w:val="baseline"/>
        </w:rPr>
        <w:t>to</w:t>
      </w:r>
      <w:r>
        <w:rPr>
          <w:spacing w:val="21"/>
          <w:vertAlign w:val="baseline"/>
        </w:rPr>
        <w:t> </w:t>
      </w:r>
      <w:r>
        <w:rPr>
          <w:vertAlign w:val="baseline"/>
        </w:rPr>
        <w:t>parts</w:t>
      </w:r>
      <w:r>
        <w:rPr>
          <w:spacing w:val="21"/>
          <w:vertAlign w:val="baseline"/>
        </w:rPr>
        <w:t> </w:t>
      </w:r>
      <w:r>
        <w:rPr>
          <w:vertAlign w:val="baseline"/>
        </w:rPr>
        <w:t>per</w:t>
      </w:r>
      <w:r>
        <w:rPr>
          <w:spacing w:val="19"/>
          <w:vertAlign w:val="baseline"/>
        </w:rPr>
        <w:t> </w:t>
      </w:r>
      <w:r>
        <w:rPr>
          <w:vertAlign w:val="baseline"/>
        </w:rPr>
        <w:t>billion</w:t>
      </w:r>
      <w:r>
        <w:rPr>
          <w:spacing w:val="21"/>
          <w:vertAlign w:val="baseline"/>
        </w:rPr>
        <w:t> </w:t>
      </w:r>
      <w:r>
        <w:rPr>
          <w:vertAlign w:val="baseline"/>
        </w:rPr>
        <w:t>of</w:t>
      </w:r>
      <w:r>
        <w:rPr>
          <w:spacing w:val="19"/>
          <w:vertAlign w:val="baseline"/>
        </w:rPr>
        <w:t> </w:t>
      </w:r>
      <w:r>
        <w:rPr>
          <w:vertAlign w:val="baseline"/>
        </w:rPr>
        <w:t>a</w:t>
      </w:r>
      <w:r>
        <w:rPr>
          <w:spacing w:val="19"/>
          <w:vertAlign w:val="baseline"/>
        </w:rPr>
        <w:t> </w:t>
      </w:r>
      <w:r>
        <w:rPr>
          <w:vertAlign w:val="baseline"/>
        </w:rPr>
        <w:t>gram</w:t>
      </w:r>
      <w:r>
        <w:rPr>
          <w:spacing w:val="21"/>
          <w:vertAlign w:val="baseline"/>
        </w:rPr>
        <w:t> </w:t>
      </w:r>
      <w:r>
        <w:rPr>
          <w:vertAlign w:val="baseline"/>
        </w:rPr>
        <w:t>(µg</w:t>
      </w:r>
      <w:r>
        <w:rPr>
          <w:spacing w:val="21"/>
          <w:vertAlign w:val="baseline"/>
        </w:rPr>
        <w:t> </w:t>
      </w:r>
      <w:r>
        <w:rPr>
          <w:vertAlign w:val="baseline"/>
        </w:rPr>
        <w:t>dm</w:t>
      </w:r>
      <w:r>
        <w:rPr>
          <w:vertAlign w:val="superscript"/>
        </w:rPr>
        <w:t>–3</w:t>
      </w:r>
      <w:r>
        <w:rPr>
          <w:vertAlign w:val="baseline"/>
        </w:rPr>
        <w:t>)</w:t>
      </w:r>
      <w:r>
        <w:rPr>
          <w:spacing w:val="16"/>
          <w:vertAlign w:val="baseline"/>
        </w:rPr>
        <w:t> </w:t>
      </w:r>
      <w:r>
        <w:rPr>
          <w:vertAlign w:val="baseline"/>
        </w:rPr>
        <w:t>in</w:t>
      </w:r>
      <w:r>
        <w:rPr>
          <w:spacing w:val="21"/>
          <w:vertAlign w:val="baseline"/>
        </w:rPr>
        <w:t> </w:t>
      </w:r>
      <w:r>
        <w:rPr>
          <w:vertAlign w:val="baseline"/>
        </w:rPr>
        <w:t>a sample. The Atomic Absorption Spectrometry was carried out at University of Ilorin central research laboratory using Buck Scientific Model</w:t>
      </w:r>
    </w:p>
    <w:p>
      <w:pPr>
        <w:pStyle w:val="BodyText"/>
        <w:spacing w:before="11"/>
        <w:ind w:left="1155"/>
      </w:pPr>
      <w:r>
        <w:rPr/>
        <w:t>210</w:t>
      </w:r>
      <w:r>
        <w:rPr>
          <w:spacing w:val="10"/>
        </w:rPr>
        <w:t> </w:t>
      </w:r>
      <w:r>
        <w:rPr/>
        <w:t>VGP</w:t>
      </w:r>
      <w:r>
        <w:rPr>
          <w:spacing w:val="-14"/>
        </w:rPr>
        <w:t> </w:t>
      </w:r>
      <w:r>
        <w:rPr/>
        <w:t>Atomic</w:t>
      </w:r>
      <w:r>
        <w:rPr>
          <w:spacing w:val="-1"/>
        </w:rPr>
        <w:t> </w:t>
      </w:r>
      <w:r>
        <w:rPr/>
        <w:t>Absorption</w:t>
      </w:r>
      <w:r>
        <w:rPr>
          <w:spacing w:val="17"/>
        </w:rPr>
        <w:t> </w:t>
      </w:r>
      <w:r>
        <w:rPr>
          <w:spacing w:val="-2"/>
        </w:rPr>
        <w:t>Spectrophotometer.</w:t>
      </w:r>
    </w:p>
    <w:p>
      <w:pPr>
        <w:pStyle w:val="BodyText"/>
        <w:spacing w:after="0"/>
        <w:sectPr>
          <w:pgSz w:w="12240" w:h="15840"/>
          <w:pgMar w:header="0" w:footer="1674" w:top="1460" w:bottom="1860" w:left="360" w:right="0"/>
        </w:sectPr>
      </w:pPr>
    </w:p>
    <w:p>
      <w:pPr>
        <w:pStyle w:val="Heading1"/>
        <w:spacing w:line="631" w:lineRule="auto" w:before="70"/>
        <w:ind w:left="3940" w:right="4154" w:firstLine="673"/>
      </w:pPr>
      <w:r>
        <w:rPr/>
        <w:t>CHAPTER FOUR RESULTS</w:t>
      </w:r>
      <w:r>
        <w:rPr>
          <w:spacing w:val="-12"/>
        </w:rPr>
        <w:t> </w:t>
      </w:r>
      <w:r>
        <w:rPr/>
        <w:t>AND DISCUSSION</w:t>
      </w:r>
    </w:p>
    <w:p>
      <w:pPr>
        <w:pStyle w:val="ListParagraph"/>
        <w:numPr>
          <w:ilvl w:val="1"/>
          <w:numId w:val="7"/>
        </w:numPr>
        <w:tabs>
          <w:tab w:pos="1932" w:val="left" w:leader="none"/>
        </w:tabs>
        <w:spacing w:line="240" w:lineRule="auto" w:before="38" w:after="0"/>
        <w:ind w:left="1932" w:right="0" w:hanging="930"/>
        <w:jc w:val="left"/>
        <w:rPr>
          <w:b/>
          <w:sz w:val="25"/>
        </w:rPr>
      </w:pPr>
      <w:r>
        <w:rPr>
          <w:b/>
          <w:spacing w:val="-2"/>
          <w:sz w:val="25"/>
        </w:rPr>
        <w:t>RESULTS</w:t>
      </w:r>
    </w:p>
    <w:p>
      <w:pPr>
        <w:pStyle w:val="BodyText"/>
        <w:spacing w:before="185"/>
        <w:rPr>
          <w:b/>
        </w:rPr>
      </w:pPr>
    </w:p>
    <w:p>
      <w:pPr>
        <w:pStyle w:val="BodyText"/>
        <w:spacing w:line="496" w:lineRule="auto"/>
        <w:ind w:left="1167" w:right="1819" w:hanging="13"/>
      </w:pPr>
      <w:r>
        <w:rPr/>
        <w:t>The summary of the results of the spectrometry analysis for the concentration of Heavy Metals present in the samples collected from the locations were presented in Table 2.</w:t>
      </w:r>
    </w:p>
    <w:p>
      <w:pPr>
        <w:pStyle w:val="BodyText"/>
        <w:spacing w:line="264" w:lineRule="auto" w:before="160"/>
        <w:ind w:left="1167" w:right="1819" w:hanging="13"/>
      </w:pPr>
      <w:r>
        <w:rPr>
          <w:b/>
        </w:rPr>
        <w:t>Table 4.0</w:t>
      </w:r>
      <w:r>
        <w:rPr/>
        <w:t>. Statistical summary of heavy metal concentration of water samples in Ipata</w:t>
      </w:r>
      <w:r>
        <w:rPr>
          <w:spacing w:val="80"/>
        </w:rPr>
        <w:t> </w:t>
      </w:r>
      <w:r>
        <w:rPr>
          <w:spacing w:val="-2"/>
        </w:rPr>
        <w:t>Oloje.</w:t>
      </w:r>
    </w:p>
    <w:p>
      <w:pPr>
        <w:pStyle w:val="BodyText"/>
        <w:spacing w:before="7"/>
        <w:rPr>
          <w:sz w:val="13"/>
        </w:rPr>
      </w:pPr>
    </w:p>
    <w:tbl>
      <w:tblPr>
        <w:tblW w:w="0" w:type="auto"/>
        <w:jc w:val="left"/>
        <w:tblInd w:w="1193" w:type="dxa"/>
        <w:tblBorders>
          <w:top w:val="single" w:sz="6" w:space="0" w:color="8EA9DB"/>
          <w:left w:val="single" w:sz="6" w:space="0" w:color="8EA9DB"/>
          <w:bottom w:val="single" w:sz="6" w:space="0" w:color="8EA9DB"/>
          <w:right w:val="single" w:sz="6" w:space="0" w:color="8EA9DB"/>
          <w:insideH w:val="single" w:sz="6" w:space="0" w:color="8EA9DB"/>
          <w:insideV w:val="single" w:sz="6" w:space="0" w:color="8EA9DB"/>
        </w:tblBorders>
        <w:tblLayout w:type="fixed"/>
        <w:tblCellMar>
          <w:top w:w="0" w:type="dxa"/>
          <w:left w:w="0" w:type="dxa"/>
          <w:bottom w:w="0" w:type="dxa"/>
          <w:right w:w="0" w:type="dxa"/>
        </w:tblCellMar>
        <w:tblLook w:val="01E0"/>
      </w:tblPr>
      <w:tblGrid>
        <w:gridCol w:w="1216"/>
        <w:gridCol w:w="1102"/>
        <w:gridCol w:w="1004"/>
        <w:gridCol w:w="1049"/>
        <w:gridCol w:w="1099"/>
        <w:gridCol w:w="1093"/>
        <w:gridCol w:w="2682"/>
      </w:tblGrid>
      <w:tr>
        <w:trPr>
          <w:trHeight w:val="729" w:hRule="atLeast"/>
        </w:trPr>
        <w:tc>
          <w:tcPr>
            <w:tcW w:w="1216" w:type="dxa"/>
            <w:tcBorders>
              <w:right w:val="nil"/>
            </w:tcBorders>
            <w:shd w:val="clear" w:color="auto" w:fill="4471C4"/>
          </w:tcPr>
          <w:p>
            <w:pPr>
              <w:pStyle w:val="TableParagraph"/>
              <w:spacing w:before="112"/>
              <w:ind w:left="114"/>
              <w:rPr>
                <w:b/>
                <w:sz w:val="23"/>
              </w:rPr>
            </w:pPr>
            <w:r>
              <w:rPr>
                <w:b/>
                <w:spacing w:val="-2"/>
                <w:sz w:val="23"/>
              </w:rPr>
              <w:t>Elements</w:t>
            </w:r>
          </w:p>
        </w:tc>
        <w:tc>
          <w:tcPr>
            <w:tcW w:w="1102" w:type="dxa"/>
            <w:tcBorders>
              <w:left w:val="nil"/>
              <w:right w:val="nil"/>
            </w:tcBorders>
            <w:shd w:val="clear" w:color="auto" w:fill="4471C4"/>
          </w:tcPr>
          <w:p>
            <w:pPr>
              <w:pStyle w:val="TableParagraph"/>
              <w:spacing w:before="112"/>
              <w:ind w:left="178"/>
              <w:rPr>
                <w:b/>
                <w:sz w:val="23"/>
              </w:rPr>
            </w:pPr>
            <w:r>
              <w:rPr>
                <w:b/>
                <w:spacing w:val="-5"/>
                <w:sz w:val="23"/>
              </w:rPr>
              <w:t>Min</w:t>
            </w:r>
          </w:p>
        </w:tc>
        <w:tc>
          <w:tcPr>
            <w:tcW w:w="1004" w:type="dxa"/>
            <w:tcBorders>
              <w:left w:val="nil"/>
              <w:right w:val="nil"/>
            </w:tcBorders>
            <w:shd w:val="clear" w:color="auto" w:fill="4471C4"/>
          </w:tcPr>
          <w:p>
            <w:pPr>
              <w:pStyle w:val="TableParagraph"/>
              <w:spacing w:before="112"/>
              <w:ind w:left="117"/>
              <w:rPr>
                <w:b/>
                <w:sz w:val="23"/>
              </w:rPr>
            </w:pPr>
            <w:r>
              <w:rPr>
                <w:b/>
                <w:spacing w:val="-5"/>
                <w:sz w:val="23"/>
              </w:rPr>
              <w:t>Max</w:t>
            </w:r>
          </w:p>
        </w:tc>
        <w:tc>
          <w:tcPr>
            <w:tcW w:w="1049" w:type="dxa"/>
            <w:tcBorders>
              <w:left w:val="nil"/>
              <w:right w:val="nil"/>
            </w:tcBorders>
            <w:shd w:val="clear" w:color="auto" w:fill="4471C4"/>
          </w:tcPr>
          <w:p>
            <w:pPr>
              <w:pStyle w:val="TableParagraph"/>
              <w:spacing w:before="112"/>
              <w:ind w:left="166"/>
              <w:rPr>
                <w:b/>
                <w:sz w:val="23"/>
              </w:rPr>
            </w:pPr>
            <w:r>
              <w:rPr>
                <w:b/>
                <w:spacing w:val="-4"/>
                <w:sz w:val="23"/>
              </w:rPr>
              <w:t>Mean</w:t>
            </w:r>
          </w:p>
        </w:tc>
        <w:tc>
          <w:tcPr>
            <w:tcW w:w="1099" w:type="dxa"/>
            <w:tcBorders>
              <w:left w:val="nil"/>
              <w:right w:val="nil"/>
            </w:tcBorders>
            <w:shd w:val="clear" w:color="auto" w:fill="4471C4"/>
          </w:tcPr>
          <w:p>
            <w:pPr>
              <w:pStyle w:val="TableParagraph"/>
              <w:spacing w:before="112"/>
              <w:ind w:left="102" w:right="109"/>
              <w:jc w:val="center"/>
              <w:rPr>
                <w:b/>
                <w:sz w:val="23"/>
              </w:rPr>
            </w:pPr>
            <w:r>
              <w:rPr>
                <w:b/>
                <w:spacing w:val="-2"/>
                <w:sz w:val="23"/>
              </w:rPr>
              <w:t>Median</w:t>
            </w:r>
          </w:p>
        </w:tc>
        <w:tc>
          <w:tcPr>
            <w:tcW w:w="1093" w:type="dxa"/>
            <w:tcBorders>
              <w:left w:val="nil"/>
              <w:right w:val="nil"/>
            </w:tcBorders>
            <w:shd w:val="clear" w:color="auto" w:fill="4471C4"/>
          </w:tcPr>
          <w:p>
            <w:pPr>
              <w:pStyle w:val="TableParagraph"/>
              <w:spacing w:before="112"/>
              <w:ind w:left="176"/>
              <w:rPr>
                <w:b/>
                <w:sz w:val="23"/>
              </w:rPr>
            </w:pPr>
            <w:r>
              <w:rPr>
                <w:b/>
                <w:spacing w:val="-2"/>
                <w:sz w:val="23"/>
              </w:rPr>
              <w:t>Stdev</w:t>
            </w:r>
          </w:p>
        </w:tc>
        <w:tc>
          <w:tcPr>
            <w:tcW w:w="2682" w:type="dxa"/>
            <w:tcBorders>
              <w:left w:val="nil"/>
            </w:tcBorders>
            <w:shd w:val="clear" w:color="auto" w:fill="4471C4"/>
          </w:tcPr>
          <w:p>
            <w:pPr>
              <w:pStyle w:val="TableParagraph"/>
              <w:spacing w:before="112"/>
              <w:ind w:left="136"/>
              <w:rPr>
                <w:b/>
                <w:sz w:val="23"/>
              </w:rPr>
            </w:pPr>
            <w:r>
              <w:rPr>
                <w:b/>
                <w:sz w:val="23"/>
              </w:rPr>
              <w:t>Coefficient</w:t>
            </w:r>
            <w:r>
              <w:rPr>
                <w:b/>
                <w:spacing w:val="8"/>
                <w:sz w:val="23"/>
              </w:rPr>
              <w:t> </w:t>
            </w:r>
            <w:r>
              <w:rPr>
                <w:b/>
                <w:sz w:val="23"/>
              </w:rPr>
              <w:t>of</w:t>
            </w:r>
            <w:r>
              <w:rPr>
                <w:b/>
                <w:spacing w:val="6"/>
                <w:sz w:val="23"/>
              </w:rPr>
              <w:t> </w:t>
            </w:r>
            <w:r>
              <w:rPr>
                <w:b/>
                <w:spacing w:val="-2"/>
                <w:sz w:val="23"/>
              </w:rPr>
              <w:t>Variation</w:t>
            </w:r>
          </w:p>
        </w:tc>
      </w:tr>
      <w:tr>
        <w:trPr>
          <w:trHeight w:val="742" w:hRule="atLeast"/>
        </w:trPr>
        <w:tc>
          <w:tcPr>
            <w:tcW w:w="1216" w:type="dxa"/>
            <w:tcBorders>
              <w:bottom w:val="single" w:sz="4" w:space="0" w:color="8EA9DB"/>
              <w:right w:val="nil"/>
            </w:tcBorders>
            <w:shd w:val="clear" w:color="auto" w:fill="D9E0F1"/>
          </w:tcPr>
          <w:p>
            <w:pPr>
              <w:pStyle w:val="TableParagraph"/>
              <w:spacing w:before="109"/>
              <w:ind w:left="114"/>
              <w:rPr>
                <w:sz w:val="23"/>
              </w:rPr>
            </w:pPr>
            <w:r>
              <w:rPr>
                <w:spacing w:val="-5"/>
                <w:sz w:val="23"/>
              </w:rPr>
              <w:t>Pb</w:t>
            </w:r>
          </w:p>
        </w:tc>
        <w:tc>
          <w:tcPr>
            <w:tcW w:w="1102" w:type="dxa"/>
            <w:tcBorders>
              <w:left w:val="nil"/>
              <w:bottom w:val="single" w:sz="4" w:space="0" w:color="8EA9DB"/>
              <w:right w:val="nil"/>
            </w:tcBorders>
            <w:shd w:val="clear" w:color="auto" w:fill="D9E0F1"/>
          </w:tcPr>
          <w:p>
            <w:pPr>
              <w:pStyle w:val="TableParagraph"/>
              <w:spacing w:before="109"/>
              <w:ind w:right="105"/>
              <w:jc w:val="right"/>
              <w:rPr>
                <w:sz w:val="23"/>
              </w:rPr>
            </w:pPr>
            <w:r>
              <w:rPr>
                <w:spacing w:val="-2"/>
                <w:sz w:val="23"/>
              </w:rPr>
              <w:t>0.021</w:t>
            </w:r>
          </w:p>
        </w:tc>
        <w:tc>
          <w:tcPr>
            <w:tcW w:w="1004" w:type="dxa"/>
            <w:tcBorders>
              <w:left w:val="nil"/>
              <w:bottom w:val="single" w:sz="4" w:space="0" w:color="8EA9DB"/>
              <w:right w:val="nil"/>
            </w:tcBorders>
            <w:shd w:val="clear" w:color="auto" w:fill="D9E0F1"/>
          </w:tcPr>
          <w:p>
            <w:pPr>
              <w:pStyle w:val="TableParagraph"/>
              <w:spacing w:before="109"/>
              <w:ind w:left="321"/>
              <w:rPr>
                <w:sz w:val="23"/>
              </w:rPr>
            </w:pPr>
            <w:r>
              <w:rPr>
                <w:spacing w:val="-4"/>
                <w:sz w:val="23"/>
              </w:rPr>
              <w:t>0.25</w:t>
            </w:r>
          </w:p>
        </w:tc>
        <w:tc>
          <w:tcPr>
            <w:tcW w:w="1049" w:type="dxa"/>
            <w:tcBorders>
              <w:left w:val="nil"/>
              <w:bottom w:val="single" w:sz="4" w:space="0" w:color="8EA9DB"/>
              <w:right w:val="nil"/>
            </w:tcBorders>
            <w:shd w:val="clear" w:color="auto" w:fill="D9E0F1"/>
          </w:tcPr>
          <w:p>
            <w:pPr>
              <w:pStyle w:val="TableParagraph"/>
              <w:spacing w:before="109"/>
              <w:ind w:right="214"/>
              <w:jc w:val="right"/>
              <w:rPr>
                <w:sz w:val="23"/>
              </w:rPr>
            </w:pPr>
            <w:r>
              <w:rPr>
                <w:spacing w:val="-2"/>
                <w:sz w:val="23"/>
              </w:rPr>
              <w:t>0.139</w:t>
            </w:r>
          </w:p>
        </w:tc>
        <w:tc>
          <w:tcPr>
            <w:tcW w:w="1099" w:type="dxa"/>
            <w:tcBorders>
              <w:left w:val="nil"/>
              <w:bottom w:val="single" w:sz="4" w:space="0" w:color="8EA9DB"/>
              <w:right w:val="nil"/>
            </w:tcBorders>
            <w:shd w:val="clear" w:color="auto" w:fill="D9E0F1"/>
          </w:tcPr>
          <w:p>
            <w:pPr>
              <w:pStyle w:val="TableParagraph"/>
              <w:spacing w:before="109"/>
              <w:ind w:left="109" w:right="7"/>
              <w:jc w:val="center"/>
              <w:rPr>
                <w:sz w:val="23"/>
              </w:rPr>
            </w:pPr>
            <w:r>
              <w:rPr>
                <w:spacing w:val="-4"/>
                <w:sz w:val="23"/>
              </w:rPr>
              <w:t>0.15</w:t>
            </w:r>
          </w:p>
        </w:tc>
        <w:tc>
          <w:tcPr>
            <w:tcW w:w="1093" w:type="dxa"/>
            <w:tcBorders>
              <w:left w:val="nil"/>
              <w:bottom w:val="single" w:sz="4" w:space="0" w:color="8EA9DB"/>
              <w:right w:val="nil"/>
            </w:tcBorders>
            <w:shd w:val="clear" w:color="auto" w:fill="D9E0F1"/>
          </w:tcPr>
          <w:p>
            <w:pPr>
              <w:pStyle w:val="TableParagraph"/>
              <w:spacing w:before="109"/>
              <w:ind w:left="263"/>
              <w:rPr>
                <w:sz w:val="23"/>
              </w:rPr>
            </w:pPr>
            <w:r>
              <w:rPr>
                <w:spacing w:val="-2"/>
                <w:sz w:val="23"/>
              </w:rPr>
              <w:t>0.0878</w:t>
            </w:r>
          </w:p>
        </w:tc>
        <w:tc>
          <w:tcPr>
            <w:tcW w:w="2682" w:type="dxa"/>
            <w:tcBorders>
              <w:left w:val="nil"/>
              <w:bottom w:val="single" w:sz="4" w:space="0" w:color="8EA9DB"/>
            </w:tcBorders>
            <w:shd w:val="clear" w:color="auto" w:fill="D9E0F1"/>
          </w:tcPr>
          <w:p>
            <w:pPr>
              <w:pStyle w:val="TableParagraph"/>
              <w:spacing w:before="109"/>
              <w:ind w:right="100"/>
              <w:jc w:val="right"/>
              <w:rPr>
                <w:sz w:val="23"/>
              </w:rPr>
            </w:pPr>
            <w:r>
              <w:rPr>
                <w:spacing w:val="-2"/>
                <w:sz w:val="23"/>
              </w:rPr>
              <w:t>63.16546763</w:t>
            </w:r>
          </w:p>
        </w:tc>
      </w:tr>
      <w:tr>
        <w:trPr>
          <w:trHeight w:val="744" w:hRule="atLeast"/>
        </w:trPr>
        <w:tc>
          <w:tcPr>
            <w:tcW w:w="1216" w:type="dxa"/>
            <w:tcBorders>
              <w:top w:val="single" w:sz="4" w:space="0" w:color="8EA9DB"/>
              <w:right w:val="nil"/>
            </w:tcBorders>
          </w:tcPr>
          <w:p>
            <w:pPr>
              <w:pStyle w:val="TableParagraph"/>
              <w:spacing w:before="111"/>
              <w:ind w:left="114"/>
              <w:rPr>
                <w:sz w:val="23"/>
              </w:rPr>
            </w:pPr>
            <w:r>
              <w:rPr>
                <w:spacing w:val="-5"/>
                <w:sz w:val="23"/>
              </w:rPr>
              <w:t>Cd</w:t>
            </w:r>
          </w:p>
        </w:tc>
        <w:tc>
          <w:tcPr>
            <w:tcW w:w="1102" w:type="dxa"/>
            <w:tcBorders>
              <w:top w:val="single" w:sz="4" w:space="0" w:color="8EA9DB"/>
              <w:left w:val="nil"/>
              <w:right w:val="nil"/>
            </w:tcBorders>
          </w:tcPr>
          <w:p>
            <w:pPr>
              <w:pStyle w:val="TableParagraph"/>
              <w:spacing w:before="111"/>
              <w:ind w:right="105"/>
              <w:jc w:val="right"/>
              <w:rPr>
                <w:sz w:val="23"/>
              </w:rPr>
            </w:pPr>
            <w:r>
              <w:rPr>
                <w:spacing w:val="-2"/>
                <w:sz w:val="23"/>
              </w:rPr>
              <w:t>0.002</w:t>
            </w:r>
          </w:p>
        </w:tc>
        <w:tc>
          <w:tcPr>
            <w:tcW w:w="1004" w:type="dxa"/>
            <w:tcBorders>
              <w:top w:val="single" w:sz="4" w:space="0" w:color="8EA9DB"/>
              <w:left w:val="nil"/>
              <w:right w:val="nil"/>
            </w:tcBorders>
          </w:tcPr>
          <w:p>
            <w:pPr>
              <w:pStyle w:val="TableParagraph"/>
              <w:spacing w:before="111"/>
              <w:ind w:left="201"/>
              <w:rPr>
                <w:sz w:val="23"/>
              </w:rPr>
            </w:pPr>
            <w:r>
              <w:rPr>
                <w:spacing w:val="-2"/>
                <w:sz w:val="23"/>
              </w:rPr>
              <w:t>0.0188</w:t>
            </w:r>
          </w:p>
        </w:tc>
        <w:tc>
          <w:tcPr>
            <w:tcW w:w="1049" w:type="dxa"/>
            <w:tcBorders>
              <w:top w:val="single" w:sz="4" w:space="0" w:color="8EA9DB"/>
              <w:left w:val="nil"/>
              <w:right w:val="nil"/>
            </w:tcBorders>
          </w:tcPr>
          <w:p>
            <w:pPr>
              <w:pStyle w:val="TableParagraph"/>
              <w:spacing w:before="111"/>
              <w:ind w:right="150"/>
              <w:jc w:val="right"/>
              <w:rPr>
                <w:sz w:val="23"/>
              </w:rPr>
            </w:pPr>
            <w:r>
              <w:rPr>
                <w:spacing w:val="-2"/>
                <w:sz w:val="23"/>
              </w:rPr>
              <w:t>0.0089</w:t>
            </w:r>
          </w:p>
        </w:tc>
        <w:tc>
          <w:tcPr>
            <w:tcW w:w="1099" w:type="dxa"/>
            <w:tcBorders>
              <w:top w:val="single" w:sz="4" w:space="0" w:color="8EA9DB"/>
              <w:left w:val="nil"/>
              <w:right w:val="nil"/>
            </w:tcBorders>
          </w:tcPr>
          <w:p>
            <w:pPr>
              <w:pStyle w:val="TableParagraph"/>
              <w:spacing w:before="111"/>
              <w:ind w:left="109" w:right="7"/>
              <w:jc w:val="center"/>
              <w:rPr>
                <w:sz w:val="23"/>
              </w:rPr>
            </w:pPr>
            <w:r>
              <w:rPr>
                <w:spacing w:val="-4"/>
                <w:sz w:val="23"/>
              </w:rPr>
              <w:t>0.01</w:t>
            </w:r>
          </w:p>
        </w:tc>
        <w:tc>
          <w:tcPr>
            <w:tcW w:w="1093" w:type="dxa"/>
            <w:tcBorders>
              <w:top w:val="single" w:sz="4" w:space="0" w:color="8EA9DB"/>
              <w:left w:val="nil"/>
              <w:right w:val="nil"/>
            </w:tcBorders>
          </w:tcPr>
          <w:p>
            <w:pPr>
              <w:pStyle w:val="TableParagraph"/>
              <w:spacing w:before="111"/>
              <w:ind w:left="263"/>
              <w:rPr>
                <w:sz w:val="23"/>
              </w:rPr>
            </w:pPr>
            <w:r>
              <w:rPr>
                <w:spacing w:val="-2"/>
                <w:sz w:val="23"/>
              </w:rPr>
              <w:t>0.0058</w:t>
            </w:r>
          </w:p>
        </w:tc>
        <w:tc>
          <w:tcPr>
            <w:tcW w:w="2682" w:type="dxa"/>
            <w:tcBorders>
              <w:top w:val="single" w:sz="4" w:space="0" w:color="8EA9DB"/>
              <w:left w:val="nil"/>
            </w:tcBorders>
          </w:tcPr>
          <w:p>
            <w:pPr>
              <w:pStyle w:val="TableParagraph"/>
              <w:spacing w:before="111"/>
              <w:ind w:right="100"/>
              <w:jc w:val="right"/>
              <w:rPr>
                <w:sz w:val="23"/>
              </w:rPr>
            </w:pPr>
            <w:r>
              <w:rPr>
                <w:spacing w:val="-2"/>
                <w:sz w:val="23"/>
              </w:rPr>
              <w:t>65.16853933</w:t>
            </w:r>
          </w:p>
        </w:tc>
      </w:tr>
      <w:tr>
        <w:trPr>
          <w:trHeight w:val="742" w:hRule="atLeast"/>
        </w:trPr>
        <w:tc>
          <w:tcPr>
            <w:tcW w:w="1216" w:type="dxa"/>
            <w:tcBorders>
              <w:bottom w:val="single" w:sz="4" w:space="0" w:color="8EA9DB"/>
              <w:right w:val="nil"/>
            </w:tcBorders>
            <w:shd w:val="clear" w:color="auto" w:fill="D9E0F1"/>
          </w:tcPr>
          <w:p>
            <w:pPr>
              <w:pStyle w:val="TableParagraph"/>
              <w:spacing w:before="112"/>
              <w:ind w:left="114"/>
              <w:rPr>
                <w:sz w:val="23"/>
              </w:rPr>
            </w:pPr>
            <w:r>
              <w:rPr>
                <w:spacing w:val="-5"/>
                <w:sz w:val="23"/>
              </w:rPr>
              <w:t>Cr</w:t>
            </w:r>
          </w:p>
        </w:tc>
        <w:tc>
          <w:tcPr>
            <w:tcW w:w="1102" w:type="dxa"/>
            <w:tcBorders>
              <w:left w:val="nil"/>
              <w:bottom w:val="single" w:sz="4" w:space="0" w:color="8EA9DB"/>
              <w:right w:val="nil"/>
            </w:tcBorders>
            <w:shd w:val="clear" w:color="auto" w:fill="D9E0F1"/>
          </w:tcPr>
          <w:p>
            <w:pPr>
              <w:pStyle w:val="TableParagraph"/>
              <w:spacing w:before="112"/>
              <w:ind w:right="107"/>
              <w:jc w:val="right"/>
              <w:rPr>
                <w:sz w:val="23"/>
              </w:rPr>
            </w:pPr>
            <w:r>
              <w:rPr>
                <w:spacing w:val="-4"/>
                <w:sz w:val="23"/>
              </w:rPr>
              <w:t>0.01</w:t>
            </w:r>
          </w:p>
        </w:tc>
        <w:tc>
          <w:tcPr>
            <w:tcW w:w="1004" w:type="dxa"/>
            <w:tcBorders>
              <w:left w:val="nil"/>
              <w:bottom w:val="single" w:sz="4" w:space="0" w:color="8EA9DB"/>
              <w:right w:val="nil"/>
            </w:tcBorders>
            <w:shd w:val="clear" w:color="auto" w:fill="D9E0F1"/>
          </w:tcPr>
          <w:p>
            <w:pPr>
              <w:pStyle w:val="TableParagraph"/>
              <w:spacing w:before="112"/>
              <w:ind w:left="321"/>
              <w:rPr>
                <w:sz w:val="23"/>
              </w:rPr>
            </w:pPr>
            <w:r>
              <w:rPr>
                <w:spacing w:val="-4"/>
                <w:sz w:val="23"/>
              </w:rPr>
              <w:t>0.25</w:t>
            </w:r>
          </w:p>
        </w:tc>
        <w:tc>
          <w:tcPr>
            <w:tcW w:w="1049" w:type="dxa"/>
            <w:tcBorders>
              <w:left w:val="nil"/>
              <w:bottom w:val="single" w:sz="4" w:space="0" w:color="8EA9DB"/>
              <w:right w:val="nil"/>
            </w:tcBorders>
            <w:shd w:val="clear" w:color="auto" w:fill="D9E0F1"/>
          </w:tcPr>
          <w:p>
            <w:pPr>
              <w:pStyle w:val="TableParagraph"/>
              <w:spacing w:before="112"/>
              <w:ind w:right="150"/>
              <w:jc w:val="right"/>
              <w:rPr>
                <w:sz w:val="23"/>
              </w:rPr>
            </w:pPr>
            <w:r>
              <w:rPr>
                <w:spacing w:val="-2"/>
                <w:sz w:val="23"/>
              </w:rPr>
              <w:t>0.0788</w:t>
            </w:r>
          </w:p>
        </w:tc>
        <w:tc>
          <w:tcPr>
            <w:tcW w:w="1099" w:type="dxa"/>
            <w:tcBorders>
              <w:left w:val="nil"/>
              <w:bottom w:val="single" w:sz="4" w:space="0" w:color="8EA9DB"/>
              <w:right w:val="nil"/>
            </w:tcBorders>
            <w:shd w:val="clear" w:color="auto" w:fill="D9E0F1"/>
          </w:tcPr>
          <w:p>
            <w:pPr>
              <w:pStyle w:val="TableParagraph"/>
              <w:spacing w:before="112"/>
              <w:ind w:left="102" w:right="10"/>
              <w:jc w:val="center"/>
              <w:rPr>
                <w:sz w:val="23"/>
              </w:rPr>
            </w:pPr>
            <w:r>
              <w:rPr>
                <w:spacing w:val="-2"/>
                <w:sz w:val="23"/>
              </w:rPr>
              <w:t>0.045</w:t>
            </w:r>
          </w:p>
        </w:tc>
        <w:tc>
          <w:tcPr>
            <w:tcW w:w="1093" w:type="dxa"/>
            <w:tcBorders>
              <w:left w:val="nil"/>
              <w:bottom w:val="single" w:sz="4" w:space="0" w:color="8EA9DB"/>
              <w:right w:val="nil"/>
            </w:tcBorders>
            <w:shd w:val="clear" w:color="auto" w:fill="D9E0F1"/>
          </w:tcPr>
          <w:p>
            <w:pPr>
              <w:pStyle w:val="TableParagraph"/>
              <w:spacing w:before="112"/>
              <w:ind w:left="197"/>
              <w:rPr>
                <w:sz w:val="23"/>
              </w:rPr>
            </w:pPr>
            <w:r>
              <w:rPr>
                <w:spacing w:val="-2"/>
                <w:sz w:val="23"/>
              </w:rPr>
              <w:t>0.07255</w:t>
            </w:r>
          </w:p>
        </w:tc>
        <w:tc>
          <w:tcPr>
            <w:tcW w:w="2682" w:type="dxa"/>
            <w:tcBorders>
              <w:left w:val="nil"/>
              <w:bottom w:val="single" w:sz="4" w:space="0" w:color="8EA9DB"/>
            </w:tcBorders>
            <w:shd w:val="clear" w:color="auto" w:fill="D9E0F1"/>
          </w:tcPr>
          <w:p>
            <w:pPr>
              <w:pStyle w:val="TableParagraph"/>
              <w:spacing w:before="112"/>
              <w:ind w:right="100"/>
              <w:jc w:val="right"/>
              <w:rPr>
                <w:sz w:val="23"/>
              </w:rPr>
            </w:pPr>
            <w:r>
              <w:rPr>
                <w:spacing w:val="-2"/>
                <w:sz w:val="23"/>
              </w:rPr>
              <w:t>92.06852792</w:t>
            </w:r>
          </w:p>
        </w:tc>
      </w:tr>
      <w:tr>
        <w:trPr>
          <w:trHeight w:val="744" w:hRule="atLeast"/>
        </w:trPr>
        <w:tc>
          <w:tcPr>
            <w:tcW w:w="1216" w:type="dxa"/>
            <w:tcBorders>
              <w:top w:val="single" w:sz="4" w:space="0" w:color="8EA9DB"/>
              <w:right w:val="nil"/>
            </w:tcBorders>
          </w:tcPr>
          <w:p>
            <w:pPr>
              <w:pStyle w:val="TableParagraph"/>
              <w:spacing w:before="111"/>
              <w:ind w:left="114"/>
              <w:rPr>
                <w:sz w:val="23"/>
              </w:rPr>
            </w:pPr>
            <w:r>
              <w:rPr>
                <w:spacing w:val="-5"/>
                <w:sz w:val="23"/>
              </w:rPr>
              <w:t>Co</w:t>
            </w:r>
          </w:p>
        </w:tc>
        <w:tc>
          <w:tcPr>
            <w:tcW w:w="1102" w:type="dxa"/>
            <w:tcBorders>
              <w:top w:val="single" w:sz="4" w:space="0" w:color="8EA9DB"/>
              <w:left w:val="nil"/>
              <w:right w:val="nil"/>
            </w:tcBorders>
          </w:tcPr>
          <w:p>
            <w:pPr>
              <w:pStyle w:val="TableParagraph"/>
              <w:spacing w:before="111"/>
              <w:ind w:right="107"/>
              <w:jc w:val="right"/>
              <w:rPr>
                <w:sz w:val="23"/>
              </w:rPr>
            </w:pPr>
            <w:r>
              <w:rPr>
                <w:spacing w:val="-4"/>
                <w:sz w:val="23"/>
              </w:rPr>
              <w:t>0.24</w:t>
            </w:r>
          </w:p>
        </w:tc>
        <w:tc>
          <w:tcPr>
            <w:tcW w:w="1004" w:type="dxa"/>
            <w:tcBorders>
              <w:top w:val="single" w:sz="4" w:space="0" w:color="8EA9DB"/>
              <w:left w:val="nil"/>
              <w:right w:val="nil"/>
            </w:tcBorders>
          </w:tcPr>
          <w:p>
            <w:pPr>
              <w:pStyle w:val="TableParagraph"/>
              <w:spacing w:before="111"/>
              <w:ind w:left="321"/>
              <w:rPr>
                <w:sz w:val="23"/>
              </w:rPr>
            </w:pPr>
            <w:r>
              <w:rPr>
                <w:spacing w:val="-4"/>
                <w:sz w:val="23"/>
              </w:rPr>
              <w:t>0.83</w:t>
            </w:r>
          </w:p>
        </w:tc>
        <w:tc>
          <w:tcPr>
            <w:tcW w:w="1049" w:type="dxa"/>
            <w:tcBorders>
              <w:top w:val="single" w:sz="4" w:space="0" w:color="8EA9DB"/>
              <w:left w:val="nil"/>
              <w:right w:val="nil"/>
            </w:tcBorders>
          </w:tcPr>
          <w:p>
            <w:pPr>
              <w:pStyle w:val="TableParagraph"/>
              <w:spacing w:before="111"/>
              <w:ind w:right="214"/>
              <w:jc w:val="right"/>
              <w:rPr>
                <w:sz w:val="23"/>
              </w:rPr>
            </w:pPr>
            <w:r>
              <w:rPr>
                <w:spacing w:val="-2"/>
                <w:sz w:val="23"/>
              </w:rPr>
              <w:t>0.594</w:t>
            </w:r>
          </w:p>
        </w:tc>
        <w:tc>
          <w:tcPr>
            <w:tcW w:w="1099" w:type="dxa"/>
            <w:tcBorders>
              <w:top w:val="single" w:sz="4" w:space="0" w:color="8EA9DB"/>
              <w:left w:val="nil"/>
              <w:right w:val="nil"/>
            </w:tcBorders>
          </w:tcPr>
          <w:p>
            <w:pPr>
              <w:pStyle w:val="TableParagraph"/>
              <w:spacing w:before="111"/>
              <w:ind w:left="102" w:right="10"/>
              <w:jc w:val="center"/>
              <w:rPr>
                <w:sz w:val="23"/>
              </w:rPr>
            </w:pPr>
            <w:r>
              <w:rPr>
                <w:spacing w:val="-2"/>
                <w:sz w:val="23"/>
              </w:rPr>
              <w:t>0.645</w:t>
            </w:r>
          </w:p>
        </w:tc>
        <w:tc>
          <w:tcPr>
            <w:tcW w:w="1093" w:type="dxa"/>
            <w:tcBorders>
              <w:top w:val="single" w:sz="4" w:space="0" w:color="8EA9DB"/>
              <w:left w:val="nil"/>
              <w:right w:val="nil"/>
            </w:tcBorders>
          </w:tcPr>
          <w:p>
            <w:pPr>
              <w:pStyle w:val="TableParagraph"/>
              <w:spacing w:before="111"/>
              <w:ind w:left="263"/>
              <w:rPr>
                <w:sz w:val="23"/>
              </w:rPr>
            </w:pPr>
            <w:r>
              <w:rPr>
                <w:spacing w:val="-2"/>
                <w:sz w:val="23"/>
              </w:rPr>
              <w:t>0.1978</w:t>
            </w:r>
          </w:p>
        </w:tc>
        <w:tc>
          <w:tcPr>
            <w:tcW w:w="2682" w:type="dxa"/>
            <w:tcBorders>
              <w:top w:val="single" w:sz="4" w:space="0" w:color="8EA9DB"/>
              <w:left w:val="nil"/>
            </w:tcBorders>
          </w:tcPr>
          <w:p>
            <w:pPr>
              <w:pStyle w:val="TableParagraph"/>
              <w:spacing w:before="111"/>
              <w:ind w:right="99"/>
              <w:jc w:val="right"/>
              <w:rPr>
                <w:sz w:val="23"/>
              </w:rPr>
            </w:pPr>
            <w:r>
              <w:rPr>
                <w:spacing w:val="-2"/>
                <w:sz w:val="23"/>
              </w:rPr>
              <w:t>33.2996633</w:t>
            </w:r>
          </w:p>
        </w:tc>
      </w:tr>
      <w:tr>
        <w:trPr>
          <w:trHeight w:val="740" w:hRule="atLeast"/>
        </w:trPr>
        <w:tc>
          <w:tcPr>
            <w:tcW w:w="1216" w:type="dxa"/>
            <w:tcBorders>
              <w:right w:val="nil"/>
            </w:tcBorders>
            <w:shd w:val="clear" w:color="auto" w:fill="D9E0F1"/>
          </w:tcPr>
          <w:p>
            <w:pPr>
              <w:pStyle w:val="TableParagraph"/>
              <w:spacing w:before="112"/>
              <w:ind w:left="114"/>
              <w:rPr>
                <w:sz w:val="23"/>
              </w:rPr>
            </w:pPr>
            <w:r>
              <w:rPr>
                <w:spacing w:val="-5"/>
                <w:sz w:val="23"/>
              </w:rPr>
              <w:t>As</w:t>
            </w:r>
          </w:p>
        </w:tc>
        <w:tc>
          <w:tcPr>
            <w:tcW w:w="1102" w:type="dxa"/>
            <w:tcBorders>
              <w:left w:val="nil"/>
              <w:right w:val="nil"/>
            </w:tcBorders>
            <w:shd w:val="clear" w:color="auto" w:fill="D9E0F1"/>
          </w:tcPr>
          <w:p>
            <w:pPr>
              <w:pStyle w:val="TableParagraph"/>
              <w:spacing w:before="112"/>
              <w:ind w:right="105"/>
              <w:jc w:val="right"/>
              <w:rPr>
                <w:sz w:val="23"/>
              </w:rPr>
            </w:pPr>
            <w:r>
              <w:rPr>
                <w:spacing w:val="-2"/>
                <w:sz w:val="23"/>
              </w:rPr>
              <w:t>0.001</w:t>
            </w:r>
          </w:p>
        </w:tc>
        <w:tc>
          <w:tcPr>
            <w:tcW w:w="1004" w:type="dxa"/>
            <w:tcBorders>
              <w:left w:val="nil"/>
              <w:right w:val="nil"/>
            </w:tcBorders>
            <w:shd w:val="clear" w:color="auto" w:fill="D9E0F1"/>
          </w:tcPr>
          <w:p>
            <w:pPr>
              <w:pStyle w:val="TableParagraph"/>
              <w:spacing w:before="112"/>
              <w:ind w:left="255"/>
              <w:rPr>
                <w:sz w:val="23"/>
              </w:rPr>
            </w:pPr>
            <w:r>
              <w:rPr>
                <w:spacing w:val="-2"/>
                <w:sz w:val="23"/>
              </w:rPr>
              <w:t>0.023</w:t>
            </w:r>
          </w:p>
        </w:tc>
        <w:tc>
          <w:tcPr>
            <w:tcW w:w="1049" w:type="dxa"/>
            <w:tcBorders>
              <w:left w:val="nil"/>
              <w:right w:val="nil"/>
            </w:tcBorders>
            <w:shd w:val="clear" w:color="auto" w:fill="D9E0F1"/>
          </w:tcPr>
          <w:p>
            <w:pPr>
              <w:pStyle w:val="TableParagraph"/>
              <w:spacing w:before="112"/>
              <w:ind w:right="150"/>
              <w:jc w:val="right"/>
              <w:rPr>
                <w:sz w:val="23"/>
              </w:rPr>
            </w:pPr>
            <w:r>
              <w:rPr>
                <w:spacing w:val="-2"/>
                <w:sz w:val="23"/>
              </w:rPr>
              <w:t>0.0103</w:t>
            </w:r>
          </w:p>
        </w:tc>
        <w:tc>
          <w:tcPr>
            <w:tcW w:w="1099" w:type="dxa"/>
            <w:tcBorders>
              <w:left w:val="nil"/>
              <w:right w:val="nil"/>
            </w:tcBorders>
            <w:shd w:val="clear" w:color="auto" w:fill="D9E0F1"/>
          </w:tcPr>
          <w:p>
            <w:pPr>
              <w:pStyle w:val="TableParagraph"/>
              <w:spacing w:before="112"/>
              <w:ind w:left="102" w:right="8"/>
              <w:jc w:val="center"/>
              <w:rPr>
                <w:sz w:val="23"/>
              </w:rPr>
            </w:pPr>
            <w:r>
              <w:rPr>
                <w:spacing w:val="-2"/>
                <w:sz w:val="23"/>
              </w:rPr>
              <w:t>0.0112</w:t>
            </w:r>
          </w:p>
        </w:tc>
        <w:tc>
          <w:tcPr>
            <w:tcW w:w="1093" w:type="dxa"/>
            <w:tcBorders>
              <w:left w:val="nil"/>
              <w:right w:val="nil"/>
            </w:tcBorders>
            <w:shd w:val="clear" w:color="auto" w:fill="D9E0F1"/>
          </w:tcPr>
          <w:p>
            <w:pPr>
              <w:pStyle w:val="TableParagraph"/>
              <w:spacing w:before="112"/>
              <w:ind w:left="316"/>
              <w:rPr>
                <w:sz w:val="23"/>
              </w:rPr>
            </w:pPr>
            <w:r>
              <w:rPr>
                <w:spacing w:val="-2"/>
                <w:sz w:val="23"/>
              </w:rPr>
              <w:t>0.007</w:t>
            </w:r>
          </w:p>
        </w:tc>
        <w:tc>
          <w:tcPr>
            <w:tcW w:w="2682" w:type="dxa"/>
            <w:tcBorders>
              <w:left w:val="nil"/>
            </w:tcBorders>
            <w:shd w:val="clear" w:color="auto" w:fill="D9E0F1"/>
          </w:tcPr>
          <w:p>
            <w:pPr>
              <w:pStyle w:val="TableParagraph"/>
              <w:spacing w:before="112"/>
              <w:ind w:right="100"/>
              <w:jc w:val="right"/>
              <w:rPr>
                <w:sz w:val="23"/>
              </w:rPr>
            </w:pPr>
            <w:r>
              <w:rPr>
                <w:spacing w:val="-2"/>
                <w:sz w:val="23"/>
              </w:rPr>
              <w:t>67.96116505</w:t>
            </w:r>
          </w:p>
        </w:tc>
      </w:tr>
    </w:tbl>
    <w:p>
      <w:pPr>
        <w:pStyle w:val="TableParagraph"/>
        <w:spacing w:after="0"/>
        <w:jc w:val="right"/>
        <w:rPr>
          <w:sz w:val="23"/>
        </w:rPr>
        <w:sectPr>
          <w:pgSz w:w="12240" w:h="15840"/>
          <w:pgMar w:header="0" w:footer="1674" w:top="1780" w:bottom="1860" w:left="360" w:right="0"/>
        </w:sectPr>
      </w:pPr>
    </w:p>
    <w:p>
      <w:pPr>
        <w:pStyle w:val="BodyText"/>
        <w:spacing w:line="264" w:lineRule="auto" w:before="74"/>
        <w:ind w:left="1167" w:right="1819" w:hanging="13"/>
      </w:pPr>
      <w:r>
        <w:rPr>
          <w:b/>
        </w:rPr>
        <w:t>Table</w:t>
      </w:r>
      <w:r>
        <w:rPr>
          <w:b/>
          <w:spacing w:val="70"/>
        </w:rPr>
        <w:t> </w:t>
      </w:r>
      <w:r>
        <w:rPr>
          <w:b/>
        </w:rPr>
        <w:t>4.1</w:t>
      </w:r>
      <w:r>
        <w:rPr>
          <w:b/>
          <w:spacing w:val="72"/>
        </w:rPr>
        <w:t> </w:t>
      </w:r>
      <w:r>
        <w:rPr/>
        <w:t>Statistical</w:t>
      </w:r>
      <w:r>
        <w:rPr>
          <w:spacing w:val="72"/>
        </w:rPr>
        <w:t> </w:t>
      </w:r>
      <w:r>
        <w:rPr/>
        <w:t>summary</w:t>
      </w:r>
      <w:r>
        <w:rPr>
          <w:spacing w:val="40"/>
        </w:rPr>
        <w:t> </w:t>
      </w:r>
      <w:r>
        <w:rPr/>
        <w:t>of</w:t>
      </w:r>
      <w:r>
        <w:rPr>
          <w:spacing w:val="40"/>
        </w:rPr>
        <w:t> </w:t>
      </w:r>
      <w:r>
        <w:rPr/>
        <w:t>heavy</w:t>
      </w:r>
      <w:r>
        <w:rPr>
          <w:spacing w:val="70"/>
        </w:rPr>
        <w:t> </w:t>
      </w:r>
      <w:r>
        <w:rPr/>
        <w:t>metal</w:t>
      </w:r>
      <w:r>
        <w:rPr>
          <w:spacing w:val="73"/>
        </w:rPr>
        <w:t> </w:t>
      </w:r>
      <w:r>
        <w:rPr/>
        <w:t>concentration</w:t>
      </w:r>
      <w:r>
        <w:rPr>
          <w:spacing w:val="70"/>
        </w:rPr>
        <w:t> </w:t>
      </w:r>
      <w:r>
        <w:rPr/>
        <w:t>of</w:t>
      </w:r>
      <w:r>
        <w:rPr>
          <w:spacing w:val="40"/>
        </w:rPr>
        <w:t> </w:t>
      </w:r>
      <w:r>
        <w:rPr/>
        <w:t>sediments</w:t>
      </w:r>
      <w:r>
        <w:rPr>
          <w:spacing w:val="72"/>
        </w:rPr>
        <w:t> </w:t>
      </w:r>
      <w:r>
        <w:rPr/>
        <w:t>samples collected in Ipata Oloje.</w:t>
      </w:r>
    </w:p>
    <w:tbl>
      <w:tblPr>
        <w:tblW w:w="0" w:type="auto"/>
        <w:jc w:val="left"/>
        <w:tblInd w:w="1193" w:type="dxa"/>
        <w:tblBorders>
          <w:top w:val="single" w:sz="4" w:space="0" w:color="8EA9DB"/>
          <w:left w:val="single" w:sz="4" w:space="0" w:color="8EA9DB"/>
          <w:bottom w:val="single" w:sz="4" w:space="0" w:color="8EA9DB"/>
          <w:right w:val="single" w:sz="4" w:space="0" w:color="8EA9DB"/>
          <w:insideH w:val="single" w:sz="4" w:space="0" w:color="8EA9DB"/>
          <w:insideV w:val="single" w:sz="4" w:space="0" w:color="8EA9DB"/>
        </w:tblBorders>
        <w:tblLayout w:type="fixed"/>
        <w:tblCellMar>
          <w:top w:w="0" w:type="dxa"/>
          <w:left w:w="0" w:type="dxa"/>
          <w:bottom w:w="0" w:type="dxa"/>
          <w:right w:w="0" w:type="dxa"/>
        </w:tblCellMar>
        <w:tblLook w:val="01E0"/>
      </w:tblPr>
      <w:tblGrid>
        <w:gridCol w:w="1210"/>
        <w:gridCol w:w="1102"/>
        <w:gridCol w:w="1050"/>
        <w:gridCol w:w="1085"/>
        <w:gridCol w:w="1196"/>
        <w:gridCol w:w="1126"/>
        <w:gridCol w:w="2665"/>
      </w:tblGrid>
      <w:tr>
        <w:trPr>
          <w:trHeight w:val="711" w:hRule="atLeast"/>
        </w:trPr>
        <w:tc>
          <w:tcPr>
            <w:tcW w:w="1210" w:type="dxa"/>
            <w:tcBorders>
              <w:left w:val="single" w:sz="6" w:space="0" w:color="8EA9DB"/>
              <w:right w:val="nil"/>
            </w:tcBorders>
            <w:shd w:val="clear" w:color="auto" w:fill="4471C4"/>
          </w:tcPr>
          <w:p>
            <w:pPr>
              <w:pStyle w:val="TableParagraph"/>
              <w:spacing w:before="77"/>
              <w:ind w:left="114"/>
              <w:rPr>
                <w:b/>
                <w:sz w:val="23"/>
              </w:rPr>
            </w:pPr>
            <w:r>
              <w:rPr>
                <w:b/>
                <w:spacing w:val="-2"/>
                <w:sz w:val="23"/>
              </w:rPr>
              <w:t>Elements</w:t>
            </w:r>
          </w:p>
        </w:tc>
        <w:tc>
          <w:tcPr>
            <w:tcW w:w="1102" w:type="dxa"/>
            <w:tcBorders>
              <w:left w:val="nil"/>
              <w:right w:val="nil"/>
            </w:tcBorders>
            <w:shd w:val="clear" w:color="auto" w:fill="4471C4"/>
          </w:tcPr>
          <w:p>
            <w:pPr>
              <w:pStyle w:val="TableParagraph"/>
              <w:spacing w:before="77"/>
              <w:ind w:left="172"/>
              <w:rPr>
                <w:b/>
                <w:sz w:val="23"/>
              </w:rPr>
            </w:pPr>
            <w:r>
              <w:rPr>
                <w:b/>
                <w:spacing w:val="-5"/>
                <w:sz w:val="23"/>
              </w:rPr>
              <w:t>Min</w:t>
            </w:r>
          </w:p>
        </w:tc>
        <w:tc>
          <w:tcPr>
            <w:tcW w:w="1050" w:type="dxa"/>
            <w:tcBorders>
              <w:left w:val="nil"/>
              <w:right w:val="nil"/>
            </w:tcBorders>
            <w:shd w:val="clear" w:color="auto" w:fill="4471C4"/>
          </w:tcPr>
          <w:p>
            <w:pPr>
              <w:pStyle w:val="TableParagraph"/>
              <w:spacing w:before="77"/>
              <w:ind w:left="123"/>
              <w:rPr>
                <w:b/>
                <w:sz w:val="23"/>
              </w:rPr>
            </w:pPr>
            <w:r>
              <w:rPr>
                <w:b/>
                <w:spacing w:val="-5"/>
                <w:sz w:val="23"/>
              </w:rPr>
              <w:t>Max</w:t>
            </w:r>
          </w:p>
        </w:tc>
        <w:tc>
          <w:tcPr>
            <w:tcW w:w="1085" w:type="dxa"/>
            <w:tcBorders>
              <w:left w:val="nil"/>
              <w:right w:val="nil"/>
            </w:tcBorders>
            <w:shd w:val="clear" w:color="auto" w:fill="4471C4"/>
          </w:tcPr>
          <w:p>
            <w:pPr>
              <w:pStyle w:val="TableParagraph"/>
              <w:spacing w:before="77"/>
              <w:ind w:left="116"/>
              <w:rPr>
                <w:b/>
                <w:sz w:val="23"/>
              </w:rPr>
            </w:pPr>
            <w:r>
              <w:rPr>
                <w:b/>
                <w:spacing w:val="-4"/>
                <w:sz w:val="23"/>
              </w:rPr>
              <w:t>Mean</w:t>
            </w:r>
          </w:p>
        </w:tc>
        <w:tc>
          <w:tcPr>
            <w:tcW w:w="1196" w:type="dxa"/>
            <w:tcBorders>
              <w:left w:val="nil"/>
              <w:right w:val="nil"/>
            </w:tcBorders>
            <w:shd w:val="clear" w:color="auto" w:fill="4471C4"/>
          </w:tcPr>
          <w:p>
            <w:pPr>
              <w:pStyle w:val="TableParagraph"/>
              <w:spacing w:before="76"/>
              <w:ind w:left="158"/>
              <w:rPr>
                <w:b/>
                <w:sz w:val="25"/>
              </w:rPr>
            </w:pPr>
            <w:r>
              <w:rPr>
                <w:b/>
                <w:spacing w:val="-2"/>
                <w:sz w:val="25"/>
              </w:rPr>
              <w:t>Median</w:t>
            </w:r>
          </w:p>
        </w:tc>
        <w:tc>
          <w:tcPr>
            <w:tcW w:w="1126" w:type="dxa"/>
            <w:tcBorders>
              <w:left w:val="nil"/>
              <w:right w:val="nil"/>
            </w:tcBorders>
            <w:shd w:val="clear" w:color="auto" w:fill="4471C4"/>
          </w:tcPr>
          <w:p>
            <w:pPr>
              <w:pStyle w:val="TableParagraph"/>
              <w:spacing w:before="76"/>
              <w:ind w:left="251"/>
              <w:rPr>
                <w:b/>
                <w:sz w:val="25"/>
              </w:rPr>
            </w:pPr>
            <w:r>
              <w:rPr>
                <w:b/>
                <w:spacing w:val="-2"/>
                <w:sz w:val="25"/>
              </w:rPr>
              <w:t>Stdev</w:t>
            </w:r>
          </w:p>
        </w:tc>
        <w:tc>
          <w:tcPr>
            <w:tcW w:w="2665" w:type="dxa"/>
            <w:tcBorders>
              <w:left w:val="nil"/>
            </w:tcBorders>
            <w:shd w:val="clear" w:color="auto" w:fill="4471C4"/>
          </w:tcPr>
          <w:p>
            <w:pPr>
              <w:pStyle w:val="TableParagraph"/>
              <w:spacing w:before="77"/>
              <w:ind w:left="122"/>
              <w:rPr>
                <w:b/>
                <w:sz w:val="23"/>
              </w:rPr>
            </w:pPr>
            <w:r>
              <w:rPr>
                <w:b/>
                <w:sz w:val="23"/>
              </w:rPr>
              <w:t>Coeficent</w:t>
            </w:r>
            <w:r>
              <w:rPr>
                <w:b/>
                <w:spacing w:val="8"/>
                <w:sz w:val="23"/>
              </w:rPr>
              <w:t> </w:t>
            </w:r>
            <w:r>
              <w:rPr>
                <w:b/>
                <w:sz w:val="23"/>
              </w:rPr>
              <w:t>Of</w:t>
            </w:r>
            <w:r>
              <w:rPr>
                <w:b/>
                <w:spacing w:val="5"/>
                <w:sz w:val="23"/>
              </w:rPr>
              <w:t> </w:t>
            </w:r>
            <w:r>
              <w:rPr>
                <w:b/>
                <w:spacing w:val="-2"/>
                <w:sz w:val="23"/>
              </w:rPr>
              <w:t>Variation</w:t>
            </w:r>
          </w:p>
        </w:tc>
      </w:tr>
      <w:tr>
        <w:trPr>
          <w:trHeight w:val="709" w:hRule="atLeast"/>
        </w:trPr>
        <w:tc>
          <w:tcPr>
            <w:tcW w:w="1210" w:type="dxa"/>
            <w:tcBorders>
              <w:left w:val="single" w:sz="6" w:space="0" w:color="8EA9DB"/>
              <w:bottom w:val="single" w:sz="6" w:space="0" w:color="8EA9DB"/>
              <w:right w:val="nil"/>
            </w:tcBorders>
            <w:shd w:val="clear" w:color="auto" w:fill="D9E0F1"/>
          </w:tcPr>
          <w:p>
            <w:pPr>
              <w:pStyle w:val="TableParagraph"/>
              <w:spacing w:before="75"/>
              <w:ind w:left="114"/>
              <w:rPr>
                <w:sz w:val="23"/>
              </w:rPr>
            </w:pPr>
            <w:r>
              <w:rPr>
                <w:spacing w:val="-5"/>
                <w:sz w:val="23"/>
              </w:rPr>
              <w:t>Pb</w:t>
            </w:r>
          </w:p>
        </w:tc>
        <w:tc>
          <w:tcPr>
            <w:tcW w:w="1102" w:type="dxa"/>
            <w:tcBorders>
              <w:left w:val="nil"/>
              <w:bottom w:val="single" w:sz="6" w:space="0" w:color="8EA9DB"/>
              <w:right w:val="nil"/>
            </w:tcBorders>
            <w:shd w:val="clear" w:color="auto" w:fill="D9E0F1"/>
          </w:tcPr>
          <w:p>
            <w:pPr>
              <w:pStyle w:val="TableParagraph"/>
              <w:spacing w:before="74"/>
              <w:ind w:right="111"/>
              <w:jc w:val="right"/>
              <w:rPr>
                <w:sz w:val="25"/>
              </w:rPr>
            </w:pPr>
            <w:r>
              <w:rPr>
                <w:spacing w:val="-4"/>
                <w:sz w:val="25"/>
              </w:rPr>
              <w:t>0.78</w:t>
            </w:r>
          </w:p>
        </w:tc>
        <w:tc>
          <w:tcPr>
            <w:tcW w:w="1050" w:type="dxa"/>
            <w:tcBorders>
              <w:left w:val="nil"/>
              <w:bottom w:val="single" w:sz="6" w:space="0" w:color="8EA9DB"/>
              <w:right w:val="nil"/>
            </w:tcBorders>
            <w:shd w:val="clear" w:color="auto" w:fill="D9E0F1"/>
          </w:tcPr>
          <w:p>
            <w:pPr>
              <w:pStyle w:val="TableParagraph"/>
              <w:spacing w:before="74"/>
              <w:ind w:right="105"/>
              <w:jc w:val="right"/>
              <w:rPr>
                <w:sz w:val="25"/>
              </w:rPr>
            </w:pPr>
            <w:r>
              <w:rPr>
                <w:spacing w:val="-5"/>
                <w:sz w:val="25"/>
              </w:rPr>
              <w:t>7.2</w:t>
            </w:r>
          </w:p>
        </w:tc>
        <w:tc>
          <w:tcPr>
            <w:tcW w:w="1085" w:type="dxa"/>
            <w:tcBorders>
              <w:left w:val="nil"/>
              <w:bottom w:val="single" w:sz="6" w:space="0" w:color="8EA9DB"/>
              <w:right w:val="nil"/>
            </w:tcBorders>
            <w:shd w:val="clear" w:color="auto" w:fill="D9E0F1"/>
          </w:tcPr>
          <w:p>
            <w:pPr>
              <w:pStyle w:val="TableParagraph"/>
              <w:spacing w:before="74"/>
              <w:ind w:right="147"/>
              <w:jc w:val="right"/>
              <w:rPr>
                <w:sz w:val="25"/>
              </w:rPr>
            </w:pPr>
            <w:r>
              <w:rPr>
                <w:spacing w:val="-2"/>
                <w:sz w:val="25"/>
              </w:rPr>
              <w:t>3.872</w:t>
            </w:r>
          </w:p>
        </w:tc>
        <w:tc>
          <w:tcPr>
            <w:tcW w:w="1196" w:type="dxa"/>
            <w:tcBorders>
              <w:left w:val="nil"/>
              <w:bottom w:val="single" w:sz="6" w:space="0" w:color="8EA9DB"/>
              <w:right w:val="nil"/>
            </w:tcBorders>
            <w:shd w:val="clear" w:color="auto" w:fill="D9E0F1"/>
          </w:tcPr>
          <w:p>
            <w:pPr>
              <w:pStyle w:val="TableParagraph"/>
              <w:spacing w:before="75"/>
              <w:ind w:right="122"/>
              <w:jc w:val="right"/>
              <w:rPr>
                <w:sz w:val="23"/>
              </w:rPr>
            </w:pPr>
            <w:r>
              <w:rPr>
                <w:spacing w:val="-2"/>
                <w:sz w:val="23"/>
              </w:rPr>
              <w:t>3.915</w:t>
            </w:r>
          </w:p>
        </w:tc>
        <w:tc>
          <w:tcPr>
            <w:tcW w:w="1126" w:type="dxa"/>
            <w:tcBorders>
              <w:left w:val="nil"/>
              <w:bottom w:val="single" w:sz="6" w:space="0" w:color="8EA9DB"/>
              <w:right w:val="nil"/>
            </w:tcBorders>
            <w:shd w:val="clear" w:color="auto" w:fill="D9E0F1"/>
          </w:tcPr>
          <w:p>
            <w:pPr>
              <w:pStyle w:val="TableParagraph"/>
              <w:spacing w:before="75"/>
              <w:ind w:right="110"/>
              <w:jc w:val="right"/>
              <w:rPr>
                <w:sz w:val="23"/>
              </w:rPr>
            </w:pPr>
            <w:r>
              <w:rPr>
                <w:spacing w:val="-2"/>
                <w:sz w:val="23"/>
              </w:rPr>
              <w:t>2.003076</w:t>
            </w:r>
          </w:p>
        </w:tc>
        <w:tc>
          <w:tcPr>
            <w:tcW w:w="2665" w:type="dxa"/>
            <w:tcBorders>
              <w:left w:val="nil"/>
              <w:bottom w:val="single" w:sz="6" w:space="0" w:color="8EA9DB"/>
            </w:tcBorders>
            <w:shd w:val="clear" w:color="auto" w:fill="D9E0F1"/>
          </w:tcPr>
          <w:p>
            <w:pPr>
              <w:pStyle w:val="TableParagraph"/>
              <w:spacing w:before="75"/>
              <w:ind w:right="100"/>
              <w:jc w:val="right"/>
              <w:rPr>
                <w:sz w:val="23"/>
              </w:rPr>
            </w:pPr>
            <w:r>
              <w:rPr>
                <w:spacing w:val="-2"/>
                <w:sz w:val="23"/>
              </w:rPr>
              <w:t>51.73233746</w:t>
            </w:r>
          </w:p>
        </w:tc>
      </w:tr>
      <w:tr>
        <w:trPr>
          <w:trHeight w:val="699" w:hRule="atLeast"/>
        </w:trPr>
        <w:tc>
          <w:tcPr>
            <w:tcW w:w="1210" w:type="dxa"/>
            <w:tcBorders>
              <w:top w:val="single" w:sz="6" w:space="0" w:color="8EA9DB"/>
              <w:left w:val="single" w:sz="6" w:space="0" w:color="8EA9DB"/>
              <w:bottom w:val="single" w:sz="6" w:space="0" w:color="8EA9DB"/>
              <w:right w:val="nil"/>
            </w:tcBorders>
          </w:tcPr>
          <w:p>
            <w:pPr>
              <w:pStyle w:val="TableParagraph"/>
              <w:spacing w:before="72"/>
              <w:ind w:left="114"/>
              <w:rPr>
                <w:sz w:val="23"/>
              </w:rPr>
            </w:pPr>
            <w:r>
              <w:rPr>
                <w:spacing w:val="-5"/>
                <w:sz w:val="23"/>
              </w:rPr>
              <w:t>Cd</w:t>
            </w:r>
          </w:p>
        </w:tc>
        <w:tc>
          <w:tcPr>
            <w:tcW w:w="1102" w:type="dxa"/>
            <w:tcBorders>
              <w:top w:val="single" w:sz="6" w:space="0" w:color="8EA9DB"/>
              <w:left w:val="nil"/>
              <w:bottom w:val="single" w:sz="6" w:space="0" w:color="8EA9DB"/>
              <w:right w:val="nil"/>
            </w:tcBorders>
          </w:tcPr>
          <w:p>
            <w:pPr>
              <w:pStyle w:val="TableParagraph"/>
              <w:spacing w:before="71"/>
              <w:ind w:right="111"/>
              <w:jc w:val="right"/>
              <w:rPr>
                <w:sz w:val="25"/>
              </w:rPr>
            </w:pPr>
            <w:r>
              <w:rPr>
                <w:spacing w:val="-4"/>
                <w:sz w:val="25"/>
              </w:rPr>
              <w:t>0.16</w:t>
            </w:r>
          </w:p>
        </w:tc>
        <w:tc>
          <w:tcPr>
            <w:tcW w:w="1050" w:type="dxa"/>
            <w:tcBorders>
              <w:top w:val="single" w:sz="6" w:space="0" w:color="8EA9DB"/>
              <w:left w:val="nil"/>
              <w:bottom w:val="single" w:sz="6" w:space="0" w:color="8EA9DB"/>
              <w:right w:val="nil"/>
            </w:tcBorders>
          </w:tcPr>
          <w:p>
            <w:pPr>
              <w:pStyle w:val="TableParagraph"/>
              <w:spacing w:before="71"/>
              <w:ind w:right="105"/>
              <w:jc w:val="right"/>
              <w:rPr>
                <w:sz w:val="25"/>
              </w:rPr>
            </w:pPr>
            <w:r>
              <w:rPr>
                <w:spacing w:val="-4"/>
                <w:sz w:val="25"/>
              </w:rPr>
              <w:t>1.61</w:t>
            </w:r>
          </w:p>
        </w:tc>
        <w:tc>
          <w:tcPr>
            <w:tcW w:w="1085" w:type="dxa"/>
            <w:tcBorders>
              <w:top w:val="single" w:sz="6" w:space="0" w:color="8EA9DB"/>
              <w:left w:val="nil"/>
              <w:bottom w:val="single" w:sz="6" w:space="0" w:color="8EA9DB"/>
              <w:right w:val="nil"/>
            </w:tcBorders>
          </w:tcPr>
          <w:p>
            <w:pPr>
              <w:pStyle w:val="TableParagraph"/>
              <w:spacing w:before="71"/>
              <w:ind w:right="147"/>
              <w:jc w:val="right"/>
              <w:rPr>
                <w:sz w:val="25"/>
              </w:rPr>
            </w:pPr>
            <w:r>
              <w:rPr>
                <w:spacing w:val="-2"/>
                <w:sz w:val="25"/>
              </w:rPr>
              <w:t>0.942</w:t>
            </w:r>
          </w:p>
        </w:tc>
        <w:tc>
          <w:tcPr>
            <w:tcW w:w="1196" w:type="dxa"/>
            <w:tcBorders>
              <w:top w:val="single" w:sz="6" w:space="0" w:color="8EA9DB"/>
              <w:left w:val="nil"/>
              <w:bottom w:val="single" w:sz="6" w:space="0" w:color="8EA9DB"/>
              <w:right w:val="nil"/>
            </w:tcBorders>
          </w:tcPr>
          <w:p>
            <w:pPr>
              <w:pStyle w:val="TableParagraph"/>
              <w:spacing w:before="72"/>
              <w:ind w:right="124"/>
              <w:jc w:val="right"/>
              <w:rPr>
                <w:sz w:val="23"/>
              </w:rPr>
            </w:pPr>
            <w:r>
              <w:rPr>
                <w:spacing w:val="-4"/>
                <w:sz w:val="23"/>
              </w:rPr>
              <w:t>0.98</w:t>
            </w:r>
          </w:p>
        </w:tc>
        <w:tc>
          <w:tcPr>
            <w:tcW w:w="1126" w:type="dxa"/>
            <w:tcBorders>
              <w:top w:val="single" w:sz="6" w:space="0" w:color="8EA9DB"/>
              <w:left w:val="nil"/>
              <w:bottom w:val="single" w:sz="6" w:space="0" w:color="8EA9DB"/>
              <w:right w:val="nil"/>
            </w:tcBorders>
          </w:tcPr>
          <w:p>
            <w:pPr>
              <w:pStyle w:val="TableParagraph"/>
              <w:spacing w:before="72"/>
              <w:ind w:right="110"/>
              <w:jc w:val="right"/>
              <w:rPr>
                <w:sz w:val="23"/>
              </w:rPr>
            </w:pPr>
            <w:r>
              <w:rPr>
                <w:spacing w:val="-2"/>
                <w:sz w:val="23"/>
              </w:rPr>
              <w:t>0.387064</w:t>
            </w:r>
          </w:p>
        </w:tc>
        <w:tc>
          <w:tcPr>
            <w:tcW w:w="2665" w:type="dxa"/>
            <w:tcBorders>
              <w:top w:val="single" w:sz="6" w:space="0" w:color="8EA9DB"/>
              <w:left w:val="nil"/>
              <w:bottom w:val="single" w:sz="6" w:space="0" w:color="8EA9DB"/>
            </w:tcBorders>
          </w:tcPr>
          <w:p>
            <w:pPr>
              <w:pStyle w:val="TableParagraph"/>
              <w:spacing w:before="72"/>
              <w:ind w:right="100"/>
              <w:jc w:val="right"/>
              <w:rPr>
                <w:sz w:val="23"/>
              </w:rPr>
            </w:pPr>
            <w:r>
              <w:rPr>
                <w:spacing w:val="-2"/>
                <w:sz w:val="23"/>
              </w:rPr>
              <w:t>41.08962539</w:t>
            </w:r>
          </w:p>
        </w:tc>
      </w:tr>
      <w:tr>
        <w:trPr>
          <w:trHeight w:val="709" w:hRule="atLeast"/>
        </w:trPr>
        <w:tc>
          <w:tcPr>
            <w:tcW w:w="1210" w:type="dxa"/>
            <w:tcBorders>
              <w:top w:val="single" w:sz="6" w:space="0" w:color="8EA9DB"/>
              <w:left w:val="single" w:sz="6" w:space="0" w:color="8EA9DB"/>
              <w:right w:val="nil"/>
            </w:tcBorders>
            <w:shd w:val="clear" w:color="auto" w:fill="D9E0F1"/>
          </w:tcPr>
          <w:p>
            <w:pPr>
              <w:pStyle w:val="TableParagraph"/>
              <w:spacing w:before="75"/>
              <w:ind w:left="114"/>
              <w:rPr>
                <w:sz w:val="23"/>
              </w:rPr>
            </w:pPr>
            <w:r>
              <w:rPr>
                <w:spacing w:val="-5"/>
                <w:sz w:val="23"/>
              </w:rPr>
              <w:t>Cr</w:t>
            </w:r>
          </w:p>
        </w:tc>
        <w:tc>
          <w:tcPr>
            <w:tcW w:w="1102" w:type="dxa"/>
            <w:tcBorders>
              <w:top w:val="single" w:sz="6" w:space="0" w:color="8EA9DB"/>
              <w:left w:val="nil"/>
              <w:right w:val="nil"/>
            </w:tcBorders>
            <w:shd w:val="clear" w:color="auto" w:fill="D9E0F1"/>
          </w:tcPr>
          <w:p>
            <w:pPr>
              <w:pStyle w:val="TableParagraph"/>
              <w:spacing w:before="75"/>
              <w:ind w:right="111"/>
              <w:jc w:val="right"/>
              <w:rPr>
                <w:sz w:val="25"/>
              </w:rPr>
            </w:pPr>
            <w:r>
              <w:rPr>
                <w:spacing w:val="-4"/>
                <w:sz w:val="25"/>
              </w:rPr>
              <w:t>0.81</w:t>
            </w:r>
          </w:p>
        </w:tc>
        <w:tc>
          <w:tcPr>
            <w:tcW w:w="1050" w:type="dxa"/>
            <w:tcBorders>
              <w:top w:val="single" w:sz="6" w:space="0" w:color="8EA9DB"/>
              <w:left w:val="nil"/>
              <w:right w:val="nil"/>
            </w:tcBorders>
            <w:shd w:val="clear" w:color="auto" w:fill="D9E0F1"/>
          </w:tcPr>
          <w:p>
            <w:pPr>
              <w:pStyle w:val="TableParagraph"/>
              <w:spacing w:before="75"/>
              <w:ind w:right="115"/>
              <w:jc w:val="right"/>
              <w:rPr>
                <w:sz w:val="25"/>
              </w:rPr>
            </w:pPr>
            <w:r>
              <w:rPr>
                <w:spacing w:val="-4"/>
                <w:sz w:val="25"/>
              </w:rPr>
              <w:t>3.11</w:t>
            </w:r>
          </w:p>
        </w:tc>
        <w:tc>
          <w:tcPr>
            <w:tcW w:w="1085" w:type="dxa"/>
            <w:tcBorders>
              <w:top w:val="single" w:sz="6" w:space="0" w:color="8EA9DB"/>
              <w:left w:val="nil"/>
              <w:right w:val="nil"/>
            </w:tcBorders>
            <w:shd w:val="clear" w:color="auto" w:fill="D9E0F1"/>
          </w:tcPr>
          <w:p>
            <w:pPr>
              <w:pStyle w:val="TableParagraph"/>
              <w:spacing w:before="75"/>
              <w:ind w:right="147"/>
              <w:jc w:val="right"/>
              <w:rPr>
                <w:sz w:val="25"/>
              </w:rPr>
            </w:pPr>
            <w:r>
              <w:rPr>
                <w:spacing w:val="-2"/>
                <w:sz w:val="25"/>
              </w:rPr>
              <w:t>1.782</w:t>
            </w:r>
          </w:p>
        </w:tc>
        <w:tc>
          <w:tcPr>
            <w:tcW w:w="1196" w:type="dxa"/>
            <w:tcBorders>
              <w:top w:val="single" w:sz="6" w:space="0" w:color="8EA9DB"/>
              <w:left w:val="nil"/>
              <w:right w:val="nil"/>
            </w:tcBorders>
            <w:shd w:val="clear" w:color="auto" w:fill="D9E0F1"/>
          </w:tcPr>
          <w:p>
            <w:pPr>
              <w:pStyle w:val="TableParagraph"/>
              <w:spacing w:before="75"/>
              <w:ind w:right="124"/>
              <w:jc w:val="right"/>
              <w:rPr>
                <w:sz w:val="23"/>
              </w:rPr>
            </w:pPr>
            <w:r>
              <w:rPr>
                <w:spacing w:val="-4"/>
                <w:sz w:val="23"/>
              </w:rPr>
              <w:t>2.03</w:t>
            </w:r>
          </w:p>
        </w:tc>
        <w:tc>
          <w:tcPr>
            <w:tcW w:w="1126" w:type="dxa"/>
            <w:tcBorders>
              <w:top w:val="single" w:sz="6" w:space="0" w:color="8EA9DB"/>
              <w:left w:val="nil"/>
              <w:right w:val="nil"/>
            </w:tcBorders>
            <w:shd w:val="clear" w:color="auto" w:fill="D9E0F1"/>
          </w:tcPr>
          <w:p>
            <w:pPr>
              <w:pStyle w:val="TableParagraph"/>
              <w:spacing w:before="75"/>
              <w:ind w:right="110"/>
              <w:jc w:val="right"/>
              <w:rPr>
                <w:sz w:val="23"/>
              </w:rPr>
            </w:pPr>
            <w:r>
              <w:rPr>
                <w:spacing w:val="-2"/>
                <w:sz w:val="23"/>
              </w:rPr>
              <w:t>0.663879</w:t>
            </w:r>
          </w:p>
        </w:tc>
        <w:tc>
          <w:tcPr>
            <w:tcW w:w="2665" w:type="dxa"/>
            <w:tcBorders>
              <w:top w:val="single" w:sz="6" w:space="0" w:color="8EA9DB"/>
              <w:left w:val="nil"/>
            </w:tcBorders>
            <w:shd w:val="clear" w:color="auto" w:fill="D9E0F1"/>
          </w:tcPr>
          <w:p>
            <w:pPr>
              <w:pStyle w:val="TableParagraph"/>
              <w:spacing w:before="75"/>
              <w:ind w:right="100"/>
              <w:jc w:val="right"/>
              <w:rPr>
                <w:sz w:val="23"/>
              </w:rPr>
            </w:pPr>
            <w:r>
              <w:rPr>
                <w:spacing w:val="-2"/>
                <w:sz w:val="23"/>
              </w:rPr>
              <w:t>37.25471761</w:t>
            </w:r>
          </w:p>
        </w:tc>
      </w:tr>
      <w:tr>
        <w:trPr>
          <w:trHeight w:val="701" w:hRule="atLeast"/>
        </w:trPr>
        <w:tc>
          <w:tcPr>
            <w:tcW w:w="1210" w:type="dxa"/>
            <w:tcBorders>
              <w:left w:val="single" w:sz="6" w:space="0" w:color="8EA9DB"/>
              <w:bottom w:val="single" w:sz="6" w:space="0" w:color="8EA9DB"/>
              <w:right w:val="nil"/>
            </w:tcBorders>
          </w:tcPr>
          <w:p>
            <w:pPr>
              <w:pStyle w:val="TableParagraph"/>
              <w:spacing w:before="75"/>
              <w:ind w:left="114"/>
              <w:rPr>
                <w:sz w:val="23"/>
              </w:rPr>
            </w:pPr>
            <w:r>
              <w:rPr>
                <w:spacing w:val="-5"/>
                <w:sz w:val="23"/>
              </w:rPr>
              <w:t>Co</w:t>
            </w:r>
          </w:p>
        </w:tc>
        <w:tc>
          <w:tcPr>
            <w:tcW w:w="1102" w:type="dxa"/>
            <w:tcBorders>
              <w:left w:val="nil"/>
              <w:bottom w:val="single" w:sz="6" w:space="0" w:color="8EA9DB"/>
              <w:right w:val="nil"/>
            </w:tcBorders>
          </w:tcPr>
          <w:p>
            <w:pPr>
              <w:pStyle w:val="TableParagraph"/>
              <w:spacing w:before="74"/>
              <w:ind w:right="111"/>
              <w:jc w:val="right"/>
              <w:rPr>
                <w:sz w:val="25"/>
              </w:rPr>
            </w:pPr>
            <w:r>
              <w:rPr>
                <w:spacing w:val="-4"/>
                <w:sz w:val="25"/>
              </w:rPr>
              <w:t>0.68</w:t>
            </w:r>
          </w:p>
        </w:tc>
        <w:tc>
          <w:tcPr>
            <w:tcW w:w="1050" w:type="dxa"/>
            <w:tcBorders>
              <w:left w:val="nil"/>
              <w:bottom w:val="single" w:sz="6" w:space="0" w:color="8EA9DB"/>
              <w:right w:val="nil"/>
            </w:tcBorders>
          </w:tcPr>
          <w:p>
            <w:pPr>
              <w:pStyle w:val="TableParagraph"/>
              <w:spacing w:before="74"/>
              <w:ind w:right="105"/>
              <w:jc w:val="right"/>
              <w:rPr>
                <w:sz w:val="25"/>
              </w:rPr>
            </w:pPr>
            <w:r>
              <w:rPr>
                <w:spacing w:val="-4"/>
                <w:sz w:val="25"/>
              </w:rPr>
              <w:t>5.43</w:t>
            </w:r>
          </w:p>
        </w:tc>
        <w:tc>
          <w:tcPr>
            <w:tcW w:w="1085" w:type="dxa"/>
            <w:tcBorders>
              <w:left w:val="nil"/>
              <w:bottom w:val="single" w:sz="6" w:space="0" w:color="8EA9DB"/>
              <w:right w:val="nil"/>
            </w:tcBorders>
          </w:tcPr>
          <w:p>
            <w:pPr>
              <w:pStyle w:val="TableParagraph"/>
              <w:spacing w:before="74"/>
              <w:ind w:right="147"/>
              <w:jc w:val="right"/>
              <w:rPr>
                <w:sz w:val="25"/>
              </w:rPr>
            </w:pPr>
            <w:r>
              <w:rPr>
                <w:spacing w:val="-2"/>
                <w:sz w:val="25"/>
              </w:rPr>
              <w:t>2.084</w:t>
            </w:r>
          </w:p>
        </w:tc>
        <w:tc>
          <w:tcPr>
            <w:tcW w:w="1196" w:type="dxa"/>
            <w:tcBorders>
              <w:left w:val="nil"/>
              <w:bottom w:val="single" w:sz="6" w:space="0" w:color="8EA9DB"/>
              <w:right w:val="nil"/>
            </w:tcBorders>
          </w:tcPr>
          <w:p>
            <w:pPr>
              <w:pStyle w:val="TableParagraph"/>
              <w:spacing w:before="75"/>
              <w:ind w:right="122"/>
              <w:jc w:val="right"/>
              <w:rPr>
                <w:sz w:val="23"/>
              </w:rPr>
            </w:pPr>
            <w:r>
              <w:rPr>
                <w:spacing w:val="-2"/>
                <w:sz w:val="23"/>
              </w:rPr>
              <w:t>1.235</w:t>
            </w:r>
          </w:p>
        </w:tc>
        <w:tc>
          <w:tcPr>
            <w:tcW w:w="1126" w:type="dxa"/>
            <w:tcBorders>
              <w:left w:val="nil"/>
              <w:bottom w:val="single" w:sz="6" w:space="0" w:color="8EA9DB"/>
              <w:right w:val="nil"/>
            </w:tcBorders>
          </w:tcPr>
          <w:p>
            <w:pPr>
              <w:pStyle w:val="TableParagraph"/>
              <w:spacing w:before="75"/>
              <w:ind w:right="110"/>
              <w:jc w:val="right"/>
              <w:rPr>
                <w:sz w:val="23"/>
              </w:rPr>
            </w:pPr>
            <w:r>
              <w:rPr>
                <w:spacing w:val="-2"/>
                <w:sz w:val="23"/>
              </w:rPr>
              <w:t>1.531466</w:t>
            </w:r>
          </w:p>
        </w:tc>
        <w:tc>
          <w:tcPr>
            <w:tcW w:w="2665" w:type="dxa"/>
            <w:tcBorders>
              <w:left w:val="nil"/>
              <w:bottom w:val="single" w:sz="6" w:space="0" w:color="8EA9DB"/>
            </w:tcBorders>
          </w:tcPr>
          <w:p>
            <w:pPr>
              <w:pStyle w:val="TableParagraph"/>
              <w:spacing w:before="75"/>
              <w:ind w:right="100"/>
              <w:jc w:val="right"/>
              <w:rPr>
                <w:sz w:val="23"/>
              </w:rPr>
            </w:pPr>
            <w:r>
              <w:rPr>
                <w:spacing w:val="-2"/>
                <w:sz w:val="23"/>
              </w:rPr>
              <w:t>73.48686442</w:t>
            </w:r>
          </w:p>
        </w:tc>
      </w:tr>
      <w:tr>
        <w:trPr>
          <w:trHeight w:val="706" w:hRule="atLeast"/>
        </w:trPr>
        <w:tc>
          <w:tcPr>
            <w:tcW w:w="1210" w:type="dxa"/>
            <w:tcBorders>
              <w:top w:val="single" w:sz="6" w:space="0" w:color="8EA9DB"/>
              <w:left w:val="single" w:sz="6" w:space="0" w:color="8EA9DB"/>
              <w:bottom w:val="single" w:sz="6" w:space="0" w:color="8EA9DB"/>
              <w:right w:val="nil"/>
            </w:tcBorders>
            <w:shd w:val="clear" w:color="auto" w:fill="D9E0F1"/>
          </w:tcPr>
          <w:p>
            <w:pPr>
              <w:pStyle w:val="TableParagraph"/>
              <w:spacing w:before="75"/>
              <w:ind w:left="114"/>
              <w:rPr>
                <w:sz w:val="23"/>
              </w:rPr>
            </w:pPr>
            <w:r>
              <w:rPr>
                <w:spacing w:val="-5"/>
                <w:sz w:val="23"/>
              </w:rPr>
              <w:t>As</w:t>
            </w:r>
          </w:p>
        </w:tc>
        <w:tc>
          <w:tcPr>
            <w:tcW w:w="1102" w:type="dxa"/>
            <w:tcBorders>
              <w:top w:val="single" w:sz="6" w:space="0" w:color="8EA9DB"/>
              <w:left w:val="nil"/>
              <w:bottom w:val="single" w:sz="6" w:space="0" w:color="8EA9DB"/>
              <w:right w:val="nil"/>
            </w:tcBorders>
            <w:shd w:val="clear" w:color="auto" w:fill="D9E0F1"/>
          </w:tcPr>
          <w:p>
            <w:pPr>
              <w:pStyle w:val="TableParagraph"/>
              <w:spacing w:before="74"/>
              <w:ind w:right="111"/>
              <w:jc w:val="right"/>
              <w:rPr>
                <w:sz w:val="25"/>
              </w:rPr>
            </w:pPr>
            <w:r>
              <w:rPr>
                <w:spacing w:val="-4"/>
                <w:sz w:val="25"/>
              </w:rPr>
              <w:t>0.22</w:t>
            </w:r>
          </w:p>
        </w:tc>
        <w:tc>
          <w:tcPr>
            <w:tcW w:w="1050" w:type="dxa"/>
            <w:tcBorders>
              <w:top w:val="single" w:sz="6" w:space="0" w:color="8EA9DB"/>
              <w:left w:val="nil"/>
              <w:bottom w:val="single" w:sz="6" w:space="0" w:color="8EA9DB"/>
              <w:right w:val="nil"/>
            </w:tcBorders>
            <w:shd w:val="clear" w:color="auto" w:fill="D9E0F1"/>
          </w:tcPr>
          <w:p>
            <w:pPr>
              <w:pStyle w:val="TableParagraph"/>
              <w:spacing w:before="74"/>
              <w:ind w:right="105"/>
              <w:jc w:val="right"/>
              <w:rPr>
                <w:sz w:val="25"/>
              </w:rPr>
            </w:pPr>
            <w:r>
              <w:rPr>
                <w:spacing w:val="-4"/>
                <w:sz w:val="25"/>
              </w:rPr>
              <w:t>1.51</w:t>
            </w:r>
          </w:p>
        </w:tc>
        <w:tc>
          <w:tcPr>
            <w:tcW w:w="1085" w:type="dxa"/>
            <w:tcBorders>
              <w:top w:val="single" w:sz="6" w:space="0" w:color="8EA9DB"/>
              <w:left w:val="nil"/>
              <w:bottom w:val="single" w:sz="6" w:space="0" w:color="8EA9DB"/>
              <w:right w:val="nil"/>
            </w:tcBorders>
            <w:shd w:val="clear" w:color="auto" w:fill="D9E0F1"/>
          </w:tcPr>
          <w:p>
            <w:pPr>
              <w:pStyle w:val="TableParagraph"/>
              <w:spacing w:before="74"/>
              <w:ind w:right="147"/>
              <w:jc w:val="right"/>
              <w:rPr>
                <w:sz w:val="25"/>
              </w:rPr>
            </w:pPr>
            <w:r>
              <w:rPr>
                <w:spacing w:val="-2"/>
                <w:sz w:val="25"/>
              </w:rPr>
              <w:t>1.055</w:t>
            </w:r>
          </w:p>
        </w:tc>
        <w:tc>
          <w:tcPr>
            <w:tcW w:w="1196" w:type="dxa"/>
            <w:tcBorders>
              <w:top w:val="single" w:sz="6" w:space="0" w:color="8EA9DB"/>
              <w:left w:val="nil"/>
              <w:bottom w:val="single" w:sz="6" w:space="0" w:color="8EA9DB"/>
              <w:right w:val="nil"/>
            </w:tcBorders>
            <w:shd w:val="clear" w:color="auto" w:fill="D9E0F1"/>
          </w:tcPr>
          <w:p>
            <w:pPr>
              <w:pStyle w:val="TableParagraph"/>
              <w:spacing w:before="75"/>
              <w:ind w:right="124"/>
              <w:jc w:val="right"/>
              <w:rPr>
                <w:sz w:val="23"/>
              </w:rPr>
            </w:pPr>
            <w:r>
              <w:rPr>
                <w:spacing w:val="-4"/>
                <w:sz w:val="23"/>
              </w:rPr>
              <w:t>1.14</w:t>
            </w:r>
          </w:p>
        </w:tc>
        <w:tc>
          <w:tcPr>
            <w:tcW w:w="1126" w:type="dxa"/>
            <w:tcBorders>
              <w:top w:val="single" w:sz="6" w:space="0" w:color="8EA9DB"/>
              <w:left w:val="nil"/>
              <w:bottom w:val="single" w:sz="6" w:space="0" w:color="8EA9DB"/>
              <w:right w:val="nil"/>
            </w:tcBorders>
            <w:shd w:val="clear" w:color="auto" w:fill="D9E0F1"/>
          </w:tcPr>
          <w:p>
            <w:pPr>
              <w:pStyle w:val="TableParagraph"/>
              <w:spacing w:before="75"/>
              <w:ind w:right="110"/>
              <w:jc w:val="right"/>
              <w:rPr>
                <w:sz w:val="23"/>
              </w:rPr>
            </w:pPr>
            <w:r>
              <w:rPr>
                <w:spacing w:val="-2"/>
                <w:sz w:val="23"/>
              </w:rPr>
              <w:t>0.36598</w:t>
            </w:r>
          </w:p>
        </w:tc>
        <w:tc>
          <w:tcPr>
            <w:tcW w:w="2665" w:type="dxa"/>
            <w:tcBorders>
              <w:top w:val="single" w:sz="6" w:space="0" w:color="8EA9DB"/>
              <w:left w:val="nil"/>
              <w:bottom w:val="single" w:sz="6" w:space="0" w:color="8EA9DB"/>
            </w:tcBorders>
            <w:shd w:val="clear" w:color="auto" w:fill="D9E0F1"/>
          </w:tcPr>
          <w:p>
            <w:pPr>
              <w:pStyle w:val="TableParagraph"/>
              <w:spacing w:before="75"/>
              <w:ind w:right="100"/>
              <w:jc w:val="right"/>
              <w:rPr>
                <w:sz w:val="23"/>
              </w:rPr>
            </w:pPr>
            <w:r>
              <w:rPr>
                <w:spacing w:val="-2"/>
                <w:sz w:val="23"/>
              </w:rPr>
              <w:t>34.69008705</w:t>
            </w:r>
          </w:p>
        </w:tc>
      </w:tr>
    </w:tbl>
    <w:p>
      <w:pPr>
        <w:pStyle w:val="TableParagraph"/>
        <w:spacing w:after="0"/>
        <w:jc w:val="right"/>
        <w:rPr>
          <w:sz w:val="23"/>
        </w:rPr>
        <w:sectPr>
          <w:pgSz w:w="12240" w:h="15840"/>
          <w:pgMar w:header="0" w:footer="1674" w:top="1460" w:bottom="1860" w:left="360" w:right="0"/>
        </w:sectPr>
      </w:pPr>
    </w:p>
    <w:p>
      <w:pPr>
        <w:pStyle w:val="Heading1"/>
        <w:numPr>
          <w:ilvl w:val="1"/>
          <w:numId w:val="7"/>
        </w:numPr>
        <w:tabs>
          <w:tab w:pos="1521" w:val="left" w:leader="none"/>
        </w:tabs>
        <w:spacing w:line="240" w:lineRule="auto" w:before="74" w:after="0"/>
        <w:ind w:left="1521" w:right="0" w:hanging="366"/>
        <w:jc w:val="left"/>
      </w:pPr>
      <w:r>
        <w:rPr/>
        <w:t>ASSESSMENT</w:t>
      </w:r>
      <w:r>
        <w:rPr>
          <w:spacing w:val="1"/>
        </w:rPr>
        <w:t> </w:t>
      </w:r>
      <w:r>
        <w:rPr/>
        <w:t>OF</w:t>
      </w:r>
      <w:r>
        <w:rPr>
          <w:spacing w:val="-8"/>
        </w:rPr>
        <w:t> </w:t>
      </w:r>
      <w:r>
        <w:rPr/>
        <w:t>HEAVY</w:t>
      </w:r>
      <w:r>
        <w:rPr>
          <w:spacing w:val="-3"/>
        </w:rPr>
        <w:t> </w:t>
      </w:r>
      <w:r>
        <w:rPr/>
        <w:t>METAL</w:t>
      </w:r>
      <w:r>
        <w:rPr>
          <w:spacing w:val="-10"/>
        </w:rPr>
        <w:t> </w:t>
      </w:r>
      <w:r>
        <w:rPr/>
        <w:t>HEALTH</w:t>
      </w:r>
      <w:r>
        <w:rPr>
          <w:spacing w:val="6"/>
        </w:rPr>
        <w:t> </w:t>
      </w:r>
      <w:r>
        <w:rPr/>
        <w:t>RISK</w:t>
      </w:r>
      <w:r>
        <w:rPr>
          <w:spacing w:val="7"/>
        </w:rPr>
        <w:t> </w:t>
      </w:r>
      <w:r>
        <w:rPr>
          <w:spacing w:val="-2"/>
        </w:rPr>
        <w:t>IMPACT</w:t>
      </w:r>
    </w:p>
    <w:p>
      <w:pPr>
        <w:pStyle w:val="BodyText"/>
        <w:spacing w:before="182"/>
        <w:rPr>
          <w:b/>
        </w:rPr>
      </w:pPr>
    </w:p>
    <w:p>
      <w:pPr>
        <w:pStyle w:val="ListParagraph"/>
        <w:numPr>
          <w:ilvl w:val="2"/>
          <w:numId w:val="7"/>
        </w:numPr>
        <w:tabs>
          <w:tab w:pos="1792" w:val="left" w:leader="none"/>
        </w:tabs>
        <w:spacing w:line="240" w:lineRule="auto" w:before="0" w:after="0"/>
        <w:ind w:left="1792" w:right="0" w:hanging="637"/>
        <w:jc w:val="left"/>
        <w:rPr>
          <w:b/>
          <w:sz w:val="25"/>
        </w:rPr>
      </w:pPr>
      <w:r>
        <w:rPr>
          <w:b/>
          <w:sz w:val="25"/>
        </w:rPr>
        <w:t>NON-</w:t>
      </w:r>
      <w:r>
        <w:rPr>
          <w:b/>
          <w:spacing w:val="-2"/>
          <w:sz w:val="25"/>
        </w:rPr>
        <w:t>CARCINOGENIC</w:t>
      </w:r>
    </w:p>
    <w:p>
      <w:pPr>
        <w:pStyle w:val="BodyText"/>
        <w:spacing w:before="185"/>
        <w:rPr>
          <w:b/>
        </w:rPr>
      </w:pPr>
    </w:p>
    <w:p>
      <w:pPr>
        <w:pStyle w:val="BodyText"/>
        <w:spacing w:line="491" w:lineRule="auto"/>
        <w:ind w:left="1155" w:right="1819"/>
      </w:pPr>
      <w:r>
        <w:rPr/>
        <w:t>This research applies to the Health Risk Model developed by the US Environmental Protection</w:t>
      </w:r>
      <w:r>
        <w:rPr>
          <w:spacing w:val="-7"/>
        </w:rPr>
        <w:t> </w:t>
      </w:r>
      <w:r>
        <w:rPr/>
        <w:t>Agency (US-EPA) to assess human exposure to heavy metals. Human health risks from the consumption of the herbal drink sample were evaluated via the ingestion route based on the equation provided by the United States Environmental Protection Agency (Olayinka </w:t>
      </w:r>
      <w:r>
        <w:rPr>
          <w:i/>
        </w:rPr>
        <w:t>et al., </w:t>
      </w:r>
      <w:r>
        <w:rPr/>
        <w:t>2016). To quantify exposure levels, the Average Daily</w:t>
      </w:r>
    </w:p>
    <w:p>
      <w:pPr>
        <w:pStyle w:val="BodyText"/>
        <w:spacing w:line="491" w:lineRule="auto" w:before="5"/>
        <w:ind w:left="1167" w:right="2327"/>
      </w:pPr>
      <w:r>
        <w:rPr/>
        <w:t>Intake (ADI) was calculated for ingestion route, using equations from Li </w:t>
      </w:r>
      <w:r>
        <w:rPr>
          <w:i/>
        </w:rPr>
        <w:t>et al. </w:t>
      </w:r>
      <w:r>
        <w:rPr/>
        <w:t>(2014). This approach enables the estimation of human exposure to heavy metals from various sources.</w:t>
      </w:r>
    </w:p>
    <w:p>
      <w:pPr>
        <w:pStyle w:val="BodyText"/>
        <w:spacing w:before="146"/>
      </w:pPr>
    </w:p>
    <w:p>
      <w:pPr>
        <w:tabs>
          <w:tab w:pos="4118" w:val="left" w:leader="none"/>
          <w:tab w:pos="8192" w:val="left" w:leader="none"/>
        </w:tabs>
        <w:spacing w:before="0"/>
        <w:ind w:left="0" w:right="609" w:firstLine="0"/>
        <w:jc w:val="center"/>
        <w:rPr>
          <w:rFonts w:ascii="Cambria Math" w:hAnsi="Cambria Math" w:eastAsia="Cambria Math"/>
          <w:position w:val="1"/>
          <w:sz w:val="25"/>
        </w:rPr>
      </w:pPr>
      <w:r>
        <w:rPr>
          <w:rFonts w:ascii="Cambria Math" w:hAnsi="Cambria Math" w:eastAsia="Cambria Math"/>
          <w:position w:val="1"/>
          <w:sz w:val="25"/>
        </w:rPr>
        <w:t>𝐴𝐷𝐼</w:t>
      </w:r>
      <w:r>
        <w:rPr>
          <w:rFonts w:ascii="Cambria Math" w:hAnsi="Cambria Math" w:eastAsia="Cambria Math"/>
          <w:sz w:val="17"/>
        </w:rPr>
        <w:t>𝑖𝑛𝑔𝑒𝑠𝑡𝑖𝑜𝑛</w:t>
      </w:r>
      <w:r>
        <w:rPr>
          <w:rFonts w:ascii="Cambria Math" w:hAnsi="Cambria Math" w:eastAsia="Cambria Math"/>
          <w:spacing w:val="1"/>
          <w:sz w:val="17"/>
        </w:rPr>
        <w:t> </w:t>
      </w:r>
      <w:r>
        <w:rPr>
          <w:rFonts w:ascii="Cambria Math" w:hAnsi="Cambria Math" w:eastAsia="Cambria Math"/>
          <w:position w:val="1"/>
          <w:sz w:val="25"/>
        </w:rPr>
        <w:t>=</w:t>
      </w:r>
      <w:r>
        <w:rPr>
          <w:rFonts w:ascii="Cambria Math" w:hAnsi="Cambria Math" w:eastAsia="Cambria Math"/>
          <w:spacing w:val="3"/>
          <w:position w:val="1"/>
          <w:sz w:val="25"/>
        </w:rPr>
        <w:t> </w:t>
      </w:r>
      <w:r>
        <w:rPr>
          <w:rFonts w:ascii="Cambria Math" w:hAnsi="Cambria Math" w:eastAsia="Cambria Math"/>
          <w:spacing w:val="-10"/>
          <w:position w:val="1"/>
          <w:sz w:val="25"/>
        </w:rPr>
        <w:t>𝐶</w:t>
      </w:r>
      <w:r>
        <w:rPr>
          <w:position w:val="1"/>
          <w:sz w:val="18"/>
          <w:u w:val="single"/>
        </w:rPr>
        <w:tab/>
      </w:r>
      <w:r>
        <w:rPr>
          <w:rFonts w:ascii="Cambria Math" w:hAnsi="Cambria Math" w:eastAsia="Cambria Math"/>
          <w:position w:val="1"/>
          <w:sz w:val="18"/>
        </w:rPr>
        <w:t>𝑖𝑗</w:t>
      </w:r>
      <w:r>
        <w:rPr>
          <w:rFonts w:ascii="Cambria Math" w:hAnsi="Cambria Math" w:eastAsia="Cambria Math"/>
          <w:spacing w:val="6"/>
          <w:position w:val="1"/>
          <w:sz w:val="18"/>
        </w:rPr>
        <w:t> </w:t>
      </w:r>
      <w:r>
        <w:rPr>
          <w:rFonts w:ascii="Cambria Math" w:hAnsi="Cambria Math" w:eastAsia="Cambria Math"/>
          <w:position w:val="1"/>
          <w:sz w:val="25"/>
        </w:rPr>
        <w:t>×</w:t>
      </w:r>
      <w:r>
        <w:rPr>
          <w:rFonts w:ascii="Cambria Math" w:hAnsi="Cambria Math" w:eastAsia="Cambria Math"/>
          <w:spacing w:val="3"/>
          <w:position w:val="1"/>
          <w:sz w:val="25"/>
        </w:rPr>
        <w:t> </w:t>
      </w:r>
      <w:r>
        <w:rPr>
          <w:rFonts w:ascii="Cambria Math" w:hAnsi="Cambria Math" w:eastAsia="Cambria Math"/>
          <w:position w:val="1"/>
          <w:sz w:val="25"/>
        </w:rPr>
        <w:t>𝐼𝑛𝑔𝑅</w:t>
      </w:r>
      <w:r>
        <w:rPr>
          <w:rFonts w:ascii="Cambria Math" w:hAnsi="Cambria Math" w:eastAsia="Cambria Math"/>
          <w:position w:val="1"/>
          <w:sz w:val="18"/>
        </w:rPr>
        <w:t>𝑗</w:t>
      </w:r>
      <w:r>
        <w:rPr>
          <w:rFonts w:ascii="Cambria Math" w:hAnsi="Cambria Math" w:eastAsia="Cambria Math"/>
          <w:spacing w:val="6"/>
          <w:position w:val="1"/>
          <w:sz w:val="18"/>
        </w:rPr>
        <w:t> </w:t>
      </w:r>
      <w:r>
        <w:rPr>
          <w:rFonts w:ascii="Cambria Math" w:hAnsi="Cambria Math" w:eastAsia="Cambria Math"/>
          <w:position w:val="1"/>
          <w:sz w:val="25"/>
        </w:rPr>
        <w:t>×</w:t>
      </w:r>
      <w:r>
        <w:rPr>
          <w:rFonts w:ascii="Cambria Math" w:hAnsi="Cambria Math" w:eastAsia="Cambria Math"/>
          <w:spacing w:val="3"/>
          <w:position w:val="1"/>
          <w:sz w:val="25"/>
        </w:rPr>
        <w:t> </w:t>
      </w:r>
      <w:r>
        <w:rPr>
          <w:rFonts w:ascii="Cambria Math" w:hAnsi="Cambria Math" w:eastAsia="Cambria Math"/>
          <w:position w:val="1"/>
          <w:sz w:val="25"/>
        </w:rPr>
        <w:t>𝐸𝐹</w:t>
      </w:r>
      <w:r>
        <w:rPr>
          <w:rFonts w:ascii="Cambria Math" w:hAnsi="Cambria Math" w:eastAsia="Cambria Math"/>
          <w:spacing w:val="5"/>
          <w:position w:val="1"/>
          <w:sz w:val="25"/>
        </w:rPr>
        <w:t> </w:t>
      </w:r>
      <w:r>
        <w:rPr>
          <w:rFonts w:ascii="Cambria Math" w:hAnsi="Cambria Math" w:eastAsia="Cambria Math"/>
          <w:position w:val="1"/>
          <w:sz w:val="25"/>
        </w:rPr>
        <w:t>×</w:t>
      </w:r>
      <w:r>
        <w:rPr>
          <w:rFonts w:ascii="Cambria Math" w:hAnsi="Cambria Math" w:eastAsia="Cambria Math"/>
          <w:spacing w:val="4"/>
          <w:position w:val="1"/>
          <w:sz w:val="25"/>
        </w:rPr>
        <w:t> </w:t>
      </w:r>
      <w:r>
        <w:rPr>
          <w:rFonts w:ascii="Cambria Math" w:hAnsi="Cambria Math" w:eastAsia="Cambria Math"/>
          <w:position w:val="1"/>
          <w:sz w:val="25"/>
        </w:rPr>
        <w:t>𝐸𝐷</w:t>
      </w:r>
      <w:r>
        <w:rPr>
          <w:rFonts w:ascii="Cambria Math" w:hAnsi="Cambria Math" w:eastAsia="Cambria Math"/>
          <w:spacing w:val="7"/>
          <w:position w:val="1"/>
          <w:sz w:val="25"/>
        </w:rPr>
        <w:t> </w:t>
      </w:r>
      <w:r>
        <w:rPr>
          <w:rFonts w:ascii="Cambria Math" w:hAnsi="Cambria Math" w:eastAsia="Cambria Math"/>
          <w:position w:val="1"/>
          <w:sz w:val="25"/>
        </w:rPr>
        <w:t>×</w:t>
      </w:r>
      <w:r>
        <w:rPr>
          <w:rFonts w:ascii="Cambria Math" w:hAnsi="Cambria Math" w:eastAsia="Cambria Math"/>
          <w:spacing w:val="4"/>
          <w:position w:val="1"/>
          <w:sz w:val="25"/>
        </w:rPr>
        <w:t> </w:t>
      </w:r>
      <w:r>
        <w:rPr>
          <w:rFonts w:ascii="Cambria Math" w:hAnsi="Cambria Math" w:eastAsia="Cambria Math"/>
          <w:spacing w:val="-4"/>
          <w:position w:val="1"/>
          <w:sz w:val="25"/>
        </w:rPr>
        <w:t>10</w:t>
      </w:r>
      <w:r>
        <w:rPr>
          <w:rFonts w:ascii="Cambria Math" w:hAnsi="Cambria Math" w:eastAsia="Cambria Math"/>
          <w:spacing w:val="-4"/>
          <w:position w:val="1"/>
          <w:sz w:val="18"/>
        </w:rPr>
        <w:t>−6</w:t>
      </w:r>
      <w:r>
        <w:rPr>
          <w:rFonts w:ascii="Cambria Math" w:hAnsi="Cambria Math" w:eastAsia="Cambria Math"/>
          <w:position w:val="1"/>
          <w:sz w:val="18"/>
        </w:rPr>
        <w:tab/>
      </w:r>
      <w:r>
        <w:rPr>
          <w:rFonts w:ascii="Cambria Math" w:hAnsi="Cambria Math" w:eastAsia="Cambria Math"/>
          <w:spacing w:val="-5"/>
          <w:position w:val="1"/>
          <w:sz w:val="25"/>
        </w:rPr>
        <w:t>(1)</w:t>
      </w:r>
    </w:p>
    <w:p>
      <w:pPr>
        <w:spacing w:before="56"/>
        <w:ind w:left="0" w:right="1181" w:firstLine="0"/>
        <w:jc w:val="center"/>
        <w:rPr>
          <w:rFonts w:ascii="Cambria Math" w:hAnsi="Cambria Math" w:eastAsia="Cambria Math"/>
          <w:sz w:val="25"/>
        </w:rPr>
      </w:pPr>
      <w:r>
        <w:rPr>
          <w:rFonts w:ascii="Cambria Math" w:hAnsi="Cambria Math" w:eastAsia="Cambria Math"/>
          <w:sz w:val="25"/>
        </w:rPr>
        <w:t>𝐵𝑊</w:t>
      </w:r>
      <w:r>
        <w:rPr>
          <w:rFonts w:ascii="Cambria Math" w:hAnsi="Cambria Math" w:eastAsia="Cambria Math"/>
          <w:spacing w:val="5"/>
          <w:sz w:val="25"/>
        </w:rPr>
        <w:t> </w:t>
      </w:r>
      <w:r>
        <w:rPr>
          <w:rFonts w:ascii="Cambria Math" w:hAnsi="Cambria Math" w:eastAsia="Cambria Math"/>
          <w:sz w:val="25"/>
        </w:rPr>
        <w:t>×</w:t>
      </w:r>
      <w:r>
        <w:rPr>
          <w:rFonts w:ascii="Cambria Math" w:hAnsi="Cambria Math" w:eastAsia="Cambria Math"/>
          <w:spacing w:val="5"/>
          <w:sz w:val="25"/>
        </w:rPr>
        <w:t> </w:t>
      </w:r>
      <w:r>
        <w:rPr>
          <w:rFonts w:ascii="Cambria Math" w:hAnsi="Cambria Math" w:eastAsia="Cambria Math"/>
          <w:spacing w:val="-5"/>
          <w:sz w:val="25"/>
        </w:rPr>
        <w:t>𝐴𝑇</w:t>
      </w:r>
    </w:p>
    <w:p>
      <w:pPr>
        <w:pStyle w:val="BodyText"/>
        <w:spacing w:before="159"/>
        <w:rPr>
          <w:rFonts w:ascii="Cambria Math"/>
        </w:rPr>
      </w:pPr>
    </w:p>
    <w:p>
      <w:pPr>
        <w:pStyle w:val="BodyText"/>
        <w:spacing w:line="491" w:lineRule="auto"/>
        <w:ind w:left="1167" w:right="1896" w:hanging="13"/>
      </w:pPr>
      <w:r>
        <w:rPr>
          <w:position w:val="1"/>
        </w:rPr>
        <w:t>where </w:t>
      </w:r>
      <w:r>
        <w:rPr>
          <w:rFonts w:ascii="Cambria Math" w:hAnsi="Cambria Math" w:eastAsia="Cambria Math"/>
          <w:position w:val="1"/>
        </w:rPr>
        <w:t>𝐶</w:t>
      </w:r>
      <w:r>
        <w:rPr>
          <w:rFonts w:ascii="Cambria Math" w:hAnsi="Cambria Math" w:eastAsia="Cambria Math"/>
          <w:sz w:val="17"/>
        </w:rPr>
        <w:t>𝑖𝑗</w:t>
      </w:r>
      <w:r>
        <w:rPr>
          <w:rFonts w:ascii="Cambria Math" w:hAnsi="Cambria Math" w:eastAsia="Cambria Math"/>
          <w:spacing w:val="40"/>
          <w:sz w:val="17"/>
        </w:rPr>
        <w:t> </w:t>
      </w:r>
      <w:r>
        <w:rPr>
          <w:position w:val="1"/>
        </w:rPr>
        <w:t>is the concentration of heavy metal </w:t>
      </w:r>
      <w:r>
        <w:rPr>
          <w:i/>
          <w:position w:val="1"/>
        </w:rPr>
        <w:t>i </w:t>
      </w:r>
      <w:r>
        <w:rPr>
          <w:position w:val="1"/>
        </w:rPr>
        <w:t>in medium </w:t>
      </w:r>
      <w:r>
        <w:rPr>
          <w:i/>
          <w:position w:val="1"/>
        </w:rPr>
        <w:t>j</w:t>
      </w:r>
      <w:r>
        <w:rPr>
          <w:position w:val="1"/>
        </w:rPr>
        <w:t>, </w:t>
      </w:r>
      <w:r>
        <w:rPr>
          <w:rFonts w:ascii="Cambria Math" w:hAnsi="Cambria Math" w:eastAsia="Cambria Math"/>
          <w:position w:val="1"/>
        </w:rPr>
        <w:t>𝐼𝑛𝑔𝑅</w:t>
      </w:r>
      <w:r>
        <w:rPr>
          <w:rFonts w:ascii="Cambria Math" w:hAnsi="Cambria Math" w:eastAsia="Cambria Math"/>
          <w:sz w:val="17"/>
        </w:rPr>
        <w:t>𝑗</w:t>
      </w:r>
      <w:r>
        <w:rPr>
          <w:rFonts w:ascii="Cambria Math" w:hAnsi="Cambria Math" w:eastAsia="Cambria Math"/>
          <w:spacing w:val="40"/>
          <w:sz w:val="17"/>
        </w:rPr>
        <w:t> </w:t>
      </w:r>
      <w:r>
        <w:rPr>
          <w:position w:val="1"/>
        </w:rPr>
        <w:t>is the in ingestion</w:t>
      </w:r>
      <w:r>
        <w:rPr>
          <w:spacing w:val="40"/>
          <w:position w:val="1"/>
        </w:rPr>
        <w:t> </w:t>
      </w:r>
      <w:r>
        <w:rPr>
          <w:position w:val="1"/>
        </w:rPr>
        <w:t>rate of </w:t>
      </w:r>
      <w:r>
        <w:rPr>
          <w:i/>
          <w:position w:val="1"/>
        </w:rPr>
        <w:t>j </w:t>
      </w:r>
      <w:r>
        <w:rPr>
          <w:position w:val="1"/>
        </w:rPr>
        <w:t>medium particles (mg/day or L/day), </w:t>
      </w:r>
      <w:r>
        <w:rPr>
          <w:rFonts w:ascii="Cambria Math" w:hAnsi="Cambria Math" w:eastAsia="Cambria Math"/>
          <w:position w:val="1"/>
        </w:rPr>
        <w:t>𝐼𝑛ℎ𝑅</w:t>
      </w:r>
      <w:r>
        <w:rPr>
          <w:rFonts w:ascii="Cambria Math" w:hAnsi="Cambria Math" w:eastAsia="Cambria Math"/>
          <w:sz w:val="17"/>
        </w:rPr>
        <w:t>𝑗</w:t>
      </w:r>
      <w:r>
        <w:rPr>
          <w:rFonts w:ascii="Cambria Math" w:hAnsi="Cambria Math" w:eastAsia="Cambria Math"/>
          <w:spacing w:val="40"/>
          <w:sz w:val="17"/>
        </w:rPr>
        <w:t> </w:t>
      </w:r>
      <w:r>
        <w:rPr>
          <w:position w:val="1"/>
        </w:rPr>
        <w:t>is the ingestion rate of </w:t>
      </w:r>
      <w:r>
        <w:rPr>
          <w:i/>
          <w:position w:val="1"/>
        </w:rPr>
        <w:t>j </w:t>
      </w:r>
      <w:r>
        <w:rPr>
          <w:position w:val="1"/>
        </w:rPr>
        <w:t>medium particles</w:t>
      </w:r>
      <w:r>
        <w:rPr>
          <w:spacing w:val="23"/>
          <w:position w:val="1"/>
        </w:rPr>
        <w:t> </w:t>
      </w:r>
      <w:r>
        <w:rPr>
          <w:position w:val="1"/>
        </w:rPr>
        <w:t>(m</w:t>
      </w:r>
      <w:r>
        <w:rPr>
          <w:position w:val="1"/>
          <w:vertAlign w:val="superscript"/>
        </w:rPr>
        <w:t>3</w:t>
      </w:r>
      <w:r>
        <w:rPr>
          <w:position w:val="1"/>
          <w:vertAlign w:val="baseline"/>
        </w:rPr>
        <w:t>/day),</w:t>
      </w:r>
      <w:r>
        <w:rPr>
          <w:spacing w:val="80"/>
          <w:position w:val="1"/>
          <w:vertAlign w:val="baseline"/>
        </w:rPr>
        <w:t> </w:t>
      </w:r>
      <w:r>
        <w:rPr>
          <w:rFonts w:ascii="Cambria Math" w:hAnsi="Cambria Math" w:eastAsia="Cambria Math"/>
          <w:position w:val="1"/>
          <w:vertAlign w:val="baseline"/>
        </w:rPr>
        <w:t>𝐼𝑛𝑔𝑅</w:t>
      </w:r>
      <w:r>
        <w:rPr>
          <w:rFonts w:ascii="Cambria Math" w:hAnsi="Cambria Math" w:eastAsia="Cambria Math"/>
          <w:sz w:val="17"/>
          <w:vertAlign w:val="baseline"/>
        </w:rPr>
        <w:t>𝑗</w:t>
      </w:r>
      <w:r>
        <w:rPr>
          <w:rFonts w:ascii="Cambria Math" w:hAnsi="Cambria Math" w:eastAsia="Cambria Math"/>
          <w:spacing w:val="40"/>
          <w:sz w:val="17"/>
          <w:vertAlign w:val="baseline"/>
        </w:rPr>
        <w:t> </w:t>
      </w:r>
      <w:r>
        <w:rPr>
          <w:position w:val="1"/>
          <w:vertAlign w:val="baseline"/>
        </w:rPr>
        <w:t>is</w:t>
      </w:r>
      <w:r>
        <w:rPr>
          <w:spacing w:val="23"/>
          <w:position w:val="1"/>
          <w:vertAlign w:val="baseline"/>
        </w:rPr>
        <w:t> </w:t>
      </w:r>
      <w:r>
        <w:rPr>
          <w:position w:val="1"/>
          <w:vertAlign w:val="baseline"/>
        </w:rPr>
        <w:t>the</w:t>
      </w:r>
      <w:r>
        <w:rPr>
          <w:spacing w:val="22"/>
          <w:position w:val="1"/>
          <w:vertAlign w:val="baseline"/>
        </w:rPr>
        <w:t> </w:t>
      </w:r>
      <w:r>
        <w:rPr>
          <w:position w:val="1"/>
          <w:vertAlign w:val="baseline"/>
        </w:rPr>
        <w:t>inhalation</w:t>
      </w:r>
      <w:r>
        <w:rPr>
          <w:spacing w:val="23"/>
          <w:position w:val="1"/>
          <w:vertAlign w:val="baseline"/>
        </w:rPr>
        <w:t> </w:t>
      </w:r>
      <w:r>
        <w:rPr>
          <w:position w:val="1"/>
          <w:vertAlign w:val="baseline"/>
        </w:rPr>
        <w:t>rate</w:t>
      </w:r>
      <w:r>
        <w:rPr>
          <w:spacing w:val="23"/>
          <w:position w:val="1"/>
          <w:vertAlign w:val="baseline"/>
        </w:rPr>
        <w:t> </w:t>
      </w:r>
      <w:r>
        <w:rPr>
          <w:position w:val="1"/>
          <w:vertAlign w:val="baseline"/>
        </w:rPr>
        <w:t>of</w:t>
      </w:r>
      <w:r>
        <w:rPr>
          <w:spacing w:val="24"/>
          <w:position w:val="1"/>
          <w:vertAlign w:val="baseline"/>
        </w:rPr>
        <w:t> </w:t>
      </w:r>
      <w:r>
        <w:rPr>
          <w:i/>
          <w:position w:val="1"/>
          <w:vertAlign w:val="baseline"/>
        </w:rPr>
        <w:t>j</w:t>
      </w:r>
      <w:r>
        <w:rPr>
          <w:i/>
          <w:spacing w:val="23"/>
          <w:position w:val="1"/>
          <w:vertAlign w:val="baseline"/>
        </w:rPr>
        <w:t> </w:t>
      </w:r>
      <w:r>
        <w:rPr>
          <w:position w:val="1"/>
          <w:vertAlign w:val="baseline"/>
        </w:rPr>
        <w:t>medium</w:t>
      </w:r>
      <w:r>
        <w:rPr>
          <w:spacing w:val="23"/>
          <w:position w:val="1"/>
          <w:vertAlign w:val="baseline"/>
        </w:rPr>
        <w:t> </w:t>
      </w:r>
      <w:r>
        <w:rPr>
          <w:position w:val="1"/>
          <w:vertAlign w:val="baseline"/>
        </w:rPr>
        <w:t>particles</w:t>
      </w:r>
      <w:r>
        <w:rPr>
          <w:spacing w:val="23"/>
          <w:position w:val="1"/>
          <w:vertAlign w:val="baseline"/>
        </w:rPr>
        <w:t> </w:t>
      </w:r>
      <w:r>
        <w:rPr>
          <w:position w:val="1"/>
          <w:vertAlign w:val="baseline"/>
        </w:rPr>
        <w:t>(mg/day</w:t>
      </w:r>
      <w:r>
        <w:rPr>
          <w:spacing w:val="23"/>
          <w:position w:val="1"/>
          <w:vertAlign w:val="baseline"/>
        </w:rPr>
        <w:t> </w:t>
      </w:r>
      <w:r>
        <w:rPr>
          <w:position w:val="1"/>
          <w:vertAlign w:val="baseline"/>
        </w:rPr>
        <w:t>or </w:t>
      </w:r>
      <w:r>
        <w:rPr>
          <w:vertAlign w:val="baseline"/>
        </w:rPr>
        <w:t>L/day), PEF is the particle emission factor (m</w:t>
      </w:r>
      <w:r>
        <w:rPr>
          <w:vertAlign w:val="superscript"/>
        </w:rPr>
        <w:t>3</w:t>
      </w:r>
      <w:r>
        <w:rPr>
          <w:vertAlign w:val="baseline"/>
        </w:rPr>
        <w:t>/kg), EF is the exposure frequency (day/year),</w:t>
      </w:r>
      <w:r>
        <w:rPr>
          <w:spacing w:val="23"/>
          <w:vertAlign w:val="baseline"/>
        </w:rPr>
        <w:t> </w:t>
      </w:r>
      <w:r>
        <w:rPr>
          <w:vertAlign w:val="baseline"/>
        </w:rPr>
        <w:t>EF</w:t>
      </w:r>
      <w:r>
        <w:rPr>
          <w:spacing w:val="23"/>
          <w:vertAlign w:val="baseline"/>
        </w:rPr>
        <w:t> </w:t>
      </w:r>
      <w:r>
        <w:rPr>
          <w:vertAlign w:val="baseline"/>
        </w:rPr>
        <w:t>is</w:t>
      </w:r>
      <w:r>
        <w:rPr>
          <w:spacing w:val="23"/>
          <w:vertAlign w:val="baseline"/>
        </w:rPr>
        <w:t> </w:t>
      </w:r>
      <w:r>
        <w:rPr>
          <w:vertAlign w:val="baseline"/>
        </w:rPr>
        <w:t>the Exposure Time,</w:t>
      </w:r>
      <w:r>
        <w:rPr>
          <w:spacing w:val="23"/>
          <w:vertAlign w:val="baseline"/>
        </w:rPr>
        <w:t> </w:t>
      </w:r>
      <w:r>
        <w:rPr>
          <w:vertAlign w:val="baseline"/>
        </w:rPr>
        <w:t>KP is</w:t>
      </w:r>
      <w:r>
        <w:rPr>
          <w:spacing w:val="23"/>
          <w:vertAlign w:val="baseline"/>
        </w:rPr>
        <w:t> </w:t>
      </w:r>
      <w:r>
        <w:rPr>
          <w:vertAlign w:val="baseline"/>
        </w:rPr>
        <w:t>the Permeability</w:t>
      </w:r>
      <w:r>
        <w:rPr>
          <w:spacing w:val="23"/>
          <w:vertAlign w:val="baseline"/>
        </w:rPr>
        <w:t> </w:t>
      </w:r>
      <w:r>
        <w:rPr>
          <w:vertAlign w:val="baseline"/>
        </w:rPr>
        <w:t>Constant,</w:t>
      </w:r>
      <w:r>
        <w:rPr>
          <w:spacing w:val="23"/>
          <w:vertAlign w:val="baseline"/>
        </w:rPr>
        <w:t> </w:t>
      </w:r>
      <w:r>
        <w:rPr>
          <w:vertAlign w:val="baseline"/>
        </w:rPr>
        <w:t>ED</w:t>
      </w:r>
      <w:r>
        <w:rPr>
          <w:spacing w:val="23"/>
          <w:vertAlign w:val="baseline"/>
        </w:rPr>
        <w:t> </w:t>
      </w:r>
      <w:r>
        <w:rPr>
          <w:vertAlign w:val="baseline"/>
        </w:rPr>
        <w:t>is</w:t>
      </w:r>
      <w:r>
        <w:rPr>
          <w:spacing w:val="23"/>
          <w:vertAlign w:val="baseline"/>
        </w:rPr>
        <w:t> </w:t>
      </w:r>
      <w:r>
        <w:rPr>
          <w:vertAlign w:val="baseline"/>
        </w:rPr>
        <w:t>the lifetime exposure duration (year), BW is the body weight of the exposed individual,</w:t>
      </w:r>
      <w:r>
        <w:rPr>
          <w:spacing w:val="-9"/>
          <w:vertAlign w:val="baseline"/>
        </w:rPr>
        <w:t> </w:t>
      </w:r>
      <w:r>
        <w:rPr>
          <w:vertAlign w:val="baseline"/>
        </w:rPr>
        <w:t>AT</w:t>
      </w:r>
    </w:p>
    <w:p>
      <w:pPr>
        <w:pStyle w:val="BodyText"/>
        <w:spacing w:after="0" w:line="491" w:lineRule="auto"/>
        <w:sectPr>
          <w:pgSz w:w="12240" w:h="15840"/>
          <w:pgMar w:header="0" w:footer="1674" w:top="1460" w:bottom="1860" w:left="360" w:right="0"/>
        </w:sectPr>
      </w:pPr>
    </w:p>
    <w:p>
      <w:pPr>
        <w:pStyle w:val="BodyText"/>
        <w:spacing w:line="491" w:lineRule="auto" w:before="74"/>
        <w:ind w:left="1167" w:right="2327"/>
      </w:pPr>
      <w:r>
        <w:rPr/>
        <w:t>is the time period over which the dose is averaged (day), SA</w:t>
      </w:r>
      <w:r>
        <w:rPr>
          <w:spacing w:val="-7"/>
        </w:rPr>
        <w:t> </w:t>
      </w:r>
      <w:r>
        <w:rPr/>
        <w:t>is the exposed skin surface area (cm</w:t>
      </w:r>
      <w:r>
        <w:rPr>
          <w:vertAlign w:val="superscript"/>
        </w:rPr>
        <w:t>2</w:t>
      </w:r>
      <w:r>
        <w:rPr>
          <w:vertAlign w:val="baseline"/>
        </w:rPr>
        <w:t>), AF is the</w:t>
      </w:r>
    </w:p>
    <w:p>
      <w:pPr>
        <w:pStyle w:val="BodyText"/>
        <w:spacing w:line="487" w:lineRule="auto" w:before="82"/>
        <w:ind w:left="1167" w:right="2177" w:hanging="13"/>
      </w:pPr>
      <w:r>
        <w:rPr>
          <w:position w:val="1"/>
        </w:rPr>
        <w:t>adherence factor (mg/cm</w:t>
      </w:r>
      <w:r>
        <w:rPr>
          <w:position w:val="1"/>
          <w:vertAlign w:val="superscript"/>
        </w:rPr>
        <w:t>2</w:t>
      </w:r>
      <w:r>
        <w:rPr>
          <w:position w:val="1"/>
          <w:vertAlign w:val="baseline"/>
        </w:rPr>
        <w:t>-day), </w:t>
      </w:r>
      <w:r>
        <w:rPr>
          <w:rFonts w:ascii="Cambria Math" w:hAnsi="Cambria Math" w:eastAsia="Cambria Math"/>
          <w:position w:val="1"/>
          <w:vertAlign w:val="baseline"/>
        </w:rPr>
        <w:t>𝐴𝐷𝐼</w:t>
      </w:r>
      <w:r>
        <w:rPr>
          <w:rFonts w:ascii="Cambria Math" w:hAnsi="Cambria Math" w:eastAsia="Cambria Math"/>
          <w:sz w:val="17"/>
          <w:vertAlign w:val="baseline"/>
        </w:rPr>
        <w:t>𝑖𝑛𝑔𝑒𝑠𝑡𝑖𝑜𝑛</w:t>
      </w:r>
      <w:r>
        <w:rPr>
          <w:rFonts w:ascii="Cambria Math" w:hAnsi="Cambria Math" w:eastAsia="Cambria Math"/>
          <w:position w:val="1"/>
          <w:vertAlign w:val="baseline"/>
        </w:rPr>
        <w:t>, 𝐴𝐷𝐼</w:t>
      </w:r>
      <w:r>
        <w:rPr>
          <w:rFonts w:ascii="Cambria Math" w:hAnsi="Cambria Math" w:eastAsia="Cambria Math"/>
          <w:sz w:val="17"/>
          <w:vertAlign w:val="baseline"/>
        </w:rPr>
        <w:t>𝑖𝑛</w:t>
      </w:r>
      <w:r>
        <w:rPr>
          <w:rFonts w:ascii="Cambria Math" w:hAnsi="Cambria Math" w:eastAsia="Cambria Math"/>
          <w:position w:val="1"/>
          <w:sz w:val="18"/>
          <w:vertAlign w:val="baseline"/>
        </w:rPr>
        <w:t>ℎ𝑎𝑙𝑎𝑡𝑖𝑜𝑛</w:t>
      </w:r>
      <w:r>
        <w:rPr>
          <w:rFonts w:ascii="Cambria Math" w:hAnsi="Cambria Math" w:eastAsia="Cambria Math"/>
          <w:position w:val="1"/>
          <w:vertAlign w:val="baseline"/>
        </w:rPr>
        <w:t>, 𝐴𝐷𝐼</w:t>
      </w:r>
      <w:r>
        <w:rPr>
          <w:rFonts w:ascii="Cambria Math" w:hAnsi="Cambria Math" w:eastAsia="Cambria Math"/>
          <w:sz w:val="17"/>
          <w:vertAlign w:val="baseline"/>
        </w:rPr>
        <w:t>𝑑𝑒𝑟𝑚𝑎𝑙</w:t>
      </w:r>
      <w:r>
        <w:rPr>
          <w:rFonts w:ascii="Cambria Math" w:hAnsi="Cambria Math" w:eastAsia="Cambria Math"/>
          <w:spacing w:val="27"/>
          <w:sz w:val="17"/>
          <w:vertAlign w:val="baseline"/>
        </w:rPr>
        <w:t> </w:t>
      </w:r>
      <w:r>
        <w:rPr>
          <w:position w:val="1"/>
          <w:vertAlign w:val="baseline"/>
        </w:rPr>
        <w:t>are the average </w:t>
      </w:r>
      <w:r>
        <w:rPr>
          <w:vertAlign w:val="baseline"/>
        </w:rPr>
        <w:t>daily intake due to ingestion, inhalation, and dermal respectively (mg/kg-day), and ABF is the dermal absorption factor (unitless).</w:t>
      </w:r>
    </w:p>
    <w:p>
      <w:pPr>
        <w:pStyle w:val="BodyText"/>
        <w:spacing w:line="491" w:lineRule="auto" w:before="172"/>
        <w:ind w:left="1167" w:right="2327" w:hanging="13"/>
      </w:pPr>
      <w:r>
        <w:rPr/>
        <w:t>The non-carcinogenic risk value, represented by Target Hazard Quotient (HQ) is calculated as the ratio of daily intake (CDI) to the reference dose (RfD), was determined for each heavy metal using Equations 2.</w:t>
      </w:r>
    </w:p>
    <w:p>
      <w:pPr>
        <w:spacing w:before="149"/>
        <w:ind w:left="2692" w:right="0" w:firstLine="0"/>
        <w:jc w:val="left"/>
        <w:rPr>
          <w:rFonts w:ascii="Cambria Math" w:eastAsia="Cambria Math"/>
          <w:position w:val="5"/>
          <w:sz w:val="14"/>
        </w:rPr>
      </w:pPr>
      <w:r>
        <w:rPr>
          <w:rFonts w:ascii="Cambria Math" w:eastAsia="Cambria Math"/>
          <w:spacing w:val="-4"/>
          <w:sz w:val="18"/>
        </w:rPr>
        <w:t>𝐶𝐷𝐼</w:t>
      </w:r>
      <w:r>
        <w:rPr>
          <w:rFonts w:ascii="Cambria Math" w:eastAsia="Cambria Math"/>
          <w:spacing w:val="-4"/>
          <w:position w:val="5"/>
          <w:sz w:val="14"/>
        </w:rPr>
        <w:t>𝑖</w:t>
      </w:r>
    </w:p>
    <w:p>
      <w:pPr>
        <w:tabs>
          <w:tab w:pos="3115" w:val="left" w:leader="none"/>
          <w:tab w:pos="6534" w:val="left" w:leader="none"/>
        </w:tabs>
        <w:spacing w:before="41"/>
        <w:ind w:left="1675" w:right="0" w:firstLine="0"/>
        <w:jc w:val="left"/>
        <w:rPr>
          <w:position w:val="1"/>
          <w:sz w:val="25"/>
        </w:rPr>
      </w:pPr>
      <w:r>
        <w:rPr>
          <w:position w:val="1"/>
          <w:sz w:val="25"/>
        </w:rPr>
        <mc:AlternateContent>
          <mc:Choice Requires="wps">
            <w:drawing>
              <wp:anchor distT="0" distB="0" distL="0" distR="0" allowOverlap="1" layoutInCell="1" locked="0" behindDoc="1" simplePos="0" relativeHeight="485975040">
                <wp:simplePos x="0" y="0"/>
                <wp:positionH relativeFrom="page">
                  <wp:posOffset>1937702</wp:posOffset>
                </wp:positionH>
                <wp:positionV relativeFrom="paragraph">
                  <wp:posOffset>168432</wp:posOffset>
                </wp:positionV>
                <wp:extent cx="269875" cy="10160"/>
                <wp:effectExtent l="0" t="0" r="0" b="0"/>
                <wp:wrapNone/>
                <wp:docPr id="13" name="Graphic 13"/>
                <wp:cNvGraphicFramePr>
                  <a:graphicFrameLocks/>
                </wp:cNvGraphicFramePr>
                <a:graphic>
                  <a:graphicData uri="http://schemas.microsoft.com/office/word/2010/wordprocessingShape">
                    <wps:wsp>
                      <wps:cNvPr id="13" name="Graphic 13"/>
                      <wps:cNvSpPr/>
                      <wps:spPr>
                        <a:xfrm>
                          <a:off x="0" y="0"/>
                          <a:ext cx="269875" cy="10160"/>
                        </a:xfrm>
                        <a:custGeom>
                          <a:avLst/>
                          <a:gdLst/>
                          <a:ahLst/>
                          <a:cxnLst/>
                          <a:rect l="l" t="t" r="r" b="b"/>
                          <a:pathLst>
                            <a:path w="269875" h="10160">
                              <a:moveTo>
                                <a:pt x="269875" y="0"/>
                              </a:moveTo>
                              <a:lnTo>
                                <a:pt x="0" y="0"/>
                              </a:lnTo>
                              <a:lnTo>
                                <a:pt x="0" y="9715"/>
                              </a:lnTo>
                              <a:lnTo>
                                <a:pt x="269875" y="9715"/>
                              </a:lnTo>
                              <a:lnTo>
                                <a:pt x="2698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52.574997pt;margin-top:13.262363pt;width:21.25pt;height:.765pt;mso-position-horizontal-relative:page;mso-position-vertical-relative:paragraph;z-index:-17341440" id="docshape11" filled="true" fillcolor="#000000" stroked="false">
                <v:fill type="solid"/>
                <w10:wrap type="none"/>
              </v:rect>
            </w:pict>
          </mc:Fallback>
        </mc:AlternateContent>
      </w:r>
      <w:r>
        <w:rPr>
          <w:rFonts w:ascii="Cambria Math" w:eastAsia="Cambria Math"/>
          <w:position w:val="1"/>
          <w:sz w:val="25"/>
        </w:rPr>
        <w:t>𝐻𝑄</w:t>
      </w:r>
      <w:r>
        <w:rPr>
          <w:rFonts w:ascii="Cambria Math" w:eastAsia="Cambria Math"/>
          <w:sz w:val="17"/>
        </w:rPr>
        <w:t>𝑖</w:t>
      </w:r>
      <w:r>
        <w:rPr>
          <w:rFonts w:ascii="Cambria Math" w:eastAsia="Cambria Math"/>
          <w:spacing w:val="4"/>
          <w:sz w:val="17"/>
        </w:rPr>
        <w:t> </w:t>
      </w:r>
      <w:r>
        <w:rPr>
          <w:rFonts w:ascii="Cambria Math" w:eastAsia="Cambria Math"/>
          <w:position w:val="1"/>
          <w:sz w:val="25"/>
        </w:rPr>
        <w:t>=</w:t>
      </w:r>
      <w:r>
        <w:rPr>
          <w:rFonts w:ascii="Cambria Math" w:eastAsia="Cambria Math"/>
          <w:spacing w:val="7"/>
          <w:position w:val="1"/>
          <w:sz w:val="25"/>
        </w:rPr>
        <w:t> </w:t>
      </w:r>
      <w:r>
        <w:rPr>
          <w:rFonts w:ascii="Cambria Math" w:eastAsia="Cambria Math"/>
          <w:spacing w:val="-5"/>
          <w:sz w:val="17"/>
        </w:rPr>
        <w:t>𝑅𝑓𝐷</w:t>
      </w:r>
      <w:r>
        <w:rPr>
          <w:rFonts w:ascii="Cambria Math" w:eastAsia="Cambria Math"/>
          <w:sz w:val="17"/>
        </w:rPr>
        <w:tab/>
      </w:r>
      <w:r>
        <w:rPr>
          <w:rFonts w:ascii="Cambria Math" w:eastAsia="Cambria Math"/>
          <w:spacing w:val="-10"/>
          <w:position w:val="1"/>
          <w:sz w:val="14"/>
        </w:rPr>
        <w:t>𝑖</w:t>
      </w:r>
      <w:r>
        <w:rPr>
          <w:rFonts w:ascii="Cambria Math" w:eastAsia="Cambria Math"/>
          <w:position w:val="1"/>
          <w:sz w:val="14"/>
        </w:rPr>
        <w:tab/>
      </w:r>
      <w:r>
        <w:rPr>
          <w:spacing w:val="-5"/>
          <w:position w:val="1"/>
          <w:sz w:val="25"/>
        </w:rPr>
        <w:t>(2)</w:t>
      </w:r>
    </w:p>
    <w:p>
      <w:pPr>
        <w:pStyle w:val="BodyText"/>
        <w:rPr>
          <w:sz w:val="17"/>
        </w:rPr>
      </w:pPr>
    </w:p>
    <w:p>
      <w:pPr>
        <w:pStyle w:val="BodyText"/>
        <w:rPr>
          <w:sz w:val="17"/>
        </w:rPr>
      </w:pPr>
    </w:p>
    <w:p>
      <w:pPr>
        <w:pStyle w:val="BodyText"/>
        <w:spacing w:before="97"/>
        <w:rPr>
          <w:sz w:val="17"/>
        </w:rPr>
      </w:pPr>
    </w:p>
    <w:p>
      <w:pPr>
        <w:pStyle w:val="BodyText"/>
        <w:spacing w:line="491" w:lineRule="auto"/>
        <w:ind w:left="1167" w:right="1819" w:hanging="13"/>
      </w:pPr>
      <w:r>
        <w:rPr/>
        <w:t>CDI represents the average daily intake of a specific toxic element i, and RfD is the chronic reference dose for the same element measured in (mg/kg-day) (Muhammadi, 2020; USEPA, 2001). If the Hazard Quotient (HQ &gt; 1) exceeds 1, there is a high probability of adverse health effects for the exposed inhabitants i.e. the existence of carcinogenic is believed to occur. Conversely, if (HQ &lt; 1) is less than unity, there is no probability of adverse health effects, hence it is the accepted as there is no carcinogenic </w:t>
      </w:r>
      <w:r>
        <w:rPr>
          <w:position w:val="1"/>
        </w:rPr>
        <w:t>risk (Jaffar </w:t>
      </w:r>
      <w:r>
        <w:rPr>
          <w:i/>
          <w:position w:val="1"/>
        </w:rPr>
        <w:t>et al., </w:t>
      </w:r>
      <w:r>
        <w:rPr>
          <w:position w:val="1"/>
        </w:rPr>
        <w:t>2017; Mohammadi </w:t>
      </w:r>
      <w:r>
        <w:rPr>
          <w:i/>
          <w:position w:val="1"/>
        </w:rPr>
        <w:t>et al., </w:t>
      </w:r>
      <w:r>
        <w:rPr>
          <w:position w:val="1"/>
        </w:rPr>
        <w:t>2019; Ogarekpe </w:t>
      </w:r>
      <w:r>
        <w:rPr>
          <w:i/>
          <w:position w:val="1"/>
        </w:rPr>
        <w:t>et al., </w:t>
      </w:r>
      <w:r>
        <w:rPr>
          <w:position w:val="1"/>
        </w:rPr>
        <w:t>2023). </w:t>
      </w:r>
      <w:r>
        <w:rPr>
          <w:rFonts w:ascii="Cambria Math" w:eastAsia="Cambria Math"/>
          <w:position w:val="1"/>
        </w:rPr>
        <w:t>𝐴𝐷𝐼</w:t>
      </w:r>
      <w:r>
        <w:rPr>
          <w:rFonts w:ascii="Cambria Math" w:eastAsia="Cambria Math"/>
          <w:sz w:val="17"/>
        </w:rPr>
        <w:t>𝑑𝑒𝑟𝑚𝑎𝑙</w:t>
      </w:r>
      <w:r>
        <w:rPr>
          <w:rFonts w:ascii="Cambria Math" w:eastAsia="Cambria Math"/>
          <w:spacing w:val="27"/>
          <w:sz w:val="17"/>
        </w:rPr>
        <w:t> </w:t>
      </w:r>
      <w:r>
        <w:rPr>
          <w:position w:val="1"/>
        </w:rPr>
        <w:t>are </w:t>
      </w:r>
      <w:r>
        <w:rPr/>
        <w:t>the average daily intake due to ingestion, inhalation, and dermal respectively (mg/kgday), and ABF is the dermal absorption factor (unitless).</w:t>
      </w:r>
    </w:p>
    <w:p>
      <w:pPr>
        <w:pStyle w:val="BodyText"/>
        <w:spacing w:after="0" w:line="491" w:lineRule="auto"/>
        <w:sectPr>
          <w:footerReference w:type="default" r:id="rId17"/>
          <w:pgSz w:w="12240" w:h="15840"/>
          <w:pgMar w:header="0" w:footer="1674" w:top="1460" w:bottom="1860" w:left="360" w:right="0"/>
        </w:sectPr>
      </w:pPr>
    </w:p>
    <w:p>
      <w:pPr>
        <w:pStyle w:val="BodyText"/>
        <w:spacing w:line="491" w:lineRule="auto" w:before="74"/>
        <w:ind w:left="1167" w:right="1788" w:hanging="13"/>
      </w:pPr>
      <w:r>
        <w:rPr/>
        <w:t>Results of the doses obtained for each element and pathway were further divided by the toxicity threshold value also known as the reference dose (RfD, mg/kg-day) to obtain a non-carcinogenic hazard quotient (HQ) as shown in Eq. (4). Meanwhile, the</w:t>
      </w:r>
      <w:r>
        <w:rPr>
          <w:spacing w:val="40"/>
        </w:rPr>
        <w:t> </w:t>
      </w:r>
      <w:r>
        <w:rPr/>
        <w:t>carcinogenic risk, which is used to access the probability of an individual developing</w:t>
      </w:r>
      <w:r>
        <w:rPr>
          <w:spacing w:val="40"/>
        </w:rPr>
        <w:t> </w:t>
      </w:r>
      <w:r>
        <w:rPr/>
        <w:t>any type of cancer due to exposure to cancer-causing agents during a lifetime (Li </w:t>
      </w:r>
      <w:r>
        <w:rPr>
          <w:i/>
        </w:rPr>
        <w:t>et al., </w:t>
      </w:r>
      <w:r>
        <w:rPr/>
        <w:t>2014), was evaluated by multiplying the doses in each pathway by the corresponding slope factor (SF, per mg/kg-day) as in Eq. (4). The hazard index approach was then employed to calculate the overall potential for non-carcinogenic effects by all exposure pathways as in Eq. 3</w:t>
      </w:r>
    </w:p>
    <w:p>
      <w:pPr>
        <w:spacing w:before="173"/>
        <w:ind w:left="0" w:right="4219" w:firstLine="0"/>
        <w:jc w:val="center"/>
        <w:rPr>
          <w:rFonts w:ascii="Cambria Math" w:eastAsia="Cambria Math"/>
          <w:sz w:val="17"/>
        </w:rPr>
      </w:pPr>
      <w:r>
        <w:rPr>
          <w:rFonts w:ascii="Cambria Math" w:eastAsia="Cambria Math"/>
          <w:spacing w:val="-4"/>
          <w:position w:val="1"/>
          <w:sz w:val="25"/>
        </w:rPr>
        <w:t>𝐴𝐷𝐼</w:t>
      </w:r>
      <w:r>
        <w:rPr>
          <w:rFonts w:ascii="Cambria Math" w:eastAsia="Cambria Math"/>
          <w:spacing w:val="-4"/>
          <w:sz w:val="17"/>
        </w:rPr>
        <w:t>𝑖</w:t>
      </w:r>
    </w:p>
    <w:p>
      <w:pPr>
        <w:tabs>
          <w:tab w:pos="1296" w:val="left" w:leader="none"/>
          <w:tab w:pos="5503" w:val="left" w:leader="none"/>
        </w:tabs>
        <w:spacing w:before="36"/>
        <w:ind w:left="0" w:right="556" w:firstLine="0"/>
        <w:jc w:val="center"/>
        <w:rPr>
          <w:rFonts w:ascii="Cambria Math" w:eastAsia="Cambria Math"/>
          <w:position w:val="1"/>
          <w:sz w:val="25"/>
        </w:rPr>
      </w:pPr>
      <w:r>
        <w:rPr>
          <w:rFonts w:ascii="Cambria Math" w:eastAsia="Cambria Math"/>
          <w:position w:val="1"/>
          <w:sz w:val="25"/>
        </w:rPr>
        <w:t>𝐻𝑄</w:t>
      </w:r>
      <w:r>
        <w:rPr>
          <w:rFonts w:ascii="Cambria Math" w:eastAsia="Cambria Math"/>
          <w:sz w:val="17"/>
        </w:rPr>
        <w:t>𝑖 </w:t>
      </w:r>
      <w:r>
        <w:rPr>
          <w:rFonts w:ascii="Cambria Math" w:eastAsia="Cambria Math"/>
          <w:position w:val="1"/>
          <w:sz w:val="25"/>
        </w:rPr>
        <w:t>= </w:t>
      </w:r>
      <w:r>
        <w:rPr>
          <w:position w:val="1"/>
          <w:sz w:val="25"/>
          <w:u w:val="single"/>
        </w:rPr>
        <w:tab/>
      </w:r>
      <w:r>
        <w:rPr>
          <w:position w:val="1"/>
          <w:sz w:val="25"/>
        </w:rPr>
        <w:tab/>
      </w:r>
      <w:r>
        <w:rPr>
          <w:rFonts w:ascii="Cambria Math" w:eastAsia="Cambria Math"/>
          <w:spacing w:val="-5"/>
          <w:position w:val="1"/>
          <w:sz w:val="25"/>
        </w:rPr>
        <w:t>(3)</w:t>
      </w:r>
    </w:p>
    <w:p>
      <w:pPr>
        <w:spacing w:before="38"/>
        <w:ind w:left="0" w:right="4224" w:firstLine="0"/>
        <w:jc w:val="center"/>
        <w:rPr>
          <w:rFonts w:ascii="Cambria Math" w:eastAsia="Cambria Math"/>
          <w:sz w:val="17"/>
        </w:rPr>
      </w:pPr>
      <w:r>
        <w:rPr>
          <w:rFonts w:ascii="Cambria Math" w:eastAsia="Cambria Math"/>
          <w:spacing w:val="-4"/>
          <w:position w:val="1"/>
          <w:sz w:val="25"/>
        </w:rPr>
        <w:t>𝑅𝑓𝐷</w:t>
      </w:r>
      <w:r>
        <w:rPr>
          <w:rFonts w:ascii="Cambria Math" w:eastAsia="Cambria Math"/>
          <w:spacing w:val="-4"/>
          <w:sz w:val="17"/>
        </w:rPr>
        <w:t>𝑖</w:t>
      </w:r>
    </w:p>
    <w:p>
      <w:pPr>
        <w:pStyle w:val="BodyText"/>
        <w:spacing w:before="204"/>
        <w:rPr>
          <w:rFonts w:ascii="Cambria Math"/>
        </w:rPr>
      </w:pPr>
    </w:p>
    <w:p>
      <w:pPr>
        <w:pStyle w:val="BodyText"/>
        <w:tabs>
          <w:tab w:pos="5572" w:val="left" w:leader="none"/>
        </w:tabs>
        <w:spacing w:before="1"/>
        <w:ind w:right="439"/>
        <w:jc w:val="center"/>
        <w:rPr>
          <w:rFonts w:ascii="Cambria Math" w:hAnsi="Cambria Math" w:eastAsia="Cambria Math"/>
          <w:position w:val="1"/>
        </w:rPr>
      </w:pPr>
      <w:r>
        <w:rPr>
          <w:rFonts w:ascii="Cambria Math" w:hAnsi="Cambria Math" w:eastAsia="Cambria Math"/>
          <w:position w:val="1"/>
        </w:rPr>
        <w:t>𝐶𝑎𝑟𝑐𝑖𝑛𝑜𝑔𝑒𝑛𝑖𝑐</w:t>
      </w:r>
      <w:r>
        <w:rPr>
          <w:rFonts w:ascii="Cambria Math" w:hAnsi="Cambria Math" w:eastAsia="Cambria Math"/>
          <w:spacing w:val="14"/>
          <w:position w:val="1"/>
        </w:rPr>
        <w:t> </w:t>
      </w:r>
      <w:r>
        <w:rPr>
          <w:rFonts w:ascii="Cambria Math" w:hAnsi="Cambria Math" w:eastAsia="Cambria Math"/>
          <w:position w:val="1"/>
        </w:rPr>
        <w:t>𝑅𝑖𝑠𝑘</w:t>
      </w:r>
      <w:r>
        <w:rPr>
          <w:rFonts w:ascii="Cambria Math" w:hAnsi="Cambria Math" w:eastAsia="Cambria Math"/>
          <w:spacing w:val="11"/>
          <w:position w:val="1"/>
        </w:rPr>
        <w:t> </w:t>
      </w:r>
      <w:r>
        <w:rPr>
          <w:rFonts w:ascii="Cambria Math" w:hAnsi="Cambria Math" w:eastAsia="Cambria Math"/>
          <w:position w:val="1"/>
        </w:rPr>
        <w:t>=</w:t>
      </w:r>
      <w:r>
        <w:rPr>
          <w:rFonts w:ascii="Cambria Math" w:hAnsi="Cambria Math" w:eastAsia="Cambria Math"/>
          <w:spacing w:val="10"/>
          <w:position w:val="1"/>
        </w:rPr>
        <w:t> </w:t>
      </w:r>
      <w:r>
        <w:rPr>
          <w:rFonts w:ascii="Cambria Math" w:hAnsi="Cambria Math" w:eastAsia="Cambria Math"/>
          <w:position w:val="1"/>
        </w:rPr>
        <w:t>𝐴𝐷𝐼</w:t>
      </w:r>
      <w:r>
        <w:rPr>
          <w:rFonts w:ascii="Cambria Math" w:hAnsi="Cambria Math" w:eastAsia="Cambria Math"/>
          <w:sz w:val="17"/>
        </w:rPr>
        <w:t>𝑖</w:t>
      </w:r>
      <w:r>
        <w:rPr>
          <w:rFonts w:ascii="Cambria Math" w:hAnsi="Cambria Math" w:eastAsia="Cambria Math"/>
          <w:spacing w:val="7"/>
          <w:sz w:val="17"/>
        </w:rPr>
        <w:t> </w:t>
      </w:r>
      <w:r>
        <w:rPr>
          <w:rFonts w:ascii="Cambria Math" w:hAnsi="Cambria Math" w:eastAsia="Cambria Math"/>
          <w:position w:val="1"/>
        </w:rPr>
        <w:t>×</w:t>
      </w:r>
      <w:r>
        <w:rPr>
          <w:rFonts w:ascii="Cambria Math" w:hAnsi="Cambria Math" w:eastAsia="Cambria Math"/>
          <w:spacing w:val="10"/>
          <w:position w:val="1"/>
        </w:rPr>
        <w:t> </w:t>
      </w:r>
      <w:r>
        <w:rPr>
          <w:rFonts w:ascii="Cambria Math" w:hAnsi="Cambria Math" w:eastAsia="Cambria Math"/>
          <w:spacing w:val="-5"/>
          <w:position w:val="1"/>
        </w:rPr>
        <w:t>𝑆𝐹</w:t>
      </w:r>
      <w:r>
        <w:rPr>
          <w:rFonts w:ascii="Cambria Math" w:hAnsi="Cambria Math" w:eastAsia="Cambria Math"/>
          <w:spacing w:val="-5"/>
          <w:sz w:val="17"/>
        </w:rPr>
        <w:t>𝑖</w:t>
      </w:r>
      <w:r>
        <w:rPr>
          <w:rFonts w:ascii="Cambria Math" w:hAnsi="Cambria Math" w:eastAsia="Cambria Math"/>
          <w:sz w:val="17"/>
        </w:rPr>
        <w:tab/>
      </w:r>
      <w:r>
        <w:rPr>
          <w:rFonts w:ascii="Cambria Math" w:hAnsi="Cambria Math" w:eastAsia="Cambria Math"/>
          <w:spacing w:val="-5"/>
          <w:position w:val="1"/>
        </w:rPr>
        <w:t>(4)</w:t>
      </w:r>
    </w:p>
    <w:p>
      <w:pPr>
        <w:pStyle w:val="BodyText"/>
        <w:rPr>
          <w:rFonts w:ascii="Cambria Math"/>
        </w:rPr>
      </w:pPr>
    </w:p>
    <w:p>
      <w:pPr>
        <w:pStyle w:val="BodyText"/>
        <w:spacing w:before="59"/>
        <w:rPr>
          <w:rFonts w:ascii="Cambria Math"/>
        </w:rPr>
      </w:pPr>
    </w:p>
    <w:p>
      <w:pPr>
        <w:spacing w:before="0"/>
        <w:ind w:left="0" w:right="806" w:firstLine="0"/>
        <w:jc w:val="center"/>
        <w:rPr>
          <w:rFonts w:ascii="Cambria Math" w:hAnsi="Cambria Math" w:eastAsia="Cambria Math"/>
          <w:sz w:val="17"/>
        </w:rPr>
      </w:pPr>
      <w:r>
        <w:rPr>
          <w:rFonts w:ascii="Cambria Math" w:hAnsi="Cambria Math" w:eastAsia="Cambria Math"/>
          <w:position w:val="1"/>
          <w:sz w:val="25"/>
        </w:rPr>
        <w:t>𝐻𝐼</w:t>
      </w:r>
      <w:r>
        <w:rPr>
          <w:rFonts w:ascii="Cambria Math" w:hAnsi="Cambria Math" w:eastAsia="Cambria Math"/>
          <w:spacing w:val="5"/>
          <w:position w:val="1"/>
          <w:sz w:val="25"/>
        </w:rPr>
        <w:t> </w:t>
      </w:r>
      <w:r>
        <w:rPr>
          <w:rFonts w:ascii="Cambria Math" w:hAnsi="Cambria Math" w:eastAsia="Cambria Math"/>
          <w:position w:val="1"/>
          <w:sz w:val="25"/>
        </w:rPr>
        <w:t>=</w:t>
      </w:r>
      <w:r>
        <w:rPr>
          <w:rFonts w:ascii="Cambria Math" w:hAnsi="Cambria Math" w:eastAsia="Cambria Math"/>
          <w:spacing w:val="5"/>
          <w:position w:val="1"/>
          <w:sz w:val="25"/>
        </w:rPr>
        <w:t> </w:t>
      </w:r>
      <w:r>
        <w:rPr>
          <w:rFonts w:ascii="Cambria Math" w:hAnsi="Cambria Math" w:eastAsia="Cambria Math"/>
          <w:position w:val="1"/>
          <w:sz w:val="25"/>
        </w:rPr>
        <w:t>∑</w:t>
      </w:r>
      <w:r>
        <w:rPr>
          <w:rFonts w:ascii="Cambria Math" w:hAnsi="Cambria Math" w:eastAsia="Cambria Math"/>
          <w:spacing w:val="5"/>
          <w:position w:val="1"/>
          <w:sz w:val="25"/>
        </w:rPr>
        <w:t> </w:t>
      </w:r>
      <w:r>
        <w:rPr>
          <w:rFonts w:ascii="Cambria Math" w:hAnsi="Cambria Math" w:eastAsia="Cambria Math"/>
          <w:spacing w:val="-5"/>
          <w:position w:val="1"/>
          <w:sz w:val="25"/>
        </w:rPr>
        <w:t>𝐻𝑄</w:t>
      </w:r>
      <w:r>
        <w:rPr>
          <w:rFonts w:ascii="Cambria Math" w:hAnsi="Cambria Math" w:eastAsia="Cambria Math"/>
          <w:spacing w:val="-5"/>
          <w:sz w:val="17"/>
        </w:rPr>
        <w:t>𝑖</w:t>
      </w:r>
    </w:p>
    <w:p>
      <w:pPr>
        <w:pStyle w:val="BodyText"/>
        <w:rPr>
          <w:rFonts w:ascii="Cambria Math"/>
        </w:rPr>
      </w:pPr>
    </w:p>
    <w:p>
      <w:pPr>
        <w:pStyle w:val="BodyText"/>
        <w:spacing w:before="19"/>
        <w:rPr>
          <w:rFonts w:ascii="Cambria Math"/>
        </w:rPr>
      </w:pPr>
    </w:p>
    <w:p>
      <w:pPr>
        <w:pStyle w:val="BodyText"/>
        <w:spacing w:line="494" w:lineRule="auto"/>
        <w:ind w:left="1167" w:right="1835" w:hanging="13"/>
        <w:jc w:val="both"/>
      </w:pPr>
      <w:r>
        <w:rPr/>
        <w:t>The acceptable value of HI is ≤ 1.0. For HI ≥ 1.0, the non-carcinogenic risk is probable and the risk increases with an increase in HI. However, carcinogenic risk values fall in the range of </w:t>
      </w:r>
      <w:r>
        <w:rPr>
          <w:rFonts w:ascii="Cambria Math" w:hAnsi="Cambria Math"/>
        </w:rPr>
        <w:t>1 × 10</w:t>
      </w:r>
      <w:r>
        <w:rPr>
          <w:rFonts w:ascii="Cambria Math" w:hAnsi="Cambria Math"/>
          <w:position w:val="6"/>
          <w:sz w:val="17"/>
        </w:rPr>
        <w:t>−4</w:t>
      </w:r>
      <w:r>
        <w:rPr>
          <w:rFonts w:ascii="Cambria Math" w:hAnsi="Cambria Math"/>
          <w:spacing w:val="40"/>
          <w:position w:val="6"/>
          <w:sz w:val="17"/>
        </w:rPr>
        <w:t> </w:t>
      </w:r>
      <w:r>
        <w:rPr/>
        <w:t>and </w:t>
      </w:r>
      <w:r>
        <w:rPr>
          <w:rFonts w:ascii="Cambria Math" w:hAnsi="Cambria Math"/>
        </w:rPr>
        <w:t>1 × 10</w:t>
      </w:r>
      <w:r>
        <w:rPr>
          <w:rFonts w:ascii="Cambria Math" w:hAnsi="Cambria Math"/>
          <w:position w:val="6"/>
          <w:sz w:val="17"/>
        </w:rPr>
        <w:t>−6</w:t>
      </w:r>
      <w:r>
        <w:rPr/>
        <w:t>. In which values greater than </w:t>
      </w:r>
      <w:r>
        <w:rPr>
          <w:rFonts w:ascii="Cambria Math" w:hAnsi="Cambria Math"/>
        </w:rPr>
        <w:t>1 × 10</w:t>
      </w:r>
      <w:r>
        <w:rPr>
          <w:rFonts w:ascii="Cambria Math" w:hAnsi="Cambria Math"/>
          <w:position w:val="6"/>
          <w:sz w:val="17"/>
        </w:rPr>
        <w:t>−4</w:t>
      </w:r>
      <w:r>
        <w:rPr>
          <w:rFonts w:ascii="Cambria Math" w:hAnsi="Cambria Math"/>
          <w:spacing w:val="40"/>
          <w:position w:val="6"/>
          <w:sz w:val="17"/>
        </w:rPr>
        <w:t> </w:t>
      </w:r>
      <w:r>
        <w:rPr/>
        <w:t>are terms</w:t>
      </w:r>
    </w:p>
    <w:p>
      <w:pPr>
        <w:pStyle w:val="BodyText"/>
        <w:spacing w:line="494" w:lineRule="auto" w:before="70"/>
        <w:ind w:left="1167" w:right="1775" w:hanging="13"/>
        <w:jc w:val="both"/>
      </w:pPr>
      <w:r>
        <w:rPr/>
        <w:t>“unacceptable” and values less than </w:t>
      </w:r>
      <w:r>
        <w:rPr>
          <w:rFonts w:ascii="Cambria Math" w:hAnsi="Cambria Math"/>
        </w:rPr>
        <w:t>1 × 10</w:t>
      </w:r>
      <w:r>
        <w:rPr>
          <w:rFonts w:ascii="Cambria Math" w:hAnsi="Cambria Math"/>
          <w:position w:val="6"/>
          <w:sz w:val="17"/>
        </w:rPr>
        <w:t>−6</w:t>
      </w:r>
      <w:r>
        <w:rPr>
          <w:rFonts w:ascii="Cambria Math" w:hAnsi="Cambria Math"/>
          <w:spacing w:val="33"/>
          <w:position w:val="6"/>
          <w:sz w:val="17"/>
        </w:rPr>
        <w:t> </w:t>
      </w:r>
      <w:r>
        <w:rPr/>
        <w:t>are considered not to pose any significant cancer risk.</w:t>
      </w:r>
    </w:p>
    <w:p>
      <w:pPr>
        <w:pStyle w:val="BodyText"/>
        <w:spacing w:after="0" w:line="494" w:lineRule="auto"/>
        <w:jc w:val="both"/>
        <w:sectPr>
          <w:footerReference w:type="default" r:id="rId18"/>
          <w:pgSz w:w="12240" w:h="15840"/>
          <w:pgMar w:header="0" w:footer="1674" w:top="1460" w:bottom="1860" w:left="360" w:right="0"/>
          <w:pgNumType w:start="1"/>
        </w:sectPr>
      </w:pPr>
    </w:p>
    <w:p>
      <w:pPr>
        <w:pStyle w:val="Heading1"/>
        <w:numPr>
          <w:ilvl w:val="2"/>
          <w:numId w:val="7"/>
        </w:numPr>
        <w:tabs>
          <w:tab w:pos="1932" w:val="left" w:leader="none"/>
        </w:tabs>
        <w:spacing w:line="240" w:lineRule="auto" w:before="74" w:after="0"/>
        <w:ind w:left="1932" w:right="0" w:hanging="930"/>
        <w:jc w:val="left"/>
      </w:pPr>
      <w:r>
        <w:rPr/>
        <w:t>THE</w:t>
      </w:r>
      <w:r>
        <w:rPr>
          <w:spacing w:val="22"/>
        </w:rPr>
        <w:t> </w:t>
      </w:r>
      <w:r>
        <w:rPr/>
        <w:t>CARCINOGENIC</w:t>
      </w:r>
      <w:r>
        <w:rPr>
          <w:spacing w:val="20"/>
        </w:rPr>
        <w:t> </w:t>
      </w:r>
      <w:r>
        <w:rPr/>
        <w:t>RISK</w:t>
      </w:r>
      <w:r>
        <w:rPr>
          <w:spacing w:val="3"/>
        </w:rPr>
        <w:t> </w:t>
      </w:r>
      <w:r>
        <w:rPr>
          <w:spacing w:val="-2"/>
        </w:rPr>
        <w:t>ASSESSMENT</w:t>
      </w:r>
    </w:p>
    <w:p>
      <w:pPr>
        <w:pStyle w:val="BodyText"/>
        <w:spacing w:before="182"/>
        <w:rPr>
          <w:b/>
        </w:rPr>
      </w:pPr>
    </w:p>
    <w:p>
      <w:pPr>
        <w:pStyle w:val="BodyText"/>
        <w:spacing w:line="491" w:lineRule="auto"/>
        <w:ind w:left="1167" w:right="1781" w:hanging="13"/>
        <w:jc w:val="both"/>
      </w:pPr>
      <w:r>
        <w:rPr/>
        <w:t>Carcinogenic risk represents the chance or probability of developing cancer throughout an individual's lifetime due to exposure to carcinogenic hazards. To assess carcinogenic risk, Equation 5 was used:</w:t>
      </w:r>
    </w:p>
    <w:p>
      <w:pPr>
        <w:pStyle w:val="BodyText"/>
        <w:tabs>
          <w:tab w:pos="4925" w:val="left" w:leader="none"/>
        </w:tabs>
        <w:spacing w:before="207"/>
        <w:ind w:right="421"/>
        <w:jc w:val="center"/>
        <w:rPr>
          <w:rFonts w:ascii="Cambria Math" w:hAnsi="Cambria Math" w:eastAsia="Cambria Math"/>
          <w:position w:val="1"/>
        </w:rPr>
      </w:pPr>
      <w:r>
        <w:rPr>
          <w:rFonts w:ascii="Cambria Math" w:hAnsi="Cambria Math" w:eastAsia="Cambria Math"/>
          <w:position w:val="1"/>
        </w:rPr>
        <w:t>𝐼𝐿𝐶𝑅</w:t>
      </w:r>
      <w:r>
        <w:rPr>
          <w:rFonts w:ascii="Cambria Math" w:hAnsi="Cambria Math" w:eastAsia="Cambria Math"/>
          <w:spacing w:val="8"/>
          <w:position w:val="1"/>
        </w:rPr>
        <w:t> </w:t>
      </w:r>
      <w:r>
        <w:rPr>
          <w:rFonts w:ascii="Cambria Math" w:hAnsi="Cambria Math" w:eastAsia="Cambria Math"/>
          <w:position w:val="1"/>
        </w:rPr>
        <w:t>=</w:t>
      </w:r>
      <w:r>
        <w:rPr>
          <w:rFonts w:ascii="Cambria Math" w:hAnsi="Cambria Math" w:eastAsia="Cambria Math"/>
          <w:spacing w:val="8"/>
          <w:position w:val="1"/>
        </w:rPr>
        <w:t> </w:t>
      </w:r>
      <w:r>
        <w:rPr>
          <w:rFonts w:ascii="Cambria Math" w:hAnsi="Cambria Math" w:eastAsia="Cambria Math"/>
          <w:position w:val="1"/>
        </w:rPr>
        <w:t>𝐶𝐷𝐼</w:t>
      </w:r>
      <w:r>
        <w:rPr>
          <w:rFonts w:ascii="Cambria Math" w:hAnsi="Cambria Math" w:eastAsia="Cambria Math"/>
          <w:sz w:val="17"/>
        </w:rPr>
        <w:t>𝑖</w:t>
      </w:r>
      <w:r>
        <w:rPr>
          <w:rFonts w:ascii="Cambria Math" w:hAnsi="Cambria Math" w:eastAsia="Cambria Math"/>
          <w:spacing w:val="4"/>
          <w:sz w:val="17"/>
        </w:rPr>
        <w:t> </w:t>
      </w:r>
      <w:r>
        <w:rPr>
          <w:rFonts w:ascii="Cambria Math" w:hAnsi="Cambria Math" w:eastAsia="Cambria Math"/>
          <w:position w:val="1"/>
        </w:rPr>
        <w:t>×</w:t>
      </w:r>
      <w:r>
        <w:rPr>
          <w:rFonts w:ascii="Cambria Math" w:hAnsi="Cambria Math" w:eastAsia="Cambria Math"/>
          <w:spacing w:val="5"/>
          <w:position w:val="1"/>
        </w:rPr>
        <w:t> </w:t>
      </w:r>
      <w:r>
        <w:rPr>
          <w:rFonts w:ascii="Cambria Math" w:hAnsi="Cambria Math" w:eastAsia="Cambria Math"/>
          <w:spacing w:val="-5"/>
          <w:position w:val="1"/>
        </w:rPr>
        <w:t>𝑆𝐹</w:t>
      </w:r>
      <w:r>
        <w:rPr>
          <w:rFonts w:ascii="Cambria Math" w:hAnsi="Cambria Math" w:eastAsia="Cambria Math"/>
          <w:spacing w:val="-5"/>
          <w:sz w:val="17"/>
        </w:rPr>
        <w:t>𝑖</w:t>
      </w:r>
      <w:r>
        <w:rPr>
          <w:rFonts w:ascii="Cambria Math" w:hAnsi="Cambria Math" w:eastAsia="Cambria Math"/>
          <w:sz w:val="17"/>
        </w:rPr>
        <w:tab/>
      </w:r>
      <w:r>
        <w:rPr>
          <w:rFonts w:ascii="Cambria Math" w:hAnsi="Cambria Math" w:eastAsia="Cambria Math"/>
          <w:spacing w:val="-5"/>
          <w:position w:val="1"/>
        </w:rPr>
        <w:t>(5)</w:t>
      </w:r>
    </w:p>
    <w:p>
      <w:pPr>
        <w:pStyle w:val="BodyText"/>
        <w:spacing w:before="201"/>
        <w:rPr>
          <w:rFonts w:ascii="Cambria Math"/>
        </w:rPr>
      </w:pPr>
    </w:p>
    <w:p>
      <w:pPr>
        <w:pStyle w:val="BodyText"/>
        <w:spacing w:line="491" w:lineRule="auto"/>
        <w:ind w:left="1167" w:right="2177" w:hanging="13"/>
      </w:pPr>
      <w:r>
        <w:rPr/>
        <w:t>Where ILCR is the Incremental Lifetime Cancer Risk, CDIi and SFi are the Chronic Daily Intake and the Cancer Slope Factor of carcinogenicity in (mg/kg per day) respectively. ILCR values below 1× 10⁻⁶ are generally considered safe, posing no discernible cancer risk to humans. On the contrary, values exceeding 1× 10⁻⁴ are largely assumed to be high, indicating a higher cancer risk. Therefore, the acceptable range for the ILCR falls between 1× 10⁻⁴ and 1× 10⁻⁶ (Mohammadi </w:t>
      </w:r>
      <w:r>
        <w:rPr>
          <w:i/>
        </w:rPr>
        <w:t>et al., </w:t>
      </w:r>
      <w:r>
        <w:rPr/>
        <w:t>2020; Ogarekpe </w:t>
      </w:r>
      <w:r>
        <w:rPr>
          <w:i/>
        </w:rPr>
        <w:t>et al., </w:t>
      </w:r>
      <w:r>
        <w:rPr/>
        <w:t>2023; Orosun </w:t>
      </w:r>
      <w:r>
        <w:rPr>
          <w:i/>
        </w:rPr>
        <w:t>et al., </w:t>
      </w:r>
      <w:r>
        <w:rPr/>
        <w:t>2023).</w:t>
      </w:r>
    </w:p>
    <w:p>
      <w:pPr>
        <w:pStyle w:val="BodyText"/>
        <w:spacing w:line="491" w:lineRule="auto" w:before="170"/>
        <w:ind w:left="1167" w:right="1819" w:hanging="13"/>
      </w:pPr>
      <w:r>
        <w:rPr/>
        <w:t>The children population was included in this estimation because they have been sighted to be given these drinks by parents/ guardians in this vicinity and acknowledging this phenomenon</w:t>
      </w:r>
      <w:r>
        <w:rPr>
          <w:spacing w:val="25"/>
        </w:rPr>
        <w:t> </w:t>
      </w:r>
      <w:r>
        <w:rPr/>
        <w:t>appears</w:t>
      </w:r>
      <w:r>
        <w:rPr>
          <w:spacing w:val="25"/>
        </w:rPr>
        <w:t> </w:t>
      </w:r>
      <w:r>
        <w:rPr/>
        <w:t>to</w:t>
      </w:r>
      <w:r>
        <w:rPr>
          <w:spacing w:val="28"/>
        </w:rPr>
        <w:t> </w:t>
      </w:r>
      <w:r>
        <w:rPr/>
        <w:t>be</w:t>
      </w:r>
      <w:r>
        <w:rPr>
          <w:spacing w:val="24"/>
        </w:rPr>
        <w:t> </w:t>
      </w:r>
      <w:r>
        <w:rPr/>
        <w:t>an</w:t>
      </w:r>
      <w:r>
        <w:rPr>
          <w:spacing w:val="25"/>
        </w:rPr>
        <w:t> </w:t>
      </w:r>
      <w:r>
        <w:rPr/>
        <w:t>important</w:t>
      </w:r>
      <w:r>
        <w:rPr>
          <w:spacing w:val="25"/>
        </w:rPr>
        <w:t> </w:t>
      </w:r>
      <w:r>
        <w:rPr/>
        <w:t>part</w:t>
      </w:r>
      <w:r>
        <w:rPr>
          <w:spacing w:val="25"/>
        </w:rPr>
        <w:t> </w:t>
      </w:r>
      <w:r>
        <w:rPr/>
        <w:t>of</w:t>
      </w:r>
      <w:r>
        <w:rPr>
          <w:spacing w:val="25"/>
        </w:rPr>
        <w:t> </w:t>
      </w:r>
      <w:r>
        <w:rPr/>
        <w:t>the</w:t>
      </w:r>
      <w:r>
        <w:rPr>
          <w:spacing w:val="24"/>
        </w:rPr>
        <w:t> </w:t>
      </w:r>
      <w:r>
        <w:rPr/>
        <w:t>investigation</w:t>
      </w:r>
      <w:r>
        <w:rPr>
          <w:spacing w:val="25"/>
        </w:rPr>
        <w:t> </w:t>
      </w:r>
      <w:r>
        <w:rPr/>
        <w:t>(Olayinka</w:t>
      </w:r>
      <w:r>
        <w:rPr>
          <w:spacing w:val="29"/>
        </w:rPr>
        <w:t> </w:t>
      </w:r>
      <w:r>
        <w:rPr>
          <w:i/>
        </w:rPr>
        <w:t>et</w:t>
      </w:r>
      <w:r>
        <w:rPr>
          <w:i/>
          <w:spacing w:val="25"/>
        </w:rPr>
        <w:t> </w:t>
      </w:r>
      <w:r>
        <w:rPr>
          <w:i/>
        </w:rPr>
        <w:t>al., </w:t>
      </w:r>
      <w:r>
        <w:rPr>
          <w:spacing w:val="-2"/>
        </w:rPr>
        <w:t>2016).</w:t>
      </w:r>
    </w:p>
    <w:p>
      <w:pPr>
        <w:pStyle w:val="BodyText"/>
        <w:spacing w:after="0" w:line="491" w:lineRule="auto"/>
        <w:sectPr>
          <w:pgSz w:w="12240" w:h="15840"/>
          <w:pgMar w:header="0" w:footer="1674" w:top="1460" w:bottom="1860" w:left="360" w:right="0"/>
        </w:sectPr>
      </w:pPr>
    </w:p>
    <w:p>
      <w:pPr>
        <w:pStyle w:val="Heading1"/>
        <w:numPr>
          <w:ilvl w:val="1"/>
          <w:numId w:val="7"/>
        </w:numPr>
        <w:tabs>
          <w:tab w:pos="1932" w:val="left" w:leader="none"/>
        </w:tabs>
        <w:spacing w:line="240" w:lineRule="auto" w:before="74" w:after="0"/>
        <w:ind w:left="1932" w:right="0" w:hanging="930"/>
        <w:jc w:val="left"/>
      </w:pPr>
      <w:r>
        <w:rPr>
          <w:spacing w:val="-2"/>
        </w:rPr>
        <w:t>STATISTICAL</w:t>
      </w:r>
      <w:r>
        <w:rPr>
          <w:spacing w:val="-17"/>
        </w:rPr>
        <w:t> </w:t>
      </w:r>
      <w:r>
        <w:rPr>
          <w:spacing w:val="-2"/>
        </w:rPr>
        <w:t>ANALYSIS</w:t>
      </w:r>
    </w:p>
    <w:p>
      <w:pPr>
        <w:pStyle w:val="BodyText"/>
        <w:spacing w:before="182"/>
        <w:rPr>
          <w:b/>
        </w:rPr>
      </w:pPr>
    </w:p>
    <w:p>
      <w:pPr>
        <w:pStyle w:val="BodyText"/>
        <w:spacing w:line="496" w:lineRule="auto"/>
        <w:ind w:left="1167" w:right="1770" w:hanging="13"/>
      </w:pPr>
      <w:r>
        <w:rPr/>
        <w:t>The</w:t>
      </w:r>
      <w:r>
        <w:rPr>
          <w:spacing w:val="35"/>
        </w:rPr>
        <w:t> </w:t>
      </w:r>
      <w:r>
        <w:rPr/>
        <w:t>obtained</w:t>
      </w:r>
      <w:r>
        <w:rPr>
          <w:spacing w:val="36"/>
        </w:rPr>
        <w:t> </w:t>
      </w:r>
      <w:r>
        <w:rPr/>
        <w:t>data</w:t>
      </w:r>
      <w:r>
        <w:rPr>
          <w:spacing w:val="39"/>
        </w:rPr>
        <w:t> </w:t>
      </w:r>
      <w:r>
        <w:rPr/>
        <w:t>were</w:t>
      </w:r>
      <w:r>
        <w:rPr>
          <w:spacing w:val="39"/>
        </w:rPr>
        <w:t> </w:t>
      </w:r>
      <w:r>
        <w:rPr/>
        <w:t>statistically</w:t>
      </w:r>
      <w:r>
        <w:rPr>
          <w:spacing w:val="36"/>
        </w:rPr>
        <w:t> </w:t>
      </w:r>
      <w:r>
        <w:rPr/>
        <w:t>analyzed</w:t>
      </w:r>
      <w:r>
        <w:rPr>
          <w:spacing w:val="36"/>
        </w:rPr>
        <w:t> </w:t>
      </w:r>
      <w:r>
        <w:rPr/>
        <w:t>using</w:t>
      </w:r>
      <w:r>
        <w:rPr>
          <w:spacing w:val="36"/>
        </w:rPr>
        <w:t> </w:t>
      </w:r>
      <w:r>
        <w:rPr/>
        <w:t>Microsoft</w:t>
      </w:r>
      <w:r>
        <w:rPr>
          <w:spacing w:val="36"/>
        </w:rPr>
        <w:t> </w:t>
      </w:r>
      <w:r>
        <w:rPr/>
        <w:t>Excel</w:t>
      </w:r>
      <w:r>
        <w:rPr>
          <w:spacing w:val="37"/>
        </w:rPr>
        <w:t> </w:t>
      </w:r>
      <w:r>
        <w:rPr/>
        <w:t>365</w:t>
      </w:r>
      <w:r>
        <w:rPr>
          <w:spacing w:val="40"/>
        </w:rPr>
        <w:t> </w:t>
      </w:r>
      <w:r>
        <w:rPr/>
        <w:t>for</w:t>
      </w:r>
      <w:r>
        <w:rPr>
          <w:spacing w:val="34"/>
        </w:rPr>
        <w:t> </w:t>
      </w:r>
      <w:r>
        <w:rPr/>
        <w:t>analysis, graphical presentation, and for computing the toxicological risk assessment.</w:t>
      </w:r>
    </w:p>
    <w:p>
      <w:pPr>
        <w:pStyle w:val="BodyText"/>
        <w:spacing w:after="0" w:line="496" w:lineRule="auto"/>
        <w:sectPr>
          <w:pgSz w:w="12240" w:h="15840"/>
          <w:pgMar w:header="0" w:footer="1674" w:top="1460" w:bottom="1860" w:left="360" w:right="0"/>
        </w:sectPr>
      </w:pPr>
    </w:p>
    <w:p>
      <w:pPr>
        <w:pStyle w:val="BodyText"/>
        <w:spacing w:line="264" w:lineRule="auto" w:before="74" w:after="12"/>
        <w:ind w:left="1167" w:right="1788" w:hanging="13"/>
      </w:pPr>
      <w:r>
        <w:rPr>
          <w:b/>
        </w:rPr>
        <w:t>Table 4.2</w:t>
      </w:r>
      <w:r>
        <w:rPr/>
        <w:t>:</w:t>
      </w:r>
      <w:r>
        <w:rPr>
          <w:spacing w:val="-1"/>
        </w:rPr>
        <w:t> </w:t>
      </w:r>
      <w:r>
        <w:rPr/>
        <w:t>Exposure parameters are</w:t>
      </w:r>
      <w:r>
        <w:rPr>
          <w:spacing w:val="-1"/>
        </w:rPr>
        <w:t> </w:t>
      </w:r>
      <w:r>
        <w:rPr/>
        <w:t>used in calculating the human health</w:t>
      </w:r>
      <w:r>
        <w:rPr>
          <w:spacing w:val="-1"/>
        </w:rPr>
        <w:t> </w:t>
      </w:r>
      <w:r>
        <w:rPr/>
        <w:t>risks (Isinkaye, 2018; Orosun, 2021).</w:t>
      </w:r>
    </w:p>
    <w:tbl>
      <w:tblPr>
        <w:tblW w:w="0" w:type="auto"/>
        <w:jc w:val="left"/>
        <w:tblInd w:w="1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27"/>
        <w:gridCol w:w="959"/>
        <w:gridCol w:w="1584"/>
        <w:gridCol w:w="3287"/>
        <w:gridCol w:w="1201"/>
        <w:gridCol w:w="2201"/>
      </w:tblGrid>
      <w:tr>
        <w:trPr>
          <w:trHeight w:val="686" w:hRule="atLeast"/>
        </w:trPr>
        <w:tc>
          <w:tcPr>
            <w:tcW w:w="627" w:type="dxa"/>
            <w:tcBorders>
              <w:left w:val="single" w:sz="6" w:space="0" w:color="000000"/>
              <w:bottom w:val="single" w:sz="6" w:space="0" w:color="000000"/>
              <w:right w:val="single" w:sz="6" w:space="0" w:color="000000"/>
            </w:tcBorders>
          </w:tcPr>
          <w:p>
            <w:pPr>
              <w:pStyle w:val="TableParagraph"/>
              <w:spacing w:before="65"/>
              <w:ind w:left="120"/>
              <w:rPr>
                <w:b/>
                <w:sz w:val="25"/>
              </w:rPr>
            </w:pPr>
            <w:r>
              <w:rPr>
                <w:b/>
                <w:spacing w:val="-5"/>
                <w:sz w:val="25"/>
              </w:rPr>
              <w:t>S/N</w:t>
            </w:r>
          </w:p>
        </w:tc>
        <w:tc>
          <w:tcPr>
            <w:tcW w:w="959" w:type="dxa"/>
            <w:tcBorders>
              <w:left w:val="single" w:sz="6" w:space="0" w:color="000000"/>
              <w:bottom w:val="single" w:sz="6" w:space="0" w:color="000000"/>
            </w:tcBorders>
          </w:tcPr>
          <w:p>
            <w:pPr>
              <w:pStyle w:val="TableParagraph"/>
              <w:spacing w:before="65"/>
              <w:ind w:left="120"/>
              <w:rPr>
                <w:b/>
                <w:sz w:val="25"/>
              </w:rPr>
            </w:pPr>
            <w:r>
              <w:rPr>
                <w:b/>
                <w:spacing w:val="-2"/>
                <w:sz w:val="25"/>
              </w:rPr>
              <w:t>Factor</w:t>
            </w:r>
          </w:p>
        </w:tc>
        <w:tc>
          <w:tcPr>
            <w:tcW w:w="1584" w:type="dxa"/>
            <w:tcBorders>
              <w:bottom w:val="single" w:sz="6" w:space="0" w:color="000000"/>
            </w:tcBorders>
          </w:tcPr>
          <w:p>
            <w:pPr>
              <w:pStyle w:val="TableParagraph"/>
              <w:spacing w:before="65"/>
              <w:ind w:left="112"/>
              <w:rPr>
                <w:b/>
                <w:sz w:val="25"/>
              </w:rPr>
            </w:pPr>
            <w:r>
              <w:rPr>
                <w:b/>
                <w:spacing w:val="-2"/>
                <w:sz w:val="25"/>
              </w:rPr>
              <w:t>Explanation</w:t>
            </w:r>
          </w:p>
        </w:tc>
        <w:tc>
          <w:tcPr>
            <w:tcW w:w="3287" w:type="dxa"/>
            <w:tcBorders>
              <w:bottom w:val="single" w:sz="6" w:space="0" w:color="000000"/>
              <w:right w:val="single" w:sz="6" w:space="0" w:color="000000"/>
            </w:tcBorders>
          </w:tcPr>
          <w:p>
            <w:pPr>
              <w:pStyle w:val="TableParagraph"/>
              <w:spacing w:before="65"/>
              <w:ind w:left="122"/>
              <w:rPr>
                <w:b/>
                <w:sz w:val="25"/>
              </w:rPr>
            </w:pPr>
            <w:r>
              <w:rPr>
                <w:b/>
                <w:spacing w:val="-4"/>
                <w:sz w:val="25"/>
              </w:rPr>
              <w:t>Adult</w:t>
            </w:r>
          </w:p>
        </w:tc>
        <w:tc>
          <w:tcPr>
            <w:tcW w:w="1201" w:type="dxa"/>
            <w:tcBorders>
              <w:left w:val="single" w:sz="6" w:space="0" w:color="000000"/>
              <w:bottom w:val="single" w:sz="6" w:space="0" w:color="000000"/>
            </w:tcBorders>
          </w:tcPr>
          <w:p>
            <w:pPr>
              <w:pStyle w:val="TableParagraph"/>
              <w:spacing w:before="65"/>
              <w:ind w:left="120"/>
              <w:rPr>
                <w:b/>
                <w:sz w:val="25"/>
              </w:rPr>
            </w:pPr>
            <w:r>
              <w:rPr>
                <w:b/>
                <w:spacing w:val="-2"/>
                <w:sz w:val="25"/>
              </w:rPr>
              <w:t>Children</w:t>
            </w:r>
          </w:p>
        </w:tc>
        <w:tc>
          <w:tcPr>
            <w:tcW w:w="2201" w:type="dxa"/>
            <w:tcBorders>
              <w:bottom w:val="single" w:sz="6" w:space="0" w:color="000000"/>
            </w:tcBorders>
          </w:tcPr>
          <w:p>
            <w:pPr>
              <w:pStyle w:val="TableParagraph"/>
              <w:spacing w:before="65"/>
              <w:ind w:left="123"/>
              <w:rPr>
                <w:b/>
                <w:sz w:val="25"/>
              </w:rPr>
            </w:pPr>
            <w:r>
              <w:rPr>
                <w:b/>
                <w:sz w:val="25"/>
              </w:rPr>
              <w:t>S.I</w:t>
            </w:r>
            <w:r>
              <w:rPr>
                <w:b/>
                <w:spacing w:val="5"/>
                <w:sz w:val="25"/>
              </w:rPr>
              <w:t> </w:t>
            </w:r>
            <w:r>
              <w:rPr>
                <w:b/>
                <w:spacing w:val="-4"/>
                <w:sz w:val="25"/>
              </w:rPr>
              <w:t>Unit</w:t>
            </w:r>
          </w:p>
        </w:tc>
      </w:tr>
      <w:tr>
        <w:trPr>
          <w:trHeight w:val="1119" w:hRule="atLeast"/>
        </w:trPr>
        <w:tc>
          <w:tcPr>
            <w:tcW w:w="627" w:type="dxa"/>
            <w:tcBorders>
              <w:top w:val="single" w:sz="6" w:space="0" w:color="000000"/>
              <w:left w:val="single" w:sz="6" w:space="0" w:color="000000"/>
              <w:bottom w:val="single" w:sz="6" w:space="0" w:color="000000"/>
              <w:right w:val="single" w:sz="6" w:space="0" w:color="000000"/>
            </w:tcBorders>
          </w:tcPr>
          <w:p>
            <w:pPr>
              <w:pStyle w:val="TableParagraph"/>
              <w:spacing w:before="62"/>
              <w:ind w:left="120"/>
              <w:rPr>
                <w:sz w:val="25"/>
              </w:rPr>
            </w:pPr>
            <w:r>
              <w:rPr>
                <w:spacing w:val="-10"/>
                <w:sz w:val="25"/>
              </w:rPr>
              <w:t>1</w:t>
            </w:r>
          </w:p>
        </w:tc>
        <w:tc>
          <w:tcPr>
            <w:tcW w:w="959" w:type="dxa"/>
            <w:tcBorders>
              <w:top w:val="single" w:sz="6" w:space="0" w:color="000000"/>
              <w:left w:val="single" w:sz="6" w:space="0" w:color="000000"/>
              <w:bottom w:val="single" w:sz="6" w:space="0" w:color="000000"/>
            </w:tcBorders>
          </w:tcPr>
          <w:p>
            <w:pPr>
              <w:pStyle w:val="TableParagraph"/>
              <w:spacing w:before="62"/>
              <w:ind w:left="120"/>
              <w:rPr>
                <w:sz w:val="25"/>
              </w:rPr>
            </w:pPr>
            <w:r>
              <w:rPr>
                <w:spacing w:val="-4"/>
                <w:sz w:val="25"/>
              </w:rPr>
              <w:t>IngR</w:t>
            </w:r>
          </w:p>
        </w:tc>
        <w:tc>
          <w:tcPr>
            <w:tcW w:w="1584" w:type="dxa"/>
            <w:tcBorders>
              <w:top w:val="single" w:sz="6" w:space="0" w:color="000000"/>
              <w:bottom w:val="single" w:sz="6" w:space="0" w:color="000000"/>
            </w:tcBorders>
          </w:tcPr>
          <w:p>
            <w:pPr>
              <w:pStyle w:val="TableParagraph"/>
              <w:spacing w:line="369" w:lineRule="auto" w:before="62"/>
              <w:ind w:left="112" w:right="127"/>
              <w:rPr>
                <w:sz w:val="25"/>
              </w:rPr>
            </w:pPr>
            <w:r>
              <w:rPr>
                <w:spacing w:val="-2"/>
                <w:sz w:val="25"/>
              </w:rPr>
              <w:t>Ingestion </w:t>
            </w:r>
            <w:r>
              <w:rPr>
                <w:spacing w:val="-4"/>
                <w:sz w:val="25"/>
              </w:rPr>
              <w:t>Rate</w:t>
            </w:r>
          </w:p>
        </w:tc>
        <w:tc>
          <w:tcPr>
            <w:tcW w:w="3287" w:type="dxa"/>
            <w:tcBorders>
              <w:top w:val="single" w:sz="6" w:space="0" w:color="000000"/>
              <w:bottom w:val="single" w:sz="6" w:space="0" w:color="000000"/>
              <w:right w:val="single" w:sz="6" w:space="0" w:color="000000"/>
            </w:tcBorders>
          </w:tcPr>
          <w:p>
            <w:pPr>
              <w:pStyle w:val="TableParagraph"/>
              <w:spacing w:before="62"/>
              <w:ind w:left="122"/>
              <w:rPr>
                <w:sz w:val="25"/>
              </w:rPr>
            </w:pPr>
            <w:r>
              <w:rPr>
                <w:spacing w:val="-10"/>
                <w:sz w:val="25"/>
              </w:rPr>
              <w:t>2</w:t>
            </w:r>
          </w:p>
        </w:tc>
        <w:tc>
          <w:tcPr>
            <w:tcW w:w="1201" w:type="dxa"/>
            <w:tcBorders>
              <w:top w:val="single" w:sz="6" w:space="0" w:color="000000"/>
              <w:left w:val="single" w:sz="6" w:space="0" w:color="000000"/>
              <w:bottom w:val="single" w:sz="6" w:space="0" w:color="000000"/>
            </w:tcBorders>
          </w:tcPr>
          <w:p>
            <w:pPr>
              <w:pStyle w:val="TableParagraph"/>
              <w:spacing w:before="62"/>
              <w:ind w:left="120"/>
              <w:rPr>
                <w:sz w:val="25"/>
              </w:rPr>
            </w:pPr>
            <w:r>
              <w:rPr>
                <w:spacing w:val="-10"/>
                <w:sz w:val="25"/>
              </w:rPr>
              <w:t>1</w:t>
            </w:r>
          </w:p>
        </w:tc>
        <w:tc>
          <w:tcPr>
            <w:tcW w:w="2201" w:type="dxa"/>
            <w:tcBorders>
              <w:top w:val="single" w:sz="6" w:space="0" w:color="000000"/>
              <w:bottom w:val="single" w:sz="6" w:space="0" w:color="000000"/>
            </w:tcBorders>
          </w:tcPr>
          <w:p>
            <w:pPr>
              <w:pStyle w:val="TableParagraph"/>
              <w:spacing w:line="264" w:lineRule="auto" w:before="62"/>
              <w:ind w:left="123"/>
              <w:rPr>
                <w:sz w:val="25"/>
              </w:rPr>
            </w:pPr>
            <w:r>
              <w:rPr>
                <w:sz w:val="25"/>
              </w:rPr>
              <w:t>mg/day for</w:t>
            </w:r>
            <w:r>
              <w:rPr>
                <w:spacing w:val="-2"/>
                <w:sz w:val="25"/>
              </w:rPr>
              <w:t> </w:t>
            </w:r>
            <w:r>
              <w:rPr>
                <w:sz w:val="25"/>
              </w:rPr>
              <w:t>soil </w:t>
            </w:r>
            <w:r>
              <w:rPr>
                <w:sz w:val="25"/>
              </w:rPr>
              <w:t>and l/day for water</w:t>
            </w:r>
          </w:p>
        </w:tc>
      </w:tr>
      <w:tr>
        <w:trPr>
          <w:trHeight w:val="1122" w:hRule="atLeast"/>
        </w:trPr>
        <w:tc>
          <w:tcPr>
            <w:tcW w:w="627" w:type="dxa"/>
            <w:tcBorders>
              <w:top w:val="single" w:sz="6" w:space="0" w:color="000000"/>
              <w:left w:val="single" w:sz="6" w:space="0" w:color="000000"/>
              <w:right w:val="single" w:sz="6" w:space="0" w:color="000000"/>
            </w:tcBorders>
          </w:tcPr>
          <w:p>
            <w:pPr>
              <w:pStyle w:val="TableParagraph"/>
              <w:spacing w:before="65"/>
              <w:ind w:left="120"/>
              <w:rPr>
                <w:sz w:val="25"/>
              </w:rPr>
            </w:pPr>
            <w:r>
              <w:rPr>
                <w:spacing w:val="-10"/>
                <w:sz w:val="25"/>
              </w:rPr>
              <w:t>3</w:t>
            </w:r>
          </w:p>
        </w:tc>
        <w:tc>
          <w:tcPr>
            <w:tcW w:w="959" w:type="dxa"/>
            <w:tcBorders>
              <w:top w:val="single" w:sz="6" w:space="0" w:color="000000"/>
              <w:left w:val="single" w:sz="6" w:space="0" w:color="000000"/>
            </w:tcBorders>
          </w:tcPr>
          <w:p>
            <w:pPr>
              <w:pStyle w:val="TableParagraph"/>
              <w:spacing w:before="65"/>
              <w:ind w:left="120"/>
              <w:rPr>
                <w:sz w:val="25"/>
              </w:rPr>
            </w:pPr>
            <w:r>
              <w:rPr>
                <w:spacing w:val="-5"/>
                <w:sz w:val="25"/>
              </w:rPr>
              <w:t>EF</w:t>
            </w:r>
          </w:p>
        </w:tc>
        <w:tc>
          <w:tcPr>
            <w:tcW w:w="1584" w:type="dxa"/>
            <w:tcBorders>
              <w:top w:val="single" w:sz="6" w:space="0" w:color="000000"/>
            </w:tcBorders>
          </w:tcPr>
          <w:p>
            <w:pPr>
              <w:pStyle w:val="TableParagraph"/>
              <w:spacing w:line="264" w:lineRule="auto" w:before="65"/>
              <w:ind w:left="112"/>
              <w:rPr>
                <w:sz w:val="25"/>
              </w:rPr>
            </w:pPr>
            <w:r>
              <w:rPr>
                <w:spacing w:val="-2"/>
                <w:sz w:val="25"/>
              </w:rPr>
              <w:t>Exposure frequency</w:t>
            </w:r>
          </w:p>
        </w:tc>
        <w:tc>
          <w:tcPr>
            <w:tcW w:w="3287" w:type="dxa"/>
            <w:tcBorders>
              <w:top w:val="single" w:sz="6" w:space="0" w:color="000000"/>
              <w:right w:val="single" w:sz="6" w:space="0" w:color="000000"/>
            </w:tcBorders>
          </w:tcPr>
          <w:p>
            <w:pPr>
              <w:pStyle w:val="TableParagraph"/>
              <w:spacing w:before="65"/>
              <w:ind w:left="122"/>
              <w:rPr>
                <w:sz w:val="25"/>
              </w:rPr>
            </w:pPr>
            <w:r>
              <w:rPr>
                <w:spacing w:val="-5"/>
                <w:sz w:val="25"/>
              </w:rPr>
              <w:t>365</w:t>
            </w:r>
          </w:p>
        </w:tc>
        <w:tc>
          <w:tcPr>
            <w:tcW w:w="1201" w:type="dxa"/>
            <w:tcBorders>
              <w:top w:val="single" w:sz="6" w:space="0" w:color="000000"/>
              <w:left w:val="single" w:sz="6" w:space="0" w:color="000000"/>
            </w:tcBorders>
          </w:tcPr>
          <w:p>
            <w:pPr>
              <w:pStyle w:val="TableParagraph"/>
              <w:spacing w:before="65"/>
              <w:ind w:left="120"/>
              <w:rPr>
                <w:sz w:val="25"/>
              </w:rPr>
            </w:pPr>
            <w:r>
              <w:rPr>
                <w:spacing w:val="-5"/>
                <w:sz w:val="25"/>
              </w:rPr>
              <w:t>365</w:t>
            </w:r>
          </w:p>
        </w:tc>
        <w:tc>
          <w:tcPr>
            <w:tcW w:w="2201" w:type="dxa"/>
            <w:tcBorders>
              <w:top w:val="single" w:sz="6" w:space="0" w:color="000000"/>
            </w:tcBorders>
          </w:tcPr>
          <w:p>
            <w:pPr>
              <w:pStyle w:val="TableParagraph"/>
              <w:spacing w:before="65"/>
              <w:ind w:left="123"/>
              <w:rPr>
                <w:sz w:val="25"/>
              </w:rPr>
            </w:pPr>
            <w:r>
              <w:rPr>
                <w:spacing w:val="-2"/>
                <w:sz w:val="25"/>
              </w:rPr>
              <w:t>day/year</w:t>
            </w:r>
          </w:p>
        </w:tc>
      </w:tr>
      <w:tr>
        <w:trPr>
          <w:trHeight w:val="1137" w:hRule="atLeast"/>
        </w:trPr>
        <w:tc>
          <w:tcPr>
            <w:tcW w:w="627" w:type="dxa"/>
            <w:tcBorders>
              <w:left w:val="single" w:sz="6" w:space="0" w:color="000000"/>
              <w:right w:val="single" w:sz="6" w:space="0" w:color="000000"/>
            </w:tcBorders>
          </w:tcPr>
          <w:p>
            <w:pPr>
              <w:pStyle w:val="TableParagraph"/>
              <w:spacing w:before="67"/>
              <w:ind w:left="120"/>
              <w:rPr>
                <w:sz w:val="25"/>
              </w:rPr>
            </w:pPr>
            <w:r>
              <w:rPr>
                <w:spacing w:val="-10"/>
                <w:sz w:val="25"/>
              </w:rPr>
              <w:t>4</w:t>
            </w:r>
          </w:p>
        </w:tc>
        <w:tc>
          <w:tcPr>
            <w:tcW w:w="959" w:type="dxa"/>
            <w:tcBorders>
              <w:left w:val="single" w:sz="6" w:space="0" w:color="000000"/>
            </w:tcBorders>
          </w:tcPr>
          <w:p>
            <w:pPr>
              <w:pStyle w:val="TableParagraph"/>
              <w:spacing w:before="67"/>
              <w:ind w:left="120"/>
              <w:rPr>
                <w:sz w:val="25"/>
              </w:rPr>
            </w:pPr>
            <w:r>
              <w:rPr>
                <w:spacing w:val="-5"/>
                <w:sz w:val="25"/>
              </w:rPr>
              <w:t>ED</w:t>
            </w:r>
          </w:p>
        </w:tc>
        <w:tc>
          <w:tcPr>
            <w:tcW w:w="1584" w:type="dxa"/>
          </w:tcPr>
          <w:p>
            <w:pPr>
              <w:pStyle w:val="TableParagraph"/>
              <w:spacing w:line="264" w:lineRule="auto" w:before="67"/>
              <w:ind w:left="112"/>
              <w:rPr>
                <w:sz w:val="25"/>
              </w:rPr>
            </w:pPr>
            <w:r>
              <w:rPr>
                <w:spacing w:val="-2"/>
                <w:sz w:val="25"/>
              </w:rPr>
              <w:t>Exposure duration</w:t>
            </w:r>
          </w:p>
        </w:tc>
        <w:tc>
          <w:tcPr>
            <w:tcW w:w="3287" w:type="dxa"/>
            <w:tcBorders>
              <w:right w:val="single" w:sz="6" w:space="0" w:color="000000"/>
            </w:tcBorders>
          </w:tcPr>
          <w:p>
            <w:pPr>
              <w:pStyle w:val="TableParagraph"/>
              <w:spacing w:before="67"/>
              <w:ind w:left="122"/>
              <w:rPr>
                <w:sz w:val="25"/>
              </w:rPr>
            </w:pPr>
            <w:r>
              <w:rPr>
                <w:spacing w:val="-5"/>
                <w:sz w:val="25"/>
              </w:rPr>
              <w:t>55</w:t>
            </w:r>
          </w:p>
        </w:tc>
        <w:tc>
          <w:tcPr>
            <w:tcW w:w="1201" w:type="dxa"/>
            <w:tcBorders>
              <w:left w:val="single" w:sz="6" w:space="0" w:color="000000"/>
            </w:tcBorders>
          </w:tcPr>
          <w:p>
            <w:pPr>
              <w:pStyle w:val="TableParagraph"/>
              <w:spacing w:before="67"/>
              <w:ind w:left="120"/>
              <w:rPr>
                <w:sz w:val="25"/>
              </w:rPr>
            </w:pPr>
            <w:r>
              <w:rPr>
                <w:spacing w:val="-10"/>
                <w:sz w:val="25"/>
              </w:rPr>
              <w:t>6</w:t>
            </w:r>
          </w:p>
        </w:tc>
        <w:tc>
          <w:tcPr>
            <w:tcW w:w="2201" w:type="dxa"/>
          </w:tcPr>
          <w:p>
            <w:pPr>
              <w:pStyle w:val="TableParagraph"/>
              <w:spacing w:before="67"/>
              <w:ind w:left="123"/>
              <w:rPr>
                <w:sz w:val="25"/>
              </w:rPr>
            </w:pPr>
            <w:r>
              <w:rPr>
                <w:spacing w:val="-2"/>
                <w:sz w:val="25"/>
              </w:rPr>
              <w:t>Years</w:t>
            </w:r>
          </w:p>
        </w:tc>
      </w:tr>
      <w:tr>
        <w:trPr>
          <w:trHeight w:val="675" w:hRule="atLeast"/>
        </w:trPr>
        <w:tc>
          <w:tcPr>
            <w:tcW w:w="627" w:type="dxa"/>
            <w:tcBorders>
              <w:left w:val="single" w:sz="6" w:space="0" w:color="000000"/>
              <w:bottom w:val="single" w:sz="6" w:space="0" w:color="000000"/>
              <w:right w:val="single" w:sz="6" w:space="0" w:color="000000"/>
            </w:tcBorders>
          </w:tcPr>
          <w:p>
            <w:pPr>
              <w:pStyle w:val="TableParagraph"/>
              <w:spacing w:before="65"/>
              <w:ind w:left="120"/>
              <w:rPr>
                <w:sz w:val="25"/>
              </w:rPr>
            </w:pPr>
            <w:r>
              <w:rPr>
                <w:spacing w:val="-10"/>
                <w:sz w:val="25"/>
              </w:rPr>
              <w:t>5</w:t>
            </w:r>
          </w:p>
        </w:tc>
        <w:tc>
          <w:tcPr>
            <w:tcW w:w="959" w:type="dxa"/>
            <w:tcBorders>
              <w:left w:val="single" w:sz="6" w:space="0" w:color="000000"/>
              <w:bottom w:val="single" w:sz="6" w:space="0" w:color="000000"/>
            </w:tcBorders>
          </w:tcPr>
          <w:p>
            <w:pPr>
              <w:pStyle w:val="TableParagraph"/>
              <w:spacing w:before="65"/>
              <w:ind w:left="120"/>
              <w:rPr>
                <w:sz w:val="25"/>
              </w:rPr>
            </w:pPr>
            <w:r>
              <w:rPr>
                <w:spacing w:val="-5"/>
                <w:sz w:val="25"/>
              </w:rPr>
              <w:t>BW</w:t>
            </w:r>
          </w:p>
        </w:tc>
        <w:tc>
          <w:tcPr>
            <w:tcW w:w="1584" w:type="dxa"/>
            <w:tcBorders>
              <w:bottom w:val="single" w:sz="6" w:space="0" w:color="000000"/>
            </w:tcBorders>
          </w:tcPr>
          <w:p>
            <w:pPr>
              <w:pStyle w:val="TableParagraph"/>
              <w:spacing w:before="65"/>
              <w:ind w:left="112"/>
              <w:rPr>
                <w:sz w:val="25"/>
              </w:rPr>
            </w:pPr>
            <w:r>
              <w:rPr>
                <w:sz w:val="25"/>
              </w:rPr>
              <w:t>Body</w:t>
            </w:r>
            <w:r>
              <w:rPr>
                <w:spacing w:val="11"/>
                <w:sz w:val="25"/>
              </w:rPr>
              <w:t> </w:t>
            </w:r>
            <w:r>
              <w:rPr>
                <w:spacing w:val="-4"/>
                <w:sz w:val="25"/>
              </w:rPr>
              <w:t>mass</w:t>
            </w:r>
          </w:p>
        </w:tc>
        <w:tc>
          <w:tcPr>
            <w:tcW w:w="3287" w:type="dxa"/>
            <w:tcBorders>
              <w:bottom w:val="single" w:sz="6" w:space="0" w:color="000000"/>
              <w:right w:val="single" w:sz="6" w:space="0" w:color="000000"/>
            </w:tcBorders>
          </w:tcPr>
          <w:p>
            <w:pPr>
              <w:pStyle w:val="TableParagraph"/>
              <w:spacing w:before="65"/>
              <w:ind w:left="122"/>
              <w:rPr>
                <w:sz w:val="25"/>
              </w:rPr>
            </w:pPr>
            <w:r>
              <w:rPr>
                <w:spacing w:val="-5"/>
                <w:sz w:val="25"/>
              </w:rPr>
              <w:t>70</w:t>
            </w:r>
          </w:p>
        </w:tc>
        <w:tc>
          <w:tcPr>
            <w:tcW w:w="1201" w:type="dxa"/>
            <w:tcBorders>
              <w:left w:val="single" w:sz="6" w:space="0" w:color="000000"/>
              <w:bottom w:val="single" w:sz="6" w:space="0" w:color="000000"/>
            </w:tcBorders>
          </w:tcPr>
          <w:p>
            <w:pPr>
              <w:pStyle w:val="TableParagraph"/>
              <w:spacing w:before="65"/>
              <w:ind w:left="120"/>
              <w:rPr>
                <w:sz w:val="25"/>
              </w:rPr>
            </w:pPr>
            <w:r>
              <w:rPr>
                <w:spacing w:val="-5"/>
                <w:sz w:val="25"/>
              </w:rPr>
              <w:t>15</w:t>
            </w:r>
          </w:p>
        </w:tc>
        <w:tc>
          <w:tcPr>
            <w:tcW w:w="2201" w:type="dxa"/>
            <w:tcBorders>
              <w:bottom w:val="single" w:sz="6" w:space="0" w:color="000000"/>
            </w:tcBorders>
          </w:tcPr>
          <w:p>
            <w:pPr>
              <w:pStyle w:val="TableParagraph"/>
              <w:spacing w:before="65"/>
              <w:ind w:left="123"/>
              <w:rPr>
                <w:sz w:val="25"/>
              </w:rPr>
            </w:pPr>
            <w:r>
              <w:rPr>
                <w:spacing w:val="-5"/>
                <w:sz w:val="25"/>
              </w:rPr>
              <w:t>Kg</w:t>
            </w:r>
          </w:p>
        </w:tc>
      </w:tr>
      <w:tr>
        <w:trPr>
          <w:trHeight w:val="1568" w:hRule="atLeast"/>
        </w:trPr>
        <w:tc>
          <w:tcPr>
            <w:tcW w:w="627" w:type="dxa"/>
            <w:tcBorders>
              <w:top w:val="single" w:sz="6" w:space="0" w:color="000000"/>
              <w:left w:val="single" w:sz="6" w:space="0" w:color="000000"/>
              <w:right w:val="single" w:sz="6" w:space="0" w:color="000000"/>
            </w:tcBorders>
          </w:tcPr>
          <w:p>
            <w:pPr>
              <w:pStyle w:val="TableParagraph"/>
              <w:spacing w:before="62"/>
              <w:ind w:left="120"/>
              <w:rPr>
                <w:sz w:val="25"/>
              </w:rPr>
            </w:pPr>
            <w:r>
              <w:rPr>
                <w:spacing w:val="-10"/>
                <w:sz w:val="25"/>
              </w:rPr>
              <w:t>6</w:t>
            </w:r>
          </w:p>
        </w:tc>
        <w:tc>
          <w:tcPr>
            <w:tcW w:w="959" w:type="dxa"/>
            <w:tcBorders>
              <w:top w:val="single" w:sz="6" w:space="0" w:color="000000"/>
              <w:left w:val="single" w:sz="6" w:space="0" w:color="000000"/>
            </w:tcBorders>
          </w:tcPr>
          <w:p>
            <w:pPr>
              <w:pStyle w:val="TableParagraph"/>
              <w:spacing w:before="62"/>
              <w:ind w:left="120"/>
              <w:rPr>
                <w:sz w:val="25"/>
              </w:rPr>
            </w:pPr>
            <w:r>
              <w:rPr>
                <w:spacing w:val="-5"/>
                <w:sz w:val="25"/>
              </w:rPr>
              <w:t>AT</w:t>
            </w:r>
          </w:p>
        </w:tc>
        <w:tc>
          <w:tcPr>
            <w:tcW w:w="1584" w:type="dxa"/>
            <w:tcBorders>
              <w:top w:val="single" w:sz="6" w:space="0" w:color="000000"/>
            </w:tcBorders>
          </w:tcPr>
          <w:p>
            <w:pPr>
              <w:pStyle w:val="TableParagraph"/>
              <w:spacing w:line="264" w:lineRule="auto" w:before="62"/>
              <w:ind w:left="112"/>
              <w:rPr>
                <w:sz w:val="25"/>
              </w:rPr>
            </w:pPr>
            <w:r>
              <w:rPr>
                <w:sz w:val="25"/>
              </w:rPr>
              <w:t>Period</w:t>
            </w:r>
            <w:r>
              <w:rPr>
                <w:spacing w:val="-16"/>
                <w:sz w:val="25"/>
              </w:rPr>
              <w:t> </w:t>
            </w:r>
            <w:r>
              <w:rPr>
                <w:sz w:val="25"/>
              </w:rPr>
              <w:t>of </w:t>
            </w:r>
            <w:r>
              <w:rPr>
                <w:spacing w:val="-2"/>
                <w:sz w:val="25"/>
              </w:rPr>
              <w:t>exposure</w:t>
            </w:r>
          </w:p>
        </w:tc>
        <w:tc>
          <w:tcPr>
            <w:tcW w:w="3287" w:type="dxa"/>
            <w:tcBorders>
              <w:top w:val="single" w:sz="6" w:space="0" w:color="000000"/>
              <w:right w:val="single" w:sz="6" w:space="0" w:color="000000"/>
            </w:tcBorders>
          </w:tcPr>
          <w:p>
            <w:pPr>
              <w:pStyle w:val="TableParagraph"/>
              <w:spacing w:line="362" w:lineRule="auto" w:before="62"/>
              <w:ind w:left="122"/>
              <w:rPr>
                <w:sz w:val="25"/>
              </w:rPr>
            </w:pPr>
            <w:r>
              <w:rPr>
                <w:sz w:val="25"/>
              </w:rPr>
              <w:t>For Non-Carcinogenic: ED </w:t>
            </w:r>
            <w:r>
              <w:rPr>
                <w:sz w:val="25"/>
              </w:rPr>
              <w:t>× 365 = 20075, Carcinogenic:</w:t>
            </w:r>
          </w:p>
          <w:p>
            <w:pPr>
              <w:pStyle w:val="TableParagraph"/>
              <w:spacing w:before="10"/>
              <w:ind w:left="122"/>
              <w:rPr>
                <w:sz w:val="25"/>
              </w:rPr>
            </w:pPr>
            <w:r>
              <w:rPr>
                <w:sz w:val="25"/>
              </w:rPr>
              <w:t>70</w:t>
            </w:r>
            <w:r>
              <w:rPr>
                <w:spacing w:val="4"/>
                <w:sz w:val="25"/>
              </w:rPr>
              <w:t> </w:t>
            </w:r>
            <w:r>
              <w:rPr>
                <w:sz w:val="25"/>
              </w:rPr>
              <w:t>×</w:t>
            </w:r>
            <w:r>
              <w:rPr>
                <w:spacing w:val="4"/>
                <w:sz w:val="25"/>
              </w:rPr>
              <w:t> </w:t>
            </w:r>
            <w:r>
              <w:rPr>
                <w:spacing w:val="-5"/>
                <w:sz w:val="25"/>
              </w:rPr>
              <w:t>365</w:t>
            </w:r>
          </w:p>
        </w:tc>
        <w:tc>
          <w:tcPr>
            <w:tcW w:w="1201" w:type="dxa"/>
            <w:tcBorders>
              <w:top w:val="single" w:sz="6" w:space="0" w:color="000000"/>
              <w:left w:val="single" w:sz="6" w:space="0" w:color="000000"/>
            </w:tcBorders>
          </w:tcPr>
          <w:p>
            <w:pPr>
              <w:pStyle w:val="TableParagraph"/>
              <w:spacing w:before="62"/>
              <w:ind w:left="120"/>
              <w:rPr>
                <w:sz w:val="25"/>
              </w:rPr>
            </w:pPr>
            <w:r>
              <w:rPr>
                <w:spacing w:val="-4"/>
                <w:sz w:val="25"/>
              </w:rPr>
              <w:t>2190</w:t>
            </w:r>
          </w:p>
        </w:tc>
        <w:tc>
          <w:tcPr>
            <w:tcW w:w="2201" w:type="dxa"/>
            <w:tcBorders>
              <w:top w:val="single" w:sz="6" w:space="0" w:color="000000"/>
            </w:tcBorders>
          </w:tcPr>
          <w:p>
            <w:pPr>
              <w:pStyle w:val="TableParagraph"/>
              <w:spacing w:before="62"/>
              <w:ind w:left="123"/>
              <w:rPr>
                <w:sz w:val="25"/>
              </w:rPr>
            </w:pPr>
            <w:r>
              <w:rPr>
                <w:spacing w:val="-4"/>
                <w:sz w:val="25"/>
              </w:rPr>
              <w:t>Days</w:t>
            </w:r>
          </w:p>
        </w:tc>
      </w:tr>
      <w:tr>
        <w:trPr>
          <w:trHeight w:val="1124" w:hRule="atLeast"/>
        </w:trPr>
        <w:tc>
          <w:tcPr>
            <w:tcW w:w="627" w:type="dxa"/>
            <w:tcBorders>
              <w:left w:val="single" w:sz="6" w:space="0" w:color="000000"/>
              <w:bottom w:val="single" w:sz="6" w:space="0" w:color="000000"/>
              <w:right w:val="single" w:sz="6" w:space="0" w:color="000000"/>
            </w:tcBorders>
          </w:tcPr>
          <w:p>
            <w:pPr>
              <w:pStyle w:val="TableParagraph"/>
              <w:spacing w:before="67"/>
              <w:ind w:left="120"/>
              <w:rPr>
                <w:sz w:val="25"/>
              </w:rPr>
            </w:pPr>
            <w:r>
              <w:rPr>
                <w:spacing w:val="-10"/>
                <w:sz w:val="25"/>
              </w:rPr>
              <w:t>9</w:t>
            </w:r>
          </w:p>
        </w:tc>
        <w:tc>
          <w:tcPr>
            <w:tcW w:w="959" w:type="dxa"/>
            <w:tcBorders>
              <w:left w:val="single" w:sz="6" w:space="0" w:color="000000"/>
              <w:bottom w:val="single" w:sz="6" w:space="0" w:color="000000"/>
            </w:tcBorders>
          </w:tcPr>
          <w:p>
            <w:pPr>
              <w:pStyle w:val="TableParagraph"/>
              <w:spacing w:before="67"/>
              <w:ind w:left="120"/>
              <w:rPr>
                <w:sz w:val="25"/>
              </w:rPr>
            </w:pPr>
            <w:r>
              <w:rPr>
                <w:spacing w:val="-5"/>
                <w:sz w:val="25"/>
              </w:rPr>
              <w:t>AF</w:t>
            </w:r>
          </w:p>
        </w:tc>
        <w:tc>
          <w:tcPr>
            <w:tcW w:w="1584" w:type="dxa"/>
            <w:tcBorders>
              <w:bottom w:val="single" w:sz="6" w:space="0" w:color="000000"/>
            </w:tcBorders>
          </w:tcPr>
          <w:p>
            <w:pPr>
              <w:pStyle w:val="TableParagraph"/>
              <w:spacing w:line="360" w:lineRule="auto" w:before="67"/>
              <w:ind w:left="112"/>
              <w:rPr>
                <w:sz w:val="25"/>
              </w:rPr>
            </w:pPr>
            <w:r>
              <w:rPr>
                <w:spacing w:val="-2"/>
                <w:sz w:val="25"/>
              </w:rPr>
              <w:t>Adherence Factor</w:t>
            </w:r>
          </w:p>
        </w:tc>
        <w:tc>
          <w:tcPr>
            <w:tcW w:w="3287" w:type="dxa"/>
            <w:tcBorders>
              <w:bottom w:val="single" w:sz="6" w:space="0" w:color="000000"/>
              <w:right w:val="single" w:sz="6" w:space="0" w:color="000000"/>
            </w:tcBorders>
          </w:tcPr>
          <w:p>
            <w:pPr>
              <w:pStyle w:val="TableParagraph"/>
              <w:spacing w:before="67"/>
              <w:ind w:left="122"/>
              <w:rPr>
                <w:sz w:val="25"/>
              </w:rPr>
            </w:pPr>
            <w:r>
              <w:rPr>
                <w:spacing w:val="-4"/>
                <w:sz w:val="25"/>
              </w:rPr>
              <w:t>0.07</w:t>
            </w:r>
          </w:p>
        </w:tc>
        <w:tc>
          <w:tcPr>
            <w:tcW w:w="1201" w:type="dxa"/>
            <w:tcBorders>
              <w:left w:val="single" w:sz="6" w:space="0" w:color="000000"/>
              <w:bottom w:val="single" w:sz="6" w:space="0" w:color="000000"/>
            </w:tcBorders>
          </w:tcPr>
          <w:p>
            <w:pPr>
              <w:pStyle w:val="TableParagraph"/>
              <w:spacing w:before="67"/>
              <w:ind w:left="120"/>
              <w:rPr>
                <w:sz w:val="25"/>
              </w:rPr>
            </w:pPr>
            <w:r>
              <w:rPr>
                <w:spacing w:val="-5"/>
                <w:sz w:val="25"/>
              </w:rPr>
              <w:t>0.2</w:t>
            </w:r>
          </w:p>
        </w:tc>
        <w:tc>
          <w:tcPr>
            <w:tcW w:w="2201" w:type="dxa"/>
            <w:tcBorders>
              <w:bottom w:val="single" w:sz="6" w:space="0" w:color="000000"/>
            </w:tcBorders>
          </w:tcPr>
          <w:p>
            <w:pPr>
              <w:pStyle w:val="TableParagraph"/>
              <w:spacing w:before="67"/>
              <w:ind w:left="123"/>
              <w:rPr>
                <w:sz w:val="25"/>
              </w:rPr>
            </w:pPr>
            <w:r>
              <w:rPr>
                <w:sz w:val="25"/>
              </w:rPr>
              <w:t>mg/cm</w:t>
            </w:r>
            <w:r>
              <w:rPr>
                <w:sz w:val="25"/>
                <w:vertAlign w:val="superscript"/>
              </w:rPr>
              <w:t>2</w:t>
            </w:r>
            <w:r>
              <w:rPr>
                <w:sz w:val="25"/>
                <w:vertAlign w:val="baseline"/>
              </w:rPr>
              <w:t>-</w:t>
            </w:r>
            <w:r>
              <w:rPr>
                <w:spacing w:val="-5"/>
                <w:sz w:val="25"/>
                <w:vertAlign w:val="baseline"/>
              </w:rPr>
              <w:t>day</w:t>
            </w:r>
          </w:p>
        </w:tc>
      </w:tr>
      <w:tr>
        <w:trPr>
          <w:trHeight w:val="2015" w:hRule="atLeast"/>
        </w:trPr>
        <w:tc>
          <w:tcPr>
            <w:tcW w:w="627" w:type="dxa"/>
            <w:tcBorders>
              <w:top w:val="single" w:sz="6" w:space="0" w:color="000000"/>
              <w:left w:val="single" w:sz="6" w:space="0" w:color="000000"/>
              <w:right w:val="single" w:sz="6" w:space="0" w:color="000000"/>
            </w:tcBorders>
          </w:tcPr>
          <w:p>
            <w:pPr>
              <w:pStyle w:val="TableParagraph"/>
              <w:spacing w:before="62"/>
              <w:ind w:left="120"/>
              <w:rPr>
                <w:sz w:val="25"/>
              </w:rPr>
            </w:pPr>
            <w:r>
              <w:rPr>
                <w:spacing w:val="-5"/>
                <w:sz w:val="25"/>
              </w:rPr>
              <w:t>11</w:t>
            </w:r>
          </w:p>
        </w:tc>
        <w:tc>
          <w:tcPr>
            <w:tcW w:w="959" w:type="dxa"/>
            <w:tcBorders>
              <w:top w:val="single" w:sz="6" w:space="0" w:color="000000"/>
              <w:left w:val="single" w:sz="6" w:space="0" w:color="000000"/>
            </w:tcBorders>
          </w:tcPr>
          <w:p>
            <w:pPr>
              <w:pStyle w:val="TableParagraph"/>
              <w:spacing w:before="62"/>
              <w:ind w:left="120"/>
              <w:rPr>
                <w:sz w:val="25"/>
              </w:rPr>
            </w:pPr>
            <w:r>
              <w:rPr>
                <w:spacing w:val="-5"/>
                <w:sz w:val="25"/>
              </w:rPr>
              <w:t>RfD</w:t>
            </w:r>
          </w:p>
        </w:tc>
        <w:tc>
          <w:tcPr>
            <w:tcW w:w="1584" w:type="dxa"/>
            <w:tcBorders>
              <w:top w:val="single" w:sz="6" w:space="0" w:color="000000"/>
            </w:tcBorders>
          </w:tcPr>
          <w:p>
            <w:pPr>
              <w:pStyle w:val="TableParagraph"/>
              <w:spacing w:line="364" w:lineRule="auto" w:before="62"/>
              <w:ind w:left="112" w:right="127"/>
              <w:rPr>
                <w:sz w:val="25"/>
              </w:rPr>
            </w:pPr>
            <w:r>
              <w:rPr>
                <w:spacing w:val="-2"/>
                <w:sz w:val="25"/>
              </w:rPr>
              <w:t>Chronic Reference Dose: ingestion</w:t>
            </w:r>
          </w:p>
        </w:tc>
        <w:tc>
          <w:tcPr>
            <w:tcW w:w="3287" w:type="dxa"/>
            <w:tcBorders>
              <w:top w:val="single" w:sz="6" w:space="0" w:color="000000"/>
              <w:right w:val="single" w:sz="6" w:space="0" w:color="000000"/>
            </w:tcBorders>
          </w:tcPr>
          <w:p>
            <w:pPr>
              <w:pStyle w:val="TableParagraph"/>
              <w:spacing w:before="62"/>
              <w:ind w:left="122"/>
              <w:rPr>
                <w:sz w:val="25"/>
              </w:rPr>
            </w:pPr>
            <w:r>
              <w:rPr>
                <w:w w:val="105"/>
                <w:sz w:val="25"/>
              </w:rPr>
              <w:t>Pb</w:t>
            </w:r>
            <w:r>
              <w:rPr>
                <w:spacing w:val="-12"/>
                <w:w w:val="105"/>
                <w:sz w:val="25"/>
              </w:rPr>
              <w:t> </w:t>
            </w:r>
            <w:r>
              <w:rPr>
                <w:w w:val="105"/>
                <w:sz w:val="25"/>
              </w:rPr>
              <w:t>(3</w:t>
            </w:r>
            <w:r>
              <w:rPr>
                <w:spacing w:val="-11"/>
                <w:w w:val="105"/>
                <w:sz w:val="25"/>
              </w:rPr>
              <w:t> </w:t>
            </w:r>
            <w:r>
              <w:rPr>
                <w:w w:val="105"/>
                <w:sz w:val="25"/>
              </w:rPr>
              <w:t>×</w:t>
            </w:r>
            <w:r>
              <w:rPr>
                <w:spacing w:val="-13"/>
                <w:w w:val="105"/>
                <w:sz w:val="25"/>
              </w:rPr>
              <w:t> </w:t>
            </w:r>
            <w:r>
              <w:rPr>
                <w:w w:val="105"/>
                <w:sz w:val="25"/>
              </w:rPr>
              <w:t>10</w:t>
            </w:r>
            <w:r>
              <w:rPr>
                <w:w w:val="105"/>
                <w:sz w:val="25"/>
                <w:vertAlign w:val="superscript"/>
              </w:rPr>
              <w:t>-3</w:t>
            </w:r>
            <w:r>
              <w:rPr>
                <w:w w:val="105"/>
                <w:sz w:val="25"/>
                <w:vertAlign w:val="baseline"/>
              </w:rPr>
              <w:t>),</w:t>
            </w:r>
            <w:r>
              <w:rPr>
                <w:spacing w:val="-12"/>
                <w:w w:val="105"/>
                <w:sz w:val="25"/>
                <w:vertAlign w:val="baseline"/>
              </w:rPr>
              <w:t> </w:t>
            </w:r>
            <w:r>
              <w:rPr>
                <w:w w:val="105"/>
                <w:sz w:val="25"/>
                <w:vertAlign w:val="baseline"/>
              </w:rPr>
              <w:t>Cd</w:t>
            </w:r>
            <w:r>
              <w:rPr>
                <w:spacing w:val="-11"/>
                <w:w w:val="105"/>
                <w:sz w:val="25"/>
                <w:vertAlign w:val="baseline"/>
              </w:rPr>
              <w:t> </w:t>
            </w:r>
            <w:r>
              <w:rPr>
                <w:w w:val="105"/>
                <w:sz w:val="25"/>
                <w:vertAlign w:val="baseline"/>
              </w:rPr>
              <w:t>(1×</w:t>
            </w:r>
            <w:r>
              <w:rPr>
                <w:spacing w:val="-13"/>
                <w:w w:val="105"/>
                <w:sz w:val="25"/>
                <w:vertAlign w:val="baseline"/>
              </w:rPr>
              <w:t> </w:t>
            </w:r>
            <w:r>
              <w:rPr>
                <w:w w:val="105"/>
                <w:sz w:val="25"/>
                <w:vertAlign w:val="baseline"/>
              </w:rPr>
              <w:t>10</w:t>
            </w:r>
            <w:r>
              <w:rPr>
                <w:w w:val="105"/>
                <w:sz w:val="25"/>
                <w:vertAlign w:val="superscript"/>
              </w:rPr>
              <w:t>-</w:t>
            </w:r>
            <w:r>
              <w:rPr>
                <w:spacing w:val="-5"/>
                <w:w w:val="105"/>
                <w:sz w:val="25"/>
                <w:vertAlign w:val="superscript"/>
              </w:rPr>
              <w:t>3</w:t>
            </w:r>
            <w:r>
              <w:rPr>
                <w:spacing w:val="-5"/>
                <w:w w:val="105"/>
                <w:sz w:val="25"/>
                <w:vertAlign w:val="baseline"/>
              </w:rPr>
              <w:t>),</w:t>
            </w:r>
          </w:p>
          <w:p>
            <w:pPr>
              <w:pStyle w:val="TableParagraph"/>
              <w:spacing w:before="190"/>
              <w:ind w:left="122"/>
              <w:rPr>
                <w:sz w:val="25"/>
              </w:rPr>
            </w:pPr>
            <w:r>
              <w:rPr>
                <w:sz w:val="25"/>
              </w:rPr>
              <w:t>Zn</w:t>
            </w:r>
            <w:r>
              <w:rPr>
                <w:spacing w:val="6"/>
                <w:sz w:val="25"/>
              </w:rPr>
              <w:t> </w:t>
            </w:r>
            <w:r>
              <w:rPr>
                <w:spacing w:val="-2"/>
                <w:sz w:val="25"/>
              </w:rPr>
              <w:t>(0.25),</w:t>
            </w:r>
          </w:p>
        </w:tc>
        <w:tc>
          <w:tcPr>
            <w:tcW w:w="1201" w:type="dxa"/>
            <w:tcBorders>
              <w:top w:val="single" w:sz="6" w:space="0" w:color="000000"/>
              <w:left w:val="single" w:sz="6" w:space="0" w:color="000000"/>
            </w:tcBorders>
          </w:tcPr>
          <w:p>
            <w:pPr>
              <w:pStyle w:val="TableParagraph"/>
              <w:spacing w:before="62"/>
              <w:ind w:left="120"/>
              <w:rPr>
                <w:sz w:val="25"/>
              </w:rPr>
            </w:pPr>
            <w:r>
              <w:rPr>
                <w:spacing w:val="-4"/>
                <w:sz w:val="25"/>
              </w:rPr>
              <w:t>Null</w:t>
            </w:r>
          </w:p>
        </w:tc>
        <w:tc>
          <w:tcPr>
            <w:tcW w:w="2201" w:type="dxa"/>
            <w:tcBorders>
              <w:top w:val="single" w:sz="6" w:space="0" w:color="000000"/>
            </w:tcBorders>
          </w:tcPr>
          <w:p>
            <w:pPr>
              <w:pStyle w:val="TableParagraph"/>
              <w:spacing w:before="62"/>
              <w:ind w:left="123"/>
              <w:rPr>
                <w:sz w:val="25"/>
              </w:rPr>
            </w:pPr>
            <w:r>
              <w:rPr>
                <w:spacing w:val="-2"/>
                <w:sz w:val="25"/>
              </w:rPr>
              <w:t>mg/kg/day</w:t>
            </w:r>
          </w:p>
        </w:tc>
      </w:tr>
      <w:tr>
        <w:trPr>
          <w:trHeight w:val="1127" w:hRule="atLeast"/>
        </w:trPr>
        <w:tc>
          <w:tcPr>
            <w:tcW w:w="627" w:type="dxa"/>
            <w:tcBorders>
              <w:left w:val="single" w:sz="6" w:space="0" w:color="000000"/>
              <w:right w:val="single" w:sz="6" w:space="0" w:color="000000"/>
            </w:tcBorders>
          </w:tcPr>
          <w:p>
            <w:pPr>
              <w:pStyle w:val="TableParagraph"/>
              <w:spacing w:before="65"/>
              <w:ind w:left="120"/>
              <w:rPr>
                <w:sz w:val="25"/>
              </w:rPr>
            </w:pPr>
            <w:r>
              <w:rPr>
                <w:spacing w:val="-5"/>
                <w:sz w:val="25"/>
              </w:rPr>
              <w:t>12</w:t>
            </w:r>
          </w:p>
        </w:tc>
        <w:tc>
          <w:tcPr>
            <w:tcW w:w="959" w:type="dxa"/>
            <w:tcBorders>
              <w:left w:val="single" w:sz="6" w:space="0" w:color="000000"/>
            </w:tcBorders>
          </w:tcPr>
          <w:p>
            <w:pPr>
              <w:pStyle w:val="TableParagraph"/>
              <w:spacing w:before="65"/>
              <w:ind w:left="120"/>
              <w:rPr>
                <w:sz w:val="25"/>
              </w:rPr>
            </w:pPr>
            <w:r>
              <w:rPr>
                <w:spacing w:val="-5"/>
                <w:sz w:val="25"/>
              </w:rPr>
              <w:t>SF</w:t>
            </w:r>
          </w:p>
        </w:tc>
        <w:tc>
          <w:tcPr>
            <w:tcW w:w="1584" w:type="dxa"/>
          </w:tcPr>
          <w:p>
            <w:pPr>
              <w:pStyle w:val="TableParagraph"/>
              <w:spacing w:line="264" w:lineRule="auto" w:before="65"/>
              <w:ind w:left="112"/>
              <w:rPr>
                <w:sz w:val="25"/>
              </w:rPr>
            </w:pPr>
            <w:r>
              <w:rPr>
                <w:spacing w:val="-2"/>
                <w:sz w:val="25"/>
              </w:rPr>
              <w:t>Carcinogenic </w:t>
            </w:r>
            <w:r>
              <w:rPr>
                <w:sz w:val="25"/>
              </w:rPr>
              <w:t>slope factor</w:t>
            </w:r>
          </w:p>
        </w:tc>
        <w:tc>
          <w:tcPr>
            <w:tcW w:w="3287" w:type="dxa"/>
            <w:tcBorders>
              <w:right w:val="single" w:sz="6" w:space="0" w:color="000000"/>
            </w:tcBorders>
          </w:tcPr>
          <w:p>
            <w:pPr>
              <w:pStyle w:val="TableParagraph"/>
              <w:spacing w:before="65"/>
              <w:ind w:left="122"/>
              <w:rPr>
                <w:sz w:val="25"/>
              </w:rPr>
            </w:pPr>
            <w:r>
              <w:rPr>
                <w:sz w:val="25"/>
              </w:rPr>
              <w:t>Pb</w:t>
            </w:r>
            <w:r>
              <w:rPr>
                <w:spacing w:val="9"/>
                <w:sz w:val="25"/>
              </w:rPr>
              <w:t> </w:t>
            </w:r>
            <w:r>
              <w:rPr>
                <w:sz w:val="25"/>
              </w:rPr>
              <w:t>(8.5</w:t>
            </w:r>
            <w:r>
              <w:rPr>
                <w:spacing w:val="8"/>
                <w:sz w:val="25"/>
              </w:rPr>
              <w:t> </w:t>
            </w:r>
            <w:r>
              <w:rPr>
                <w:sz w:val="25"/>
              </w:rPr>
              <w:t>×</w:t>
            </w:r>
            <w:r>
              <w:rPr>
                <w:spacing w:val="8"/>
                <w:sz w:val="25"/>
              </w:rPr>
              <w:t> </w:t>
            </w:r>
            <w:r>
              <w:rPr>
                <w:sz w:val="25"/>
              </w:rPr>
              <w:t>10</w:t>
            </w:r>
            <w:r>
              <w:rPr>
                <w:sz w:val="25"/>
                <w:vertAlign w:val="superscript"/>
              </w:rPr>
              <w:t>-3</w:t>
            </w:r>
            <w:r>
              <w:rPr>
                <w:sz w:val="25"/>
                <w:vertAlign w:val="baseline"/>
              </w:rPr>
              <w:t>),</w:t>
            </w:r>
            <w:r>
              <w:rPr>
                <w:spacing w:val="9"/>
                <w:sz w:val="25"/>
                <w:vertAlign w:val="baseline"/>
              </w:rPr>
              <w:t> </w:t>
            </w:r>
            <w:r>
              <w:rPr>
                <w:sz w:val="25"/>
                <w:vertAlign w:val="baseline"/>
              </w:rPr>
              <w:t>Cr</w:t>
            </w:r>
            <w:r>
              <w:rPr>
                <w:spacing w:val="8"/>
                <w:sz w:val="25"/>
                <w:vertAlign w:val="baseline"/>
              </w:rPr>
              <w:t> </w:t>
            </w:r>
            <w:r>
              <w:rPr>
                <w:sz w:val="25"/>
                <w:vertAlign w:val="baseline"/>
              </w:rPr>
              <w:t>(0.5),</w:t>
            </w:r>
            <w:r>
              <w:rPr>
                <w:spacing w:val="-5"/>
                <w:sz w:val="25"/>
                <w:vertAlign w:val="baseline"/>
              </w:rPr>
              <w:t> As</w:t>
            </w:r>
          </w:p>
          <w:p>
            <w:pPr>
              <w:pStyle w:val="TableParagraph"/>
              <w:spacing w:before="169"/>
              <w:ind w:left="122"/>
              <w:rPr>
                <w:sz w:val="25"/>
              </w:rPr>
            </w:pPr>
            <w:r>
              <w:rPr>
                <w:sz w:val="25"/>
              </w:rPr>
              <w:t>(1.5),</w:t>
            </w:r>
            <w:r>
              <w:rPr>
                <w:spacing w:val="8"/>
                <w:sz w:val="25"/>
              </w:rPr>
              <w:t> </w:t>
            </w:r>
            <w:r>
              <w:rPr>
                <w:sz w:val="25"/>
              </w:rPr>
              <w:t>Cd</w:t>
            </w:r>
            <w:r>
              <w:rPr>
                <w:spacing w:val="8"/>
                <w:sz w:val="25"/>
              </w:rPr>
              <w:t> </w:t>
            </w:r>
            <w:r>
              <w:rPr>
                <w:spacing w:val="-2"/>
                <w:sz w:val="25"/>
              </w:rPr>
              <w:t>(0.38)</w:t>
            </w:r>
          </w:p>
        </w:tc>
        <w:tc>
          <w:tcPr>
            <w:tcW w:w="1201" w:type="dxa"/>
            <w:tcBorders>
              <w:left w:val="single" w:sz="6" w:space="0" w:color="000000"/>
            </w:tcBorders>
          </w:tcPr>
          <w:p>
            <w:pPr>
              <w:pStyle w:val="TableParagraph"/>
              <w:spacing w:before="65"/>
              <w:ind w:left="120"/>
              <w:rPr>
                <w:sz w:val="25"/>
              </w:rPr>
            </w:pPr>
            <w:r>
              <w:rPr>
                <w:spacing w:val="-4"/>
                <w:sz w:val="25"/>
              </w:rPr>
              <w:t>Null</w:t>
            </w:r>
          </w:p>
        </w:tc>
        <w:tc>
          <w:tcPr>
            <w:tcW w:w="2201" w:type="dxa"/>
          </w:tcPr>
          <w:p>
            <w:pPr>
              <w:pStyle w:val="TableParagraph"/>
              <w:spacing w:before="65"/>
              <w:ind w:left="123"/>
              <w:rPr>
                <w:sz w:val="25"/>
              </w:rPr>
            </w:pPr>
            <w:r>
              <w:rPr>
                <w:spacing w:val="-2"/>
                <w:w w:val="105"/>
                <w:sz w:val="25"/>
              </w:rPr>
              <w:t>(mg/kg/day)</w:t>
            </w:r>
            <w:r>
              <w:rPr>
                <w:spacing w:val="-2"/>
                <w:w w:val="105"/>
                <w:sz w:val="25"/>
                <w:vertAlign w:val="superscript"/>
              </w:rPr>
              <w:t>−1</w:t>
            </w:r>
          </w:p>
        </w:tc>
      </w:tr>
    </w:tbl>
    <w:p>
      <w:pPr>
        <w:pStyle w:val="TableParagraph"/>
        <w:spacing w:after="0"/>
        <w:rPr>
          <w:sz w:val="25"/>
        </w:rPr>
        <w:sectPr>
          <w:pgSz w:w="12240" w:h="15840"/>
          <w:pgMar w:header="0" w:footer="1674" w:top="1460" w:bottom="1860" w:left="360" w:right="0"/>
        </w:sectPr>
      </w:pPr>
    </w:p>
    <w:p>
      <w:pPr>
        <w:pStyle w:val="Heading1"/>
        <w:numPr>
          <w:ilvl w:val="2"/>
          <w:numId w:val="7"/>
        </w:numPr>
        <w:tabs>
          <w:tab w:pos="1167" w:val="left" w:leader="none"/>
          <w:tab w:pos="1727" w:val="left" w:leader="none"/>
        </w:tabs>
        <w:spacing w:line="487" w:lineRule="auto" w:before="74" w:after="0"/>
        <w:ind w:left="1167" w:right="2850" w:hanging="13"/>
        <w:jc w:val="left"/>
      </w:pPr>
      <w:r>
        <w:rPr/>
        <w:t>HEAVY</w:t>
      </w:r>
      <w:r>
        <w:rPr>
          <w:spacing w:val="-8"/>
        </w:rPr>
        <w:t> </w:t>
      </w:r>
      <w:r>
        <w:rPr/>
        <w:t>METALS DISTRIBUTION IN</w:t>
      </w:r>
      <w:r>
        <w:rPr>
          <w:spacing w:val="-4"/>
        </w:rPr>
        <w:t> </w:t>
      </w:r>
      <w:r>
        <w:rPr/>
        <w:t>WATER</w:t>
      </w:r>
      <w:r>
        <w:rPr>
          <w:spacing w:val="-15"/>
        </w:rPr>
        <w:t> </w:t>
      </w:r>
      <w:r>
        <w:rPr/>
        <w:t>AND SEDIMENT </w:t>
      </w:r>
      <w:r>
        <w:rPr>
          <w:spacing w:val="-2"/>
        </w:rPr>
        <w:t>SAMPLES.</w:t>
      </w:r>
    </w:p>
    <w:p>
      <w:pPr>
        <w:pStyle w:val="BodyText"/>
        <w:spacing w:line="491" w:lineRule="auto" w:before="166"/>
        <w:ind w:left="1167" w:right="1775" w:hanging="13"/>
        <w:jc w:val="both"/>
      </w:pPr>
      <w:r>
        <w:rPr/>
        <w:t>The statistical analysis of heavy metal concentrations is presented in Tables 1 and 2. Results show that both the arithmetic mean and 50th percentile values for Pb, Cd, Cr,</w:t>
      </w:r>
      <w:r>
        <w:rPr>
          <w:spacing w:val="40"/>
        </w:rPr>
        <w:t> </w:t>
      </w:r>
      <w:r>
        <w:rPr/>
        <w:t>Co, and</w:t>
      </w:r>
      <w:r>
        <w:rPr>
          <w:spacing w:val="-14"/>
        </w:rPr>
        <w:t> </w:t>
      </w:r>
      <w:r>
        <w:rPr/>
        <w:t>As are</w:t>
      </w:r>
      <w:r>
        <w:rPr>
          <w:spacing w:val="-1"/>
        </w:rPr>
        <w:t> </w:t>
      </w:r>
      <w:r>
        <w:rPr/>
        <w:t>generally higher in sediment samples than in water samples. In water, the mean concentration of heavy metals increases in the order: Cd &lt;</w:t>
      </w:r>
      <w:r>
        <w:rPr>
          <w:spacing w:val="-10"/>
        </w:rPr>
        <w:t> </w:t>
      </w:r>
      <w:r>
        <w:rPr/>
        <w:t>As &lt; Cr &lt; Pb &lt; Co. For sediment samples, the order is: Cd &lt; As &lt; Cr &lt; Co &lt; Pb. This distribution pattern indicates that the presence of these metals varies across media and is influenced by their concentration levels in each.</w:t>
      </w:r>
    </w:p>
    <w:p>
      <w:pPr>
        <w:pStyle w:val="BodyText"/>
        <w:spacing w:before="170"/>
        <w:ind w:left="1155"/>
        <w:jc w:val="both"/>
      </w:pPr>
      <w:r>
        <w:rPr/>
        <w:t>When</w:t>
      </w:r>
      <w:r>
        <w:rPr>
          <w:spacing w:val="7"/>
        </w:rPr>
        <w:t> </w:t>
      </w:r>
      <w:r>
        <w:rPr/>
        <w:t>arranged</w:t>
      </w:r>
      <w:r>
        <w:rPr>
          <w:spacing w:val="8"/>
        </w:rPr>
        <w:t> </w:t>
      </w:r>
      <w:r>
        <w:rPr/>
        <w:t>in</w:t>
      </w:r>
      <w:r>
        <w:rPr>
          <w:spacing w:val="9"/>
        </w:rPr>
        <w:t> </w:t>
      </w:r>
      <w:r>
        <w:rPr/>
        <w:t>decreasing</w:t>
      </w:r>
      <w:r>
        <w:rPr>
          <w:spacing w:val="9"/>
        </w:rPr>
        <w:t> </w:t>
      </w:r>
      <w:r>
        <w:rPr/>
        <w:t>order,</w:t>
      </w:r>
      <w:r>
        <w:rPr>
          <w:spacing w:val="8"/>
        </w:rPr>
        <w:t> </w:t>
      </w:r>
      <w:r>
        <w:rPr/>
        <w:t>the</w:t>
      </w:r>
      <w:r>
        <w:rPr>
          <w:spacing w:val="8"/>
        </w:rPr>
        <w:t> </w:t>
      </w:r>
      <w:r>
        <w:rPr/>
        <w:t>distribution</w:t>
      </w:r>
      <w:r>
        <w:rPr>
          <w:spacing w:val="8"/>
        </w:rPr>
        <w:t> </w:t>
      </w:r>
      <w:r>
        <w:rPr/>
        <w:t>remains</w:t>
      </w:r>
      <w:r>
        <w:rPr>
          <w:spacing w:val="8"/>
        </w:rPr>
        <w:t> </w:t>
      </w:r>
      <w:r>
        <w:rPr/>
        <w:t>consistent:</w:t>
      </w:r>
      <w:r>
        <w:rPr>
          <w:spacing w:val="9"/>
        </w:rPr>
        <w:t> </w:t>
      </w:r>
      <w:r>
        <w:rPr/>
        <w:t>Cd</w:t>
      </w:r>
      <w:r>
        <w:rPr>
          <w:spacing w:val="8"/>
        </w:rPr>
        <w:t> </w:t>
      </w:r>
      <w:r>
        <w:rPr/>
        <w:t>&lt;</w:t>
      </w:r>
      <w:r>
        <w:rPr>
          <w:spacing w:val="-11"/>
        </w:rPr>
        <w:t> </w:t>
      </w:r>
      <w:r>
        <w:rPr/>
        <w:t>As</w:t>
      </w:r>
      <w:r>
        <w:rPr>
          <w:spacing w:val="8"/>
        </w:rPr>
        <w:t> </w:t>
      </w:r>
      <w:r>
        <w:rPr/>
        <w:t>&lt;</w:t>
      </w:r>
      <w:r>
        <w:rPr>
          <w:spacing w:val="6"/>
        </w:rPr>
        <w:t> </w:t>
      </w:r>
      <w:r>
        <w:rPr>
          <w:spacing w:val="-5"/>
        </w:rPr>
        <w:t>Cr</w:t>
      </w:r>
    </w:p>
    <w:p>
      <w:pPr>
        <w:pStyle w:val="BodyText"/>
        <w:spacing w:before="19"/>
      </w:pPr>
    </w:p>
    <w:p>
      <w:pPr>
        <w:pStyle w:val="BodyText"/>
        <w:spacing w:line="494" w:lineRule="auto" w:before="1"/>
        <w:ind w:left="1167" w:right="2055"/>
        <w:jc w:val="both"/>
      </w:pPr>
      <w:r>
        <w:rPr/>
        <w:t>&lt; Pb &lt; Co for water, and Cd &lt;</w:t>
      </w:r>
      <w:r>
        <w:rPr>
          <w:spacing w:val="-4"/>
        </w:rPr>
        <w:t> </w:t>
      </w:r>
      <w:r>
        <w:rPr/>
        <w:t>As &lt; Cr &lt; Co &lt; Pb for sediments. This suggests that metal accumulation is medium-specific, with certain elements more concentrated in one than the other.</w:t>
      </w:r>
    </w:p>
    <w:p>
      <w:pPr>
        <w:pStyle w:val="BodyText"/>
        <w:spacing w:line="491" w:lineRule="auto" w:before="164"/>
        <w:ind w:left="1167" w:right="1777" w:hanging="13"/>
        <w:jc w:val="both"/>
      </w:pPr>
      <w:r>
        <w:rPr/>
        <w:t>The</w:t>
      </w:r>
      <w:r>
        <w:rPr>
          <w:spacing w:val="-1"/>
        </w:rPr>
        <w:t> </w:t>
      </w:r>
      <w:r>
        <w:rPr/>
        <w:t>coefficient of</w:t>
      </w:r>
      <w:r>
        <w:rPr>
          <w:spacing w:val="-1"/>
        </w:rPr>
        <w:t> </w:t>
      </w:r>
      <w:r>
        <w:rPr/>
        <w:t>variation (CV)</w:t>
      </w:r>
      <w:r>
        <w:rPr>
          <w:spacing w:val="-1"/>
        </w:rPr>
        <w:t> </w:t>
      </w:r>
      <w:r>
        <w:rPr/>
        <w:t>was used to assess the dispersion of</w:t>
      </w:r>
      <w:r>
        <w:rPr>
          <w:spacing w:val="-1"/>
        </w:rPr>
        <w:t> </w:t>
      </w:r>
      <w:r>
        <w:rPr/>
        <w:t>metals in the study area (refer to</w:t>
      </w:r>
      <w:r>
        <w:rPr>
          <w:spacing w:val="-1"/>
        </w:rPr>
        <w:t> </w:t>
      </w:r>
      <w:r>
        <w:rPr/>
        <w:t>Table 4).</w:t>
      </w:r>
      <w:r>
        <w:rPr>
          <w:spacing w:val="-14"/>
        </w:rPr>
        <w:t> </w:t>
      </w:r>
      <w:r>
        <w:rPr/>
        <w:t>All metals demonstrated high variability in water samples, except Cobalt (Co), which showed moderate variability. In sediment samples, only Lead (Pb) and Cobalt (Co) showed high variability, while Cadmium (Cd), Chromium (Cr), and Arsenic (As) exhibited moderate variation.</w:t>
      </w:r>
    </w:p>
    <w:p>
      <w:pPr>
        <w:pStyle w:val="BodyText"/>
        <w:spacing w:after="0" w:line="491" w:lineRule="auto"/>
        <w:jc w:val="both"/>
        <w:sectPr>
          <w:pgSz w:w="12240" w:h="15840"/>
          <w:pgMar w:header="0" w:footer="1674" w:top="1460" w:bottom="1860" w:left="360" w:right="0"/>
        </w:sectPr>
      </w:pPr>
    </w:p>
    <w:p>
      <w:pPr>
        <w:spacing w:before="74"/>
        <w:ind w:left="1173" w:right="0" w:firstLine="0"/>
        <w:jc w:val="left"/>
        <w:rPr>
          <w:sz w:val="25"/>
        </w:rPr>
      </w:pPr>
      <w:r>
        <w:rPr>
          <w:b/>
          <w:sz w:val="25"/>
        </w:rPr>
        <w:t>Table</w:t>
      </w:r>
      <w:r>
        <w:rPr>
          <w:b/>
          <w:spacing w:val="8"/>
          <w:sz w:val="25"/>
        </w:rPr>
        <w:t> </w:t>
      </w:r>
      <w:r>
        <w:rPr>
          <w:b/>
          <w:sz w:val="25"/>
        </w:rPr>
        <w:t>4.3:</w:t>
      </w:r>
      <w:r>
        <w:rPr>
          <w:b/>
          <w:spacing w:val="7"/>
          <w:sz w:val="25"/>
        </w:rPr>
        <w:t> </w:t>
      </w:r>
      <w:r>
        <w:rPr>
          <w:sz w:val="25"/>
        </w:rPr>
        <w:t>Degree</w:t>
      </w:r>
      <w:r>
        <w:rPr>
          <w:spacing w:val="7"/>
          <w:sz w:val="25"/>
        </w:rPr>
        <w:t> </w:t>
      </w:r>
      <w:r>
        <w:rPr>
          <w:sz w:val="25"/>
        </w:rPr>
        <w:t>of</w:t>
      </w:r>
      <w:r>
        <w:rPr>
          <w:spacing w:val="9"/>
          <w:sz w:val="25"/>
        </w:rPr>
        <w:t> </w:t>
      </w:r>
      <w:r>
        <w:rPr>
          <w:sz w:val="25"/>
        </w:rPr>
        <w:t>variation</w:t>
      </w:r>
      <w:r>
        <w:rPr>
          <w:spacing w:val="8"/>
          <w:sz w:val="25"/>
        </w:rPr>
        <w:t> </w:t>
      </w:r>
      <w:r>
        <w:rPr>
          <w:sz w:val="25"/>
        </w:rPr>
        <w:t>and</w:t>
      </w:r>
      <w:r>
        <w:rPr>
          <w:spacing w:val="8"/>
          <w:sz w:val="25"/>
        </w:rPr>
        <w:t> </w:t>
      </w:r>
      <w:r>
        <w:rPr>
          <w:sz w:val="25"/>
        </w:rPr>
        <w:t>its</w:t>
      </w:r>
      <w:r>
        <w:rPr>
          <w:spacing w:val="8"/>
          <w:sz w:val="25"/>
        </w:rPr>
        <w:t> </w:t>
      </w:r>
      <w:r>
        <w:rPr>
          <w:sz w:val="25"/>
        </w:rPr>
        <w:t>indication.</w:t>
      </w:r>
      <w:r>
        <w:rPr>
          <w:spacing w:val="9"/>
          <w:sz w:val="25"/>
        </w:rPr>
        <w:t> </w:t>
      </w:r>
      <w:r>
        <w:rPr>
          <w:sz w:val="25"/>
        </w:rPr>
        <w:t>Karim</w:t>
      </w:r>
      <w:r>
        <w:rPr>
          <w:spacing w:val="10"/>
          <w:sz w:val="25"/>
        </w:rPr>
        <w:t> </w:t>
      </w:r>
      <w:r>
        <w:rPr>
          <w:i/>
          <w:sz w:val="25"/>
        </w:rPr>
        <w:t>et</w:t>
      </w:r>
      <w:r>
        <w:rPr>
          <w:i/>
          <w:spacing w:val="9"/>
          <w:sz w:val="25"/>
        </w:rPr>
        <w:t> </w:t>
      </w:r>
      <w:r>
        <w:rPr>
          <w:i/>
          <w:sz w:val="25"/>
        </w:rPr>
        <w:t>al.,</w:t>
      </w:r>
      <w:r>
        <w:rPr>
          <w:i/>
          <w:spacing w:val="8"/>
          <w:sz w:val="25"/>
        </w:rPr>
        <w:t> </w:t>
      </w:r>
      <w:r>
        <w:rPr>
          <w:spacing w:val="-2"/>
          <w:sz w:val="25"/>
        </w:rPr>
        <w:t>2015.</w:t>
      </w:r>
    </w:p>
    <w:p>
      <w:pPr>
        <w:spacing w:before="28"/>
        <w:ind w:left="1282" w:right="0" w:firstLine="0"/>
        <w:jc w:val="left"/>
        <w:rPr>
          <w:rFonts w:ascii="Calibri"/>
          <w:b/>
          <w:sz w:val="23"/>
        </w:rPr>
      </w:pPr>
      <w:r>
        <w:rPr>
          <w:rFonts w:ascii="Calibri"/>
          <w:b/>
          <w:sz w:val="23"/>
        </w:rPr>
        <w:t>x; coefficient</w:t>
      </w:r>
      <w:r>
        <w:rPr>
          <w:rFonts w:ascii="Calibri"/>
          <w:b/>
          <w:spacing w:val="2"/>
          <w:sz w:val="23"/>
        </w:rPr>
        <w:t> </w:t>
      </w:r>
      <w:r>
        <w:rPr>
          <w:rFonts w:ascii="Calibri"/>
          <w:b/>
          <w:sz w:val="23"/>
        </w:rPr>
        <w:t>of</w:t>
      </w:r>
      <w:r>
        <w:rPr>
          <w:rFonts w:ascii="Calibri"/>
          <w:b/>
          <w:spacing w:val="1"/>
          <w:sz w:val="23"/>
        </w:rPr>
        <w:t> </w:t>
      </w:r>
      <w:r>
        <w:rPr>
          <w:rFonts w:ascii="Calibri"/>
          <w:b/>
          <w:spacing w:val="-2"/>
          <w:sz w:val="23"/>
        </w:rPr>
        <w:t>variation</w:t>
      </w:r>
    </w:p>
    <w:p>
      <w:pPr>
        <w:pStyle w:val="BodyText"/>
        <w:rPr>
          <w:rFonts w:ascii="Calibri"/>
          <w:b/>
          <w:sz w:val="20"/>
        </w:rPr>
      </w:pPr>
    </w:p>
    <w:p>
      <w:pPr>
        <w:pStyle w:val="BodyText"/>
        <w:spacing w:before="3"/>
        <w:rPr>
          <w:rFonts w:ascii="Calibri"/>
          <w:b/>
          <w:sz w:val="20"/>
        </w:rPr>
      </w:pPr>
    </w:p>
    <w:tbl>
      <w:tblPr>
        <w:tblW w:w="0" w:type="auto"/>
        <w:jc w:val="left"/>
        <w:tblInd w:w="13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653"/>
        <w:gridCol w:w="3165"/>
      </w:tblGrid>
      <w:tr>
        <w:trPr>
          <w:trHeight w:val="296" w:hRule="atLeast"/>
        </w:trPr>
        <w:tc>
          <w:tcPr>
            <w:tcW w:w="2653" w:type="dxa"/>
            <w:tcBorders>
              <w:bottom w:val="single" w:sz="4" w:space="0" w:color="000000"/>
              <w:right w:val="single" w:sz="4" w:space="0" w:color="000000"/>
            </w:tcBorders>
          </w:tcPr>
          <w:p>
            <w:pPr>
              <w:pStyle w:val="TableParagraph"/>
              <w:spacing w:before="2"/>
              <w:ind w:left="104"/>
              <w:rPr>
                <w:sz w:val="23"/>
              </w:rPr>
            </w:pPr>
            <w:r>
              <w:rPr>
                <w:sz w:val="23"/>
              </w:rPr>
              <w:t>Degree</w:t>
            </w:r>
            <w:r>
              <w:rPr>
                <w:spacing w:val="7"/>
                <w:sz w:val="23"/>
              </w:rPr>
              <w:t> </w:t>
            </w:r>
            <w:r>
              <w:rPr>
                <w:sz w:val="23"/>
              </w:rPr>
              <w:t>of</w:t>
            </w:r>
            <w:r>
              <w:rPr>
                <w:spacing w:val="4"/>
                <w:sz w:val="23"/>
              </w:rPr>
              <w:t> </w:t>
            </w:r>
            <w:r>
              <w:rPr>
                <w:spacing w:val="-2"/>
                <w:sz w:val="23"/>
              </w:rPr>
              <w:t>Variation</w:t>
            </w:r>
          </w:p>
        </w:tc>
        <w:tc>
          <w:tcPr>
            <w:tcW w:w="3165" w:type="dxa"/>
            <w:tcBorders>
              <w:left w:val="single" w:sz="4" w:space="0" w:color="000000"/>
              <w:bottom w:val="single" w:sz="4" w:space="0" w:color="000000"/>
              <w:right w:val="single" w:sz="4" w:space="0" w:color="000000"/>
            </w:tcBorders>
          </w:tcPr>
          <w:p>
            <w:pPr>
              <w:pStyle w:val="TableParagraph"/>
              <w:spacing w:before="2"/>
              <w:ind w:left="127"/>
              <w:rPr>
                <w:sz w:val="23"/>
              </w:rPr>
            </w:pPr>
            <w:r>
              <w:rPr>
                <w:spacing w:val="-2"/>
                <w:sz w:val="23"/>
              </w:rPr>
              <w:t>Indication</w:t>
            </w:r>
          </w:p>
        </w:tc>
      </w:tr>
      <w:tr>
        <w:trPr>
          <w:trHeight w:val="293" w:hRule="atLeast"/>
        </w:trPr>
        <w:tc>
          <w:tcPr>
            <w:tcW w:w="2653" w:type="dxa"/>
            <w:tcBorders>
              <w:top w:val="single" w:sz="4" w:space="0" w:color="000000"/>
              <w:right w:val="single" w:sz="4" w:space="0" w:color="000000"/>
            </w:tcBorders>
          </w:tcPr>
          <w:p>
            <w:pPr>
              <w:pStyle w:val="TableParagraph"/>
              <w:spacing w:before="4"/>
              <w:ind w:left="104"/>
              <w:rPr>
                <w:sz w:val="23"/>
              </w:rPr>
            </w:pPr>
            <w:r>
              <w:rPr>
                <w:spacing w:val="-2"/>
                <w:sz w:val="23"/>
              </w:rPr>
              <w:t>X&lt;20%</w:t>
            </w:r>
          </w:p>
        </w:tc>
        <w:tc>
          <w:tcPr>
            <w:tcW w:w="3165" w:type="dxa"/>
            <w:tcBorders>
              <w:top w:val="single" w:sz="4" w:space="0" w:color="000000"/>
              <w:left w:val="single" w:sz="4" w:space="0" w:color="000000"/>
              <w:right w:val="single" w:sz="4" w:space="0" w:color="000000"/>
            </w:tcBorders>
          </w:tcPr>
          <w:p>
            <w:pPr>
              <w:pStyle w:val="TableParagraph"/>
              <w:spacing w:before="4"/>
              <w:ind w:left="127"/>
              <w:rPr>
                <w:sz w:val="23"/>
              </w:rPr>
            </w:pPr>
            <w:r>
              <w:rPr>
                <w:sz w:val="23"/>
              </w:rPr>
              <w:t>Low</w:t>
            </w:r>
            <w:r>
              <w:rPr>
                <w:spacing w:val="5"/>
                <w:sz w:val="23"/>
              </w:rPr>
              <w:t> </w:t>
            </w:r>
            <w:r>
              <w:rPr>
                <w:spacing w:val="-2"/>
                <w:sz w:val="23"/>
              </w:rPr>
              <w:t>variability</w:t>
            </w:r>
          </w:p>
        </w:tc>
      </w:tr>
      <w:tr>
        <w:trPr>
          <w:trHeight w:val="296" w:hRule="atLeast"/>
        </w:trPr>
        <w:tc>
          <w:tcPr>
            <w:tcW w:w="2653" w:type="dxa"/>
            <w:vMerge w:val="restart"/>
            <w:tcBorders>
              <w:bottom w:val="single" w:sz="4" w:space="0" w:color="000000"/>
              <w:right w:val="single" w:sz="4" w:space="0" w:color="000000"/>
            </w:tcBorders>
          </w:tcPr>
          <w:p>
            <w:pPr>
              <w:pStyle w:val="TableParagraph"/>
              <w:ind w:left="2" w:right="-15"/>
              <w:rPr>
                <w:rFonts w:ascii="Calibri"/>
                <w:sz w:val="20"/>
              </w:rPr>
            </w:pPr>
            <w:r>
              <w:rPr>
                <w:rFonts w:ascii="Calibri"/>
                <w:sz w:val="20"/>
              </w:rPr>
              <w:drawing>
                <wp:inline distT="0" distB="0" distL="0" distR="0">
                  <wp:extent cx="1656513" cy="194309"/>
                  <wp:effectExtent l="0" t="0" r="0" b="0"/>
                  <wp:docPr id="15" name="Image 15"/>
                  <wp:cNvGraphicFramePr>
                    <a:graphicFrameLocks/>
                  </wp:cNvGraphicFramePr>
                  <a:graphic>
                    <a:graphicData uri="http://schemas.openxmlformats.org/drawingml/2006/picture">
                      <pic:pic>
                        <pic:nvPicPr>
                          <pic:cNvPr id="15" name="Image 15"/>
                          <pic:cNvPicPr/>
                        </pic:nvPicPr>
                        <pic:blipFill>
                          <a:blip r:embed="rId19" cstate="print"/>
                          <a:stretch>
                            <a:fillRect/>
                          </a:stretch>
                        </pic:blipFill>
                        <pic:spPr>
                          <a:xfrm>
                            <a:off x="0" y="0"/>
                            <a:ext cx="1656513" cy="194309"/>
                          </a:xfrm>
                          <a:prstGeom prst="rect">
                            <a:avLst/>
                          </a:prstGeom>
                        </pic:spPr>
                      </pic:pic>
                    </a:graphicData>
                  </a:graphic>
                </wp:inline>
              </w:drawing>
            </w:r>
            <w:r>
              <w:rPr>
                <w:rFonts w:ascii="Calibri"/>
                <w:sz w:val="20"/>
              </w:rPr>
            </w:r>
          </w:p>
          <w:p>
            <w:pPr>
              <w:pStyle w:val="TableParagraph"/>
              <w:spacing w:before="81"/>
              <w:ind w:left="104"/>
              <w:rPr>
                <w:sz w:val="23"/>
              </w:rPr>
            </w:pPr>
            <w:r>
              <w:rPr>
                <w:sz w:val="23"/>
              </w:rPr>
              <w:t>50%</w:t>
            </w:r>
            <w:r>
              <w:rPr>
                <w:spacing w:val="4"/>
                <w:sz w:val="23"/>
              </w:rPr>
              <w:t> </w:t>
            </w:r>
            <w:r>
              <w:rPr>
                <w:sz w:val="23"/>
              </w:rPr>
              <w:t>&lt;</w:t>
            </w:r>
            <w:r>
              <w:rPr>
                <w:spacing w:val="4"/>
                <w:sz w:val="23"/>
              </w:rPr>
              <w:t> </w:t>
            </w:r>
            <w:r>
              <w:rPr>
                <w:sz w:val="23"/>
              </w:rPr>
              <w:t>X</w:t>
            </w:r>
            <w:r>
              <w:rPr>
                <w:spacing w:val="65"/>
                <w:sz w:val="23"/>
              </w:rPr>
              <w:t> </w:t>
            </w:r>
            <w:r>
              <w:rPr>
                <w:sz w:val="23"/>
              </w:rPr>
              <w:t>≤</w:t>
            </w:r>
            <w:r>
              <w:rPr>
                <w:spacing w:val="2"/>
                <w:sz w:val="23"/>
              </w:rPr>
              <w:t> </w:t>
            </w:r>
            <w:r>
              <w:rPr>
                <w:spacing w:val="-4"/>
                <w:sz w:val="23"/>
              </w:rPr>
              <w:t>100%</w:t>
            </w:r>
          </w:p>
        </w:tc>
        <w:tc>
          <w:tcPr>
            <w:tcW w:w="3165" w:type="dxa"/>
            <w:tcBorders>
              <w:left w:val="single" w:sz="4" w:space="0" w:color="000000"/>
              <w:bottom w:val="single" w:sz="4" w:space="0" w:color="000000"/>
              <w:right w:val="single" w:sz="4" w:space="0" w:color="000000"/>
            </w:tcBorders>
          </w:tcPr>
          <w:p>
            <w:pPr>
              <w:pStyle w:val="TableParagraph"/>
              <w:spacing w:before="4"/>
              <w:ind w:left="127"/>
              <w:rPr>
                <w:sz w:val="23"/>
              </w:rPr>
            </w:pPr>
            <w:r>
              <w:rPr>
                <w:sz w:val="23"/>
              </w:rPr>
              <w:t>Moderate</w:t>
            </w:r>
            <w:r>
              <w:rPr>
                <w:spacing w:val="9"/>
                <w:sz w:val="23"/>
              </w:rPr>
              <w:t> </w:t>
            </w:r>
            <w:r>
              <w:rPr>
                <w:spacing w:val="-2"/>
                <w:sz w:val="23"/>
              </w:rPr>
              <w:t>Variability</w:t>
            </w:r>
          </w:p>
        </w:tc>
      </w:tr>
      <w:tr>
        <w:trPr>
          <w:trHeight w:val="375" w:hRule="atLeast"/>
        </w:trPr>
        <w:tc>
          <w:tcPr>
            <w:tcW w:w="2653" w:type="dxa"/>
            <w:vMerge/>
            <w:tcBorders>
              <w:top w:val="nil"/>
              <w:bottom w:val="single" w:sz="4" w:space="0" w:color="000000"/>
              <w:right w:val="single" w:sz="4" w:space="0" w:color="000000"/>
            </w:tcBorders>
          </w:tcPr>
          <w:p>
            <w:pPr>
              <w:rPr>
                <w:sz w:val="2"/>
                <w:szCs w:val="2"/>
              </w:rPr>
            </w:pPr>
          </w:p>
        </w:tc>
        <w:tc>
          <w:tcPr>
            <w:tcW w:w="3165" w:type="dxa"/>
            <w:tcBorders>
              <w:top w:val="single" w:sz="4" w:space="0" w:color="000000"/>
              <w:left w:val="single" w:sz="4" w:space="0" w:color="000000"/>
              <w:bottom w:val="single" w:sz="4" w:space="0" w:color="000000"/>
              <w:right w:val="single" w:sz="4" w:space="0" w:color="000000"/>
            </w:tcBorders>
          </w:tcPr>
          <w:p>
            <w:pPr>
              <w:pStyle w:val="TableParagraph"/>
              <w:spacing w:before="4"/>
              <w:ind w:left="127"/>
              <w:rPr>
                <w:sz w:val="23"/>
              </w:rPr>
            </w:pPr>
            <w:r>
              <w:rPr>
                <w:sz w:val="23"/>
              </w:rPr>
              <w:t>High</w:t>
            </w:r>
            <w:r>
              <w:rPr>
                <w:spacing w:val="2"/>
                <w:sz w:val="23"/>
              </w:rPr>
              <w:t> </w:t>
            </w:r>
            <w:r>
              <w:rPr>
                <w:spacing w:val="-2"/>
                <w:sz w:val="23"/>
              </w:rPr>
              <w:t>Variability</w:t>
            </w:r>
          </w:p>
        </w:tc>
      </w:tr>
      <w:tr>
        <w:trPr>
          <w:trHeight w:val="296" w:hRule="atLeast"/>
        </w:trPr>
        <w:tc>
          <w:tcPr>
            <w:tcW w:w="2653" w:type="dxa"/>
            <w:tcBorders>
              <w:top w:val="single" w:sz="4" w:space="0" w:color="000000"/>
              <w:right w:val="single" w:sz="4" w:space="0" w:color="000000"/>
            </w:tcBorders>
          </w:tcPr>
          <w:p>
            <w:pPr>
              <w:pStyle w:val="TableParagraph"/>
              <w:spacing w:before="4"/>
              <w:ind w:left="104"/>
              <w:rPr>
                <w:sz w:val="23"/>
              </w:rPr>
            </w:pPr>
            <w:r>
              <w:rPr>
                <w:spacing w:val="-2"/>
                <w:sz w:val="23"/>
              </w:rPr>
              <w:t>&gt;100%</w:t>
            </w:r>
          </w:p>
        </w:tc>
        <w:tc>
          <w:tcPr>
            <w:tcW w:w="3165" w:type="dxa"/>
            <w:tcBorders>
              <w:top w:val="single" w:sz="4" w:space="0" w:color="000000"/>
              <w:left w:val="single" w:sz="4" w:space="0" w:color="000000"/>
              <w:right w:val="single" w:sz="4" w:space="0" w:color="000000"/>
            </w:tcBorders>
          </w:tcPr>
          <w:p>
            <w:pPr>
              <w:pStyle w:val="TableParagraph"/>
              <w:spacing w:before="4"/>
              <w:ind w:left="127"/>
              <w:rPr>
                <w:sz w:val="23"/>
              </w:rPr>
            </w:pPr>
            <w:r>
              <w:rPr>
                <w:sz w:val="23"/>
              </w:rPr>
              <w:t>Exceptionally</w:t>
            </w:r>
            <w:r>
              <w:rPr>
                <w:spacing w:val="12"/>
                <w:sz w:val="23"/>
              </w:rPr>
              <w:t> </w:t>
            </w:r>
            <w:r>
              <w:rPr>
                <w:sz w:val="23"/>
              </w:rPr>
              <w:t>High</w:t>
            </w:r>
            <w:r>
              <w:rPr>
                <w:spacing w:val="6"/>
                <w:sz w:val="23"/>
              </w:rPr>
              <w:t> </w:t>
            </w:r>
            <w:r>
              <w:rPr>
                <w:spacing w:val="-2"/>
                <w:sz w:val="23"/>
              </w:rPr>
              <w:t>Variability</w:t>
            </w:r>
          </w:p>
        </w:tc>
      </w:tr>
    </w:tbl>
    <w:p>
      <w:pPr>
        <w:pStyle w:val="BodyText"/>
        <w:rPr>
          <w:rFonts w:ascii="Calibri"/>
          <w:b/>
          <w:sz w:val="23"/>
        </w:rPr>
      </w:pPr>
    </w:p>
    <w:p>
      <w:pPr>
        <w:pStyle w:val="BodyText"/>
        <w:spacing w:before="89"/>
        <w:rPr>
          <w:rFonts w:ascii="Calibri"/>
          <w:b/>
          <w:sz w:val="23"/>
        </w:rPr>
      </w:pPr>
    </w:p>
    <w:p>
      <w:pPr>
        <w:pStyle w:val="Heading1"/>
        <w:numPr>
          <w:ilvl w:val="2"/>
          <w:numId w:val="7"/>
        </w:numPr>
        <w:tabs>
          <w:tab w:pos="1728" w:val="left" w:leader="none"/>
        </w:tabs>
        <w:spacing w:line="240" w:lineRule="auto" w:before="0" w:after="0"/>
        <w:ind w:left="1728" w:right="0" w:hanging="573"/>
        <w:jc w:val="left"/>
      </w:pPr>
      <w:r>
        <w:rPr/>
        <w:t>ECOLOGICAL</w:t>
      </w:r>
      <w:r>
        <w:rPr>
          <w:spacing w:val="7"/>
        </w:rPr>
        <w:t> </w:t>
      </w:r>
      <w:r>
        <w:rPr/>
        <w:t>RISK</w:t>
      </w:r>
      <w:r>
        <w:rPr>
          <w:spacing w:val="9"/>
        </w:rPr>
        <w:t> </w:t>
      </w:r>
      <w:r>
        <w:rPr>
          <w:spacing w:val="-2"/>
        </w:rPr>
        <w:t>ASSESSMENT</w:t>
      </w:r>
    </w:p>
    <w:p>
      <w:pPr>
        <w:pStyle w:val="BodyText"/>
        <w:spacing w:line="496" w:lineRule="auto" w:before="41"/>
        <w:ind w:left="1167" w:right="1819" w:hanging="13"/>
      </w:pPr>
      <w:r>
        <w:rPr>
          <w:position w:val="1"/>
        </w:rPr>
        <w:t>According</w:t>
      </w:r>
      <w:r>
        <w:rPr>
          <w:spacing w:val="80"/>
          <w:position w:val="1"/>
        </w:rPr>
        <w:t> </w:t>
      </w:r>
      <w:r>
        <w:rPr>
          <w:position w:val="1"/>
        </w:rPr>
        <w:t>to</w:t>
      </w:r>
      <w:r>
        <w:rPr>
          <w:spacing w:val="80"/>
          <w:position w:val="1"/>
        </w:rPr>
        <w:t> </w:t>
      </w:r>
      <w:r>
        <w:rPr>
          <w:position w:val="1"/>
        </w:rPr>
        <w:t>Hakanson</w:t>
      </w:r>
      <w:r>
        <w:rPr>
          <w:spacing w:val="80"/>
          <w:position w:val="1"/>
        </w:rPr>
        <w:t> </w:t>
      </w:r>
      <w:r>
        <w:rPr>
          <w:position w:val="1"/>
        </w:rPr>
        <w:t>(1980)</w:t>
      </w:r>
      <w:r>
        <w:rPr>
          <w:spacing w:val="80"/>
          <w:position w:val="1"/>
        </w:rPr>
        <w:t> </w:t>
      </w:r>
      <w:r>
        <w:rPr>
          <w:position w:val="1"/>
        </w:rPr>
        <w:t>the</w:t>
      </w:r>
      <w:r>
        <w:rPr>
          <w:spacing w:val="80"/>
          <w:position w:val="1"/>
        </w:rPr>
        <w:t> </w:t>
      </w:r>
      <w:r>
        <w:rPr>
          <w:position w:val="1"/>
        </w:rPr>
        <w:t>monomial</w:t>
      </w:r>
      <w:r>
        <w:rPr>
          <w:spacing w:val="80"/>
          <w:position w:val="1"/>
        </w:rPr>
        <w:t> </w:t>
      </w:r>
      <w:r>
        <w:rPr>
          <w:position w:val="1"/>
        </w:rPr>
        <w:t>ecological</w:t>
      </w:r>
      <w:r>
        <w:rPr>
          <w:spacing w:val="80"/>
          <w:position w:val="1"/>
        </w:rPr>
        <w:t> </w:t>
      </w:r>
      <w:r>
        <w:rPr>
          <w:position w:val="1"/>
        </w:rPr>
        <w:t>risk</w:t>
      </w:r>
      <w:r>
        <w:rPr>
          <w:spacing w:val="80"/>
          <w:position w:val="1"/>
        </w:rPr>
        <w:t> </w:t>
      </w:r>
      <w:r>
        <w:rPr>
          <w:position w:val="1"/>
        </w:rPr>
        <w:t>factor</w:t>
      </w:r>
      <w:r>
        <w:rPr>
          <w:spacing w:val="80"/>
          <w:position w:val="1"/>
        </w:rPr>
        <w:t> </w:t>
      </w:r>
      <w:r>
        <w:rPr>
          <w:position w:val="1"/>
        </w:rPr>
        <w:t>(</w:t>
      </w:r>
      <w:r>
        <w:rPr>
          <w:rFonts w:ascii="Cambria Math" w:eastAsia="Cambria Math"/>
          <w:position w:val="7"/>
          <w:sz w:val="17"/>
        </w:rPr>
        <w:t>𝐸</w:t>
      </w:r>
      <w:r>
        <w:rPr>
          <w:rFonts w:ascii="Cambria Math" w:eastAsia="Cambria Math"/>
          <w:sz w:val="17"/>
        </w:rPr>
        <w:t>𝑓</w:t>
      </w:r>
      <w:r>
        <w:rPr>
          <w:rFonts w:ascii="Cambria Math" w:eastAsia="Cambria Math"/>
          <w:position w:val="7"/>
          <w:sz w:val="17"/>
        </w:rPr>
        <w:t>𝑖</w:t>
      </w:r>
      <w:r>
        <w:rPr>
          <w:position w:val="1"/>
        </w:rPr>
        <w:t>)</w:t>
      </w:r>
      <w:r>
        <w:rPr>
          <w:spacing w:val="80"/>
          <w:position w:val="1"/>
        </w:rPr>
        <w:t> </w:t>
      </w:r>
      <w:r>
        <w:rPr>
          <w:position w:val="1"/>
        </w:rPr>
        <w:t>can</w:t>
      </w:r>
      <w:r>
        <w:rPr>
          <w:spacing w:val="80"/>
          <w:position w:val="1"/>
        </w:rPr>
        <w:t> </w:t>
      </w:r>
      <w:r>
        <w:rPr>
          <w:position w:val="1"/>
        </w:rPr>
        <w:t>be </w:t>
      </w:r>
      <w:r>
        <w:rPr/>
        <w:t>categorized as:</w:t>
      </w:r>
    </w:p>
    <w:p>
      <w:pPr>
        <w:pStyle w:val="BodyText"/>
        <w:spacing w:line="285" w:lineRule="exact"/>
        <w:ind w:left="1155"/>
        <w:rPr>
          <w:position w:val="1"/>
        </w:rPr>
      </w:pPr>
      <w:r>
        <w:rPr>
          <w:rFonts w:ascii="Cambria Math" w:eastAsia="Cambria Math"/>
          <w:position w:val="1"/>
        </w:rPr>
        <w:t>𝐸</w:t>
      </w:r>
      <w:r>
        <w:rPr>
          <w:rFonts w:ascii="Cambria Math" w:eastAsia="Cambria Math"/>
          <w:sz w:val="17"/>
        </w:rPr>
        <w:t>𝑓</w:t>
      </w:r>
      <w:r>
        <w:rPr>
          <w:rFonts w:ascii="Cambria Math" w:eastAsia="Cambria Math"/>
          <w:position w:val="7"/>
          <w:sz w:val="17"/>
        </w:rPr>
        <w:t>𝑖</w:t>
      </w:r>
      <w:r>
        <w:rPr>
          <w:rFonts w:ascii="Cambria Math" w:eastAsia="Cambria Math"/>
          <w:spacing w:val="4"/>
          <w:position w:val="7"/>
          <w:sz w:val="17"/>
        </w:rPr>
        <w:t> </w:t>
      </w:r>
      <w:r>
        <w:rPr>
          <w:rFonts w:ascii="Cambria Math" w:eastAsia="Cambria Math"/>
          <w:position w:val="1"/>
        </w:rPr>
        <w:t>&lt;</w:t>
      </w:r>
      <w:r>
        <w:rPr>
          <w:rFonts w:ascii="Cambria Math" w:eastAsia="Cambria Math"/>
          <w:spacing w:val="8"/>
          <w:position w:val="1"/>
        </w:rPr>
        <w:t> </w:t>
      </w:r>
      <w:r>
        <w:rPr>
          <w:rFonts w:ascii="Cambria Math" w:eastAsia="Cambria Math"/>
          <w:position w:val="1"/>
        </w:rPr>
        <w:t>40</w:t>
      </w:r>
      <w:r>
        <w:rPr>
          <w:rFonts w:ascii="Cambria Math" w:eastAsia="Cambria Math"/>
          <w:spacing w:val="15"/>
          <w:position w:val="1"/>
        </w:rPr>
        <w:t> </w:t>
      </w:r>
      <w:r>
        <w:rPr>
          <w:position w:val="1"/>
        </w:rPr>
        <w:t>=</w:t>
      </w:r>
      <w:r>
        <w:rPr>
          <w:spacing w:val="8"/>
          <w:position w:val="1"/>
        </w:rPr>
        <w:t> </w:t>
      </w:r>
      <w:r>
        <w:rPr>
          <w:position w:val="1"/>
        </w:rPr>
        <w:t>low</w:t>
      </w:r>
      <w:r>
        <w:rPr>
          <w:spacing w:val="9"/>
          <w:position w:val="1"/>
        </w:rPr>
        <w:t> </w:t>
      </w:r>
      <w:r>
        <w:rPr>
          <w:position w:val="1"/>
        </w:rPr>
        <w:t>potential</w:t>
      </w:r>
      <w:r>
        <w:rPr>
          <w:spacing w:val="11"/>
          <w:position w:val="1"/>
        </w:rPr>
        <w:t> </w:t>
      </w:r>
      <w:r>
        <w:rPr>
          <w:position w:val="1"/>
        </w:rPr>
        <w:t>ecological</w:t>
      </w:r>
      <w:r>
        <w:rPr>
          <w:spacing w:val="9"/>
          <w:position w:val="1"/>
        </w:rPr>
        <w:t> </w:t>
      </w:r>
      <w:r>
        <w:rPr>
          <w:spacing w:val="-2"/>
          <w:position w:val="1"/>
        </w:rPr>
        <w:t>risk;</w:t>
      </w:r>
    </w:p>
    <w:p>
      <w:pPr>
        <w:pStyle w:val="BodyText"/>
        <w:spacing w:before="16"/>
      </w:pPr>
    </w:p>
    <w:p>
      <w:pPr>
        <w:pStyle w:val="BodyText"/>
        <w:spacing w:before="1"/>
        <w:ind w:left="1155"/>
        <w:rPr>
          <w:position w:val="1"/>
        </w:rPr>
      </w:pPr>
      <w:r>
        <w:rPr>
          <w:rFonts w:ascii="Cambria Math" w:hAnsi="Cambria Math" w:eastAsia="Cambria Math"/>
          <w:position w:val="1"/>
        </w:rPr>
        <w:t>40</w:t>
      </w:r>
      <w:r>
        <w:rPr>
          <w:rFonts w:ascii="Cambria Math" w:hAnsi="Cambria Math" w:eastAsia="Cambria Math"/>
          <w:spacing w:val="7"/>
          <w:position w:val="1"/>
        </w:rPr>
        <w:t> </w:t>
      </w:r>
      <w:r>
        <w:rPr>
          <w:rFonts w:ascii="Cambria Math" w:hAnsi="Cambria Math" w:eastAsia="Cambria Math"/>
          <w:position w:val="1"/>
        </w:rPr>
        <w:t>≤</w:t>
      </w:r>
      <w:r>
        <w:rPr>
          <w:rFonts w:ascii="Cambria Math" w:hAnsi="Cambria Math" w:eastAsia="Cambria Math"/>
          <w:spacing w:val="9"/>
          <w:position w:val="1"/>
        </w:rPr>
        <w:t> </w:t>
      </w:r>
      <w:r>
        <w:rPr>
          <w:rFonts w:ascii="Cambria Math" w:hAnsi="Cambria Math" w:eastAsia="Cambria Math"/>
          <w:position w:val="1"/>
        </w:rPr>
        <w:t>𝐸</w:t>
      </w:r>
      <w:r>
        <w:rPr>
          <w:rFonts w:ascii="Cambria Math" w:hAnsi="Cambria Math" w:eastAsia="Cambria Math"/>
          <w:sz w:val="17"/>
        </w:rPr>
        <w:t>𝑓</w:t>
      </w:r>
      <w:r>
        <w:rPr>
          <w:rFonts w:ascii="Cambria Math" w:hAnsi="Cambria Math" w:eastAsia="Cambria Math"/>
          <w:position w:val="7"/>
          <w:sz w:val="17"/>
        </w:rPr>
        <w:t>𝑖</w:t>
      </w:r>
      <w:r>
        <w:rPr>
          <w:rFonts w:ascii="Cambria Math" w:hAnsi="Cambria Math" w:eastAsia="Cambria Math"/>
          <w:spacing w:val="5"/>
          <w:position w:val="7"/>
          <w:sz w:val="17"/>
        </w:rPr>
        <w:t> </w:t>
      </w:r>
      <w:r>
        <w:rPr>
          <w:rFonts w:ascii="Cambria Math" w:hAnsi="Cambria Math" w:eastAsia="Cambria Math"/>
          <w:position w:val="1"/>
        </w:rPr>
        <w:t>&lt;</w:t>
      </w:r>
      <w:r>
        <w:rPr>
          <w:rFonts w:ascii="Cambria Math" w:hAnsi="Cambria Math" w:eastAsia="Cambria Math"/>
          <w:spacing w:val="8"/>
          <w:position w:val="1"/>
        </w:rPr>
        <w:t> </w:t>
      </w:r>
      <w:r>
        <w:rPr>
          <w:rFonts w:ascii="Cambria Math" w:hAnsi="Cambria Math" w:eastAsia="Cambria Math"/>
          <w:position w:val="1"/>
        </w:rPr>
        <w:t>80</w:t>
      </w:r>
      <w:r>
        <w:rPr>
          <w:rFonts w:ascii="Cambria Math" w:hAnsi="Cambria Math" w:eastAsia="Cambria Math"/>
          <w:spacing w:val="19"/>
          <w:position w:val="1"/>
        </w:rPr>
        <w:t> </w:t>
      </w:r>
      <w:r>
        <w:rPr>
          <w:position w:val="1"/>
        </w:rPr>
        <w:t>=</w:t>
      </w:r>
      <w:r>
        <w:rPr>
          <w:spacing w:val="8"/>
          <w:position w:val="1"/>
        </w:rPr>
        <w:t> </w:t>
      </w:r>
      <w:r>
        <w:rPr>
          <w:position w:val="1"/>
        </w:rPr>
        <w:t>moderate</w:t>
      </w:r>
      <w:r>
        <w:rPr>
          <w:spacing w:val="10"/>
          <w:position w:val="1"/>
        </w:rPr>
        <w:t> </w:t>
      </w:r>
      <w:r>
        <w:rPr>
          <w:position w:val="1"/>
        </w:rPr>
        <w:t>potential</w:t>
      </w:r>
      <w:r>
        <w:rPr>
          <w:spacing w:val="10"/>
          <w:position w:val="1"/>
        </w:rPr>
        <w:t> </w:t>
      </w:r>
      <w:r>
        <w:rPr>
          <w:position w:val="1"/>
        </w:rPr>
        <w:t>ecological</w:t>
      </w:r>
      <w:r>
        <w:rPr>
          <w:spacing w:val="13"/>
          <w:position w:val="1"/>
        </w:rPr>
        <w:t> </w:t>
      </w:r>
      <w:r>
        <w:rPr>
          <w:spacing w:val="-2"/>
          <w:position w:val="1"/>
        </w:rPr>
        <w:t>risk;</w:t>
      </w:r>
    </w:p>
    <w:p>
      <w:pPr>
        <w:pStyle w:val="BodyText"/>
        <w:spacing w:before="18"/>
      </w:pPr>
    </w:p>
    <w:p>
      <w:pPr>
        <w:pStyle w:val="BodyText"/>
        <w:spacing w:before="1"/>
        <w:ind w:left="1155"/>
        <w:rPr>
          <w:position w:val="1"/>
        </w:rPr>
      </w:pPr>
      <w:r>
        <w:rPr>
          <w:rFonts w:ascii="Cambria Math" w:hAnsi="Cambria Math" w:eastAsia="Cambria Math"/>
          <w:position w:val="1"/>
        </w:rPr>
        <w:t>80</w:t>
      </w:r>
      <w:r>
        <w:rPr>
          <w:rFonts w:ascii="Cambria Math" w:hAnsi="Cambria Math" w:eastAsia="Cambria Math"/>
          <w:spacing w:val="8"/>
          <w:position w:val="1"/>
        </w:rPr>
        <w:t> </w:t>
      </w:r>
      <w:r>
        <w:rPr>
          <w:rFonts w:ascii="Cambria Math" w:hAnsi="Cambria Math" w:eastAsia="Cambria Math"/>
          <w:position w:val="1"/>
        </w:rPr>
        <w:t>≤</w:t>
      </w:r>
      <w:r>
        <w:rPr>
          <w:rFonts w:ascii="Cambria Math" w:hAnsi="Cambria Math" w:eastAsia="Cambria Math"/>
          <w:spacing w:val="10"/>
          <w:position w:val="1"/>
        </w:rPr>
        <w:t> </w:t>
      </w:r>
      <w:r>
        <w:rPr>
          <w:rFonts w:ascii="Cambria Math" w:hAnsi="Cambria Math" w:eastAsia="Cambria Math"/>
          <w:position w:val="1"/>
        </w:rPr>
        <w:t>𝐸</w:t>
      </w:r>
      <w:r>
        <w:rPr>
          <w:rFonts w:ascii="Cambria Math" w:hAnsi="Cambria Math" w:eastAsia="Cambria Math"/>
          <w:sz w:val="17"/>
        </w:rPr>
        <w:t>𝑓</w:t>
      </w:r>
      <w:r>
        <w:rPr>
          <w:rFonts w:ascii="Cambria Math" w:hAnsi="Cambria Math" w:eastAsia="Cambria Math"/>
          <w:position w:val="7"/>
          <w:sz w:val="17"/>
        </w:rPr>
        <w:t>𝑖</w:t>
      </w:r>
      <w:r>
        <w:rPr>
          <w:rFonts w:ascii="Cambria Math" w:hAnsi="Cambria Math" w:eastAsia="Cambria Math"/>
          <w:spacing w:val="6"/>
          <w:position w:val="7"/>
          <w:sz w:val="17"/>
        </w:rPr>
        <w:t> </w:t>
      </w:r>
      <w:r>
        <w:rPr>
          <w:rFonts w:ascii="Cambria Math" w:hAnsi="Cambria Math" w:eastAsia="Cambria Math"/>
          <w:position w:val="1"/>
        </w:rPr>
        <w:t>&lt;</w:t>
      </w:r>
      <w:r>
        <w:rPr>
          <w:rFonts w:ascii="Cambria Math" w:hAnsi="Cambria Math" w:eastAsia="Cambria Math"/>
          <w:spacing w:val="9"/>
          <w:position w:val="1"/>
        </w:rPr>
        <w:t> </w:t>
      </w:r>
      <w:r>
        <w:rPr>
          <w:rFonts w:ascii="Cambria Math" w:hAnsi="Cambria Math" w:eastAsia="Cambria Math"/>
          <w:position w:val="1"/>
        </w:rPr>
        <w:t>160</w:t>
      </w:r>
      <w:r>
        <w:rPr>
          <w:rFonts w:ascii="Cambria Math" w:hAnsi="Cambria Math" w:eastAsia="Cambria Math"/>
          <w:spacing w:val="18"/>
          <w:position w:val="1"/>
        </w:rPr>
        <w:t> </w:t>
      </w:r>
      <w:r>
        <w:rPr>
          <w:position w:val="1"/>
        </w:rPr>
        <w:t>=</w:t>
      </w:r>
      <w:r>
        <w:rPr>
          <w:spacing w:val="10"/>
          <w:position w:val="1"/>
        </w:rPr>
        <w:t> </w:t>
      </w:r>
      <w:r>
        <w:rPr>
          <w:position w:val="1"/>
        </w:rPr>
        <w:t>considerable</w:t>
      </w:r>
      <w:r>
        <w:rPr>
          <w:spacing w:val="11"/>
          <w:position w:val="1"/>
        </w:rPr>
        <w:t> </w:t>
      </w:r>
      <w:r>
        <w:rPr>
          <w:position w:val="1"/>
        </w:rPr>
        <w:t>potential</w:t>
      </w:r>
      <w:r>
        <w:rPr>
          <w:spacing w:val="14"/>
          <w:position w:val="1"/>
        </w:rPr>
        <w:t> </w:t>
      </w:r>
      <w:r>
        <w:rPr>
          <w:position w:val="1"/>
        </w:rPr>
        <w:t>ecological</w:t>
      </w:r>
      <w:r>
        <w:rPr>
          <w:spacing w:val="11"/>
          <w:position w:val="1"/>
        </w:rPr>
        <w:t> </w:t>
      </w:r>
      <w:r>
        <w:rPr>
          <w:spacing w:val="-2"/>
          <w:position w:val="1"/>
        </w:rPr>
        <w:t>risk;</w:t>
      </w:r>
    </w:p>
    <w:p>
      <w:pPr>
        <w:pStyle w:val="BodyText"/>
        <w:spacing w:before="16"/>
      </w:pPr>
    </w:p>
    <w:p>
      <w:pPr>
        <w:pStyle w:val="BodyText"/>
        <w:ind w:left="1155"/>
        <w:rPr>
          <w:position w:val="1"/>
        </w:rPr>
      </w:pPr>
      <w:r>
        <w:rPr>
          <w:rFonts w:ascii="Cambria Math" w:hAnsi="Cambria Math" w:eastAsia="Cambria Math"/>
          <w:position w:val="1"/>
        </w:rPr>
        <w:t>160</w:t>
      </w:r>
      <w:r>
        <w:rPr>
          <w:rFonts w:ascii="Cambria Math" w:hAnsi="Cambria Math" w:eastAsia="Cambria Math"/>
          <w:spacing w:val="7"/>
          <w:position w:val="1"/>
        </w:rPr>
        <w:t> </w:t>
      </w:r>
      <w:r>
        <w:rPr>
          <w:rFonts w:ascii="Cambria Math" w:hAnsi="Cambria Math" w:eastAsia="Cambria Math"/>
          <w:position w:val="1"/>
        </w:rPr>
        <w:t>≤</w:t>
      </w:r>
      <w:r>
        <w:rPr>
          <w:rFonts w:ascii="Cambria Math" w:hAnsi="Cambria Math" w:eastAsia="Cambria Math"/>
          <w:spacing w:val="10"/>
          <w:position w:val="1"/>
        </w:rPr>
        <w:t> </w:t>
      </w:r>
      <w:r>
        <w:rPr>
          <w:rFonts w:ascii="Cambria Math" w:hAnsi="Cambria Math" w:eastAsia="Cambria Math"/>
          <w:position w:val="1"/>
        </w:rPr>
        <w:t>𝐸</w:t>
      </w:r>
      <w:r>
        <w:rPr>
          <w:rFonts w:ascii="Cambria Math" w:hAnsi="Cambria Math" w:eastAsia="Cambria Math"/>
          <w:sz w:val="17"/>
        </w:rPr>
        <w:t>𝑓</w:t>
      </w:r>
      <w:r>
        <w:rPr>
          <w:rFonts w:ascii="Cambria Math" w:hAnsi="Cambria Math" w:eastAsia="Cambria Math"/>
          <w:position w:val="7"/>
          <w:sz w:val="17"/>
        </w:rPr>
        <w:t>𝑖</w:t>
      </w:r>
      <w:r>
        <w:rPr>
          <w:rFonts w:ascii="Cambria Math" w:hAnsi="Cambria Math" w:eastAsia="Cambria Math"/>
          <w:spacing w:val="5"/>
          <w:position w:val="7"/>
          <w:sz w:val="17"/>
        </w:rPr>
        <w:t> </w:t>
      </w:r>
      <w:r>
        <w:rPr>
          <w:rFonts w:ascii="Cambria Math" w:hAnsi="Cambria Math" w:eastAsia="Cambria Math"/>
          <w:position w:val="1"/>
        </w:rPr>
        <w:t>&lt;</w:t>
      </w:r>
      <w:r>
        <w:rPr>
          <w:rFonts w:ascii="Cambria Math" w:hAnsi="Cambria Math" w:eastAsia="Cambria Math"/>
          <w:spacing w:val="8"/>
          <w:position w:val="1"/>
        </w:rPr>
        <w:t> </w:t>
      </w:r>
      <w:r>
        <w:rPr>
          <w:rFonts w:ascii="Cambria Math" w:hAnsi="Cambria Math" w:eastAsia="Cambria Math"/>
          <w:position w:val="1"/>
        </w:rPr>
        <w:t>320</w:t>
      </w:r>
      <w:r>
        <w:rPr>
          <w:rFonts w:ascii="Cambria Math" w:hAnsi="Cambria Math" w:eastAsia="Cambria Math"/>
          <w:spacing w:val="15"/>
          <w:position w:val="1"/>
        </w:rPr>
        <w:t> </w:t>
      </w:r>
      <w:r>
        <w:rPr>
          <w:position w:val="1"/>
        </w:rPr>
        <w:t>=</w:t>
      </w:r>
      <w:r>
        <w:rPr>
          <w:spacing w:val="8"/>
          <w:position w:val="1"/>
        </w:rPr>
        <w:t> </w:t>
      </w:r>
      <w:r>
        <w:rPr>
          <w:position w:val="1"/>
        </w:rPr>
        <w:t>high</w:t>
      </w:r>
      <w:r>
        <w:rPr>
          <w:spacing w:val="12"/>
          <w:position w:val="1"/>
        </w:rPr>
        <w:t> </w:t>
      </w:r>
      <w:r>
        <w:rPr>
          <w:position w:val="1"/>
        </w:rPr>
        <w:t>potential</w:t>
      </w:r>
      <w:r>
        <w:rPr>
          <w:spacing w:val="9"/>
          <w:position w:val="1"/>
        </w:rPr>
        <w:t> </w:t>
      </w:r>
      <w:r>
        <w:rPr>
          <w:position w:val="1"/>
        </w:rPr>
        <w:t>ecological</w:t>
      </w:r>
      <w:r>
        <w:rPr>
          <w:spacing w:val="9"/>
          <w:position w:val="1"/>
        </w:rPr>
        <w:t> </w:t>
      </w:r>
      <w:r>
        <w:rPr>
          <w:spacing w:val="-2"/>
          <w:position w:val="1"/>
        </w:rPr>
        <w:t>risk;</w:t>
      </w:r>
    </w:p>
    <w:p>
      <w:pPr>
        <w:pStyle w:val="BodyText"/>
        <w:spacing w:before="18"/>
      </w:pPr>
    </w:p>
    <w:p>
      <w:pPr>
        <w:pStyle w:val="BodyText"/>
        <w:ind w:left="1155"/>
        <w:rPr>
          <w:position w:val="1"/>
        </w:rPr>
      </w:pPr>
      <w:r>
        <w:rPr>
          <w:rFonts w:ascii="Cambria Math" w:hAnsi="Cambria Math" w:eastAsia="Cambria Math"/>
          <w:position w:val="1"/>
        </w:rPr>
        <w:t>𝐸</w:t>
      </w:r>
      <w:r>
        <w:rPr>
          <w:rFonts w:ascii="Cambria Math" w:hAnsi="Cambria Math" w:eastAsia="Cambria Math"/>
          <w:sz w:val="17"/>
        </w:rPr>
        <w:t>𝑓</w:t>
      </w:r>
      <w:r>
        <w:rPr>
          <w:rFonts w:ascii="Cambria Math" w:hAnsi="Cambria Math" w:eastAsia="Cambria Math"/>
          <w:position w:val="7"/>
          <w:sz w:val="17"/>
        </w:rPr>
        <w:t>𝑖</w:t>
      </w:r>
      <w:r>
        <w:rPr>
          <w:rFonts w:ascii="Cambria Math" w:hAnsi="Cambria Math" w:eastAsia="Cambria Math"/>
          <w:spacing w:val="4"/>
          <w:position w:val="7"/>
          <w:sz w:val="17"/>
        </w:rPr>
        <w:t> </w:t>
      </w:r>
      <w:r>
        <w:rPr>
          <w:rFonts w:ascii="Cambria Math" w:hAnsi="Cambria Math" w:eastAsia="Cambria Math"/>
          <w:position w:val="1"/>
        </w:rPr>
        <w:t>≥</w:t>
      </w:r>
      <w:r>
        <w:rPr>
          <w:rFonts w:ascii="Cambria Math" w:hAnsi="Cambria Math" w:eastAsia="Cambria Math"/>
          <w:spacing w:val="8"/>
          <w:position w:val="1"/>
        </w:rPr>
        <w:t> </w:t>
      </w:r>
      <w:r>
        <w:rPr>
          <w:rFonts w:ascii="Cambria Math" w:hAnsi="Cambria Math" w:eastAsia="Cambria Math"/>
          <w:position w:val="1"/>
        </w:rPr>
        <w:t>320</w:t>
      </w:r>
      <w:r>
        <w:rPr>
          <w:rFonts w:ascii="Cambria Math" w:hAnsi="Cambria Math" w:eastAsia="Cambria Math"/>
          <w:spacing w:val="15"/>
          <w:position w:val="1"/>
        </w:rPr>
        <w:t> </w:t>
      </w:r>
      <w:r>
        <w:rPr>
          <w:position w:val="1"/>
        </w:rPr>
        <w:t>=</w:t>
      </w:r>
      <w:r>
        <w:rPr>
          <w:spacing w:val="8"/>
          <w:position w:val="1"/>
        </w:rPr>
        <w:t> </w:t>
      </w:r>
      <w:r>
        <w:rPr>
          <w:position w:val="1"/>
        </w:rPr>
        <w:t>very</w:t>
      </w:r>
      <w:r>
        <w:rPr>
          <w:spacing w:val="9"/>
          <w:position w:val="1"/>
        </w:rPr>
        <w:t> </w:t>
      </w:r>
      <w:r>
        <w:rPr>
          <w:position w:val="1"/>
        </w:rPr>
        <w:t>high</w:t>
      </w:r>
      <w:r>
        <w:rPr>
          <w:spacing w:val="9"/>
          <w:position w:val="1"/>
        </w:rPr>
        <w:t> </w:t>
      </w:r>
      <w:r>
        <w:rPr>
          <w:position w:val="1"/>
        </w:rPr>
        <w:t>ecological</w:t>
      </w:r>
      <w:r>
        <w:rPr>
          <w:spacing w:val="9"/>
          <w:position w:val="1"/>
        </w:rPr>
        <w:t> </w:t>
      </w:r>
      <w:r>
        <w:rPr>
          <w:position w:val="1"/>
        </w:rPr>
        <w:t>risk</w:t>
      </w:r>
      <w:r>
        <w:rPr>
          <w:spacing w:val="9"/>
          <w:position w:val="1"/>
        </w:rPr>
        <w:t> </w:t>
      </w:r>
      <w:r>
        <w:rPr>
          <w:position w:val="1"/>
        </w:rPr>
        <w:t>at</w:t>
      </w:r>
      <w:r>
        <w:rPr>
          <w:spacing w:val="9"/>
          <w:position w:val="1"/>
        </w:rPr>
        <w:t> </w:t>
      </w:r>
      <w:r>
        <w:rPr>
          <w:position w:val="1"/>
        </w:rPr>
        <w:t>hand</w:t>
      </w:r>
      <w:r>
        <w:rPr>
          <w:spacing w:val="9"/>
          <w:position w:val="1"/>
        </w:rPr>
        <w:t> </w:t>
      </w:r>
      <w:r>
        <w:rPr>
          <w:position w:val="1"/>
        </w:rPr>
        <w:t>for</w:t>
      </w:r>
      <w:r>
        <w:rPr>
          <w:spacing w:val="9"/>
          <w:position w:val="1"/>
        </w:rPr>
        <w:t> </w:t>
      </w:r>
      <w:r>
        <w:rPr>
          <w:position w:val="1"/>
        </w:rPr>
        <w:t>the</w:t>
      </w:r>
      <w:r>
        <w:rPr>
          <w:spacing w:val="8"/>
          <w:position w:val="1"/>
        </w:rPr>
        <w:t> </w:t>
      </w:r>
      <w:r>
        <w:rPr>
          <w:position w:val="1"/>
        </w:rPr>
        <w:t>substance</w:t>
      </w:r>
      <w:r>
        <w:rPr>
          <w:spacing w:val="8"/>
          <w:position w:val="1"/>
        </w:rPr>
        <w:t> </w:t>
      </w:r>
      <w:r>
        <w:rPr>
          <w:position w:val="1"/>
        </w:rPr>
        <w:t>in</w:t>
      </w:r>
      <w:r>
        <w:rPr>
          <w:spacing w:val="9"/>
          <w:position w:val="1"/>
        </w:rPr>
        <w:t> </w:t>
      </w:r>
      <w:r>
        <w:rPr>
          <w:spacing w:val="-2"/>
          <w:position w:val="1"/>
        </w:rPr>
        <w:t>question.</w:t>
      </w:r>
    </w:p>
    <w:p>
      <w:pPr>
        <w:pStyle w:val="BodyText"/>
        <w:spacing w:before="16"/>
      </w:pPr>
    </w:p>
    <w:p>
      <w:pPr>
        <w:pStyle w:val="BodyText"/>
        <w:spacing w:line="489" w:lineRule="auto" w:before="1"/>
        <w:ind w:left="1167" w:right="1770" w:hanging="13"/>
      </w:pPr>
      <w:r>
        <w:rPr>
          <w:position w:val="1"/>
        </w:rPr>
        <w:t>In</w:t>
      </w:r>
      <w:r>
        <w:rPr>
          <w:spacing w:val="-1"/>
          <w:position w:val="1"/>
        </w:rPr>
        <w:t> </w:t>
      </w:r>
      <w:r>
        <w:rPr>
          <w:position w:val="1"/>
        </w:rPr>
        <w:t>the same way, Hakanson also described the potential ecological risk index (</w:t>
      </w:r>
      <w:r>
        <w:rPr>
          <w:rFonts w:ascii="Cambria Math" w:eastAsia="Cambria Math"/>
          <w:position w:val="1"/>
        </w:rPr>
        <w:t>𝑅</w:t>
      </w:r>
      <w:r>
        <w:rPr>
          <w:rFonts w:ascii="Cambria Math" w:eastAsia="Cambria Math"/>
          <w:sz w:val="17"/>
        </w:rPr>
        <w:t>𝐼</w:t>
      </w:r>
      <w:r>
        <w:rPr>
          <w:rFonts w:ascii="Cambria Math" w:eastAsia="Cambria Math"/>
          <w:position w:val="1"/>
        </w:rPr>
        <w:t>)</w:t>
      </w:r>
      <w:r>
        <w:rPr>
          <w:position w:val="1"/>
        </w:rPr>
        <w:t>, which </w:t>
      </w:r>
      <w:r>
        <w:rPr/>
        <w:t>is the sum of the risk factor as;</w:t>
      </w:r>
    </w:p>
    <w:p>
      <w:pPr>
        <w:pStyle w:val="BodyText"/>
        <w:spacing w:before="2"/>
        <w:ind w:left="1218"/>
        <w:rPr>
          <w:position w:val="1"/>
        </w:rPr>
      </w:pPr>
      <w:r>
        <w:rPr>
          <w:rFonts w:ascii="Cambria Math" w:eastAsia="Cambria Math"/>
          <w:position w:val="1"/>
        </w:rPr>
        <w:t>𝑅</w:t>
      </w:r>
      <w:r>
        <w:rPr>
          <w:rFonts w:ascii="Cambria Math" w:eastAsia="Cambria Math"/>
          <w:sz w:val="17"/>
        </w:rPr>
        <w:t>𝐼</w:t>
      </w:r>
      <w:r>
        <w:rPr>
          <w:rFonts w:ascii="Cambria Math" w:eastAsia="Cambria Math"/>
          <w:spacing w:val="3"/>
          <w:sz w:val="17"/>
        </w:rPr>
        <w:t> </w:t>
      </w:r>
      <w:r>
        <w:rPr>
          <w:rFonts w:ascii="Cambria Math" w:eastAsia="Cambria Math"/>
          <w:position w:val="1"/>
        </w:rPr>
        <w:t>&lt;</w:t>
      </w:r>
      <w:r>
        <w:rPr>
          <w:rFonts w:ascii="Cambria Math" w:eastAsia="Cambria Math"/>
          <w:spacing w:val="7"/>
          <w:position w:val="1"/>
        </w:rPr>
        <w:t> </w:t>
      </w:r>
      <w:r>
        <w:rPr>
          <w:rFonts w:ascii="Cambria Math" w:eastAsia="Cambria Math"/>
          <w:position w:val="1"/>
        </w:rPr>
        <w:t>150</w:t>
      </w:r>
      <w:r>
        <w:rPr>
          <w:rFonts w:ascii="Cambria Math" w:eastAsia="Cambria Math"/>
          <w:spacing w:val="14"/>
          <w:position w:val="1"/>
        </w:rPr>
        <w:t> </w:t>
      </w:r>
      <w:r>
        <w:rPr>
          <w:position w:val="1"/>
        </w:rPr>
        <w:t>=</w:t>
      </w:r>
      <w:r>
        <w:rPr>
          <w:spacing w:val="8"/>
          <w:position w:val="1"/>
        </w:rPr>
        <w:t> </w:t>
      </w:r>
      <w:r>
        <w:rPr>
          <w:position w:val="1"/>
        </w:rPr>
        <w:t>low</w:t>
      </w:r>
      <w:r>
        <w:rPr>
          <w:spacing w:val="10"/>
          <w:position w:val="1"/>
        </w:rPr>
        <w:t> </w:t>
      </w:r>
      <w:r>
        <w:rPr>
          <w:position w:val="1"/>
        </w:rPr>
        <w:t>ecological</w:t>
      </w:r>
      <w:r>
        <w:rPr>
          <w:spacing w:val="9"/>
          <w:position w:val="1"/>
        </w:rPr>
        <w:t> </w:t>
      </w:r>
      <w:r>
        <w:rPr>
          <w:spacing w:val="-2"/>
          <w:position w:val="1"/>
        </w:rPr>
        <w:t>risk;</w:t>
      </w:r>
    </w:p>
    <w:p>
      <w:pPr>
        <w:pStyle w:val="BodyText"/>
        <w:spacing w:before="16"/>
      </w:pPr>
    </w:p>
    <w:p>
      <w:pPr>
        <w:pStyle w:val="BodyText"/>
        <w:ind w:left="1155"/>
        <w:rPr>
          <w:position w:val="1"/>
        </w:rPr>
      </w:pPr>
      <w:r>
        <w:rPr>
          <w:rFonts w:ascii="Cambria Math" w:hAnsi="Cambria Math" w:eastAsia="Cambria Math"/>
          <w:position w:val="1"/>
        </w:rPr>
        <w:t>150</w:t>
      </w:r>
      <w:r>
        <w:rPr>
          <w:rFonts w:ascii="Cambria Math" w:hAnsi="Cambria Math" w:eastAsia="Cambria Math"/>
          <w:spacing w:val="7"/>
          <w:position w:val="1"/>
        </w:rPr>
        <w:t> </w:t>
      </w:r>
      <w:r>
        <w:rPr>
          <w:rFonts w:ascii="Cambria Math" w:hAnsi="Cambria Math" w:eastAsia="Cambria Math"/>
          <w:position w:val="1"/>
        </w:rPr>
        <w:t>≤</w:t>
      </w:r>
      <w:r>
        <w:rPr>
          <w:rFonts w:ascii="Cambria Math" w:hAnsi="Cambria Math" w:eastAsia="Cambria Math"/>
          <w:spacing w:val="9"/>
          <w:position w:val="1"/>
        </w:rPr>
        <w:t> </w:t>
      </w:r>
      <w:r>
        <w:rPr>
          <w:rFonts w:ascii="Cambria Math" w:hAnsi="Cambria Math" w:eastAsia="Cambria Math"/>
          <w:position w:val="1"/>
        </w:rPr>
        <w:t>𝑅</w:t>
      </w:r>
      <w:r>
        <w:rPr>
          <w:rFonts w:ascii="Cambria Math" w:hAnsi="Cambria Math" w:eastAsia="Cambria Math"/>
          <w:sz w:val="17"/>
        </w:rPr>
        <w:t>𝐼</w:t>
      </w:r>
      <w:r>
        <w:rPr>
          <w:rFonts w:ascii="Cambria Math" w:hAnsi="Cambria Math" w:eastAsia="Cambria Math"/>
          <w:spacing w:val="5"/>
          <w:sz w:val="17"/>
        </w:rPr>
        <w:t> </w:t>
      </w:r>
      <w:r>
        <w:rPr>
          <w:rFonts w:ascii="Cambria Math" w:hAnsi="Cambria Math" w:eastAsia="Cambria Math"/>
          <w:position w:val="1"/>
        </w:rPr>
        <w:t>&lt;</w:t>
      </w:r>
      <w:r>
        <w:rPr>
          <w:rFonts w:ascii="Cambria Math" w:hAnsi="Cambria Math" w:eastAsia="Cambria Math"/>
          <w:spacing w:val="9"/>
          <w:position w:val="1"/>
        </w:rPr>
        <w:t> </w:t>
      </w:r>
      <w:r>
        <w:rPr>
          <w:rFonts w:ascii="Cambria Math" w:hAnsi="Cambria Math" w:eastAsia="Cambria Math"/>
          <w:position w:val="1"/>
        </w:rPr>
        <w:t>300</w:t>
      </w:r>
      <w:r>
        <w:rPr>
          <w:rFonts w:ascii="Cambria Math" w:hAnsi="Cambria Math" w:eastAsia="Cambria Math"/>
          <w:spacing w:val="17"/>
          <w:position w:val="1"/>
        </w:rPr>
        <w:t> </w:t>
      </w:r>
      <w:r>
        <w:rPr>
          <w:position w:val="1"/>
        </w:rPr>
        <w:t>=</w:t>
      </w:r>
      <w:r>
        <w:rPr>
          <w:spacing w:val="9"/>
          <w:position w:val="1"/>
        </w:rPr>
        <w:t> </w:t>
      </w:r>
      <w:r>
        <w:rPr>
          <w:position w:val="1"/>
        </w:rPr>
        <w:t>moderate</w:t>
      </w:r>
      <w:r>
        <w:rPr>
          <w:spacing w:val="10"/>
          <w:position w:val="1"/>
        </w:rPr>
        <w:t> </w:t>
      </w:r>
      <w:r>
        <w:rPr>
          <w:position w:val="1"/>
        </w:rPr>
        <w:t>ecological</w:t>
      </w:r>
      <w:r>
        <w:rPr>
          <w:spacing w:val="10"/>
          <w:position w:val="1"/>
        </w:rPr>
        <w:t> </w:t>
      </w:r>
      <w:r>
        <w:rPr>
          <w:spacing w:val="-2"/>
          <w:position w:val="1"/>
        </w:rPr>
        <w:t>risk;</w:t>
      </w:r>
    </w:p>
    <w:p>
      <w:pPr>
        <w:pStyle w:val="BodyText"/>
        <w:spacing w:before="16"/>
      </w:pPr>
    </w:p>
    <w:p>
      <w:pPr>
        <w:pStyle w:val="BodyText"/>
        <w:ind w:left="1155"/>
        <w:rPr>
          <w:position w:val="1"/>
        </w:rPr>
      </w:pPr>
      <w:r>
        <w:rPr>
          <w:rFonts w:ascii="Cambria Math" w:hAnsi="Cambria Math" w:eastAsia="Cambria Math"/>
          <w:position w:val="1"/>
        </w:rPr>
        <w:t>300</w:t>
      </w:r>
      <w:r>
        <w:rPr>
          <w:rFonts w:ascii="Cambria Math" w:hAnsi="Cambria Math" w:eastAsia="Cambria Math"/>
          <w:spacing w:val="7"/>
          <w:position w:val="1"/>
        </w:rPr>
        <w:t> </w:t>
      </w:r>
      <w:r>
        <w:rPr>
          <w:rFonts w:ascii="Cambria Math" w:hAnsi="Cambria Math" w:eastAsia="Cambria Math"/>
          <w:position w:val="1"/>
        </w:rPr>
        <w:t>≤</w:t>
      </w:r>
      <w:r>
        <w:rPr>
          <w:rFonts w:ascii="Cambria Math" w:hAnsi="Cambria Math" w:eastAsia="Cambria Math"/>
          <w:spacing w:val="9"/>
          <w:position w:val="1"/>
        </w:rPr>
        <w:t> </w:t>
      </w:r>
      <w:r>
        <w:rPr>
          <w:rFonts w:ascii="Cambria Math" w:hAnsi="Cambria Math" w:eastAsia="Cambria Math"/>
          <w:position w:val="1"/>
        </w:rPr>
        <w:t>𝑅</w:t>
      </w:r>
      <w:r>
        <w:rPr>
          <w:rFonts w:ascii="Cambria Math" w:hAnsi="Cambria Math" w:eastAsia="Cambria Math"/>
          <w:sz w:val="17"/>
        </w:rPr>
        <w:t>𝐼</w:t>
      </w:r>
      <w:r>
        <w:rPr>
          <w:rFonts w:ascii="Cambria Math" w:hAnsi="Cambria Math" w:eastAsia="Cambria Math"/>
          <w:spacing w:val="5"/>
          <w:sz w:val="17"/>
        </w:rPr>
        <w:t> </w:t>
      </w:r>
      <w:r>
        <w:rPr>
          <w:rFonts w:ascii="Cambria Math" w:hAnsi="Cambria Math" w:eastAsia="Cambria Math"/>
          <w:position w:val="1"/>
        </w:rPr>
        <w:t>&lt;</w:t>
      </w:r>
      <w:r>
        <w:rPr>
          <w:rFonts w:ascii="Cambria Math" w:hAnsi="Cambria Math" w:eastAsia="Cambria Math"/>
          <w:spacing w:val="9"/>
          <w:position w:val="1"/>
        </w:rPr>
        <w:t> </w:t>
      </w:r>
      <w:r>
        <w:rPr>
          <w:rFonts w:ascii="Cambria Math" w:hAnsi="Cambria Math" w:eastAsia="Cambria Math"/>
          <w:position w:val="1"/>
        </w:rPr>
        <w:t>600</w:t>
      </w:r>
      <w:r>
        <w:rPr>
          <w:rFonts w:ascii="Cambria Math" w:hAnsi="Cambria Math" w:eastAsia="Cambria Math"/>
          <w:spacing w:val="17"/>
          <w:position w:val="1"/>
        </w:rPr>
        <w:t> </w:t>
      </w:r>
      <w:r>
        <w:rPr>
          <w:position w:val="1"/>
        </w:rPr>
        <w:t>=</w:t>
      </w:r>
      <w:r>
        <w:rPr>
          <w:spacing w:val="11"/>
          <w:position w:val="1"/>
        </w:rPr>
        <w:t> </w:t>
      </w:r>
      <w:r>
        <w:rPr>
          <w:position w:val="1"/>
        </w:rPr>
        <w:t>considerable</w:t>
      </w:r>
      <w:r>
        <w:rPr>
          <w:spacing w:val="12"/>
          <w:position w:val="1"/>
        </w:rPr>
        <w:t> </w:t>
      </w:r>
      <w:r>
        <w:rPr>
          <w:position w:val="1"/>
        </w:rPr>
        <w:t>ecological</w:t>
      </w:r>
      <w:r>
        <w:rPr>
          <w:spacing w:val="10"/>
          <w:position w:val="1"/>
        </w:rPr>
        <w:t> </w:t>
      </w:r>
      <w:r>
        <w:rPr>
          <w:spacing w:val="-2"/>
          <w:position w:val="1"/>
        </w:rPr>
        <w:t>risk.</w:t>
      </w:r>
    </w:p>
    <w:p>
      <w:pPr>
        <w:pStyle w:val="BodyText"/>
        <w:spacing w:before="18"/>
      </w:pPr>
    </w:p>
    <w:p>
      <w:pPr>
        <w:pStyle w:val="BodyText"/>
        <w:spacing w:before="1"/>
        <w:ind w:left="1155"/>
        <w:rPr>
          <w:position w:val="1"/>
        </w:rPr>
      </w:pPr>
      <w:r>
        <w:rPr>
          <w:rFonts w:ascii="Cambria Math" w:hAnsi="Cambria Math" w:eastAsia="Cambria Math"/>
          <w:position w:val="1"/>
        </w:rPr>
        <w:t>𝑅</w:t>
      </w:r>
      <w:r>
        <w:rPr>
          <w:rFonts w:ascii="Cambria Math" w:hAnsi="Cambria Math" w:eastAsia="Cambria Math"/>
          <w:sz w:val="17"/>
        </w:rPr>
        <w:t>𝐼</w:t>
      </w:r>
      <w:r>
        <w:rPr>
          <w:rFonts w:ascii="Cambria Math" w:hAnsi="Cambria Math" w:eastAsia="Cambria Math"/>
          <w:spacing w:val="3"/>
          <w:sz w:val="17"/>
        </w:rPr>
        <w:t> </w:t>
      </w:r>
      <w:r>
        <w:rPr>
          <w:rFonts w:ascii="Cambria Math" w:hAnsi="Cambria Math" w:eastAsia="Cambria Math"/>
          <w:position w:val="1"/>
        </w:rPr>
        <w:t>≥</w:t>
      </w:r>
      <w:r>
        <w:rPr>
          <w:rFonts w:ascii="Cambria Math" w:hAnsi="Cambria Math" w:eastAsia="Cambria Math"/>
          <w:spacing w:val="8"/>
          <w:position w:val="1"/>
        </w:rPr>
        <w:t> </w:t>
      </w:r>
      <w:r>
        <w:rPr>
          <w:rFonts w:ascii="Cambria Math" w:hAnsi="Cambria Math" w:eastAsia="Cambria Math"/>
          <w:position w:val="1"/>
        </w:rPr>
        <w:t>600</w:t>
      </w:r>
      <w:r>
        <w:rPr>
          <w:rFonts w:ascii="Cambria Math" w:hAnsi="Cambria Math" w:eastAsia="Cambria Math"/>
          <w:spacing w:val="15"/>
          <w:position w:val="1"/>
        </w:rPr>
        <w:t> </w:t>
      </w:r>
      <w:r>
        <w:rPr>
          <w:position w:val="1"/>
        </w:rPr>
        <w:t>=</w:t>
      </w:r>
      <w:r>
        <w:rPr>
          <w:spacing w:val="8"/>
          <w:position w:val="1"/>
        </w:rPr>
        <w:t> </w:t>
      </w:r>
      <w:r>
        <w:rPr>
          <w:position w:val="1"/>
        </w:rPr>
        <w:t>very</w:t>
      </w:r>
      <w:r>
        <w:rPr>
          <w:spacing w:val="9"/>
          <w:position w:val="1"/>
        </w:rPr>
        <w:t> </w:t>
      </w:r>
      <w:r>
        <w:rPr>
          <w:position w:val="1"/>
        </w:rPr>
        <w:t>high</w:t>
      </w:r>
      <w:r>
        <w:rPr>
          <w:spacing w:val="9"/>
          <w:position w:val="1"/>
        </w:rPr>
        <w:t> </w:t>
      </w:r>
      <w:r>
        <w:rPr>
          <w:position w:val="1"/>
        </w:rPr>
        <w:t>ecological</w:t>
      </w:r>
      <w:r>
        <w:rPr>
          <w:spacing w:val="9"/>
          <w:position w:val="1"/>
        </w:rPr>
        <w:t> </w:t>
      </w:r>
      <w:r>
        <w:rPr>
          <w:position w:val="1"/>
        </w:rPr>
        <w:t>risk</w:t>
      </w:r>
      <w:r>
        <w:rPr>
          <w:spacing w:val="9"/>
          <w:position w:val="1"/>
        </w:rPr>
        <w:t> </w:t>
      </w:r>
      <w:r>
        <w:rPr>
          <w:position w:val="1"/>
        </w:rPr>
        <w:t>at</w:t>
      </w:r>
      <w:r>
        <w:rPr>
          <w:spacing w:val="8"/>
          <w:position w:val="1"/>
        </w:rPr>
        <w:t> </w:t>
      </w:r>
      <w:r>
        <w:rPr>
          <w:position w:val="1"/>
        </w:rPr>
        <w:t>hand</w:t>
      </w:r>
      <w:r>
        <w:rPr>
          <w:spacing w:val="9"/>
          <w:position w:val="1"/>
        </w:rPr>
        <w:t> </w:t>
      </w:r>
      <w:r>
        <w:rPr>
          <w:position w:val="1"/>
        </w:rPr>
        <w:t>for</w:t>
      </w:r>
      <w:r>
        <w:rPr>
          <w:spacing w:val="9"/>
          <w:position w:val="1"/>
        </w:rPr>
        <w:t> </w:t>
      </w:r>
      <w:r>
        <w:rPr>
          <w:position w:val="1"/>
        </w:rPr>
        <w:t>the</w:t>
      </w:r>
      <w:r>
        <w:rPr>
          <w:spacing w:val="8"/>
          <w:position w:val="1"/>
        </w:rPr>
        <w:t> </w:t>
      </w:r>
      <w:r>
        <w:rPr>
          <w:position w:val="1"/>
        </w:rPr>
        <w:t>substance</w:t>
      </w:r>
      <w:r>
        <w:rPr>
          <w:spacing w:val="8"/>
          <w:position w:val="1"/>
        </w:rPr>
        <w:t> </w:t>
      </w:r>
      <w:r>
        <w:rPr>
          <w:position w:val="1"/>
        </w:rPr>
        <w:t>in</w:t>
      </w:r>
      <w:r>
        <w:rPr>
          <w:spacing w:val="9"/>
          <w:position w:val="1"/>
        </w:rPr>
        <w:t> </w:t>
      </w:r>
      <w:r>
        <w:rPr>
          <w:spacing w:val="-2"/>
          <w:position w:val="1"/>
        </w:rPr>
        <w:t>question.</w:t>
      </w:r>
    </w:p>
    <w:p>
      <w:pPr>
        <w:pStyle w:val="BodyText"/>
        <w:spacing w:after="0"/>
        <w:rPr>
          <w:position w:val="1"/>
        </w:rPr>
        <w:sectPr>
          <w:pgSz w:w="12240" w:h="15840"/>
          <w:pgMar w:header="0" w:footer="1674" w:top="1460" w:bottom="1860" w:left="360" w:right="0"/>
        </w:sectPr>
      </w:pPr>
    </w:p>
    <w:p>
      <w:pPr>
        <w:pStyle w:val="BodyText"/>
        <w:spacing w:line="489" w:lineRule="auto" w:before="74"/>
        <w:ind w:left="1167" w:right="1894" w:hanging="13"/>
        <w:jc w:val="both"/>
      </w:pPr>
      <w:r>
        <w:rPr/>
        <w:t>Observing from</w:t>
      </w:r>
      <w:r>
        <w:rPr>
          <w:spacing w:val="-2"/>
        </w:rPr>
        <w:t> </w:t>
      </w:r>
      <w:r>
        <w:rPr/>
        <w:t>Table 4, all sediment samples obtained from the location does not pose a considerable potential ecological risk and at the same time, the sediments constitute</w:t>
      </w:r>
      <w:r>
        <w:rPr>
          <w:spacing w:val="40"/>
        </w:rPr>
        <w:t> </w:t>
      </w:r>
      <w:r>
        <w:rPr/>
        <w:t>an insignificant amount of pollution in the study area.</w:t>
      </w:r>
    </w:p>
    <w:p>
      <w:pPr>
        <w:pStyle w:val="Heading1"/>
        <w:numPr>
          <w:ilvl w:val="2"/>
          <w:numId w:val="7"/>
        </w:numPr>
        <w:tabs>
          <w:tab w:pos="1728" w:val="left" w:leader="none"/>
        </w:tabs>
        <w:spacing w:line="487" w:lineRule="auto" w:before="0" w:after="0"/>
        <w:ind w:left="1155" w:right="1888" w:firstLine="0"/>
        <w:jc w:val="left"/>
      </w:pPr>
      <w:r>
        <w:rPr/>
        <w:t>CARCINOGENIC AND NON-CARCINOGENIC RISK ASSESSMENT OF WATER SAMPLES</w:t>
      </w:r>
    </w:p>
    <w:p>
      <w:pPr>
        <w:pStyle w:val="BodyText"/>
        <w:spacing w:line="491" w:lineRule="auto" w:before="175"/>
        <w:ind w:left="1167" w:right="1778" w:hanging="13"/>
        <w:jc w:val="both"/>
      </w:pPr>
      <w:r>
        <w:rPr/>
        <w:t>Table 5 presents the statistical analysis of Average Daily Intake (ADI) through both ingestion and dermal pathways. The mean ADI via ingestion (ADI</w:t>
      </w:r>
      <w:r>
        <w:rPr>
          <w:vertAlign w:val="subscript"/>
        </w:rPr>
        <w:t>ing</w:t>
      </w:r>
      <w:r>
        <w:rPr>
          <w:vertAlign w:val="baseline"/>
        </w:rPr>
        <w:t>) ranged from 2.90E10 to 1.70E-08 mg/kg-year, with Cobalt showing the highest intake and Arsenic</w:t>
      </w:r>
      <w:r>
        <w:rPr>
          <w:spacing w:val="40"/>
          <w:vertAlign w:val="baseline"/>
        </w:rPr>
        <w:t> </w:t>
      </w:r>
      <w:r>
        <w:rPr>
          <w:vertAlign w:val="baseline"/>
        </w:rPr>
        <w:t>the lowest. For the dermal pathway (ADI</w:t>
      </w:r>
      <w:r>
        <w:rPr>
          <w:vertAlign w:val="subscript"/>
        </w:rPr>
        <w:t>derm</w:t>
      </w:r>
      <w:r>
        <w:rPr>
          <w:vertAlign w:val="baseline"/>
        </w:rPr>
        <w:t>), values ranged from 1.02E-13 to 2.84E-11 mg/kg-year, with Chromium contributing the highest intake level among the elements.</w:t>
      </w:r>
    </w:p>
    <w:p>
      <w:pPr>
        <w:pStyle w:val="BodyText"/>
        <w:spacing w:line="491" w:lineRule="auto" w:before="167"/>
        <w:ind w:left="1155" w:right="1810"/>
      </w:pPr>
      <w:r>
        <w:rPr/>
        <w:t>The estimated Hazard Index (HI) values for all elements were below one (&lt;1), aligning with</w:t>
      </w:r>
      <w:r>
        <w:rPr>
          <w:spacing w:val="40"/>
        </w:rPr>
        <w:t> </w:t>
      </w:r>
      <w:r>
        <w:rPr/>
        <w:t>the</w:t>
      </w:r>
      <w:r>
        <w:rPr>
          <w:spacing w:val="40"/>
        </w:rPr>
        <w:t> </w:t>
      </w:r>
      <w:r>
        <w:rPr/>
        <w:t>U.S.</w:t>
      </w:r>
      <w:r>
        <w:rPr>
          <w:spacing w:val="40"/>
        </w:rPr>
        <w:t> </w:t>
      </w:r>
      <w:r>
        <w:rPr/>
        <w:t>EPA</w:t>
      </w:r>
      <w:r>
        <w:rPr>
          <w:spacing w:val="28"/>
        </w:rPr>
        <w:t> </w:t>
      </w:r>
      <w:r>
        <w:rPr/>
        <w:t>(2001)</w:t>
      </w:r>
      <w:r>
        <w:rPr>
          <w:spacing w:val="40"/>
        </w:rPr>
        <w:t> </w:t>
      </w:r>
      <w:r>
        <w:rPr/>
        <w:t>threshold,</w:t>
      </w:r>
      <w:r>
        <w:rPr>
          <w:spacing w:val="40"/>
        </w:rPr>
        <w:t> </w:t>
      </w:r>
      <w:r>
        <w:rPr/>
        <w:t>and</w:t>
      </w:r>
      <w:r>
        <w:rPr>
          <w:spacing w:val="40"/>
        </w:rPr>
        <w:t> </w:t>
      </w:r>
      <w:r>
        <w:rPr/>
        <w:t>indicating</w:t>
      </w:r>
      <w:r>
        <w:rPr>
          <w:spacing w:val="40"/>
        </w:rPr>
        <w:t> </w:t>
      </w:r>
      <w:r>
        <w:rPr/>
        <w:t>that</w:t>
      </w:r>
      <w:r>
        <w:rPr>
          <w:spacing w:val="40"/>
        </w:rPr>
        <w:t> </w:t>
      </w:r>
      <w:r>
        <w:rPr/>
        <w:t>non-carcinogenic</w:t>
      </w:r>
      <w:r>
        <w:rPr>
          <w:spacing w:val="40"/>
        </w:rPr>
        <w:t> </w:t>
      </w:r>
      <w:r>
        <w:rPr/>
        <w:t>risks</w:t>
      </w:r>
      <w:r>
        <w:rPr>
          <w:spacing w:val="40"/>
        </w:rPr>
        <w:t> </w:t>
      </w:r>
      <w:r>
        <w:rPr/>
        <w:t>from exposure to these water samples are negligible. Carcinogenic risk assessment (also in Table</w:t>
      </w:r>
      <w:r>
        <w:rPr>
          <w:spacing w:val="80"/>
        </w:rPr>
        <w:t> </w:t>
      </w:r>
      <w:r>
        <w:rPr/>
        <w:t>5)</w:t>
      </w:r>
      <w:r>
        <w:rPr>
          <w:spacing w:val="80"/>
        </w:rPr>
        <w:t> </w:t>
      </w:r>
      <w:r>
        <w:rPr/>
        <w:t>further</w:t>
      </w:r>
      <w:r>
        <w:rPr>
          <w:spacing w:val="80"/>
        </w:rPr>
        <w:t> </w:t>
      </w:r>
      <w:r>
        <w:rPr/>
        <w:t>revealed</w:t>
      </w:r>
      <w:r>
        <w:rPr>
          <w:spacing w:val="80"/>
        </w:rPr>
        <w:t> </w:t>
      </w:r>
      <w:r>
        <w:rPr/>
        <w:t>that</w:t>
      </w:r>
      <w:r>
        <w:rPr>
          <w:spacing w:val="80"/>
        </w:rPr>
        <w:t> </w:t>
      </w:r>
      <w:r>
        <w:rPr/>
        <w:t>the</w:t>
      </w:r>
      <w:r>
        <w:rPr>
          <w:spacing w:val="80"/>
        </w:rPr>
        <w:t> </w:t>
      </w:r>
      <w:r>
        <w:rPr/>
        <w:t>concentrations</w:t>
      </w:r>
      <w:r>
        <w:rPr>
          <w:spacing w:val="80"/>
        </w:rPr>
        <w:t> </w:t>
      </w:r>
      <w:r>
        <w:rPr/>
        <w:t>of</w:t>
      </w:r>
      <w:r>
        <w:rPr>
          <w:spacing w:val="80"/>
        </w:rPr>
        <w:t> </w:t>
      </w:r>
      <w:r>
        <w:rPr/>
        <w:t>Lead</w:t>
      </w:r>
      <w:r>
        <w:rPr>
          <w:spacing w:val="80"/>
        </w:rPr>
        <w:t> </w:t>
      </w:r>
      <w:r>
        <w:rPr/>
        <w:t>(Pb),</w:t>
      </w:r>
      <w:r>
        <w:rPr>
          <w:spacing w:val="80"/>
        </w:rPr>
        <w:t> </w:t>
      </w:r>
      <w:r>
        <w:rPr/>
        <w:t>Cadmium</w:t>
      </w:r>
      <w:r>
        <w:rPr>
          <w:spacing w:val="80"/>
        </w:rPr>
        <w:t> </w:t>
      </w:r>
      <w:r>
        <w:rPr/>
        <w:t>(Cd), Chromium (Cr), and Arsenic (As) in the water samples pose no significant cancer risk</w:t>
      </w:r>
      <w:r>
        <w:rPr>
          <w:spacing w:val="80"/>
        </w:rPr>
        <w:t> </w:t>
      </w:r>
      <w:r>
        <w:rPr/>
        <w:t>via either ingestion or dermal exposure, as all calculated cancer risk values were below the</w:t>
      </w:r>
      <w:r>
        <w:rPr>
          <w:spacing w:val="80"/>
          <w:w w:val="150"/>
        </w:rPr>
        <w:t> </w:t>
      </w:r>
      <w:r>
        <w:rPr/>
        <w:t>acceptable</w:t>
      </w:r>
      <w:r>
        <w:rPr>
          <w:spacing w:val="80"/>
          <w:w w:val="150"/>
        </w:rPr>
        <w:t> </w:t>
      </w:r>
      <w:r>
        <w:rPr/>
        <w:t>limit</w:t>
      </w:r>
      <w:r>
        <w:rPr>
          <w:spacing w:val="80"/>
          <w:w w:val="150"/>
        </w:rPr>
        <w:t> </w:t>
      </w:r>
      <w:r>
        <w:rPr/>
        <w:t>of</w:t>
      </w:r>
      <w:r>
        <w:rPr>
          <w:spacing w:val="80"/>
          <w:w w:val="150"/>
        </w:rPr>
        <w:t> </w:t>
      </w:r>
      <w:r>
        <w:rPr/>
        <w:t>1.0E-06.</w:t>
      </w:r>
      <w:r>
        <w:rPr>
          <w:spacing w:val="80"/>
          <w:w w:val="150"/>
        </w:rPr>
        <w:t> </w:t>
      </w:r>
      <w:r>
        <w:rPr/>
        <w:t>These</w:t>
      </w:r>
      <w:r>
        <w:rPr>
          <w:spacing w:val="80"/>
          <w:w w:val="150"/>
        </w:rPr>
        <w:t> </w:t>
      </w:r>
      <w:r>
        <w:rPr/>
        <w:t>findings</w:t>
      </w:r>
      <w:r>
        <w:rPr>
          <w:spacing w:val="80"/>
          <w:w w:val="150"/>
        </w:rPr>
        <w:t> </w:t>
      </w:r>
      <w:r>
        <w:rPr/>
        <w:t>suggest</w:t>
      </w:r>
      <w:r>
        <w:rPr>
          <w:spacing w:val="80"/>
          <w:w w:val="150"/>
        </w:rPr>
        <w:t> </w:t>
      </w:r>
      <w:r>
        <w:rPr/>
        <w:t>that</w:t>
      </w:r>
      <w:r>
        <w:rPr>
          <w:spacing w:val="80"/>
          <w:w w:val="150"/>
        </w:rPr>
        <w:t> </w:t>
      </w:r>
      <w:r>
        <w:rPr/>
        <w:t>the</w:t>
      </w:r>
      <w:r>
        <w:rPr>
          <w:spacing w:val="80"/>
          <w:w w:val="150"/>
        </w:rPr>
        <w:t> </w:t>
      </w:r>
      <w:r>
        <w:rPr/>
        <w:t>heavy</w:t>
      </w:r>
      <w:r>
        <w:rPr>
          <w:spacing w:val="80"/>
          <w:w w:val="150"/>
        </w:rPr>
        <w:t> </w:t>
      </w:r>
      <w:r>
        <w:rPr/>
        <w:t>metal concentrations in the water do not present notable health threats under current exposure </w:t>
      </w:r>
      <w:r>
        <w:rPr>
          <w:spacing w:val="-2"/>
        </w:rPr>
        <w:t>conditions.</w:t>
      </w:r>
    </w:p>
    <w:p>
      <w:pPr>
        <w:pStyle w:val="BodyText"/>
        <w:spacing w:after="0" w:line="491" w:lineRule="auto"/>
        <w:sectPr>
          <w:pgSz w:w="12240" w:h="15840"/>
          <w:pgMar w:header="0" w:footer="1674" w:top="1460" w:bottom="1860" w:left="360" w:right="0"/>
        </w:sectPr>
      </w:pPr>
    </w:p>
    <w:p>
      <w:pPr>
        <w:spacing w:before="74" w:after="25"/>
        <w:ind w:left="1155" w:right="0" w:firstLine="0"/>
        <w:jc w:val="left"/>
        <w:rPr>
          <w:sz w:val="25"/>
        </w:rPr>
      </w:pPr>
      <w:r>
        <w:rPr>
          <w:b/>
          <w:sz w:val="25"/>
        </w:rPr>
        <w:t>Table</w:t>
      </w:r>
      <w:r>
        <w:rPr>
          <w:b/>
          <w:spacing w:val="8"/>
          <w:sz w:val="25"/>
        </w:rPr>
        <w:t> </w:t>
      </w:r>
      <w:r>
        <w:rPr>
          <w:b/>
          <w:sz w:val="25"/>
        </w:rPr>
        <w:t>4.4:</w:t>
      </w:r>
      <w:r>
        <w:rPr>
          <w:b/>
          <w:spacing w:val="8"/>
          <w:sz w:val="25"/>
        </w:rPr>
        <w:t> </w:t>
      </w:r>
      <w:r>
        <w:rPr>
          <w:sz w:val="25"/>
        </w:rPr>
        <w:t>Human</w:t>
      </w:r>
      <w:r>
        <w:rPr>
          <w:spacing w:val="8"/>
          <w:sz w:val="25"/>
        </w:rPr>
        <w:t> </w:t>
      </w:r>
      <w:r>
        <w:rPr>
          <w:sz w:val="25"/>
        </w:rPr>
        <w:t>risk</w:t>
      </w:r>
      <w:r>
        <w:rPr>
          <w:spacing w:val="9"/>
          <w:sz w:val="25"/>
        </w:rPr>
        <w:t> </w:t>
      </w:r>
      <w:r>
        <w:rPr>
          <w:sz w:val="25"/>
        </w:rPr>
        <w:t>estimation</w:t>
      </w:r>
      <w:r>
        <w:rPr>
          <w:spacing w:val="9"/>
          <w:sz w:val="25"/>
        </w:rPr>
        <w:t> </w:t>
      </w:r>
      <w:r>
        <w:rPr>
          <w:sz w:val="25"/>
        </w:rPr>
        <w:t>for</w:t>
      </w:r>
      <w:r>
        <w:rPr>
          <w:spacing w:val="7"/>
          <w:sz w:val="25"/>
        </w:rPr>
        <w:t> </w:t>
      </w:r>
      <w:r>
        <w:rPr>
          <w:sz w:val="25"/>
        </w:rPr>
        <w:t>water</w:t>
      </w:r>
      <w:r>
        <w:rPr>
          <w:spacing w:val="7"/>
          <w:sz w:val="25"/>
        </w:rPr>
        <w:t> </w:t>
      </w:r>
      <w:r>
        <w:rPr>
          <w:spacing w:val="-2"/>
          <w:sz w:val="25"/>
        </w:rPr>
        <w:t>samples</w:t>
      </w:r>
    </w:p>
    <w:tbl>
      <w:tblPr>
        <w:tblW w:w="0" w:type="auto"/>
        <w:jc w:val="left"/>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59"/>
        <w:gridCol w:w="1058"/>
        <w:gridCol w:w="1532"/>
        <w:gridCol w:w="1525"/>
        <w:gridCol w:w="989"/>
        <w:gridCol w:w="987"/>
        <w:gridCol w:w="1321"/>
        <w:gridCol w:w="990"/>
        <w:gridCol w:w="987"/>
        <w:gridCol w:w="990"/>
      </w:tblGrid>
      <w:tr>
        <w:trPr>
          <w:trHeight w:val="925" w:hRule="atLeast"/>
        </w:trPr>
        <w:tc>
          <w:tcPr>
            <w:tcW w:w="959" w:type="dxa"/>
            <w:tcBorders>
              <w:left w:val="single" w:sz="6" w:space="0" w:color="000000"/>
              <w:right w:val="single" w:sz="6" w:space="0" w:color="000000"/>
            </w:tcBorders>
          </w:tcPr>
          <w:p>
            <w:pPr>
              <w:pStyle w:val="TableParagraph"/>
              <w:spacing w:before="61"/>
              <w:rPr>
                <w:sz w:val="23"/>
              </w:rPr>
            </w:pPr>
          </w:p>
          <w:p>
            <w:pPr>
              <w:pStyle w:val="TableParagraph"/>
              <w:spacing w:line="290" w:lineRule="atLeast"/>
              <w:ind w:left="122"/>
              <w:rPr>
                <w:sz w:val="23"/>
              </w:rPr>
            </w:pPr>
            <w:r>
              <w:rPr>
                <w:spacing w:val="-2"/>
                <w:sz w:val="23"/>
              </w:rPr>
              <w:t>Heavy Metal</w:t>
            </w:r>
          </w:p>
        </w:tc>
        <w:tc>
          <w:tcPr>
            <w:tcW w:w="1058" w:type="dxa"/>
            <w:tcBorders>
              <w:left w:val="single" w:sz="6" w:space="0" w:color="000000"/>
              <w:right w:val="single" w:sz="6" w:space="0" w:color="000000"/>
            </w:tcBorders>
          </w:tcPr>
          <w:p>
            <w:pPr>
              <w:pStyle w:val="TableParagraph"/>
              <w:rPr>
                <w:sz w:val="23"/>
              </w:rPr>
            </w:pPr>
          </w:p>
          <w:p>
            <w:pPr>
              <w:pStyle w:val="TableParagraph"/>
              <w:spacing w:before="110"/>
              <w:rPr>
                <w:sz w:val="23"/>
              </w:rPr>
            </w:pPr>
          </w:p>
          <w:p>
            <w:pPr>
              <w:pStyle w:val="TableParagraph"/>
              <w:ind w:left="120"/>
              <w:rPr>
                <w:sz w:val="23"/>
              </w:rPr>
            </w:pPr>
            <w:r>
              <w:rPr>
                <w:spacing w:val="-2"/>
                <w:sz w:val="23"/>
              </w:rPr>
              <w:t>Statistics</w:t>
            </w:r>
          </w:p>
        </w:tc>
        <w:tc>
          <w:tcPr>
            <w:tcW w:w="1532" w:type="dxa"/>
            <w:tcBorders>
              <w:left w:val="single" w:sz="6" w:space="0" w:color="000000"/>
            </w:tcBorders>
          </w:tcPr>
          <w:p>
            <w:pPr>
              <w:pStyle w:val="TableParagraph"/>
              <w:rPr>
                <w:sz w:val="23"/>
              </w:rPr>
            </w:pPr>
          </w:p>
          <w:p>
            <w:pPr>
              <w:pStyle w:val="TableParagraph"/>
              <w:spacing w:before="110"/>
              <w:rPr>
                <w:sz w:val="23"/>
              </w:rPr>
            </w:pPr>
          </w:p>
          <w:p>
            <w:pPr>
              <w:pStyle w:val="TableParagraph"/>
              <w:ind w:right="122"/>
              <w:jc w:val="right"/>
              <w:rPr>
                <w:sz w:val="23"/>
              </w:rPr>
            </w:pPr>
            <w:r>
              <w:rPr>
                <w:spacing w:val="-2"/>
                <w:sz w:val="23"/>
              </w:rPr>
              <w:t>concentration</w:t>
            </w:r>
          </w:p>
        </w:tc>
        <w:tc>
          <w:tcPr>
            <w:tcW w:w="1525" w:type="dxa"/>
          </w:tcPr>
          <w:p>
            <w:pPr>
              <w:pStyle w:val="TableParagraph"/>
              <w:rPr>
                <w:sz w:val="23"/>
              </w:rPr>
            </w:pPr>
          </w:p>
          <w:p>
            <w:pPr>
              <w:pStyle w:val="TableParagraph"/>
              <w:spacing w:before="110"/>
              <w:rPr>
                <w:sz w:val="23"/>
              </w:rPr>
            </w:pPr>
          </w:p>
          <w:p>
            <w:pPr>
              <w:pStyle w:val="TableParagraph"/>
              <w:ind w:right="107"/>
              <w:jc w:val="right"/>
              <w:rPr>
                <w:sz w:val="23"/>
              </w:rPr>
            </w:pPr>
            <w:r>
              <w:rPr>
                <w:spacing w:val="-2"/>
                <w:sz w:val="23"/>
              </w:rPr>
              <w:t>ADI</w:t>
            </w:r>
            <w:r>
              <w:rPr>
                <w:spacing w:val="-2"/>
                <w:sz w:val="23"/>
                <w:vertAlign w:val="subscript"/>
              </w:rPr>
              <w:t>ing</w:t>
            </w:r>
            <w:r>
              <w:rPr>
                <w:spacing w:val="-2"/>
                <w:sz w:val="23"/>
                <w:vertAlign w:val="baseline"/>
              </w:rPr>
              <w:t>(water)</w:t>
            </w:r>
          </w:p>
        </w:tc>
        <w:tc>
          <w:tcPr>
            <w:tcW w:w="989" w:type="dxa"/>
          </w:tcPr>
          <w:p>
            <w:pPr>
              <w:pStyle w:val="TableParagraph"/>
              <w:spacing w:before="61"/>
              <w:rPr>
                <w:sz w:val="23"/>
              </w:rPr>
            </w:pPr>
          </w:p>
          <w:p>
            <w:pPr>
              <w:pStyle w:val="TableParagraph"/>
              <w:spacing w:line="290" w:lineRule="atLeast"/>
              <w:ind w:left="124"/>
              <w:rPr>
                <w:sz w:val="23"/>
              </w:rPr>
            </w:pPr>
            <w:r>
              <w:rPr>
                <w:spacing w:val="-2"/>
                <w:sz w:val="23"/>
              </w:rPr>
              <w:t>cancer </w:t>
            </w:r>
            <w:r>
              <w:rPr>
                <w:sz w:val="23"/>
              </w:rPr>
              <w:t>risk</w:t>
            </w:r>
            <w:r>
              <w:rPr>
                <w:spacing w:val="5"/>
                <w:sz w:val="23"/>
              </w:rPr>
              <w:t> </w:t>
            </w:r>
            <w:r>
              <w:rPr>
                <w:spacing w:val="-5"/>
                <w:sz w:val="23"/>
              </w:rPr>
              <w:t>Ing</w:t>
            </w:r>
          </w:p>
        </w:tc>
        <w:tc>
          <w:tcPr>
            <w:tcW w:w="987" w:type="dxa"/>
            <w:tcBorders>
              <w:right w:val="single" w:sz="6" w:space="0" w:color="000000"/>
            </w:tcBorders>
          </w:tcPr>
          <w:p>
            <w:pPr>
              <w:pStyle w:val="TableParagraph"/>
              <w:rPr>
                <w:sz w:val="14"/>
              </w:rPr>
            </w:pPr>
          </w:p>
          <w:p>
            <w:pPr>
              <w:pStyle w:val="TableParagraph"/>
              <w:rPr>
                <w:sz w:val="14"/>
              </w:rPr>
            </w:pPr>
          </w:p>
          <w:p>
            <w:pPr>
              <w:pStyle w:val="TableParagraph"/>
              <w:spacing w:before="157"/>
              <w:rPr>
                <w:sz w:val="14"/>
              </w:rPr>
            </w:pPr>
          </w:p>
          <w:p>
            <w:pPr>
              <w:pStyle w:val="TableParagraph"/>
              <w:ind w:left="124"/>
              <w:rPr>
                <w:sz w:val="14"/>
              </w:rPr>
            </w:pPr>
            <w:r>
              <w:rPr>
                <w:spacing w:val="-2"/>
                <w:w w:val="105"/>
                <w:position w:val="2"/>
                <w:sz w:val="23"/>
              </w:rPr>
              <w:t>HQ</w:t>
            </w:r>
            <w:r>
              <w:rPr>
                <w:spacing w:val="-2"/>
                <w:w w:val="105"/>
                <w:sz w:val="14"/>
              </w:rPr>
              <w:t>ing</w:t>
            </w:r>
          </w:p>
        </w:tc>
        <w:tc>
          <w:tcPr>
            <w:tcW w:w="1321" w:type="dxa"/>
            <w:tcBorders>
              <w:left w:val="single" w:sz="6" w:space="0" w:color="000000"/>
              <w:right w:val="single" w:sz="6" w:space="0" w:color="000000"/>
            </w:tcBorders>
          </w:tcPr>
          <w:p>
            <w:pPr>
              <w:pStyle w:val="TableParagraph"/>
              <w:spacing w:before="60"/>
              <w:ind w:left="122"/>
              <w:rPr>
                <w:sz w:val="23"/>
              </w:rPr>
            </w:pPr>
            <w:r>
              <w:rPr>
                <w:spacing w:val="-5"/>
                <w:sz w:val="23"/>
              </w:rPr>
              <w:t>ADI</w:t>
            </w:r>
          </w:p>
          <w:p>
            <w:pPr>
              <w:pStyle w:val="TableParagraph"/>
              <w:spacing w:before="27"/>
              <w:ind w:left="122"/>
              <w:rPr>
                <w:sz w:val="23"/>
              </w:rPr>
            </w:pPr>
            <w:r>
              <w:rPr>
                <w:spacing w:val="-2"/>
                <w:sz w:val="23"/>
              </w:rPr>
              <w:t>(dermwater)</w:t>
            </w:r>
          </w:p>
        </w:tc>
        <w:tc>
          <w:tcPr>
            <w:tcW w:w="990" w:type="dxa"/>
            <w:tcBorders>
              <w:left w:val="single" w:sz="6" w:space="0" w:color="000000"/>
            </w:tcBorders>
          </w:tcPr>
          <w:p>
            <w:pPr>
              <w:pStyle w:val="TableParagraph"/>
              <w:rPr>
                <w:sz w:val="14"/>
              </w:rPr>
            </w:pPr>
          </w:p>
          <w:p>
            <w:pPr>
              <w:pStyle w:val="TableParagraph"/>
              <w:rPr>
                <w:sz w:val="14"/>
              </w:rPr>
            </w:pPr>
          </w:p>
          <w:p>
            <w:pPr>
              <w:pStyle w:val="TableParagraph"/>
              <w:spacing w:before="157"/>
              <w:rPr>
                <w:sz w:val="14"/>
              </w:rPr>
            </w:pPr>
          </w:p>
          <w:p>
            <w:pPr>
              <w:pStyle w:val="TableParagraph"/>
              <w:ind w:left="122"/>
              <w:rPr>
                <w:sz w:val="14"/>
              </w:rPr>
            </w:pPr>
            <w:r>
              <w:rPr>
                <w:spacing w:val="-2"/>
                <w:w w:val="105"/>
                <w:position w:val="2"/>
                <w:sz w:val="23"/>
              </w:rPr>
              <w:t>Hq</w:t>
            </w:r>
            <w:r>
              <w:rPr>
                <w:spacing w:val="-2"/>
                <w:w w:val="105"/>
                <w:sz w:val="14"/>
              </w:rPr>
              <w:t>derm</w:t>
            </w:r>
          </w:p>
        </w:tc>
        <w:tc>
          <w:tcPr>
            <w:tcW w:w="987" w:type="dxa"/>
            <w:tcBorders>
              <w:right w:val="single" w:sz="6" w:space="0" w:color="000000"/>
            </w:tcBorders>
          </w:tcPr>
          <w:p>
            <w:pPr>
              <w:pStyle w:val="TableParagraph"/>
              <w:spacing w:before="60"/>
              <w:ind w:left="124"/>
              <w:rPr>
                <w:sz w:val="23"/>
              </w:rPr>
            </w:pPr>
            <w:r>
              <w:rPr>
                <w:spacing w:val="-2"/>
                <w:sz w:val="23"/>
              </w:rPr>
              <w:t>Cancer</w:t>
            </w:r>
          </w:p>
          <w:p>
            <w:pPr>
              <w:pStyle w:val="TableParagraph"/>
              <w:spacing w:line="290" w:lineRule="atLeast" w:before="1"/>
              <w:ind w:left="124"/>
              <w:rPr>
                <w:sz w:val="23"/>
              </w:rPr>
            </w:pPr>
            <w:r>
              <w:rPr>
                <w:spacing w:val="-4"/>
                <w:sz w:val="23"/>
              </w:rPr>
              <w:t>Risk Derm</w:t>
            </w:r>
          </w:p>
        </w:tc>
        <w:tc>
          <w:tcPr>
            <w:tcW w:w="990" w:type="dxa"/>
            <w:tcBorders>
              <w:left w:val="single" w:sz="6" w:space="0" w:color="000000"/>
            </w:tcBorders>
          </w:tcPr>
          <w:p>
            <w:pPr>
              <w:pStyle w:val="TableParagraph"/>
              <w:rPr>
                <w:sz w:val="23"/>
              </w:rPr>
            </w:pPr>
          </w:p>
          <w:p>
            <w:pPr>
              <w:pStyle w:val="TableParagraph"/>
              <w:spacing w:before="110"/>
              <w:rPr>
                <w:sz w:val="23"/>
              </w:rPr>
            </w:pPr>
          </w:p>
          <w:p>
            <w:pPr>
              <w:pStyle w:val="TableParagraph"/>
              <w:ind w:left="122"/>
              <w:rPr>
                <w:sz w:val="23"/>
              </w:rPr>
            </w:pPr>
            <w:r>
              <w:rPr>
                <w:spacing w:val="-5"/>
                <w:sz w:val="23"/>
              </w:rPr>
              <w:t>HI</w:t>
            </w:r>
          </w:p>
        </w:tc>
      </w:tr>
      <w:tr>
        <w:trPr>
          <w:trHeight w:val="334" w:hRule="atLeast"/>
        </w:trPr>
        <w:tc>
          <w:tcPr>
            <w:tcW w:w="959" w:type="dxa"/>
            <w:tcBorders>
              <w:left w:val="single" w:sz="6" w:space="0" w:color="000000"/>
              <w:bottom w:val="nil"/>
              <w:right w:val="single" w:sz="6" w:space="0" w:color="000000"/>
            </w:tcBorders>
          </w:tcPr>
          <w:p>
            <w:pPr>
              <w:pStyle w:val="TableParagraph"/>
              <w:rPr>
                <w:sz w:val="22"/>
              </w:rPr>
            </w:pPr>
          </w:p>
        </w:tc>
        <w:tc>
          <w:tcPr>
            <w:tcW w:w="1058" w:type="dxa"/>
            <w:tcBorders>
              <w:left w:val="single" w:sz="6" w:space="0" w:color="000000"/>
              <w:bottom w:val="nil"/>
              <w:right w:val="single" w:sz="6" w:space="0" w:color="000000"/>
            </w:tcBorders>
          </w:tcPr>
          <w:p>
            <w:pPr>
              <w:pStyle w:val="TableParagraph"/>
              <w:rPr>
                <w:sz w:val="22"/>
              </w:rPr>
            </w:pPr>
          </w:p>
        </w:tc>
        <w:tc>
          <w:tcPr>
            <w:tcW w:w="1532" w:type="dxa"/>
            <w:tcBorders>
              <w:left w:val="single" w:sz="6" w:space="0" w:color="000000"/>
              <w:bottom w:val="nil"/>
            </w:tcBorders>
          </w:tcPr>
          <w:p>
            <w:pPr>
              <w:pStyle w:val="TableParagraph"/>
              <w:rPr>
                <w:sz w:val="22"/>
              </w:rPr>
            </w:pPr>
          </w:p>
        </w:tc>
        <w:tc>
          <w:tcPr>
            <w:tcW w:w="1525" w:type="dxa"/>
            <w:tcBorders>
              <w:bottom w:val="nil"/>
            </w:tcBorders>
          </w:tcPr>
          <w:p>
            <w:pPr>
              <w:pStyle w:val="TableParagraph"/>
              <w:rPr>
                <w:sz w:val="22"/>
              </w:rPr>
            </w:pPr>
          </w:p>
        </w:tc>
        <w:tc>
          <w:tcPr>
            <w:tcW w:w="989" w:type="dxa"/>
            <w:tcBorders>
              <w:bottom w:val="nil"/>
            </w:tcBorders>
          </w:tcPr>
          <w:p>
            <w:pPr>
              <w:pStyle w:val="TableParagraph"/>
              <w:rPr>
                <w:sz w:val="22"/>
              </w:rPr>
            </w:pPr>
          </w:p>
        </w:tc>
        <w:tc>
          <w:tcPr>
            <w:tcW w:w="987" w:type="dxa"/>
            <w:tcBorders>
              <w:bottom w:val="nil"/>
              <w:right w:val="single" w:sz="6" w:space="0" w:color="000000"/>
            </w:tcBorders>
          </w:tcPr>
          <w:p>
            <w:pPr>
              <w:pStyle w:val="TableParagraph"/>
              <w:spacing w:line="253" w:lineRule="exact" w:before="60"/>
              <w:ind w:right="73"/>
              <w:jc w:val="right"/>
              <w:rPr>
                <w:sz w:val="23"/>
              </w:rPr>
            </w:pPr>
            <w:r>
              <w:rPr>
                <w:spacing w:val="-2"/>
                <w:sz w:val="23"/>
              </w:rPr>
              <w:t>1.71E-</w:t>
            </w:r>
          </w:p>
        </w:tc>
        <w:tc>
          <w:tcPr>
            <w:tcW w:w="1321" w:type="dxa"/>
            <w:tcBorders>
              <w:left w:val="single" w:sz="6" w:space="0" w:color="000000"/>
              <w:bottom w:val="nil"/>
              <w:right w:val="single" w:sz="6" w:space="0" w:color="000000"/>
            </w:tcBorders>
          </w:tcPr>
          <w:p>
            <w:pPr>
              <w:pStyle w:val="TableParagraph"/>
              <w:spacing w:line="253" w:lineRule="exact" w:before="60"/>
              <w:ind w:left="433"/>
              <w:rPr>
                <w:sz w:val="23"/>
              </w:rPr>
            </w:pPr>
            <w:r>
              <w:rPr>
                <w:spacing w:val="-2"/>
                <w:sz w:val="23"/>
              </w:rPr>
              <w:t>4.17E-</w:t>
            </w:r>
          </w:p>
        </w:tc>
        <w:tc>
          <w:tcPr>
            <w:tcW w:w="990" w:type="dxa"/>
            <w:tcBorders>
              <w:left w:val="single" w:sz="6" w:space="0" w:color="000000"/>
              <w:bottom w:val="nil"/>
            </w:tcBorders>
          </w:tcPr>
          <w:p>
            <w:pPr>
              <w:pStyle w:val="TableParagraph"/>
              <w:spacing w:line="253" w:lineRule="exact" w:before="60"/>
              <w:ind w:right="78"/>
              <w:jc w:val="right"/>
              <w:rPr>
                <w:sz w:val="23"/>
              </w:rPr>
            </w:pPr>
            <w:r>
              <w:rPr>
                <w:spacing w:val="-2"/>
                <w:sz w:val="23"/>
              </w:rPr>
              <w:t>7.94E-</w:t>
            </w:r>
          </w:p>
        </w:tc>
        <w:tc>
          <w:tcPr>
            <w:tcW w:w="987" w:type="dxa"/>
            <w:vMerge w:val="restart"/>
            <w:tcBorders>
              <w:bottom w:val="single" w:sz="6" w:space="0" w:color="000000"/>
              <w:right w:val="single" w:sz="6" w:space="0" w:color="000000"/>
            </w:tcBorders>
          </w:tcPr>
          <w:p>
            <w:pPr>
              <w:pStyle w:val="TableParagraph"/>
              <w:rPr>
                <w:sz w:val="22"/>
              </w:rPr>
            </w:pPr>
          </w:p>
        </w:tc>
        <w:tc>
          <w:tcPr>
            <w:tcW w:w="990" w:type="dxa"/>
            <w:tcBorders>
              <w:left w:val="single" w:sz="6" w:space="0" w:color="000000"/>
              <w:bottom w:val="nil"/>
            </w:tcBorders>
          </w:tcPr>
          <w:p>
            <w:pPr>
              <w:pStyle w:val="TableParagraph"/>
              <w:spacing w:line="253" w:lineRule="exact" w:before="60"/>
              <w:ind w:right="79"/>
              <w:jc w:val="right"/>
              <w:rPr>
                <w:sz w:val="23"/>
              </w:rPr>
            </w:pPr>
            <w:r>
              <w:rPr>
                <w:spacing w:val="-2"/>
                <w:sz w:val="23"/>
              </w:rPr>
              <w:t>1.72E-</w:t>
            </w:r>
          </w:p>
        </w:tc>
      </w:tr>
      <w:tr>
        <w:trPr>
          <w:trHeight w:val="286" w:hRule="atLeast"/>
        </w:trPr>
        <w:tc>
          <w:tcPr>
            <w:tcW w:w="959" w:type="dxa"/>
            <w:tcBorders>
              <w:top w:val="nil"/>
              <w:left w:val="single" w:sz="6" w:space="0" w:color="000000"/>
              <w:bottom w:val="single" w:sz="6" w:space="0" w:color="000000"/>
              <w:right w:val="single" w:sz="6" w:space="0" w:color="000000"/>
            </w:tcBorders>
          </w:tcPr>
          <w:p>
            <w:pPr>
              <w:pStyle w:val="TableParagraph"/>
              <w:spacing w:line="264" w:lineRule="exact" w:before="2"/>
              <w:ind w:left="122"/>
              <w:rPr>
                <w:sz w:val="23"/>
              </w:rPr>
            </w:pPr>
            <w:r>
              <w:rPr>
                <w:spacing w:val="-5"/>
                <w:sz w:val="23"/>
              </w:rPr>
              <w:t>Pb</w:t>
            </w:r>
          </w:p>
        </w:tc>
        <w:tc>
          <w:tcPr>
            <w:tcW w:w="1058" w:type="dxa"/>
            <w:tcBorders>
              <w:top w:val="nil"/>
              <w:left w:val="single" w:sz="6" w:space="0" w:color="000000"/>
              <w:bottom w:val="single" w:sz="6" w:space="0" w:color="000000"/>
              <w:right w:val="single" w:sz="6" w:space="0" w:color="000000"/>
            </w:tcBorders>
          </w:tcPr>
          <w:p>
            <w:pPr>
              <w:pStyle w:val="TableParagraph"/>
              <w:spacing w:line="264" w:lineRule="exact" w:before="2"/>
              <w:ind w:left="120"/>
              <w:rPr>
                <w:sz w:val="23"/>
              </w:rPr>
            </w:pPr>
            <w:r>
              <w:rPr>
                <w:spacing w:val="-5"/>
                <w:sz w:val="23"/>
              </w:rPr>
              <w:t>Min</w:t>
            </w:r>
          </w:p>
        </w:tc>
        <w:tc>
          <w:tcPr>
            <w:tcW w:w="1532" w:type="dxa"/>
            <w:tcBorders>
              <w:top w:val="nil"/>
              <w:left w:val="single" w:sz="6" w:space="0" w:color="000000"/>
              <w:bottom w:val="single" w:sz="6" w:space="0" w:color="000000"/>
            </w:tcBorders>
          </w:tcPr>
          <w:p>
            <w:pPr>
              <w:pStyle w:val="TableParagraph"/>
              <w:spacing w:line="264" w:lineRule="exact" w:before="2"/>
              <w:ind w:right="88"/>
              <w:jc w:val="right"/>
              <w:rPr>
                <w:sz w:val="23"/>
              </w:rPr>
            </w:pPr>
            <w:r>
              <w:rPr>
                <w:spacing w:val="-2"/>
                <w:sz w:val="23"/>
              </w:rPr>
              <w:t>0.021</w:t>
            </w:r>
          </w:p>
        </w:tc>
        <w:tc>
          <w:tcPr>
            <w:tcW w:w="1525" w:type="dxa"/>
            <w:tcBorders>
              <w:top w:val="nil"/>
              <w:bottom w:val="single" w:sz="6" w:space="0" w:color="000000"/>
            </w:tcBorders>
          </w:tcPr>
          <w:p>
            <w:pPr>
              <w:pStyle w:val="TableParagraph"/>
              <w:spacing w:line="264" w:lineRule="exact" w:before="2"/>
              <w:ind w:right="108"/>
              <w:jc w:val="right"/>
              <w:rPr>
                <w:sz w:val="23"/>
              </w:rPr>
            </w:pPr>
            <w:r>
              <w:rPr>
                <w:sz w:val="23"/>
              </w:rPr>
              <w:t>6E-</w:t>
            </w:r>
            <w:r>
              <w:rPr>
                <w:spacing w:val="-5"/>
                <w:sz w:val="23"/>
              </w:rPr>
              <w:t>10</w:t>
            </w:r>
          </w:p>
        </w:tc>
        <w:tc>
          <w:tcPr>
            <w:tcW w:w="989" w:type="dxa"/>
            <w:tcBorders>
              <w:top w:val="nil"/>
              <w:bottom w:val="single" w:sz="6" w:space="0" w:color="000000"/>
            </w:tcBorders>
          </w:tcPr>
          <w:p>
            <w:pPr>
              <w:pStyle w:val="TableParagraph"/>
              <w:spacing w:line="264" w:lineRule="exact" w:before="2"/>
              <w:ind w:right="59"/>
              <w:jc w:val="right"/>
              <w:rPr>
                <w:sz w:val="23"/>
              </w:rPr>
            </w:pPr>
            <w:r>
              <w:rPr>
                <w:sz w:val="23"/>
              </w:rPr>
              <w:t>5.1E-</w:t>
            </w:r>
            <w:r>
              <w:rPr>
                <w:spacing w:val="-5"/>
                <w:sz w:val="23"/>
              </w:rPr>
              <w:t>13</w:t>
            </w:r>
          </w:p>
        </w:tc>
        <w:tc>
          <w:tcPr>
            <w:tcW w:w="987" w:type="dxa"/>
            <w:tcBorders>
              <w:top w:val="nil"/>
              <w:bottom w:val="single" w:sz="6" w:space="0" w:color="000000"/>
              <w:right w:val="single" w:sz="6" w:space="0" w:color="000000"/>
            </w:tcBorders>
          </w:tcPr>
          <w:p>
            <w:pPr>
              <w:pStyle w:val="TableParagraph"/>
              <w:spacing w:line="264" w:lineRule="exact" w:before="2"/>
              <w:ind w:right="92"/>
              <w:jc w:val="right"/>
              <w:rPr>
                <w:sz w:val="23"/>
              </w:rPr>
            </w:pPr>
            <w:r>
              <w:rPr>
                <w:spacing w:val="-5"/>
                <w:sz w:val="23"/>
              </w:rPr>
              <w:t>07</w:t>
            </w:r>
          </w:p>
        </w:tc>
        <w:tc>
          <w:tcPr>
            <w:tcW w:w="1321" w:type="dxa"/>
            <w:tcBorders>
              <w:top w:val="nil"/>
              <w:left w:val="single" w:sz="6" w:space="0" w:color="000000"/>
              <w:bottom w:val="single" w:sz="6" w:space="0" w:color="000000"/>
              <w:right w:val="single" w:sz="6" w:space="0" w:color="000000"/>
            </w:tcBorders>
          </w:tcPr>
          <w:p>
            <w:pPr>
              <w:pStyle w:val="TableParagraph"/>
              <w:spacing w:line="264" w:lineRule="exact" w:before="2"/>
              <w:ind w:right="95"/>
              <w:jc w:val="right"/>
              <w:rPr>
                <w:sz w:val="23"/>
              </w:rPr>
            </w:pPr>
            <w:r>
              <w:rPr>
                <w:spacing w:val="-5"/>
                <w:sz w:val="23"/>
              </w:rPr>
              <w:t>13</w:t>
            </w:r>
          </w:p>
        </w:tc>
        <w:tc>
          <w:tcPr>
            <w:tcW w:w="990" w:type="dxa"/>
            <w:tcBorders>
              <w:top w:val="nil"/>
              <w:left w:val="single" w:sz="6" w:space="0" w:color="000000"/>
              <w:bottom w:val="single" w:sz="6" w:space="0" w:color="000000"/>
            </w:tcBorders>
          </w:tcPr>
          <w:p>
            <w:pPr>
              <w:pStyle w:val="TableParagraph"/>
              <w:spacing w:line="264" w:lineRule="exact" w:before="2"/>
              <w:ind w:right="101"/>
              <w:jc w:val="right"/>
              <w:rPr>
                <w:sz w:val="23"/>
              </w:rPr>
            </w:pPr>
            <w:r>
              <w:rPr>
                <w:spacing w:val="-5"/>
                <w:sz w:val="23"/>
              </w:rPr>
              <w:t>10</w:t>
            </w:r>
          </w:p>
        </w:tc>
        <w:tc>
          <w:tcPr>
            <w:tcW w:w="987" w:type="dxa"/>
            <w:vMerge/>
            <w:tcBorders>
              <w:top w:val="nil"/>
              <w:bottom w:val="single" w:sz="6" w:space="0" w:color="000000"/>
              <w:right w:val="single" w:sz="6" w:space="0" w:color="000000"/>
            </w:tcBorders>
          </w:tcPr>
          <w:p>
            <w:pPr>
              <w:rPr>
                <w:sz w:val="2"/>
                <w:szCs w:val="2"/>
              </w:rPr>
            </w:pPr>
          </w:p>
        </w:tc>
        <w:tc>
          <w:tcPr>
            <w:tcW w:w="990" w:type="dxa"/>
            <w:tcBorders>
              <w:top w:val="nil"/>
              <w:left w:val="single" w:sz="6" w:space="0" w:color="000000"/>
              <w:bottom w:val="single" w:sz="6" w:space="0" w:color="000000"/>
            </w:tcBorders>
          </w:tcPr>
          <w:p>
            <w:pPr>
              <w:pStyle w:val="TableParagraph"/>
              <w:spacing w:line="264" w:lineRule="exact" w:before="2"/>
              <w:ind w:right="101"/>
              <w:jc w:val="right"/>
              <w:rPr>
                <w:sz w:val="23"/>
              </w:rPr>
            </w:pPr>
            <w:r>
              <w:rPr>
                <w:spacing w:val="-5"/>
                <w:sz w:val="23"/>
              </w:rPr>
              <w:t>07</w:t>
            </w:r>
          </w:p>
        </w:tc>
      </w:tr>
      <w:tr>
        <w:trPr>
          <w:trHeight w:val="329" w:hRule="atLeast"/>
        </w:trPr>
        <w:tc>
          <w:tcPr>
            <w:tcW w:w="959" w:type="dxa"/>
            <w:vMerge w:val="restart"/>
            <w:tcBorders>
              <w:top w:val="single" w:sz="6" w:space="0" w:color="000000"/>
              <w:left w:val="single" w:sz="6" w:space="0" w:color="000000"/>
              <w:bottom w:val="single" w:sz="6" w:space="0" w:color="000000"/>
              <w:right w:val="single" w:sz="6" w:space="0" w:color="000000"/>
            </w:tcBorders>
          </w:tcPr>
          <w:p>
            <w:pPr>
              <w:pStyle w:val="TableParagraph"/>
              <w:rPr>
                <w:sz w:val="22"/>
              </w:rPr>
            </w:pPr>
          </w:p>
        </w:tc>
        <w:tc>
          <w:tcPr>
            <w:tcW w:w="1058" w:type="dxa"/>
            <w:tcBorders>
              <w:top w:val="single" w:sz="6" w:space="0" w:color="000000"/>
              <w:left w:val="single" w:sz="6" w:space="0" w:color="000000"/>
              <w:bottom w:val="nil"/>
              <w:right w:val="single" w:sz="6" w:space="0" w:color="000000"/>
            </w:tcBorders>
          </w:tcPr>
          <w:p>
            <w:pPr>
              <w:pStyle w:val="TableParagraph"/>
              <w:rPr>
                <w:sz w:val="22"/>
              </w:rPr>
            </w:pPr>
          </w:p>
        </w:tc>
        <w:tc>
          <w:tcPr>
            <w:tcW w:w="1532" w:type="dxa"/>
            <w:tcBorders>
              <w:top w:val="single" w:sz="6" w:space="0" w:color="000000"/>
              <w:left w:val="single" w:sz="6" w:space="0" w:color="000000"/>
              <w:bottom w:val="nil"/>
            </w:tcBorders>
          </w:tcPr>
          <w:p>
            <w:pPr>
              <w:pStyle w:val="TableParagraph"/>
              <w:rPr>
                <w:sz w:val="22"/>
              </w:rPr>
            </w:pPr>
          </w:p>
        </w:tc>
        <w:tc>
          <w:tcPr>
            <w:tcW w:w="1525" w:type="dxa"/>
            <w:tcBorders>
              <w:top w:val="single" w:sz="6" w:space="0" w:color="000000"/>
              <w:bottom w:val="nil"/>
            </w:tcBorders>
          </w:tcPr>
          <w:p>
            <w:pPr>
              <w:pStyle w:val="TableParagraph"/>
              <w:rPr>
                <w:sz w:val="22"/>
              </w:rPr>
            </w:pPr>
          </w:p>
        </w:tc>
        <w:tc>
          <w:tcPr>
            <w:tcW w:w="989" w:type="dxa"/>
            <w:tcBorders>
              <w:top w:val="single" w:sz="6" w:space="0" w:color="000000"/>
              <w:bottom w:val="nil"/>
            </w:tcBorders>
          </w:tcPr>
          <w:p>
            <w:pPr>
              <w:pStyle w:val="TableParagraph"/>
              <w:spacing w:line="253" w:lineRule="exact" w:before="55"/>
              <w:ind w:right="78"/>
              <w:jc w:val="right"/>
              <w:rPr>
                <w:sz w:val="23"/>
              </w:rPr>
            </w:pPr>
            <w:r>
              <w:rPr>
                <w:spacing w:val="-2"/>
                <w:sz w:val="23"/>
              </w:rPr>
              <w:t>6.07E-</w:t>
            </w:r>
          </w:p>
        </w:tc>
        <w:tc>
          <w:tcPr>
            <w:tcW w:w="987" w:type="dxa"/>
            <w:tcBorders>
              <w:top w:val="single" w:sz="6" w:space="0" w:color="000000"/>
              <w:bottom w:val="nil"/>
              <w:right w:val="single" w:sz="6" w:space="0" w:color="000000"/>
            </w:tcBorders>
          </w:tcPr>
          <w:p>
            <w:pPr>
              <w:pStyle w:val="TableParagraph"/>
              <w:spacing w:line="253" w:lineRule="exact" w:before="55"/>
              <w:ind w:right="73"/>
              <w:jc w:val="right"/>
              <w:rPr>
                <w:sz w:val="23"/>
              </w:rPr>
            </w:pPr>
            <w:r>
              <w:rPr>
                <w:spacing w:val="-2"/>
                <w:sz w:val="23"/>
              </w:rPr>
              <w:t>2.04E-</w:t>
            </w:r>
          </w:p>
        </w:tc>
        <w:tc>
          <w:tcPr>
            <w:tcW w:w="1321" w:type="dxa"/>
            <w:tcBorders>
              <w:top w:val="single" w:sz="6" w:space="0" w:color="000000"/>
              <w:left w:val="single" w:sz="6" w:space="0" w:color="000000"/>
              <w:bottom w:val="nil"/>
              <w:right w:val="single" w:sz="6" w:space="0" w:color="000000"/>
            </w:tcBorders>
          </w:tcPr>
          <w:p>
            <w:pPr>
              <w:pStyle w:val="TableParagraph"/>
              <w:spacing w:line="253" w:lineRule="exact" w:before="55"/>
              <w:ind w:left="433"/>
              <w:rPr>
                <w:sz w:val="23"/>
              </w:rPr>
            </w:pPr>
            <w:r>
              <w:rPr>
                <w:spacing w:val="-2"/>
                <w:sz w:val="23"/>
              </w:rPr>
              <w:t>4.96E-</w:t>
            </w:r>
          </w:p>
        </w:tc>
        <w:tc>
          <w:tcPr>
            <w:tcW w:w="990" w:type="dxa"/>
            <w:tcBorders>
              <w:top w:val="single" w:sz="6" w:space="0" w:color="000000"/>
              <w:left w:val="single" w:sz="6" w:space="0" w:color="000000"/>
              <w:bottom w:val="nil"/>
            </w:tcBorders>
          </w:tcPr>
          <w:p>
            <w:pPr>
              <w:pStyle w:val="TableParagraph"/>
              <w:spacing w:line="253" w:lineRule="exact" w:before="55"/>
              <w:ind w:right="78"/>
              <w:jc w:val="right"/>
              <w:rPr>
                <w:sz w:val="23"/>
              </w:rPr>
            </w:pPr>
            <w:r>
              <w:rPr>
                <w:spacing w:val="-2"/>
                <w:sz w:val="23"/>
              </w:rPr>
              <w:t>9.45E-</w:t>
            </w:r>
          </w:p>
        </w:tc>
        <w:tc>
          <w:tcPr>
            <w:tcW w:w="987" w:type="dxa"/>
            <w:vMerge w:val="restart"/>
            <w:tcBorders>
              <w:top w:val="single" w:sz="6" w:space="0" w:color="000000"/>
              <w:bottom w:val="single" w:sz="6" w:space="0" w:color="000000"/>
              <w:right w:val="single" w:sz="6" w:space="0" w:color="000000"/>
            </w:tcBorders>
          </w:tcPr>
          <w:p>
            <w:pPr>
              <w:pStyle w:val="TableParagraph"/>
              <w:rPr>
                <w:sz w:val="22"/>
              </w:rPr>
            </w:pPr>
          </w:p>
        </w:tc>
        <w:tc>
          <w:tcPr>
            <w:tcW w:w="990" w:type="dxa"/>
            <w:tcBorders>
              <w:top w:val="single" w:sz="6" w:space="0" w:color="000000"/>
              <w:left w:val="single" w:sz="6" w:space="0" w:color="000000"/>
              <w:bottom w:val="nil"/>
            </w:tcBorders>
          </w:tcPr>
          <w:p>
            <w:pPr>
              <w:pStyle w:val="TableParagraph"/>
              <w:spacing w:line="253" w:lineRule="exact" w:before="55"/>
              <w:ind w:right="79"/>
              <w:jc w:val="right"/>
              <w:rPr>
                <w:sz w:val="23"/>
              </w:rPr>
            </w:pPr>
            <w:r>
              <w:rPr>
                <w:spacing w:val="-2"/>
                <w:sz w:val="23"/>
              </w:rPr>
              <w:t>2.05E-</w:t>
            </w:r>
          </w:p>
        </w:tc>
      </w:tr>
      <w:tr>
        <w:trPr>
          <w:trHeight w:val="286" w:hRule="atLeast"/>
        </w:trPr>
        <w:tc>
          <w:tcPr>
            <w:tcW w:w="959" w:type="dxa"/>
            <w:vMerge/>
            <w:tcBorders>
              <w:top w:val="nil"/>
              <w:left w:val="single" w:sz="6" w:space="0" w:color="000000"/>
              <w:bottom w:val="single" w:sz="6" w:space="0" w:color="000000"/>
              <w:right w:val="single" w:sz="6" w:space="0" w:color="000000"/>
            </w:tcBorders>
          </w:tcPr>
          <w:p>
            <w:pPr>
              <w:rPr>
                <w:sz w:val="2"/>
                <w:szCs w:val="2"/>
              </w:rPr>
            </w:pPr>
          </w:p>
        </w:tc>
        <w:tc>
          <w:tcPr>
            <w:tcW w:w="1058" w:type="dxa"/>
            <w:tcBorders>
              <w:top w:val="nil"/>
              <w:left w:val="single" w:sz="6" w:space="0" w:color="000000"/>
              <w:bottom w:val="single" w:sz="6" w:space="0" w:color="000000"/>
              <w:right w:val="single" w:sz="6" w:space="0" w:color="000000"/>
            </w:tcBorders>
          </w:tcPr>
          <w:p>
            <w:pPr>
              <w:pStyle w:val="TableParagraph"/>
              <w:spacing w:line="264" w:lineRule="exact" w:before="2"/>
              <w:ind w:left="120"/>
              <w:rPr>
                <w:sz w:val="23"/>
              </w:rPr>
            </w:pPr>
            <w:r>
              <w:rPr>
                <w:spacing w:val="-5"/>
                <w:sz w:val="23"/>
              </w:rPr>
              <w:t>Max</w:t>
            </w:r>
          </w:p>
        </w:tc>
        <w:tc>
          <w:tcPr>
            <w:tcW w:w="1532" w:type="dxa"/>
            <w:tcBorders>
              <w:top w:val="nil"/>
              <w:left w:val="single" w:sz="6" w:space="0" w:color="000000"/>
              <w:bottom w:val="single" w:sz="6" w:space="0" w:color="000000"/>
            </w:tcBorders>
          </w:tcPr>
          <w:p>
            <w:pPr>
              <w:pStyle w:val="TableParagraph"/>
              <w:spacing w:line="264" w:lineRule="exact" w:before="2"/>
              <w:ind w:right="88"/>
              <w:jc w:val="right"/>
              <w:rPr>
                <w:sz w:val="23"/>
              </w:rPr>
            </w:pPr>
            <w:r>
              <w:rPr>
                <w:spacing w:val="-4"/>
                <w:sz w:val="23"/>
              </w:rPr>
              <w:t>0.25</w:t>
            </w:r>
          </w:p>
        </w:tc>
        <w:tc>
          <w:tcPr>
            <w:tcW w:w="1525" w:type="dxa"/>
            <w:tcBorders>
              <w:top w:val="nil"/>
              <w:bottom w:val="single" w:sz="6" w:space="0" w:color="000000"/>
            </w:tcBorders>
          </w:tcPr>
          <w:p>
            <w:pPr>
              <w:pStyle w:val="TableParagraph"/>
              <w:spacing w:line="264" w:lineRule="exact" w:before="2"/>
              <w:ind w:right="98"/>
              <w:jc w:val="right"/>
              <w:rPr>
                <w:sz w:val="23"/>
              </w:rPr>
            </w:pPr>
            <w:r>
              <w:rPr>
                <w:sz w:val="23"/>
              </w:rPr>
              <w:t>7.14E-</w:t>
            </w:r>
            <w:r>
              <w:rPr>
                <w:spacing w:val="-5"/>
                <w:sz w:val="23"/>
              </w:rPr>
              <w:t>09</w:t>
            </w:r>
          </w:p>
        </w:tc>
        <w:tc>
          <w:tcPr>
            <w:tcW w:w="989" w:type="dxa"/>
            <w:tcBorders>
              <w:top w:val="nil"/>
              <w:bottom w:val="single" w:sz="6" w:space="0" w:color="000000"/>
            </w:tcBorders>
          </w:tcPr>
          <w:p>
            <w:pPr>
              <w:pStyle w:val="TableParagraph"/>
              <w:spacing w:line="264" w:lineRule="exact" w:before="2"/>
              <w:ind w:right="100"/>
              <w:jc w:val="right"/>
              <w:rPr>
                <w:sz w:val="23"/>
              </w:rPr>
            </w:pPr>
            <w:r>
              <w:rPr>
                <w:spacing w:val="-5"/>
                <w:sz w:val="23"/>
              </w:rPr>
              <w:t>11</w:t>
            </w:r>
          </w:p>
        </w:tc>
        <w:tc>
          <w:tcPr>
            <w:tcW w:w="987" w:type="dxa"/>
            <w:tcBorders>
              <w:top w:val="nil"/>
              <w:bottom w:val="single" w:sz="6" w:space="0" w:color="000000"/>
              <w:right w:val="single" w:sz="6" w:space="0" w:color="000000"/>
            </w:tcBorders>
          </w:tcPr>
          <w:p>
            <w:pPr>
              <w:pStyle w:val="TableParagraph"/>
              <w:spacing w:line="264" w:lineRule="exact" w:before="2"/>
              <w:ind w:right="92"/>
              <w:jc w:val="right"/>
              <w:rPr>
                <w:sz w:val="23"/>
              </w:rPr>
            </w:pPr>
            <w:r>
              <w:rPr>
                <w:spacing w:val="-5"/>
                <w:sz w:val="23"/>
              </w:rPr>
              <w:t>06</w:t>
            </w:r>
          </w:p>
        </w:tc>
        <w:tc>
          <w:tcPr>
            <w:tcW w:w="1321" w:type="dxa"/>
            <w:tcBorders>
              <w:top w:val="nil"/>
              <w:left w:val="single" w:sz="6" w:space="0" w:color="000000"/>
              <w:bottom w:val="single" w:sz="6" w:space="0" w:color="000000"/>
              <w:right w:val="single" w:sz="6" w:space="0" w:color="000000"/>
            </w:tcBorders>
          </w:tcPr>
          <w:p>
            <w:pPr>
              <w:pStyle w:val="TableParagraph"/>
              <w:spacing w:line="264" w:lineRule="exact" w:before="2"/>
              <w:ind w:right="95"/>
              <w:jc w:val="right"/>
              <w:rPr>
                <w:sz w:val="23"/>
              </w:rPr>
            </w:pPr>
            <w:r>
              <w:rPr>
                <w:spacing w:val="-5"/>
                <w:sz w:val="23"/>
              </w:rPr>
              <w:t>12</w:t>
            </w:r>
          </w:p>
        </w:tc>
        <w:tc>
          <w:tcPr>
            <w:tcW w:w="990" w:type="dxa"/>
            <w:tcBorders>
              <w:top w:val="nil"/>
              <w:left w:val="single" w:sz="6" w:space="0" w:color="000000"/>
              <w:bottom w:val="single" w:sz="6" w:space="0" w:color="000000"/>
            </w:tcBorders>
          </w:tcPr>
          <w:p>
            <w:pPr>
              <w:pStyle w:val="TableParagraph"/>
              <w:spacing w:line="264" w:lineRule="exact" w:before="2"/>
              <w:ind w:right="101"/>
              <w:jc w:val="right"/>
              <w:rPr>
                <w:sz w:val="23"/>
              </w:rPr>
            </w:pPr>
            <w:r>
              <w:rPr>
                <w:spacing w:val="-5"/>
                <w:sz w:val="23"/>
              </w:rPr>
              <w:t>09</w:t>
            </w:r>
          </w:p>
        </w:tc>
        <w:tc>
          <w:tcPr>
            <w:tcW w:w="987" w:type="dxa"/>
            <w:vMerge/>
            <w:tcBorders>
              <w:top w:val="nil"/>
              <w:bottom w:val="single" w:sz="6" w:space="0" w:color="000000"/>
              <w:right w:val="single" w:sz="6" w:space="0" w:color="000000"/>
            </w:tcBorders>
          </w:tcPr>
          <w:p>
            <w:pPr>
              <w:rPr>
                <w:sz w:val="2"/>
                <w:szCs w:val="2"/>
              </w:rPr>
            </w:pPr>
          </w:p>
        </w:tc>
        <w:tc>
          <w:tcPr>
            <w:tcW w:w="990" w:type="dxa"/>
            <w:tcBorders>
              <w:top w:val="nil"/>
              <w:left w:val="single" w:sz="6" w:space="0" w:color="000000"/>
              <w:bottom w:val="single" w:sz="6" w:space="0" w:color="000000"/>
            </w:tcBorders>
          </w:tcPr>
          <w:p>
            <w:pPr>
              <w:pStyle w:val="TableParagraph"/>
              <w:spacing w:line="264" w:lineRule="exact" w:before="2"/>
              <w:ind w:right="101"/>
              <w:jc w:val="right"/>
              <w:rPr>
                <w:sz w:val="23"/>
              </w:rPr>
            </w:pPr>
            <w:r>
              <w:rPr>
                <w:spacing w:val="-5"/>
                <w:sz w:val="23"/>
              </w:rPr>
              <w:t>06</w:t>
            </w:r>
          </w:p>
        </w:tc>
      </w:tr>
      <w:tr>
        <w:trPr>
          <w:trHeight w:val="333" w:hRule="atLeast"/>
        </w:trPr>
        <w:tc>
          <w:tcPr>
            <w:tcW w:w="959" w:type="dxa"/>
            <w:vMerge w:val="restart"/>
            <w:tcBorders>
              <w:top w:val="single" w:sz="6" w:space="0" w:color="000000"/>
              <w:left w:val="single" w:sz="6" w:space="0" w:color="000000"/>
              <w:right w:val="single" w:sz="6" w:space="0" w:color="000000"/>
            </w:tcBorders>
          </w:tcPr>
          <w:p>
            <w:pPr>
              <w:pStyle w:val="TableParagraph"/>
              <w:rPr>
                <w:sz w:val="22"/>
              </w:rPr>
            </w:pPr>
          </w:p>
        </w:tc>
        <w:tc>
          <w:tcPr>
            <w:tcW w:w="1058" w:type="dxa"/>
            <w:tcBorders>
              <w:top w:val="single" w:sz="6" w:space="0" w:color="000000"/>
              <w:left w:val="single" w:sz="6" w:space="0" w:color="000000"/>
              <w:bottom w:val="nil"/>
              <w:right w:val="single" w:sz="6" w:space="0" w:color="000000"/>
            </w:tcBorders>
          </w:tcPr>
          <w:p>
            <w:pPr>
              <w:pStyle w:val="TableParagraph"/>
              <w:rPr>
                <w:sz w:val="22"/>
              </w:rPr>
            </w:pPr>
          </w:p>
        </w:tc>
        <w:tc>
          <w:tcPr>
            <w:tcW w:w="1532" w:type="dxa"/>
            <w:tcBorders>
              <w:top w:val="single" w:sz="6" w:space="0" w:color="000000"/>
              <w:left w:val="single" w:sz="6" w:space="0" w:color="000000"/>
              <w:bottom w:val="nil"/>
            </w:tcBorders>
          </w:tcPr>
          <w:p>
            <w:pPr>
              <w:pStyle w:val="TableParagraph"/>
              <w:rPr>
                <w:sz w:val="22"/>
              </w:rPr>
            </w:pPr>
          </w:p>
        </w:tc>
        <w:tc>
          <w:tcPr>
            <w:tcW w:w="1525" w:type="dxa"/>
            <w:tcBorders>
              <w:top w:val="single" w:sz="6" w:space="0" w:color="000000"/>
              <w:bottom w:val="nil"/>
            </w:tcBorders>
          </w:tcPr>
          <w:p>
            <w:pPr>
              <w:pStyle w:val="TableParagraph"/>
              <w:rPr>
                <w:sz w:val="22"/>
              </w:rPr>
            </w:pPr>
          </w:p>
        </w:tc>
        <w:tc>
          <w:tcPr>
            <w:tcW w:w="989" w:type="dxa"/>
            <w:tcBorders>
              <w:top w:val="single" w:sz="6" w:space="0" w:color="000000"/>
              <w:bottom w:val="nil"/>
            </w:tcBorders>
          </w:tcPr>
          <w:p>
            <w:pPr>
              <w:pStyle w:val="TableParagraph"/>
              <w:spacing w:line="255" w:lineRule="exact" w:before="58"/>
              <w:ind w:right="78"/>
              <w:jc w:val="right"/>
              <w:rPr>
                <w:sz w:val="23"/>
              </w:rPr>
            </w:pPr>
            <w:r>
              <w:rPr>
                <w:spacing w:val="-2"/>
                <w:sz w:val="23"/>
              </w:rPr>
              <w:t>3.37E-</w:t>
            </w:r>
          </w:p>
        </w:tc>
        <w:tc>
          <w:tcPr>
            <w:tcW w:w="987" w:type="dxa"/>
            <w:tcBorders>
              <w:top w:val="single" w:sz="6" w:space="0" w:color="000000"/>
              <w:bottom w:val="nil"/>
              <w:right w:val="single" w:sz="6" w:space="0" w:color="000000"/>
            </w:tcBorders>
          </w:tcPr>
          <w:p>
            <w:pPr>
              <w:pStyle w:val="TableParagraph"/>
              <w:spacing w:line="255" w:lineRule="exact" w:before="58"/>
              <w:ind w:right="73"/>
              <w:jc w:val="right"/>
              <w:rPr>
                <w:sz w:val="23"/>
              </w:rPr>
            </w:pPr>
            <w:r>
              <w:rPr>
                <w:spacing w:val="-2"/>
                <w:sz w:val="23"/>
              </w:rPr>
              <w:t>1.13E-</w:t>
            </w:r>
          </w:p>
        </w:tc>
        <w:tc>
          <w:tcPr>
            <w:tcW w:w="1321" w:type="dxa"/>
            <w:tcBorders>
              <w:top w:val="single" w:sz="6" w:space="0" w:color="000000"/>
              <w:left w:val="single" w:sz="6" w:space="0" w:color="000000"/>
              <w:bottom w:val="nil"/>
              <w:right w:val="single" w:sz="6" w:space="0" w:color="000000"/>
            </w:tcBorders>
          </w:tcPr>
          <w:p>
            <w:pPr>
              <w:pStyle w:val="TableParagraph"/>
              <w:spacing w:line="255" w:lineRule="exact" w:before="58"/>
              <w:ind w:left="433"/>
              <w:rPr>
                <w:sz w:val="23"/>
              </w:rPr>
            </w:pPr>
            <w:r>
              <w:rPr>
                <w:spacing w:val="-2"/>
                <w:sz w:val="23"/>
              </w:rPr>
              <w:t>2.76E-</w:t>
            </w:r>
          </w:p>
        </w:tc>
        <w:tc>
          <w:tcPr>
            <w:tcW w:w="990" w:type="dxa"/>
            <w:tcBorders>
              <w:top w:val="single" w:sz="6" w:space="0" w:color="000000"/>
              <w:left w:val="single" w:sz="6" w:space="0" w:color="000000"/>
              <w:bottom w:val="nil"/>
            </w:tcBorders>
          </w:tcPr>
          <w:p>
            <w:pPr>
              <w:pStyle w:val="TableParagraph"/>
              <w:spacing w:line="255" w:lineRule="exact" w:before="58"/>
              <w:ind w:right="78"/>
              <w:jc w:val="right"/>
              <w:rPr>
                <w:sz w:val="23"/>
              </w:rPr>
            </w:pPr>
            <w:r>
              <w:rPr>
                <w:spacing w:val="-2"/>
                <w:sz w:val="23"/>
              </w:rPr>
              <w:t>5.26E-</w:t>
            </w:r>
          </w:p>
        </w:tc>
        <w:tc>
          <w:tcPr>
            <w:tcW w:w="987" w:type="dxa"/>
            <w:vMerge w:val="restart"/>
            <w:tcBorders>
              <w:top w:val="single" w:sz="6" w:space="0" w:color="000000"/>
              <w:right w:val="single" w:sz="6" w:space="0" w:color="000000"/>
            </w:tcBorders>
          </w:tcPr>
          <w:p>
            <w:pPr>
              <w:pStyle w:val="TableParagraph"/>
              <w:rPr>
                <w:sz w:val="22"/>
              </w:rPr>
            </w:pPr>
          </w:p>
        </w:tc>
        <w:tc>
          <w:tcPr>
            <w:tcW w:w="990" w:type="dxa"/>
            <w:tcBorders>
              <w:top w:val="single" w:sz="6" w:space="0" w:color="000000"/>
              <w:left w:val="single" w:sz="6" w:space="0" w:color="000000"/>
              <w:bottom w:val="nil"/>
            </w:tcBorders>
          </w:tcPr>
          <w:p>
            <w:pPr>
              <w:pStyle w:val="TableParagraph"/>
              <w:spacing w:line="255" w:lineRule="exact" w:before="58"/>
              <w:ind w:right="79"/>
              <w:jc w:val="right"/>
              <w:rPr>
                <w:sz w:val="23"/>
              </w:rPr>
            </w:pPr>
            <w:r>
              <w:rPr>
                <w:spacing w:val="-2"/>
                <w:sz w:val="23"/>
              </w:rPr>
              <w:t>1.14E-</w:t>
            </w:r>
          </w:p>
        </w:tc>
      </w:tr>
      <w:tr>
        <w:trPr>
          <w:trHeight w:val="290" w:hRule="atLeast"/>
        </w:trPr>
        <w:tc>
          <w:tcPr>
            <w:tcW w:w="959" w:type="dxa"/>
            <w:vMerge/>
            <w:tcBorders>
              <w:top w:val="nil"/>
              <w:left w:val="single" w:sz="6" w:space="0" w:color="000000"/>
              <w:right w:val="single" w:sz="6" w:space="0" w:color="000000"/>
            </w:tcBorders>
          </w:tcPr>
          <w:p>
            <w:pPr>
              <w:rPr>
                <w:sz w:val="2"/>
                <w:szCs w:val="2"/>
              </w:rPr>
            </w:pPr>
          </w:p>
        </w:tc>
        <w:tc>
          <w:tcPr>
            <w:tcW w:w="1058" w:type="dxa"/>
            <w:tcBorders>
              <w:top w:val="nil"/>
              <w:left w:val="single" w:sz="6" w:space="0" w:color="000000"/>
              <w:right w:val="single" w:sz="6" w:space="0" w:color="000000"/>
            </w:tcBorders>
          </w:tcPr>
          <w:p>
            <w:pPr>
              <w:pStyle w:val="TableParagraph"/>
              <w:spacing w:before="4"/>
              <w:ind w:left="120"/>
              <w:rPr>
                <w:sz w:val="23"/>
              </w:rPr>
            </w:pPr>
            <w:r>
              <w:rPr>
                <w:spacing w:val="-4"/>
                <w:sz w:val="23"/>
              </w:rPr>
              <w:t>Mean</w:t>
            </w:r>
          </w:p>
        </w:tc>
        <w:tc>
          <w:tcPr>
            <w:tcW w:w="1532" w:type="dxa"/>
            <w:tcBorders>
              <w:top w:val="nil"/>
              <w:left w:val="single" w:sz="6" w:space="0" w:color="000000"/>
            </w:tcBorders>
          </w:tcPr>
          <w:p>
            <w:pPr>
              <w:pStyle w:val="TableParagraph"/>
              <w:spacing w:before="4"/>
              <w:ind w:right="88"/>
              <w:jc w:val="right"/>
              <w:rPr>
                <w:sz w:val="23"/>
              </w:rPr>
            </w:pPr>
            <w:r>
              <w:rPr>
                <w:spacing w:val="-2"/>
                <w:sz w:val="23"/>
              </w:rPr>
              <w:t>0.139</w:t>
            </w:r>
          </w:p>
        </w:tc>
        <w:tc>
          <w:tcPr>
            <w:tcW w:w="1525" w:type="dxa"/>
            <w:tcBorders>
              <w:top w:val="nil"/>
            </w:tcBorders>
          </w:tcPr>
          <w:p>
            <w:pPr>
              <w:pStyle w:val="TableParagraph"/>
              <w:spacing w:before="4"/>
              <w:ind w:right="98"/>
              <w:jc w:val="right"/>
              <w:rPr>
                <w:sz w:val="23"/>
              </w:rPr>
            </w:pPr>
            <w:r>
              <w:rPr>
                <w:sz w:val="23"/>
              </w:rPr>
              <w:t>3.97E-</w:t>
            </w:r>
            <w:r>
              <w:rPr>
                <w:spacing w:val="-5"/>
                <w:sz w:val="23"/>
              </w:rPr>
              <w:t>09</w:t>
            </w:r>
          </w:p>
        </w:tc>
        <w:tc>
          <w:tcPr>
            <w:tcW w:w="989" w:type="dxa"/>
            <w:tcBorders>
              <w:top w:val="nil"/>
            </w:tcBorders>
          </w:tcPr>
          <w:p>
            <w:pPr>
              <w:pStyle w:val="TableParagraph"/>
              <w:spacing w:before="4"/>
              <w:ind w:right="100"/>
              <w:jc w:val="right"/>
              <w:rPr>
                <w:sz w:val="23"/>
              </w:rPr>
            </w:pPr>
            <w:r>
              <w:rPr>
                <w:spacing w:val="-5"/>
                <w:sz w:val="23"/>
              </w:rPr>
              <w:t>11</w:t>
            </w:r>
          </w:p>
        </w:tc>
        <w:tc>
          <w:tcPr>
            <w:tcW w:w="987" w:type="dxa"/>
            <w:tcBorders>
              <w:top w:val="nil"/>
              <w:right w:val="single" w:sz="6" w:space="0" w:color="000000"/>
            </w:tcBorders>
          </w:tcPr>
          <w:p>
            <w:pPr>
              <w:pStyle w:val="TableParagraph"/>
              <w:spacing w:before="4"/>
              <w:ind w:right="92"/>
              <w:jc w:val="right"/>
              <w:rPr>
                <w:sz w:val="23"/>
              </w:rPr>
            </w:pPr>
            <w:r>
              <w:rPr>
                <w:spacing w:val="-5"/>
                <w:sz w:val="23"/>
              </w:rPr>
              <w:t>06</w:t>
            </w:r>
          </w:p>
        </w:tc>
        <w:tc>
          <w:tcPr>
            <w:tcW w:w="1321" w:type="dxa"/>
            <w:tcBorders>
              <w:top w:val="nil"/>
              <w:left w:val="single" w:sz="6" w:space="0" w:color="000000"/>
              <w:right w:val="single" w:sz="6" w:space="0" w:color="000000"/>
            </w:tcBorders>
          </w:tcPr>
          <w:p>
            <w:pPr>
              <w:pStyle w:val="TableParagraph"/>
              <w:spacing w:before="4"/>
              <w:ind w:right="95"/>
              <w:jc w:val="right"/>
              <w:rPr>
                <w:sz w:val="23"/>
              </w:rPr>
            </w:pPr>
            <w:r>
              <w:rPr>
                <w:spacing w:val="-5"/>
                <w:sz w:val="23"/>
              </w:rPr>
              <w:t>12</w:t>
            </w:r>
          </w:p>
        </w:tc>
        <w:tc>
          <w:tcPr>
            <w:tcW w:w="990" w:type="dxa"/>
            <w:tcBorders>
              <w:top w:val="nil"/>
              <w:left w:val="single" w:sz="6" w:space="0" w:color="000000"/>
            </w:tcBorders>
          </w:tcPr>
          <w:p>
            <w:pPr>
              <w:pStyle w:val="TableParagraph"/>
              <w:spacing w:before="4"/>
              <w:ind w:right="101"/>
              <w:jc w:val="right"/>
              <w:rPr>
                <w:sz w:val="23"/>
              </w:rPr>
            </w:pPr>
            <w:r>
              <w:rPr>
                <w:spacing w:val="-5"/>
                <w:sz w:val="23"/>
              </w:rPr>
              <w:t>09</w:t>
            </w:r>
          </w:p>
        </w:tc>
        <w:tc>
          <w:tcPr>
            <w:tcW w:w="987" w:type="dxa"/>
            <w:vMerge/>
            <w:tcBorders>
              <w:top w:val="nil"/>
              <w:right w:val="single" w:sz="6" w:space="0" w:color="000000"/>
            </w:tcBorders>
          </w:tcPr>
          <w:p>
            <w:pPr>
              <w:rPr>
                <w:sz w:val="2"/>
                <w:szCs w:val="2"/>
              </w:rPr>
            </w:pPr>
          </w:p>
        </w:tc>
        <w:tc>
          <w:tcPr>
            <w:tcW w:w="990" w:type="dxa"/>
            <w:tcBorders>
              <w:top w:val="nil"/>
              <w:left w:val="single" w:sz="6" w:space="0" w:color="000000"/>
            </w:tcBorders>
          </w:tcPr>
          <w:p>
            <w:pPr>
              <w:pStyle w:val="TableParagraph"/>
              <w:spacing w:before="4"/>
              <w:ind w:right="101"/>
              <w:jc w:val="right"/>
              <w:rPr>
                <w:sz w:val="23"/>
              </w:rPr>
            </w:pPr>
            <w:r>
              <w:rPr>
                <w:spacing w:val="-5"/>
                <w:sz w:val="23"/>
              </w:rPr>
              <w:t>06</w:t>
            </w:r>
          </w:p>
        </w:tc>
      </w:tr>
      <w:tr>
        <w:trPr>
          <w:trHeight w:val="334" w:hRule="atLeast"/>
        </w:trPr>
        <w:tc>
          <w:tcPr>
            <w:tcW w:w="959" w:type="dxa"/>
            <w:tcBorders>
              <w:left w:val="single" w:sz="6" w:space="0" w:color="000000"/>
              <w:bottom w:val="nil"/>
              <w:right w:val="single" w:sz="6" w:space="0" w:color="000000"/>
            </w:tcBorders>
          </w:tcPr>
          <w:p>
            <w:pPr>
              <w:pStyle w:val="TableParagraph"/>
              <w:rPr>
                <w:sz w:val="22"/>
              </w:rPr>
            </w:pPr>
          </w:p>
        </w:tc>
        <w:tc>
          <w:tcPr>
            <w:tcW w:w="1058" w:type="dxa"/>
            <w:tcBorders>
              <w:left w:val="single" w:sz="6" w:space="0" w:color="000000"/>
              <w:bottom w:val="nil"/>
              <w:right w:val="single" w:sz="6" w:space="0" w:color="000000"/>
            </w:tcBorders>
          </w:tcPr>
          <w:p>
            <w:pPr>
              <w:pStyle w:val="TableParagraph"/>
              <w:rPr>
                <w:sz w:val="22"/>
              </w:rPr>
            </w:pPr>
          </w:p>
        </w:tc>
        <w:tc>
          <w:tcPr>
            <w:tcW w:w="1532" w:type="dxa"/>
            <w:tcBorders>
              <w:left w:val="single" w:sz="6" w:space="0" w:color="000000"/>
              <w:bottom w:val="nil"/>
            </w:tcBorders>
          </w:tcPr>
          <w:p>
            <w:pPr>
              <w:pStyle w:val="TableParagraph"/>
              <w:rPr>
                <w:sz w:val="22"/>
              </w:rPr>
            </w:pPr>
          </w:p>
        </w:tc>
        <w:tc>
          <w:tcPr>
            <w:tcW w:w="1525" w:type="dxa"/>
            <w:tcBorders>
              <w:bottom w:val="nil"/>
            </w:tcBorders>
          </w:tcPr>
          <w:p>
            <w:pPr>
              <w:pStyle w:val="TableParagraph"/>
              <w:rPr>
                <w:sz w:val="22"/>
              </w:rPr>
            </w:pPr>
          </w:p>
        </w:tc>
        <w:tc>
          <w:tcPr>
            <w:tcW w:w="989" w:type="dxa"/>
            <w:tcBorders>
              <w:bottom w:val="nil"/>
            </w:tcBorders>
          </w:tcPr>
          <w:p>
            <w:pPr>
              <w:pStyle w:val="TableParagraph"/>
              <w:spacing w:line="253" w:lineRule="exact" w:before="60"/>
              <w:ind w:right="78"/>
              <w:jc w:val="right"/>
              <w:rPr>
                <w:sz w:val="23"/>
              </w:rPr>
            </w:pPr>
            <w:r>
              <w:rPr>
                <w:spacing w:val="-2"/>
                <w:sz w:val="23"/>
              </w:rPr>
              <w:t>2.17E-</w:t>
            </w:r>
          </w:p>
        </w:tc>
        <w:tc>
          <w:tcPr>
            <w:tcW w:w="987" w:type="dxa"/>
            <w:tcBorders>
              <w:bottom w:val="nil"/>
              <w:right w:val="single" w:sz="6" w:space="0" w:color="000000"/>
            </w:tcBorders>
          </w:tcPr>
          <w:p>
            <w:pPr>
              <w:pStyle w:val="TableParagraph"/>
              <w:spacing w:line="253" w:lineRule="exact" w:before="60"/>
              <w:ind w:right="73"/>
              <w:jc w:val="right"/>
              <w:rPr>
                <w:sz w:val="23"/>
              </w:rPr>
            </w:pPr>
            <w:r>
              <w:rPr>
                <w:spacing w:val="-2"/>
                <w:sz w:val="23"/>
              </w:rPr>
              <w:t>5.71E-</w:t>
            </w:r>
          </w:p>
        </w:tc>
        <w:tc>
          <w:tcPr>
            <w:tcW w:w="1321" w:type="dxa"/>
            <w:tcBorders>
              <w:left w:val="single" w:sz="6" w:space="0" w:color="000000"/>
              <w:bottom w:val="nil"/>
              <w:right w:val="single" w:sz="6" w:space="0" w:color="000000"/>
            </w:tcBorders>
          </w:tcPr>
          <w:p>
            <w:pPr>
              <w:pStyle w:val="TableParagraph"/>
              <w:spacing w:line="253" w:lineRule="exact" w:before="60"/>
              <w:ind w:left="433"/>
              <w:rPr>
                <w:sz w:val="23"/>
              </w:rPr>
            </w:pPr>
            <w:r>
              <w:rPr>
                <w:spacing w:val="-2"/>
                <w:sz w:val="23"/>
              </w:rPr>
              <w:t>3.61E-</w:t>
            </w:r>
          </w:p>
        </w:tc>
        <w:tc>
          <w:tcPr>
            <w:tcW w:w="990" w:type="dxa"/>
            <w:tcBorders>
              <w:left w:val="single" w:sz="6" w:space="0" w:color="000000"/>
              <w:bottom w:val="nil"/>
            </w:tcBorders>
          </w:tcPr>
          <w:p>
            <w:pPr>
              <w:pStyle w:val="TableParagraph"/>
              <w:spacing w:line="253" w:lineRule="exact" w:before="60"/>
              <w:ind w:right="78"/>
              <w:jc w:val="right"/>
              <w:rPr>
                <w:sz w:val="23"/>
              </w:rPr>
            </w:pPr>
            <w:r>
              <w:rPr>
                <w:spacing w:val="-2"/>
                <w:sz w:val="23"/>
              </w:rPr>
              <w:t>3.61E-</w:t>
            </w:r>
          </w:p>
        </w:tc>
        <w:tc>
          <w:tcPr>
            <w:tcW w:w="987" w:type="dxa"/>
            <w:vMerge w:val="restart"/>
            <w:tcBorders>
              <w:bottom w:val="single" w:sz="6" w:space="0" w:color="000000"/>
              <w:right w:val="single" w:sz="6" w:space="0" w:color="000000"/>
            </w:tcBorders>
          </w:tcPr>
          <w:p>
            <w:pPr>
              <w:pStyle w:val="TableParagraph"/>
              <w:rPr>
                <w:sz w:val="22"/>
              </w:rPr>
            </w:pPr>
          </w:p>
        </w:tc>
        <w:tc>
          <w:tcPr>
            <w:tcW w:w="990" w:type="dxa"/>
            <w:tcBorders>
              <w:left w:val="single" w:sz="6" w:space="0" w:color="000000"/>
              <w:bottom w:val="nil"/>
            </w:tcBorders>
          </w:tcPr>
          <w:p>
            <w:pPr>
              <w:pStyle w:val="TableParagraph"/>
              <w:spacing w:line="253" w:lineRule="exact" w:before="60"/>
              <w:ind w:right="79"/>
              <w:jc w:val="right"/>
              <w:rPr>
                <w:sz w:val="23"/>
              </w:rPr>
            </w:pPr>
            <w:r>
              <w:rPr>
                <w:spacing w:val="-2"/>
                <w:sz w:val="23"/>
              </w:rPr>
              <w:t>3.67E-</w:t>
            </w:r>
          </w:p>
        </w:tc>
      </w:tr>
      <w:tr>
        <w:trPr>
          <w:trHeight w:val="286" w:hRule="atLeast"/>
        </w:trPr>
        <w:tc>
          <w:tcPr>
            <w:tcW w:w="959" w:type="dxa"/>
            <w:tcBorders>
              <w:top w:val="nil"/>
              <w:left w:val="single" w:sz="6" w:space="0" w:color="000000"/>
              <w:bottom w:val="single" w:sz="6" w:space="0" w:color="000000"/>
              <w:right w:val="single" w:sz="6" w:space="0" w:color="000000"/>
            </w:tcBorders>
          </w:tcPr>
          <w:p>
            <w:pPr>
              <w:pStyle w:val="TableParagraph"/>
              <w:spacing w:line="264" w:lineRule="exact" w:before="2"/>
              <w:ind w:left="122"/>
              <w:rPr>
                <w:sz w:val="23"/>
              </w:rPr>
            </w:pPr>
            <w:r>
              <w:rPr>
                <w:spacing w:val="-5"/>
                <w:sz w:val="23"/>
              </w:rPr>
              <w:t>Cd</w:t>
            </w:r>
          </w:p>
        </w:tc>
        <w:tc>
          <w:tcPr>
            <w:tcW w:w="1058" w:type="dxa"/>
            <w:tcBorders>
              <w:top w:val="nil"/>
              <w:left w:val="single" w:sz="6" w:space="0" w:color="000000"/>
              <w:bottom w:val="single" w:sz="6" w:space="0" w:color="000000"/>
              <w:right w:val="single" w:sz="6" w:space="0" w:color="000000"/>
            </w:tcBorders>
          </w:tcPr>
          <w:p>
            <w:pPr>
              <w:pStyle w:val="TableParagraph"/>
              <w:spacing w:line="264" w:lineRule="exact" w:before="2"/>
              <w:ind w:left="120"/>
              <w:rPr>
                <w:sz w:val="23"/>
              </w:rPr>
            </w:pPr>
            <w:r>
              <w:rPr>
                <w:spacing w:val="-5"/>
                <w:sz w:val="23"/>
              </w:rPr>
              <w:t>Min</w:t>
            </w:r>
          </w:p>
        </w:tc>
        <w:tc>
          <w:tcPr>
            <w:tcW w:w="1532" w:type="dxa"/>
            <w:tcBorders>
              <w:top w:val="nil"/>
              <w:left w:val="single" w:sz="6" w:space="0" w:color="000000"/>
              <w:bottom w:val="single" w:sz="6" w:space="0" w:color="000000"/>
            </w:tcBorders>
          </w:tcPr>
          <w:p>
            <w:pPr>
              <w:pStyle w:val="TableParagraph"/>
              <w:spacing w:line="264" w:lineRule="exact" w:before="2"/>
              <w:ind w:right="88"/>
              <w:jc w:val="right"/>
              <w:rPr>
                <w:sz w:val="23"/>
              </w:rPr>
            </w:pPr>
            <w:r>
              <w:rPr>
                <w:spacing w:val="-2"/>
                <w:sz w:val="23"/>
              </w:rPr>
              <w:t>0.002</w:t>
            </w:r>
          </w:p>
        </w:tc>
        <w:tc>
          <w:tcPr>
            <w:tcW w:w="1525" w:type="dxa"/>
            <w:tcBorders>
              <w:top w:val="nil"/>
              <w:bottom w:val="single" w:sz="6" w:space="0" w:color="000000"/>
            </w:tcBorders>
          </w:tcPr>
          <w:p>
            <w:pPr>
              <w:pStyle w:val="TableParagraph"/>
              <w:spacing w:line="264" w:lineRule="exact" w:before="2"/>
              <w:ind w:right="98"/>
              <w:jc w:val="right"/>
              <w:rPr>
                <w:sz w:val="23"/>
              </w:rPr>
            </w:pPr>
            <w:r>
              <w:rPr>
                <w:sz w:val="23"/>
              </w:rPr>
              <w:t>5.71E-</w:t>
            </w:r>
            <w:r>
              <w:rPr>
                <w:spacing w:val="-5"/>
                <w:sz w:val="23"/>
              </w:rPr>
              <w:t>11</w:t>
            </w:r>
          </w:p>
        </w:tc>
        <w:tc>
          <w:tcPr>
            <w:tcW w:w="989" w:type="dxa"/>
            <w:tcBorders>
              <w:top w:val="nil"/>
              <w:bottom w:val="single" w:sz="6" w:space="0" w:color="000000"/>
            </w:tcBorders>
          </w:tcPr>
          <w:p>
            <w:pPr>
              <w:pStyle w:val="TableParagraph"/>
              <w:spacing w:line="264" w:lineRule="exact" w:before="2"/>
              <w:ind w:right="100"/>
              <w:jc w:val="right"/>
              <w:rPr>
                <w:sz w:val="23"/>
              </w:rPr>
            </w:pPr>
            <w:r>
              <w:rPr>
                <w:spacing w:val="-5"/>
                <w:sz w:val="23"/>
              </w:rPr>
              <w:t>11</w:t>
            </w:r>
          </w:p>
        </w:tc>
        <w:tc>
          <w:tcPr>
            <w:tcW w:w="987" w:type="dxa"/>
            <w:tcBorders>
              <w:top w:val="nil"/>
              <w:bottom w:val="single" w:sz="6" w:space="0" w:color="000000"/>
              <w:right w:val="single" w:sz="6" w:space="0" w:color="000000"/>
            </w:tcBorders>
          </w:tcPr>
          <w:p>
            <w:pPr>
              <w:pStyle w:val="TableParagraph"/>
              <w:spacing w:line="264" w:lineRule="exact" w:before="2"/>
              <w:ind w:right="92"/>
              <w:jc w:val="right"/>
              <w:rPr>
                <w:sz w:val="23"/>
              </w:rPr>
            </w:pPr>
            <w:r>
              <w:rPr>
                <w:spacing w:val="-5"/>
                <w:sz w:val="23"/>
              </w:rPr>
              <w:t>08</w:t>
            </w:r>
          </w:p>
        </w:tc>
        <w:tc>
          <w:tcPr>
            <w:tcW w:w="1321" w:type="dxa"/>
            <w:tcBorders>
              <w:top w:val="nil"/>
              <w:left w:val="single" w:sz="6" w:space="0" w:color="000000"/>
              <w:bottom w:val="single" w:sz="6" w:space="0" w:color="000000"/>
              <w:right w:val="single" w:sz="6" w:space="0" w:color="000000"/>
            </w:tcBorders>
          </w:tcPr>
          <w:p>
            <w:pPr>
              <w:pStyle w:val="TableParagraph"/>
              <w:spacing w:line="264" w:lineRule="exact" w:before="2"/>
              <w:ind w:right="95"/>
              <w:jc w:val="right"/>
              <w:rPr>
                <w:sz w:val="23"/>
              </w:rPr>
            </w:pPr>
            <w:r>
              <w:rPr>
                <w:spacing w:val="-5"/>
                <w:sz w:val="23"/>
              </w:rPr>
              <w:t>11</w:t>
            </w:r>
          </w:p>
        </w:tc>
        <w:tc>
          <w:tcPr>
            <w:tcW w:w="990" w:type="dxa"/>
            <w:tcBorders>
              <w:top w:val="nil"/>
              <w:left w:val="single" w:sz="6" w:space="0" w:color="000000"/>
              <w:bottom w:val="single" w:sz="6" w:space="0" w:color="000000"/>
            </w:tcBorders>
          </w:tcPr>
          <w:p>
            <w:pPr>
              <w:pStyle w:val="TableParagraph"/>
              <w:spacing w:line="264" w:lineRule="exact" w:before="2"/>
              <w:ind w:right="101"/>
              <w:jc w:val="right"/>
              <w:rPr>
                <w:sz w:val="23"/>
              </w:rPr>
            </w:pPr>
            <w:r>
              <w:rPr>
                <w:spacing w:val="-5"/>
                <w:sz w:val="23"/>
              </w:rPr>
              <w:t>06</w:t>
            </w:r>
          </w:p>
        </w:tc>
        <w:tc>
          <w:tcPr>
            <w:tcW w:w="987" w:type="dxa"/>
            <w:vMerge/>
            <w:tcBorders>
              <w:top w:val="nil"/>
              <w:bottom w:val="single" w:sz="6" w:space="0" w:color="000000"/>
              <w:right w:val="single" w:sz="6" w:space="0" w:color="000000"/>
            </w:tcBorders>
          </w:tcPr>
          <w:p>
            <w:pPr>
              <w:rPr>
                <w:sz w:val="2"/>
                <w:szCs w:val="2"/>
              </w:rPr>
            </w:pPr>
          </w:p>
        </w:tc>
        <w:tc>
          <w:tcPr>
            <w:tcW w:w="990" w:type="dxa"/>
            <w:tcBorders>
              <w:top w:val="nil"/>
              <w:left w:val="single" w:sz="6" w:space="0" w:color="000000"/>
              <w:bottom w:val="single" w:sz="6" w:space="0" w:color="000000"/>
            </w:tcBorders>
          </w:tcPr>
          <w:p>
            <w:pPr>
              <w:pStyle w:val="TableParagraph"/>
              <w:spacing w:line="264" w:lineRule="exact" w:before="2"/>
              <w:ind w:right="101"/>
              <w:jc w:val="right"/>
              <w:rPr>
                <w:sz w:val="23"/>
              </w:rPr>
            </w:pPr>
            <w:r>
              <w:rPr>
                <w:spacing w:val="-5"/>
                <w:sz w:val="23"/>
              </w:rPr>
              <w:t>06</w:t>
            </w:r>
          </w:p>
        </w:tc>
      </w:tr>
      <w:tr>
        <w:trPr>
          <w:trHeight w:val="329" w:hRule="atLeast"/>
        </w:trPr>
        <w:tc>
          <w:tcPr>
            <w:tcW w:w="959" w:type="dxa"/>
            <w:vMerge w:val="restart"/>
            <w:tcBorders>
              <w:top w:val="single" w:sz="6" w:space="0" w:color="000000"/>
              <w:left w:val="single" w:sz="6" w:space="0" w:color="000000"/>
              <w:bottom w:val="single" w:sz="6" w:space="0" w:color="000000"/>
              <w:right w:val="single" w:sz="6" w:space="0" w:color="000000"/>
            </w:tcBorders>
          </w:tcPr>
          <w:p>
            <w:pPr>
              <w:pStyle w:val="TableParagraph"/>
              <w:rPr>
                <w:sz w:val="22"/>
              </w:rPr>
            </w:pPr>
          </w:p>
        </w:tc>
        <w:tc>
          <w:tcPr>
            <w:tcW w:w="1058" w:type="dxa"/>
            <w:tcBorders>
              <w:top w:val="single" w:sz="6" w:space="0" w:color="000000"/>
              <w:left w:val="single" w:sz="6" w:space="0" w:color="000000"/>
              <w:bottom w:val="nil"/>
              <w:right w:val="single" w:sz="6" w:space="0" w:color="000000"/>
            </w:tcBorders>
          </w:tcPr>
          <w:p>
            <w:pPr>
              <w:pStyle w:val="TableParagraph"/>
              <w:rPr>
                <w:sz w:val="22"/>
              </w:rPr>
            </w:pPr>
          </w:p>
        </w:tc>
        <w:tc>
          <w:tcPr>
            <w:tcW w:w="1532" w:type="dxa"/>
            <w:tcBorders>
              <w:top w:val="single" w:sz="6" w:space="0" w:color="000000"/>
              <w:left w:val="single" w:sz="6" w:space="0" w:color="000000"/>
              <w:bottom w:val="nil"/>
            </w:tcBorders>
          </w:tcPr>
          <w:p>
            <w:pPr>
              <w:pStyle w:val="TableParagraph"/>
              <w:rPr>
                <w:sz w:val="22"/>
              </w:rPr>
            </w:pPr>
          </w:p>
        </w:tc>
        <w:tc>
          <w:tcPr>
            <w:tcW w:w="1525" w:type="dxa"/>
            <w:tcBorders>
              <w:top w:val="single" w:sz="6" w:space="0" w:color="000000"/>
              <w:bottom w:val="nil"/>
            </w:tcBorders>
          </w:tcPr>
          <w:p>
            <w:pPr>
              <w:pStyle w:val="TableParagraph"/>
              <w:rPr>
                <w:sz w:val="22"/>
              </w:rPr>
            </w:pPr>
          </w:p>
        </w:tc>
        <w:tc>
          <w:tcPr>
            <w:tcW w:w="989" w:type="dxa"/>
            <w:tcBorders>
              <w:top w:val="single" w:sz="6" w:space="0" w:color="000000"/>
              <w:bottom w:val="nil"/>
            </w:tcBorders>
          </w:tcPr>
          <w:p>
            <w:pPr>
              <w:pStyle w:val="TableParagraph"/>
              <w:spacing w:line="253" w:lineRule="exact" w:before="55"/>
              <w:ind w:right="78"/>
              <w:jc w:val="right"/>
              <w:rPr>
                <w:sz w:val="23"/>
              </w:rPr>
            </w:pPr>
            <w:r>
              <w:rPr>
                <w:spacing w:val="-2"/>
                <w:sz w:val="23"/>
              </w:rPr>
              <w:t>2.04E-</w:t>
            </w:r>
          </w:p>
        </w:tc>
        <w:tc>
          <w:tcPr>
            <w:tcW w:w="987" w:type="dxa"/>
            <w:tcBorders>
              <w:top w:val="single" w:sz="6" w:space="0" w:color="000000"/>
              <w:bottom w:val="nil"/>
              <w:right w:val="single" w:sz="6" w:space="0" w:color="000000"/>
            </w:tcBorders>
          </w:tcPr>
          <w:p>
            <w:pPr>
              <w:pStyle w:val="TableParagraph"/>
              <w:spacing w:line="253" w:lineRule="exact" w:before="55"/>
              <w:ind w:right="73"/>
              <w:jc w:val="right"/>
              <w:rPr>
                <w:sz w:val="23"/>
              </w:rPr>
            </w:pPr>
            <w:r>
              <w:rPr>
                <w:spacing w:val="-2"/>
                <w:sz w:val="23"/>
              </w:rPr>
              <w:t>5.37E-</w:t>
            </w:r>
          </w:p>
        </w:tc>
        <w:tc>
          <w:tcPr>
            <w:tcW w:w="1321" w:type="dxa"/>
            <w:tcBorders>
              <w:top w:val="single" w:sz="6" w:space="0" w:color="000000"/>
              <w:left w:val="single" w:sz="6" w:space="0" w:color="000000"/>
              <w:bottom w:val="nil"/>
              <w:right w:val="single" w:sz="6" w:space="0" w:color="000000"/>
            </w:tcBorders>
          </w:tcPr>
          <w:p>
            <w:pPr>
              <w:pStyle w:val="TableParagraph"/>
              <w:spacing w:line="253" w:lineRule="exact" w:before="55"/>
              <w:ind w:left="433"/>
              <w:rPr>
                <w:sz w:val="23"/>
              </w:rPr>
            </w:pPr>
            <w:r>
              <w:rPr>
                <w:spacing w:val="-2"/>
                <w:sz w:val="23"/>
              </w:rPr>
              <w:t>4.85E-</w:t>
            </w:r>
          </w:p>
        </w:tc>
        <w:tc>
          <w:tcPr>
            <w:tcW w:w="990" w:type="dxa"/>
            <w:tcBorders>
              <w:top w:val="single" w:sz="6" w:space="0" w:color="000000"/>
              <w:left w:val="single" w:sz="6" w:space="0" w:color="000000"/>
              <w:bottom w:val="nil"/>
            </w:tcBorders>
          </w:tcPr>
          <w:p>
            <w:pPr>
              <w:pStyle w:val="TableParagraph"/>
              <w:spacing w:line="253" w:lineRule="exact" w:before="55"/>
              <w:ind w:right="78"/>
              <w:jc w:val="right"/>
              <w:rPr>
                <w:sz w:val="23"/>
              </w:rPr>
            </w:pPr>
            <w:r>
              <w:rPr>
                <w:spacing w:val="-2"/>
                <w:sz w:val="23"/>
              </w:rPr>
              <w:t>4.85E-</w:t>
            </w:r>
          </w:p>
        </w:tc>
        <w:tc>
          <w:tcPr>
            <w:tcW w:w="987" w:type="dxa"/>
            <w:vMerge w:val="restart"/>
            <w:tcBorders>
              <w:top w:val="single" w:sz="6" w:space="0" w:color="000000"/>
              <w:bottom w:val="single" w:sz="6" w:space="0" w:color="000000"/>
              <w:right w:val="single" w:sz="6" w:space="0" w:color="000000"/>
            </w:tcBorders>
          </w:tcPr>
          <w:p>
            <w:pPr>
              <w:pStyle w:val="TableParagraph"/>
              <w:rPr>
                <w:sz w:val="22"/>
              </w:rPr>
            </w:pPr>
          </w:p>
        </w:tc>
        <w:tc>
          <w:tcPr>
            <w:tcW w:w="990" w:type="dxa"/>
            <w:tcBorders>
              <w:top w:val="single" w:sz="6" w:space="0" w:color="000000"/>
              <w:left w:val="single" w:sz="6" w:space="0" w:color="000000"/>
              <w:bottom w:val="nil"/>
            </w:tcBorders>
          </w:tcPr>
          <w:p>
            <w:pPr>
              <w:pStyle w:val="TableParagraph"/>
              <w:spacing w:line="253" w:lineRule="exact" w:before="55"/>
              <w:ind w:right="79"/>
              <w:jc w:val="right"/>
              <w:rPr>
                <w:sz w:val="23"/>
              </w:rPr>
            </w:pPr>
            <w:r>
              <w:rPr>
                <w:spacing w:val="-2"/>
                <w:sz w:val="23"/>
              </w:rPr>
              <w:t>1.02E-</w:t>
            </w:r>
          </w:p>
        </w:tc>
      </w:tr>
      <w:tr>
        <w:trPr>
          <w:trHeight w:val="286" w:hRule="atLeast"/>
        </w:trPr>
        <w:tc>
          <w:tcPr>
            <w:tcW w:w="959" w:type="dxa"/>
            <w:vMerge/>
            <w:tcBorders>
              <w:top w:val="nil"/>
              <w:left w:val="single" w:sz="6" w:space="0" w:color="000000"/>
              <w:bottom w:val="single" w:sz="6" w:space="0" w:color="000000"/>
              <w:right w:val="single" w:sz="6" w:space="0" w:color="000000"/>
            </w:tcBorders>
          </w:tcPr>
          <w:p>
            <w:pPr>
              <w:rPr>
                <w:sz w:val="2"/>
                <w:szCs w:val="2"/>
              </w:rPr>
            </w:pPr>
          </w:p>
        </w:tc>
        <w:tc>
          <w:tcPr>
            <w:tcW w:w="1058" w:type="dxa"/>
            <w:tcBorders>
              <w:top w:val="nil"/>
              <w:left w:val="single" w:sz="6" w:space="0" w:color="000000"/>
              <w:bottom w:val="single" w:sz="6" w:space="0" w:color="000000"/>
              <w:right w:val="single" w:sz="6" w:space="0" w:color="000000"/>
            </w:tcBorders>
          </w:tcPr>
          <w:p>
            <w:pPr>
              <w:pStyle w:val="TableParagraph"/>
              <w:spacing w:line="264" w:lineRule="exact" w:before="2"/>
              <w:ind w:left="120"/>
              <w:rPr>
                <w:sz w:val="23"/>
              </w:rPr>
            </w:pPr>
            <w:r>
              <w:rPr>
                <w:spacing w:val="-5"/>
                <w:sz w:val="23"/>
              </w:rPr>
              <w:t>Max</w:t>
            </w:r>
          </w:p>
        </w:tc>
        <w:tc>
          <w:tcPr>
            <w:tcW w:w="1532" w:type="dxa"/>
            <w:tcBorders>
              <w:top w:val="nil"/>
              <w:left w:val="single" w:sz="6" w:space="0" w:color="000000"/>
              <w:bottom w:val="single" w:sz="6" w:space="0" w:color="000000"/>
            </w:tcBorders>
          </w:tcPr>
          <w:p>
            <w:pPr>
              <w:pStyle w:val="TableParagraph"/>
              <w:spacing w:line="264" w:lineRule="exact" w:before="2"/>
              <w:ind w:right="88"/>
              <w:jc w:val="right"/>
              <w:rPr>
                <w:sz w:val="23"/>
              </w:rPr>
            </w:pPr>
            <w:r>
              <w:rPr>
                <w:spacing w:val="-2"/>
                <w:sz w:val="23"/>
              </w:rPr>
              <w:t>0.0188</w:t>
            </w:r>
          </w:p>
        </w:tc>
        <w:tc>
          <w:tcPr>
            <w:tcW w:w="1525" w:type="dxa"/>
            <w:tcBorders>
              <w:top w:val="nil"/>
              <w:bottom w:val="single" w:sz="6" w:space="0" w:color="000000"/>
            </w:tcBorders>
          </w:tcPr>
          <w:p>
            <w:pPr>
              <w:pStyle w:val="TableParagraph"/>
              <w:spacing w:line="264" w:lineRule="exact" w:before="2"/>
              <w:ind w:right="98"/>
              <w:jc w:val="right"/>
              <w:rPr>
                <w:sz w:val="23"/>
              </w:rPr>
            </w:pPr>
            <w:r>
              <w:rPr>
                <w:sz w:val="23"/>
              </w:rPr>
              <w:t>5.37E-</w:t>
            </w:r>
            <w:r>
              <w:rPr>
                <w:spacing w:val="-5"/>
                <w:sz w:val="23"/>
              </w:rPr>
              <w:t>10</w:t>
            </w:r>
          </w:p>
        </w:tc>
        <w:tc>
          <w:tcPr>
            <w:tcW w:w="989" w:type="dxa"/>
            <w:tcBorders>
              <w:top w:val="nil"/>
              <w:bottom w:val="single" w:sz="6" w:space="0" w:color="000000"/>
            </w:tcBorders>
          </w:tcPr>
          <w:p>
            <w:pPr>
              <w:pStyle w:val="TableParagraph"/>
              <w:spacing w:line="264" w:lineRule="exact" w:before="2"/>
              <w:ind w:right="100"/>
              <w:jc w:val="right"/>
              <w:rPr>
                <w:sz w:val="23"/>
              </w:rPr>
            </w:pPr>
            <w:r>
              <w:rPr>
                <w:spacing w:val="-5"/>
                <w:sz w:val="23"/>
              </w:rPr>
              <w:t>10</w:t>
            </w:r>
          </w:p>
        </w:tc>
        <w:tc>
          <w:tcPr>
            <w:tcW w:w="987" w:type="dxa"/>
            <w:tcBorders>
              <w:top w:val="nil"/>
              <w:bottom w:val="single" w:sz="6" w:space="0" w:color="000000"/>
              <w:right w:val="single" w:sz="6" w:space="0" w:color="000000"/>
            </w:tcBorders>
          </w:tcPr>
          <w:p>
            <w:pPr>
              <w:pStyle w:val="TableParagraph"/>
              <w:spacing w:line="264" w:lineRule="exact" w:before="2"/>
              <w:ind w:right="92"/>
              <w:jc w:val="right"/>
              <w:rPr>
                <w:sz w:val="23"/>
              </w:rPr>
            </w:pPr>
            <w:r>
              <w:rPr>
                <w:spacing w:val="-5"/>
                <w:sz w:val="23"/>
              </w:rPr>
              <w:t>07</w:t>
            </w:r>
          </w:p>
        </w:tc>
        <w:tc>
          <w:tcPr>
            <w:tcW w:w="1321" w:type="dxa"/>
            <w:tcBorders>
              <w:top w:val="nil"/>
              <w:left w:val="single" w:sz="6" w:space="0" w:color="000000"/>
              <w:bottom w:val="single" w:sz="6" w:space="0" w:color="000000"/>
              <w:right w:val="single" w:sz="6" w:space="0" w:color="000000"/>
            </w:tcBorders>
          </w:tcPr>
          <w:p>
            <w:pPr>
              <w:pStyle w:val="TableParagraph"/>
              <w:spacing w:line="264" w:lineRule="exact" w:before="2"/>
              <w:ind w:right="95"/>
              <w:jc w:val="right"/>
              <w:rPr>
                <w:sz w:val="23"/>
              </w:rPr>
            </w:pPr>
            <w:r>
              <w:rPr>
                <w:spacing w:val="-5"/>
                <w:sz w:val="23"/>
              </w:rPr>
              <w:t>12</w:t>
            </w:r>
          </w:p>
        </w:tc>
        <w:tc>
          <w:tcPr>
            <w:tcW w:w="990" w:type="dxa"/>
            <w:tcBorders>
              <w:top w:val="nil"/>
              <w:left w:val="single" w:sz="6" w:space="0" w:color="000000"/>
              <w:bottom w:val="single" w:sz="6" w:space="0" w:color="000000"/>
            </w:tcBorders>
          </w:tcPr>
          <w:p>
            <w:pPr>
              <w:pStyle w:val="TableParagraph"/>
              <w:spacing w:line="264" w:lineRule="exact" w:before="2"/>
              <w:ind w:right="101"/>
              <w:jc w:val="right"/>
              <w:rPr>
                <w:sz w:val="23"/>
              </w:rPr>
            </w:pPr>
            <w:r>
              <w:rPr>
                <w:spacing w:val="-5"/>
                <w:sz w:val="23"/>
              </w:rPr>
              <w:t>07</w:t>
            </w:r>
          </w:p>
        </w:tc>
        <w:tc>
          <w:tcPr>
            <w:tcW w:w="987" w:type="dxa"/>
            <w:vMerge/>
            <w:tcBorders>
              <w:top w:val="nil"/>
              <w:bottom w:val="single" w:sz="6" w:space="0" w:color="000000"/>
              <w:right w:val="single" w:sz="6" w:space="0" w:color="000000"/>
            </w:tcBorders>
          </w:tcPr>
          <w:p>
            <w:pPr>
              <w:rPr>
                <w:sz w:val="2"/>
                <w:szCs w:val="2"/>
              </w:rPr>
            </w:pPr>
          </w:p>
        </w:tc>
        <w:tc>
          <w:tcPr>
            <w:tcW w:w="990" w:type="dxa"/>
            <w:tcBorders>
              <w:top w:val="nil"/>
              <w:left w:val="single" w:sz="6" w:space="0" w:color="000000"/>
              <w:bottom w:val="single" w:sz="6" w:space="0" w:color="000000"/>
            </w:tcBorders>
          </w:tcPr>
          <w:p>
            <w:pPr>
              <w:pStyle w:val="TableParagraph"/>
              <w:spacing w:line="264" w:lineRule="exact" w:before="2"/>
              <w:ind w:right="101"/>
              <w:jc w:val="right"/>
              <w:rPr>
                <w:sz w:val="23"/>
              </w:rPr>
            </w:pPr>
            <w:r>
              <w:rPr>
                <w:spacing w:val="-5"/>
                <w:sz w:val="23"/>
              </w:rPr>
              <w:t>06</w:t>
            </w:r>
          </w:p>
        </w:tc>
      </w:tr>
      <w:tr>
        <w:trPr>
          <w:trHeight w:val="332" w:hRule="atLeast"/>
        </w:trPr>
        <w:tc>
          <w:tcPr>
            <w:tcW w:w="959" w:type="dxa"/>
            <w:vMerge w:val="restart"/>
            <w:tcBorders>
              <w:top w:val="single" w:sz="6" w:space="0" w:color="000000"/>
              <w:left w:val="single" w:sz="6" w:space="0" w:color="000000"/>
              <w:right w:val="single" w:sz="6" w:space="0" w:color="000000"/>
            </w:tcBorders>
          </w:tcPr>
          <w:p>
            <w:pPr>
              <w:pStyle w:val="TableParagraph"/>
              <w:rPr>
                <w:sz w:val="22"/>
              </w:rPr>
            </w:pPr>
          </w:p>
        </w:tc>
        <w:tc>
          <w:tcPr>
            <w:tcW w:w="1058" w:type="dxa"/>
            <w:tcBorders>
              <w:top w:val="single" w:sz="6" w:space="0" w:color="000000"/>
              <w:left w:val="single" w:sz="6" w:space="0" w:color="000000"/>
              <w:bottom w:val="nil"/>
              <w:right w:val="single" w:sz="6" w:space="0" w:color="000000"/>
            </w:tcBorders>
          </w:tcPr>
          <w:p>
            <w:pPr>
              <w:pStyle w:val="TableParagraph"/>
              <w:rPr>
                <w:sz w:val="22"/>
              </w:rPr>
            </w:pPr>
          </w:p>
        </w:tc>
        <w:tc>
          <w:tcPr>
            <w:tcW w:w="1532" w:type="dxa"/>
            <w:tcBorders>
              <w:top w:val="single" w:sz="6" w:space="0" w:color="000000"/>
              <w:left w:val="single" w:sz="6" w:space="0" w:color="000000"/>
              <w:bottom w:val="nil"/>
            </w:tcBorders>
          </w:tcPr>
          <w:p>
            <w:pPr>
              <w:pStyle w:val="TableParagraph"/>
              <w:rPr>
                <w:sz w:val="22"/>
              </w:rPr>
            </w:pPr>
          </w:p>
        </w:tc>
        <w:tc>
          <w:tcPr>
            <w:tcW w:w="1525" w:type="dxa"/>
            <w:tcBorders>
              <w:top w:val="single" w:sz="6" w:space="0" w:color="000000"/>
              <w:bottom w:val="nil"/>
            </w:tcBorders>
          </w:tcPr>
          <w:p>
            <w:pPr>
              <w:pStyle w:val="TableParagraph"/>
              <w:rPr>
                <w:sz w:val="22"/>
              </w:rPr>
            </w:pPr>
          </w:p>
        </w:tc>
        <w:tc>
          <w:tcPr>
            <w:tcW w:w="989" w:type="dxa"/>
            <w:tcBorders>
              <w:top w:val="single" w:sz="6" w:space="0" w:color="000000"/>
              <w:bottom w:val="nil"/>
            </w:tcBorders>
          </w:tcPr>
          <w:p>
            <w:pPr>
              <w:pStyle w:val="TableParagraph"/>
              <w:spacing w:line="255" w:lineRule="exact" w:before="58"/>
              <w:ind w:right="78"/>
              <w:jc w:val="right"/>
              <w:rPr>
                <w:sz w:val="23"/>
              </w:rPr>
            </w:pPr>
            <w:r>
              <w:rPr>
                <w:spacing w:val="-2"/>
                <w:sz w:val="23"/>
              </w:rPr>
              <w:t>9.65E-</w:t>
            </w:r>
          </w:p>
        </w:tc>
        <w:tc>
          <w:tcPr>
            <w:tcW w:w="987" w:type="dxa"/>
            <w:tcBorders>
              <w:top w:val="single" w:sz="6" w:space="0" w:color="000000"/>
              <w:bottom w:val="nil"/>
              <w:right w:val="single" w:sz="6" w:space="0" w:color="000000"/>
            </w:tcBorders>
          </w:tcPr>
          <w:p>
            <w:pPr>
              <w:pStyle w:val="TableParagraph"/>
              <w:spacing w:line="255" w:lineRule="exact" w:before="58"/>
              <w:ind w:right="73"/>
              <w:jc w:val="right"/>
              <w:rPr>
                <w:sz w:val="23"/>
              </w:rPr>
            </w:pPr>
            <w:r>
              <w:rPr>
                <w:spacing w:val="-2"/>
                <w:sz w:val="23"/>
              </w:rPr>
              <w:t>2.54E-</w:t>
            </w:r>
          </w:p>
        </w:tc>
        <w:tc>
          <w:tcPr>
            <w:tcW w:w="1321" w:type="dxa"/>
            <w:tcBorders>
              <w:top w:val="single" w:sz="6" w:space="0" w:color="000000"/>
              <w:left w:val="single" w:sz="6" w:space="0" w:color="000000"/>
              <w:bottom w:val="nil"/>
              <w:right w:val="single" w:sz="6" w:space="0" w:color="000000"/>
            </w:tcBorders>
          </w:tcPr>
          <w:p>
            <w:pPr>
              <w:pStyle w:val="TableParagraph"/>
              <w:spacing w:line="255" w:lineRule="exact" w:before="58"/>
              <w:ind w:left="433"/>
              <w:rPr>
                <w:sz w:val="23"/>
              </w:rPr>
            </w:pPr>
            <w:r>
              <w:rPr>
                <w:spacing w:val="-2"/>
                <w:sz w:val="23"/>
              </w:rPr>
              <w:t>2.29E-</w:t>
            </w:r>
          </w:p>
        </w:tc>
        <w:tc>
          <w:tcPr>
            <w:tcW w:w="990" w:type="dxa"/>
            <w:tcBorders>
              <w:top w:val="single" w:sz="6" w:space="0" w:color="000000"/>
              <w:left w:val="single" w:sz="6" w:space="0" w:color="000000"/>
              <w:bottom w:val="nil"/>
            </w:tcBorders>
          </w:tcPr>
          <w:p>
            <w:pPr>
              <w:pStyle w:val="TableParagraph"/>
              <w:spacing w:line="255" w:lineRule="exact" w:before="58"/>
              <w:ind w:right="78"/>
              <w:jc w:val="right"/>
              <w:rPr>
                <w:sz w:val="23"/>
              </w:rPr>
            </w:pPr>
            <w:r>
              <w:rPr>
                <w:spacing w:val="-2"/>
                <w:sz w:val="23"/>
              </w:rPr>
              <w:t>2.29E-</w:t>
            </w:r>
          </w:p>
        </w:tc>
        <w:tc>
          <w:tcPr>
            <w:tcW w:w="987" w:type="dxa"/>
            <w:vMerge w:val="restart"/>
            <w:tcBorders>
              <w:top w:val="single" w:sz="6" w:space="0" w:color="000000"/>
              <w:right w:val="single" w:sz="6" w:space="0" w:color="000000"/>
            </w:tcBorders>
          </w:tcPr>
          <w:p>
            <w:pPr>
              <w:pStyle w:val="TableParagraph"/>
              <w:rPr>
                <w:sz w:val="22"/>
              </w:rPr>
            </w:pPr>
          </w:p>
        </w:tc>
        <w:tc>
          <w:tcPr>
            <w:tcW w:w="990" w:type="dxa"/>
            <w:tcBorders>
              <w:top w:val="single" w:sz="6" w:space="0" w:color="000000"/>
              <w:left w:val="single" w:sz="6" w:space="0" w:color="000000"/>
              <w:bottom w:val="nil"/>
            </w:tcBorders>
          </w:tcPr>
          <w:p>
            <w:pPr>
              <w:pStyle w:val="TableParagraph"/>
              <w:spacing w:line="255" w:lineRule="exact" w:before="58"/>
              <w:ind w:right="79"/>
              <w:jc w:val="right"/>
              <w:rPr>
                <w:sz w:val="23"/>
              </w:rPr>
            </w:pPr>
            <w:r>
              <w:rPr>
                <w:spacing w:val="-2"/>
                <w:sz w:val="23"/>
              </w:rPr>
              <w:t>4.83E-</w:t>
            </w:r>
          </w:p>
        </w:tc>
      </w:tr>
      <w:tr>
        <w:trPr>
          <w:trHeight w:val="289" w:hRule="atLeast"/>
        </w:trPr>
        <w:tc>
          <w:tcPr>
            <w:tcW w:w="959" w:type="dxa"/>
            <w:vMerge/>
            <w:tcBorders>
              <w:top w:val="nil"/>
              <w:left w:val="single" w:sz="6" w:space="0" w:color="000000"/>
              <w:right w:val="single" w:sz="6" w:space="0" w:color="000000"/>
            </w:tcBorders>
          </w:tcPr>
          <w:p>
            <w:pPr>
              <w:rPr>
                <w:sz w:val="2"/>
                <w:szCs w:val="2"/>
              </w:rPr>
            </w:pPr>
          </w:p>
        </w:tc>
        <w:tc>
          <w:tcPr>
            <w:tcW w:w="1058" w:type="dxa"/>
            <w:tcBorders>
              <w:top w:val="nil"/>
              <w:left w:val="single" w:sz="6" w:space="0" w:color="000000"/>
              <w:right w:val="single" w:sz="6" w:space="0" w:color="000000"/>
            </w:tcBorders>
          </w:tcPr>
          <w:p>
            <w:pPr>
              <w:pStyle w:val="TableParagraph"/>
              <w:spacing w:before="3"/>
              <w:ind w:left="120"/>
              <w:rPr>
                <w:sz w:val="23"/>
              </w:rPr>
            </w:pPr>
            <w:r>
              <w:rPr>
                <w:spacing w:val="-4"/>
                <w:sz w:val="23"/>
              </w:rPr>
              <w:t>Mean</w:t>
            </w:r>
          </w:p>
        </w:tc>
        <w:tc>
          <w:tcPr>
            <w:tcW w:w="1532" w:type="dxa"/>
            <w:tcBorders>
              <w:top w:val="nil"/>
              <w:left w:val="single" w:sz="6" w:space="0" w:color="000000"/>
            </w:tcBorders>
          </w:tcPr>
          <w:p>
            <w:pPr>
              <w:pStyle w:val="TableParagraph"/>
              <w:spacing w:before="3"/>
              <w:ind w:right="88"/>
              <w:jc w:val="right"/>
              <w:rPr>
                <w:sz w:val="23"/>
              </w:rPr>
            </w:pPr>
            <w:r>
              <w:rPr>
                <w:spacing w:val="-2"/>
                <w:sz w:val="23"/>
              </w:rPr>
              <w:t>0.0089</w:t>
            </w:r>
          </w:p>
        </w:tc>
        <w:tc>
          <w:tcPr>
            <w:tcW w:w="1525" w:type="dxa"/>
            <w:tcBorders>
              <w:top w:val="nil"/>
            </w:tcBorders>
          </w:tcPr>
          <w:p>
            <w:pPr>
              <w:pStyle w:val="TableParagraph"/>
              <w:spacing w:before="3"/>
              <w:ind w:right="98"/>
              <w:jc w:val="right"/>
              <w:rPr>
                <w:sz w:val="23"/>
              </w:rPr>
            </w:pPr>
            <w:r>
              <w:rPr>
                <w:sz w:val="23"/>
              </w:rPr>
              <w:t>2.54E-</w:t>
            </w:r>
            <w:r>
              <w:rPr>
                <w:spacing w:val="-5"/>
                <w:sz w:val="23"/>
              </w:rPr>
              <w:t>10</w:t>
            </w:r>
          </w:p>
        </w:tc>
        <w:tc>
          <w:tcPr>
            <w:tcW w:w="989" w:type="dxa"/>
            <w:tcBorders>
              <w:top w:val="nil"/>
            </w:tcBorders>
          </w:tcPr>
          <w:p>
            <w:pPr>
              <w:pStyle w:val="TableParagraph"/>
              <w:spacing w:before="3"/>
              <w:ind w:right="100"/>
              <w:jc w:val="right"/>
              <w:rPr>
                <w:sz w:val="23"/>
              </w:rPr>
            </w:pPr>
            <w:r>
              <w:rPr>
                <w:spacing w:val="-5"/>
                <w:sz w:val="23"/>
              </w:rPr>
              <w:t>11</w:t>
            </w:r>
          </w:p>
        </w:tc>
        <w:tc>
          <w:tcPr>
            <w:tcW w:w="987" w:type="dxa"/>
            <w:tcBorders>
              <w:top w:val="nil"/>
              <w:right w:val="single" w:sz="6" w:space="0" w:color="000000"/>
            </w:tcBorders>
          </w:tcPr>
          <w:p>
            <w:pPr>
              <w:pStyle w:val="TableParagraph"/>
              <w:spacing w:before="3"/>
              <w:ind w:right="92"/>
              <w:jc w:val="right"/>
              <w:rPr>
                <w:sz w:val="23"/>
              </w:rPr>
            </w:pPr>
            <w:r>
              <w:rPr>
                <w:spacing w:val="-5"/>
                <w:sz w:val="23"/>
              </w:rPr>
              <w:t>07</w:t>
            </w:r>
          </w:p>
        </w:tc>
        <w:tc>
          <w:tcPr>
            <w:tcW w:w="1321" w:type="dxa"/>
            <w:tcBorders>
              <w:top w:val="nil"/>
              <w:left w:val="single" w:sz="6" w:space="0" w:color="000000"/>
              <w:right w:val="single" w:sz="6" w:space="0" w:color="000000"/>
            </w:tcBorders>
          </w:tcPr>
          <w:p>
            <w:pPr>
              <w:pStyle w:val="TableParagraph"/>
              <w:spacing w:before="3"/>
              <w:ind w:right="95"/>
              <w:jc w:val="right"/>
              <w:rPr>
                <w:sz w:val="23"/>
              </w:rPr>
            </w:pPr>
            <w:r>
              <w:rPr>
                <w:spacing w:val="-5"/>
                <w:sz w:val="23"/>
              </w:rPr>
              <w:t>12</w:t>
            </w:r>
          </w:p>
        </w:tc>
        <w:tc>
          <w:tcPr>
            <w:tcW w:w="990" w:type="dxa"/>
            <w:tcBorders>
              <w:top w:val="nil"/>
              <w:left w:val="single" w:sz="6" w:space="0" w:color="000000"/>
            </w:tcBorders>
          </w:tcPr>
          <w:p>
            <w:pPr>
              <w:pStyle w:val="TableParagraph"/>
              <w:spacing w:before="3"/>
              <w:ind w:right="101"/>
              <w:jc w:val="right"/>
              <w:rPr>
                <w:sz w:val="23"/>
              </w:rPr>
            </w:pPr>
            <w:r>
              <w:rPr>
                <w:spacing w:val="-5"/>
                <w:sz w:val="23"/>
              </w:rPr>
              <w:t>07</w:t>
            </w:r>
          </w:p>
        </w:tc>
        <w:tc>
          <w:tcPr>
            <w:tcW w:w="987" w:type="dxa"/>
            <w:vMerge/>
            <w:tcBorders>
              <w:top w:val="nil"/>
              <w:right w:val="single" w:sz="6" w:space="0" w:color="000000"/>
            </w:tcBorders>
          </w:tcPr>
          <w:p>
            <w:pPr>
              <w:rPr>
                <w:sz w:val="2"/>
                <w:szCs w:val="2"/>
              </w:rPr>
            </w:pPr>
          </w:p>
        </w:tc>
        <w:tc>
          <w:tcPr>
            <w:tcW w:w="990" w:type="dxa"/>
            <w:tcBorders>
              <w:top w:val="nil"/>
              <w:left w:val="single" w:sz="6" w:space="0" w:color="000000"/>
            </w:tcBorders>
          </w:tcPr>
          <w:p>
            <w:pPr>
              <w:pStyle w:val="TableParagraph"/>
              <w:spacing w:before="3"/>
              <w:ind w:right="101"/>
              <w:jc w:val="right"/>
              <w:rPr>
                <w:sz w:val="23"/>
              </w:rPr>
            </w:pPr>
            <w:r>
              <w:rPr>
                <w:spacing w:val="-5"/>
                <w:sz w:val="23"/>
              </w:rPr>
              <w:t>07</w:t>
            </w:r>
          </w:p>
        </w:tc>
      </w:tr>
      <w:tr>
        <w:trPr>
          <w:trHeight w:val="334" w:hRule="atLeast"/>
        </w:trPr>
        <w:tc>
          <w:tcPr>
            <w:tcW w:w="959" w:type="dxa"/>
            <w:tcBorders>
              <w:left w:val="single" w:sz="6" w:space="0" w:color="000000"/>
              <w:bottom w:val="nil"/>
              <w:right w:val="single" w:sz="6" w:space="0" w:color="000000"/>
            </w:tcBorders>
          </w:tcPr>
          <w:p>
            <w:pPr>
              <w:pStyle w:val="TableParagraph"/>
              <w:rPr>
                <w:sz w:val="22"/>
              </w:rPr>
            </w:pPr>
          </w:p>
        </w:tc>
        <w:tc>
          <w:tcPr>
            <w:tcW w:w="1058" w:type="dxa"/>
            <w:tcBorders>
              <w:left w:val="single" w:sz="6" w:space="0" w:color="000000"/>
              <w:bottom w:val="nil"/>
              <w:right w:val="single" w:sz="6" w:space="0" w:color="000000"/>
            </w:tcBorders>
          </w:tcPr>
          <w:p>
            <w:pPr>
              <w:pStyle w:val="TableParagraph"/>
              <w:rPr>
                <w:sz w:val="22"/>
              </w:rPr>
            </w:pPr>
          </w:p>
        </w:tc>
        <w:tc>
          <w:tcPr>
            <w:tcW w:w="1532" w:type="dxa"/>
            <w:tcBorders>
              <w:left w:val="single" w:sz="6" w:space="0" w:color="000000"/>
              <w:bottom w:val="nil"/>
            </w:tcBorders>
          </w:tcPr>
          <w:p>
            <w:pPr>
              <w:pStyle w:val="TableParagraph"/>
              <w:rPr>
                <w:sz w:val="22"/>
              </w:rPr>
            </w:pPr>
          </w:p>
        </w:tc>
        <w:tc>
          <w:tcPr>
            <w:tcW w:w="1525" w:type="dxa"/>
            <w:tcBorders>
              <w:bottom w:val="nil"/>
            </w:tcBorders>
          </w:tcPr>
          <w:p>
            <w:pPr>
              <w:pStyle w:val="TableParagraph"/>
              <w:rPr>
                <w:sz w:val="22"/>
              </w:rPr>
            </w:pPr>
          </w:p>
        </w:tc>
        <w:tc>
          <w:tcPr>
            <w:tcW w:w="989" w:type="dxa"/>
            <w:tcBorders>
              <w:bottom w:val="nil"/>
            </w:tcBorders>
          </w:tcPr>
          <w:p>
            <w:pPr>
              <w:pStyle w:val="TableParagraph"/>
              <w:spacing w:line="253" w:lineRule="exact" w:before="60"/>
              <w:ind w:right="78"/>
              <w:jc w:val="right"/>
              <w:rPr>
                <w:sz w:val="23"/>
              </w:rPr>
            </w:pPr>
            <w:r>
              <w:rPr>
                <w:spacing w:val="-2"/>
                <w:sz w:val="23"/>
              </w:rPr>
              <w:t>1.48E-</w:t>
            </w:r>
          </w:p>
        </w:tc>
        <w:tc>
          <w:tcPr>
            <w:tcW w:w="987" w:type="dxa"/>
            <w:tcBorders>
              <w:bottom w:val="nil"/>
              <w:right w:val="single" w:sz="6" w:space="0" w:color="000000"/>
            </w:tcBorders>
          </w:tcPr>
          <w:p>
            <w:pPr>
              <w:pStyle w:val="TableParagraph"/>
              <w:spacing w:line="253" w:lineRule="exact" w:before="60"/>
              <w:ind w:right="73"/>
              <w:jc w:val="right"/>
              <w:rPr>
                <w:sz w:val="23"/>
              </w:rPr>
            </w:pPr>
            <w:r>
              <w:rPr>
                <w:spacing w:val="-2"/>
                <w:sz w:val="23"/>
              </w:rPr>
              <w:t>9.53E-</w:t>
            </w:r>
          </w:p>
        </w:tc>
        <w:tc>
          <w:tcPr>
            <w:tcW w:w="1321" w:type="dxa"/>
            <w:tcBorders>
              <w:left w:val="single" w:sz="6" w:space="0" w:color="000000"/>
              <w:bottom w:val="nil"/>
              <w:right w:val="single" w:sz="6" w:space="0" w:color="000000"/>
            </w:tcBorders>
          </w:tcPr>
          <w:p>
            <w:pPr>
              <w:pStyle w:val="TableParagraph"/>
              <w:spacing w:line="253" w:lineRule="exact" w:before="60"/>
              <w:ind w:left="433"/>
              <w:rPr>
                <w:sz w:val="23"/>
              </w:rPr>
            </w:pPr>
            <w:r>
              <w:rPr>
                <w:spacing w:val="-2"/>
                <w:sz w:val="23"/>
              </w:rPr>
              <w:t>2.64E-</w:t>
            </w:r>
          </w:p>
        </w:tc>
        <w:tc>
          <w:tcPr>
            <w:tcW w:w="990" w:type="dxa"/>
            <w:tcBorders>
              <w:left w:val="single" w:sz="6" w:space="0" w:color="000000"/>
              <w:bottom w:val="nil"/>
            </w:tcBorders>
          </w:tcPr>
          <w:p>
            <w:pPr>
              <w:pStyle w:val="TableParagraph"/>
              <w:rPr>
                <w:sz w:val="22"/>
              </w:rPr>
            </w:pPr>
          </w:p>
        </w:tc>
        <w:tc>
          <w:tcPr>
            <w:tcW w:w="987" w:type="dxa"/>
            <w:vMerge w:val="restart"/>
            <w:tcBorders>
              <w:bottom w:val="single" w:sz="6" w:space="0" w:color="000000"/>
              <w:right w:val="single" w:sz="6" w:space="0" w:color="000000"/>
            </w:tcBorders>
          </w:tcPr>
          <w:p>
            <w:pPr>
              <w:pStyle w:val="TableParagraph"/>
              <w:rPr>
                <w:sz w:val="22"/>
              </w:rPr>
            </w:pPr>
          </w:p>
        </w:tc>
        <w:tc>
          <w:tcPr>
            <w:tcW w:w="990" w:type="dxa"/>
            <w:tcBorders>
              <w:left w:val="single" w:sz="6" w:space="0" w:color="000000"/>
              <w:bottom w:val="nil"/>
            </w:tcBorders>
          </w:tcPr>
          <w:p>
            <w:pPr>
              <w:pStyle w:val="TableParagraph"/>
              <w:spacing w:line="253" w:lineRule="exact" w:before="60"/>
              <w:ind w:right="79"/>
              <w:jc w:val="right"/>
              <w:rPr>
                <w:sz w:val="23"/>
              </w:rPr>
            </w:pPr>
            <w:r>
              <w:rPr>
                <w:spacing w:val="-2"/>
                <w:sz w:val="23"/>
              </w:rPr>
              <w:t>1.39E-</w:t>
            </w:r>
          </w:p>
        </w:tc>
      </w:tr>
      <w:tr>
        <w:trPr>
          <w:trHeight w:val="286" w:hRule="atLeast"/>
        </w:trPr>
        <w:tc>
          <w:tcPr>
            <w:tcW w:w="959" w:type="dxa"/>
            <w:tcBorders>
              <w:top w:val="nil"/>
              <w:left w:val="single" w:sz="6" w:space="0" w:color="000000"/>
              <w:bottom w:val="single" w:sz="6" w:space="0" w:color="000000"/>
              <w:right w:val="single" w:sz="6" w:space="0" w:color="000000"/>
            </w:tcBorders>
          </w:tcPr>
          <w:p>
            <w:pPr>
              <w:pStyle w:val="TableParagraph"/>
              <w:spacing w:line="264" w:lineRule="exact" w:before="2"/>
              <w:ind w:left="122"/>
              <w:rPr>
                <w:sz w:val="23"/>
              </w:rPr>
            </w:pPr>
            <w:r>
              <w:rPr>
                <w:spacing w:val="-5"/>
                <w:sz w:val="23"/>
              </w:rPr>
              <w:t>Cr</w:t>
            </w:r>
          </w:p>
        </w:tc>
        <w:tc>
          <w:tcPr>
            <w:tcW w:w="1058" w:type="dxa"/>
            <w:tcBorders>
              <w:top w:val="nil"/>
              <w:left w:val="single" w:sz="6" w:space="0" w:color="000000"/>
              <w:bottom w:val="single" w:sz="6" w:space="0" w:color="000000"/>
              <w:right w:val="single" w:sz="6" w:space="0" w:color="000000"/>
            </w:tcBorders>
          </w:tcPr>
          <w:p>
            <w:pPr>
              <w:pStyle w:val="TableParagraph"/>
              <w:spacing w:line="264" w:lineRule="exact" w:before="2"/>
              <w:ind w:left="120"/>
              <w:rPr>
                <w:sz w:val="23"/>
              </w:rPr>
            </w:pPr>
            <w:r>
              <w:rPr>
                <w:spacing w:val="-5"/>
                <w:sz w:val="23"/>
              </w:rPr>
              <w:t>Min</w:t>
            </w:r>
          </w:p>
        </w:tc>
        <w:tc>
          <w:tcPr>
            <w:tcW w:w="1532" w:type="dxa"/>
            <w:tcBorders>
              <w:top w:val="nil"/>
              <w:left w:val="single" w:sz="6" w:space="0" w:color="000000"/>
              <w:bottom w:val="single" w:sz="6" w:space="0" w:color="000000"/>
            </w:tcBorders>
          </w:tcPr>
          <w:p>
            <w:pPr>
              <w:pStyle w:val="TableParagraph"/>
              <w:spacing w:line="264" w:lineRule="exact" w:before="2"/>
              <w:ind w:right="88"/>
              <w:jc w:val="right"/>
              <w:rPr>
                <w:sz w:val="23"/>
              </w:rPr>
            </w:pPr>
            <w:r>
              <w:rPr>
                <w:spacing w:val="-4"/>
                <w:sz w:val="23"/>
              </w:rPr>
              <w:t>0.01</w:t>
            </w:r>
          </w:p>
        </w:tc>
        <w:tc>
          <w:tcPr>
            <w:tcW w:w="1525" w:type="dxa"/>
            <w:tcBorders>
              <w:top w:val="nil"/>
              <w:bottom w:val="single" w:sz="6" w:space="0" w:color="000000"/>
            </w:tcBorders>
          </w:tcPr>
          <w:p>
            <w:pPr>
              <w:pStyle w:val="TableParagraph"/>
              <w:spacing w:line="264" w:lineRule="exact" w:before="2"/>
              <w:ind w:right="98"/>
              <w:jc w:val="right"/>
              <w:rPr>
                <w:sz w:val="23"/>
              </w:rPr>
            </w:pPr>
            <w:r>
              <w:rPr>
                <w:sz w:val="23"/>
              </w:rPr>
              <w:t>2.86E-</w:t>
            </w:r>
            <w:r>
              <w:rPr>
                <w:spacing w:val="-5"/>
                <w:sz w:val="23"/>
              </w:rPr>
              <w:t>10</w:t>
            </w:r>
          </w:p>
        </w:tc>
        <w:tc>
          <w:tcPr>
            <w:tcW w:w="989" w:type="dxa"/>
            <w:tcBorders>
              <w:top w:val="nil"/>
              <w:bottom w:val="single" w:sz="6" w:space="0" w:color="000000"/>
            </w:tcBorders>
          </w:tcPr>
          <w:p>
            <w:pPr>
              <w:pStyle w:val="TableParagraph"/>
              <w:spacing w:line="264" w:lineRule="exact" w:before="2"/>
              <w:ind w:right="100"/>
              <w:jc w:val="right"/>
              <w:rPr>
                <w:sz w:val="23"/>
              </w:rPr>
            </w:pPr>
            <w:r>
              <w:rPr>
                <w:spacing w:val="-5"/>
                <w:sz w:val="23"/>
              </w:rPr>
              <w:t>10</w:t>
            </w:r>
          </w:p>
        </w:tc>
        <w:tc>
          <w:tcPr>
            <w:tcW w:w="987" w:type="dxa"/>
            <w:tcBorders>
              <w:top w:val="nil"/>
              <w:bottom w:val="single" w:sz="6" w:space="0" w:color="000000"/>
              <w:right w:val="single" w:sz="6" w:space="0" w:color="000000"/>
            </w:tcBorders>
          </w:tcPr>
          <w:p>
            <w:pPr>
              <w:pStyle w:val="TableParagraph"/>
              <w:spacing w:line="264" w:lineRule="exact" w:before="2"/>
              <w:ind w:right="92"/>
              <w:jc w:val="right"/>
              <w:rPr>
                <w:sz w:val="23"/>
              </w:rPr>
            </w:pPr>
            <w:r>
              <w:rPr>
                <w:spacing w:val="-5"/>
                <w:sz w:val="23"/>
              </w:rPr>
              <w:t>08</w:t>
            </w:r>
          </w:p>
        </w:tc>
        <w:tc>
          <w:tcPr>
            <w:tcW w:w="1321" w:type="dxa"/>
            <w:tcBorders>
              <w:top w:val="nil"/>
              <w:left w:val="single" w:sz="6" w:space="0" w:color="000000"/>
              <w:bottom w:val="single" w:sz="6" w:space="0" w:color="000000"/>
              <w:right w:val="single" w:sz="6" w:space="0" w:color="000000"/>
            </w:tcBorders>
          </w:tcPr>
          <w:p>
            <w:pPr>
              <w:pStyle w:val="TableParagraph"/>
              <w:spacing w:line="264" w:lineRule="exact" w:before="2"/>
              <w:ind w:right="95"/>
              <w:jc w:val="right"/>
              <w:rPr>
                <w:sz w:val="23"/>
              </w:rPr>
            </w:pPr>
            <w:r>
              <w:rPr>
                <w:spacing w:val="-5"/>
                <w:sz w:val="23"/>
              </w:rPr>
              <w:t>12</w:t>
            </w:r>
          </w:p>
        </w:tc>
        <w:tc>
          <w:tcPr>
            <w:tcW w:w="990" w:type="dxa"/>
            <w:tcBorders>
              <w:top w:val="nil"/>
              <w:left w:val="single" w:sz="6" w:space="0" w:color="000000"/>
              <w:bottom w:val="single" w:sz="6" w:space="0" w:color="000000"/>
            </w:tcBorders>
          </w:tcPr>
          <w:p>
            <w:pPr>
              <w:pStyle w:val="TableParagraph"/>
              <w:spacing w:line="264" w:lineRule="exact" w:before="2"/>
              <w:ind w:left="165"/>
              <w:rPr>
                <w:sz w:val="23"/>
              </w:rPr>
            </w:pPr>
            <w:r>
              <w:rPr>
                <w:sz w:val="23"/>
              </w:rPr>
              <w:t>4.4E-</w:t>
            </w:r>
            <w:r>
              <w:rPr>
                <w:spacing w:val="-5"/>
                <w:sz w:val="23"/>
              </w:rPr>
              <w:t>08</w:t>
            </w:r>
          </w:p>
        </w:tc>
        <w:tc>
          <w:tcPr>
            <w:tcW w:w="987" w:type="dxa"/>
            <w:vMerge/>
            <w:tcBorders>
              <w:top w:val="nil"/>
              <w:bottom w:val="single" w:sz="6" w:space="0" w:color="000000"/>
              <w:right w:val="single" w:sz="6" w:space="0" w:color="000000"/>
            </w:tcBorders>
          </w:tcPr>
          <w:p>
            <w:pPr>
              <w:rPr>
                <w:sz w:val="2"/>
                <w:szCs w:val="2"/>
              </w:rPr>
            </w:pPr>
          </w:p>
        </w:tc>
        <w:tc>
          <w:tcPr>
            <w:tcW w:w="990" w:type="dxa"/>
            <w:tcBorders>
              <w:top w:val="nil"/>
              <w:left w:val="single" w:sz="6" w:space="0" w:color="000000"/>
              <w:bottom w:val="single" w:sz="6" w:space="0" w:color="000000"/>
            </w:tcBorders>
          </w:tcPr>
          <w:p>
            <w:pPr>
              <w:pStyle w:val="TableParagraph"/>
              <w:spacing w:line="264" w:lineRule="exact" w:before="2"/>
              <w:ind w:right="101"/>
              <w:jc w:val="right"/>
              <w:rPr>
                <w:sz w:val="23"/>
              </w:rPr>
            </w:pPr>
            <w:r>
              <w:rPr>
                <w:spacing w:val="-5"/>
                <w:sz w:val="23"/>
              </w:rPr>
              <w:t>07</w:t>
            </w:r>
          </w:p>
        </w:tc>
      </w:tr>
      <w:tr>
        <w:trPr>
          <w:trHeight w:val="329" w:hRule="atLeast"/>
        </w:trPr>
        <w:tc>
          <w:tcPr>
            <w:tcW w:w="959" w:type="dxa"/>
            <w:vMerge w:val="restart"/>
            <w:tcBorders>
              <w:top w:val="single" w:sz="6" w:space="0" w:color="000000"/>
              <w:left w:val="single" w:sz="6" w:space="0" w:color="000000"/>
              <w:bottom w:val="single" w:sz="6" w:space="0" w:color="000000"/>
              <w:right w:val="single" w:sz="6" w:space="0" w:color="000000"/>
            </w:tcBorders>
          </w:tcPr>
          <w:p>
            <w:pPr>
              <w:pStyle w:val="TableParagraph"/>
              <w:rPr>
                <w:sz w:val="22"/>
              </w:rPr>
            </w:pPr>
          </w:p>
        </w:tc>
        <w:tc>
          <w:tcPr>
            <w:tcW w:w="1058" w:type="dxa"/>
            <w:tcBorders>
              <w:top w:val="single" w:sz="6" w:space="0" w:color="000000"/>
              <w:left w:val="single" w:sz="6" w:space="0" w:color="000000"/>
              <w:bottom w:val="nil"/>
              <w:right w:val="single" w:sz="6" w:space="0" w:color="000000"/>
            </w:tcBorders>
          </w:tcPr>
          <w:p>
            <w:pPr>
              <w:pStyle w:val="TableParagraph"/>
              <w:rPr>
                <w:sz w:val="22"/>
              </w:rPr>
            </w:pPr>
          </w:p>
        </w:tc>
        <w:tc>
          <w:tcPr>
            <w:tcW w:w="1532" w:type="dxa"/>
            <w:tcBorders>
              <w:top w:val="single" w:sz="6" w:space="0" w:color="000000"/>
              <w:left w:val="single" w:sz="6" w:space="0" w:color="000000"/>
              <w:bottom w:val="nil"/>
            </w:tcBorders>
          </w:tcPr>
          <w:p>
            <w:pPr>
              <w:pStyle w:val="TableParagraph"/>
              <w:rPr>
                <w:sz w:val="22"/>
              </w:rPr>
            </w:pPr>
          </w:p>
        </w:tc>
        <w:tc>
          <w:tcPr>
            <w:tcW w:w="1525" w:type="dxa"/>
            <w:tcBorders>
              <w:top w:val="single" w:sz="6" w:space="0" w:color="000000"/>
              <w:bottom w:val="nil"/>
            </w:tcBorders>
          </w:tcPr>
          <w:p>
            <w:pPr>
              <w:pStyle w:val="TableParagraph"/>
              <w:rPr>
                <w:sz w:val="22"/>
              </w:rPr>
            </w:pPr>
          </w:p>
        </w:tc>
        <w:tc>
          <w:tcPr>
            <w:tcW w:w="989" w:type="dxa"/>
            <w:tcBorders>
              <w:top w:val="single" w:sz="6" w:space="0" w:color="000000"/>
              <w:bottom w:val="nil"/>
            </w:tcBorders>
          </w:tcPr>
          <w:p>
            <w:pPr>
              <w:pStyle w:val="TableParagraph"/>
              <w:spacing w:line="253" w:lineRule="exact" w:before="56"/>
              <w:ind w:right="78"/>
              <w:jc w:val="right"/>
              <w:rPr>
                <w:sz w:val="23"/>
              </w:rPr>
            </w:pPr>
            <w:r>
              <w:rPr>
                <w:spacing w:val="-2"/>
                <w:sz w:val="23"/>
              </w:rPr>
              <w:t>3.57E-</w:t>
            </w:r>
          </w:p>
        </w:tc>
        <w:tc>
          <w:tcPr>
            <w:tcW w:w="987" w:type="dxa"/>
            <w:tcBorders>
              <w:top w:val="single" w:sz="6" w:space="0" w:color="000000"/>
              <w:bottom w:val="nil"/>
              <w:right w:val="single" w:sz="6" w:space="0" w:color="000000"/>
            </w:tcBorders>
          </w:tcPr>
          <w:p>
            <w:pPr>
              <w:pStyle w:val="TableParagraph"/>
              <w:spacing w:line="253" w:lineRule="exact" w:before="56"/>
              <w:ind w:right="73"/>
              <w:jc w:val="right"/>
              <w:rPr>
                <w:sz w:val="23"/>
              </w:rPr>
            </w:pPr>
            <w:r>
              <w:rPr>
                <w:spacing w:val="-2"/>
                <w:sz w:val="23"/>
              </w:rPr>
              <w:t>2.38E-</w:t>
            </w:r>
          </w:p>
        </w:tc>
        <w:tc>
          <w:tcPr>
            <w:tcW w:w="1321" w:type="dxa"/>
            <w:tcBorders>
              <w:top w:val="single" w:sz="6" w:space="0" w:color="000000"/>
              <w:left w:val="single" w:sz="6" w:space="0" w:color="000000"/>
              <w:bottom w:val="nil"/>
              <w:right w:val="single" w:sz="6" w:space="0" w:color="000000"/>
            </w:tcBorders>
          </w:tcPr>
          <w:p>
            <w:pPr>
              <w:pStyle w:val="TableParagraph"/>
              <w:spacing w:line="253" w:lineRule="exact" w:before="56"/>
              <w:ind w:left="433"/>
              <w:rPr>
                <w:sz w:val="23"/>
              </w:rPr>
            </w:pPr>
            <w:r>
              <w:rPr>
                <w:spacing w:val="-2"/>
                <w:sz w:val="23"/>
              </w:rPr>
              <w:t>6.61E-</w:t>
            </w:r>
          </w:p>
        </w:tc>
        <w:tc>
          <w:tcPr>
            <w:tcW w:w="990" w:type="dxa"/>
            <w:tcBorders>
              <w:top w:val="single" w:sz="6" w:space="0" w:color="000000"/>
              <w:left w:val="single" w:sz="6" w:space="0" w:color="000000"/>
              <w:bottom w:val="nil"/>
            </w:tcBorders>
          </w:tcPr>
          <w:p>
            <w:pPr>
              <w:pStyle w:val="TableParagraph"/>
              <w:rPr>
                <w:sz w:val="22"/>
              </w:rPr>
            </w:pPr>
          </w:p>
        </w:tc>
        <w:tc>
          <w:tcPr>
            <w:tcW w:w="987" w:type="dxa"/>
            <w:vMerge w:val="restart"/>
            <w:tcBorders>
              <w:top w:val="single" w:sz="6" w:space="0" w:color="000000"/>
              <w:bottom w:val="single" w:sz="6" w:space="0" w:color="000000"/>
              <w:right w:val="single" w:sz="6" w:space="0" w:color="000000"/>
            </w:tcBorders>
          </w:tcPr>
          <w:p>
            <w:pPr>
              <w:pStyle w:val="TableParagraph"/>
              <w:rPr>
                <w:sz w:val="22"/>
              </w:rPr>
            </w:pPr>
          </w:p>
        </w:tc>
        <w:tc>
          <w:tcPr>
            <w:tcW w:w="990" w:type="dxa"/>
            <w:tcBorders>
              <w:top w:val="single" w:sz="6" w:space="0" w:color="000000"/>
              <w:left w:val="single" w:sz="6" w:space="0" w:color="000000"/>
              <w:bottom w:val="nil"/>
            </w:tcBorders>
          </w:tcPr>
          <w:p>
            <w:pPr>
              <w:pStyle w:val="TableParagraph"/>
              <w:spacing w:line="253" w:lineRule="exact" w:before="56"/>
              <w:ind w:right="79"/>
              <w:jc w:val="right"/>
              <w:rPr>
                <w:sz w:val="23"/>
              </w:rPr>
            </w:pPr>
            <w:r>
              <w:rPr>
                <w:spacing w:val="-2"/>
                <w:sz w:val="23"/>
              </w:rPr>
              <w:t>2.49E-</w:t>
            </w:r>
          </w:p>
        </w:tc>
      </w:tr>
      <w:tr>
        <w:trPr>
          <w:trHeight w:val="286" w:hRule="atLeast"/>
        </w:trPr>
        <w:tc>
          <w:tcPr>
            <w:tcW w:w="959" w:type="dxa"/>
            <w:vMerge/>
            <w:tcBorders>
              <w:top w:val="nil"/>
              <w:left w:val="single" w:sz="6" w:space="0" w:color="000000"/>
              <w:bottom w:val="single" w:sz="6" w:space="0" w:color="000000"/>
              <w:right w:val="single" w:sz="6" w:space="0" w:color="000000"/>
            </w:tcBorders>
          </w:tcPr>
          <w:p>
            <w:pPr>
              <w:rPr>
                <w:sz w:val="2"/>
                <w:szCs w:val="2"/>
              </w:rPr>
            </w:pPr>
          </w:p>
        </w:tc>
        <w:tc>
          <w:tcPr>
            <w:tcW w:w="1058" w:type="dxa"/>
            <w:tcBorders>
              <w:top w:val="nil"/>
              <w:left w:val="single" w:sz="6" w:space="0" w:color="000000"/>
              <w:bottom w:val="single" w:sz="6" w:space="0" w:color="000000"/>
              <w:right w:val="single" w:sz="6" w:space="0" w:color="000000"/>
            </w:tcBorders>
          </w:tcPr>
          <w:p>
            <w:pPr>
              <w:pStyle w:val="TableParagraph"/>
              <w:spacing w:line="264" w:lineRule="exact" w:before="2"/>
              <w:ind w:left="120"/>
              <w:rPr>
                <w:sz w:val="23"/>
              </w:rPr>
            </w:pPr>
            <w:r>
              <w:rPr>
                <w:spacing w:val="-5"/>
                <w:sz w:val="23"/>
              </w:rPr>
              <w:t>Max</w:t>
            </w:r>
          </w:p>
        </w:tc>
        <w:tc>
          <w:tcPr>
            <w:tcW w:w="1532" w:type="dxa"/>
            <w:tcBorders>
              <w:top w:val="nil"/>
              <w:left w:val="single" w:sz="6" w:space="0" w:color="000000"/>
              <w:bottom w:val="single" w:sz="6" w:space="0" w:color="000000"/>
            </w:tcBorders>
          </w:tcPr>
          <w:p>
            <w:pPr>
              <w:pStyle w:val="TableParagraph"/>
              <w:spacing w:line="264" w:lineRule="exact" w:before="2"/>
              <w:ind w:right="88"/>
              <w:jc w:val="right"/>
              <w:rPr>
                <w:sz w:val="23"/>
              </w:rPr>
            </w:pPr>
            <w:r>
              <w:rPr>
                <w:spacing w:val="-4"/>
                <w:sz w:val="23"/>
              </w:rPr>
              <w:t>0.25</w:t>
            </w:r>
          </w:p>
        </w:tc>
        <w:tc>
          <w:tcPr>
            <w:tcW w:w="1525" w:type="dxa"/>
            <w:tcBorders>
              <w:top w:val="nil"/>
              <w:bottom w:val="single" w:sz="6" w:space="0" w:color="000000"/>
            </w:tcBorders>
          </w:tcPr>
          <w:p>
            <w:pPr>
              <w:pStyle w:val="TableParagraph"/>
              <w:spacing w:line="264" w:lineRule="exact" w:before="2"/>
              <w:ind w:right="98"/>
              <w:jc w:val="right"/>
              <w:rPr>
                <w:sz w:val="23"/>
              </w:rPr>
            </w:pPr>
            <w:r>
              <w:rPr>
                <w:sz w:val="23"/>
              </w:rPr>
              <w:t>7.14E-</w:t>
            </w:r>
            <w:r>
              <w:rPr>
                <w:spacing w:val="-5"/>
                <w:sz w:val="23"/>
              </w:rPr>
              <w:t>09</w:t>
            </w:r>
          </w:p>
        </w:tc>
        <w:tc>
          <w:tcPr>
            <w:tcW w:w="989" w:type="dxa"/>
            <w:tcBorders>
              <w:top w:val="nil"/>
              <w:bottom w:val="single" w:sz="6" w:space="0" w:color="000000"/>
            </w:tcBorders>
          </w:tcPr>
          <w:p>
            <w:pPr>
              <w:pStyle w:val="TableParagraph"/>
              <w:spacing w:line="264" w:lineRule="exact" w:before="2"/>
              <w:ind w:right="100"/>
              <w:jc w:val="right"/>
              <w:rPr>
                <w:sz w:val="23"/>
              </w:rPr>
            </w:pPr>
            <w:r>
              <w:rPr>
                <w:spacing w:val="-5"/>
                <w:sz w:val="23"/>
              </w:rPr>
              <w:t>09</w:t>
            </w:r>
          </w:p>
        </w:tc>
        <w:tc>
          <w:tcPr>
            <w:tcW w:w="987" w:type="dxa"/>
            <w:tcBorders>
              <w:top w:val="nil"/>
              <w:bottom w:val="single" w:sz="6" w:space="0" w:color="000000"/>
              <w:right w:val="single" w:sz="6" w:space="0" w:color="000000"/>
            </w:tcBorders>
          </w:tcPr>
          <w:p>
            <w:pPr>
              <w:pStyle w:val="TableParagraph"/>
              <w:spacing w:line="264" w:lineRule="exact" w:before="2"/>
              <w:ind w:right="92"/>
              <w:jc w:val="right"/>
              <w:rPr>
                <w:sz w:val="23"/>
              </w:rPr>
            </w:pPr>
            <w:r>
              <w:rPr>
                <w:spacing w:val="-5"/>
                <w:sz w:val="23"/>
              </w:rPr>
              <w:t>06</w:t>
            </w:r>
          </w:p>
        </w:tc>
        <w:tc>
          <w:tcPr>
            <w:tcW w:w="1321" w:type="dxa"/>
            <w:tcBorders>
              <w:top w:val="nil"/>
              <w:left w:val="single" w:sz="6" w:space="0" w:color="000000"/>
              <w:bottom w:val="single" w:sz="6" w:space="0" w:color="000000"/>
              <w:right w:val="single" w:sz="6" w:space="0" w:color="000000"/>
            </w:tcBorders>
          </w:tcPr>
          <w:p>
            <w:pPr>
              <w:pStyle w:val="TableParagraph"/>
              <w:spacing w:line="264" w:lineRule="exact" w:before="2"/>
              <w:ind w:right="95"/>
              <w:jc w:val="right"/>
              <w:rPr>
                <w:sz w:val="23"/>
              </w:rPr>
            </w:pPr>
            <w:r>
              <w:rPr>
                <w:spacing w:val="-5"/>
                <w:sz w:val="23"/>
              </w:rPr>
              <w:t>11</w:t>
            </w:r>
          </w:p>
        </w:tc>
        <w:tc>
          <w:tcPr>
            <w:tcW w:w="990" w:type="dxa"/>
            <w:tcBorders>
              <w:top w:val="nil"/>
              <w:left w:val="single" w:sz="6" w:space="0" w:color="000000"/>
              <w:bottom w:val="single" w:sz="6" w:space="0" w:color="000000"/>
            </w:tcBorders>
          </w:tcPr>
          <w:p>
            <w:pPr>
              <w:pStyle w:val="TableParagraph"/>
              <w:spacing w:line="264" w:lineRule="exact" w:before="2"/>
              <w:ind w:left="165"/>
              <w:rPr>
                <w:sz w:val="23"/>
              </w:rPr>
            </w:pPr>
            <w:r>
              <w:rPr>
                <w:sz w:val="23"/>
              </w:rPr>
              <w:t>1.1E-</w:t>
            </w:r>
            <w:r>
              <w:rPr>
                <w:spacing w:val="-5"/>
                <w:sz w:val="23"/>
              </w:rPr>
              <w:t>07</w:t>
            </w:r>
          </w:p>
        </w:tc>
        <w:tc>
          <w:tcPr>
            <w:tcW w:w="987" w:type="dxa"/>
            <w:vMerge/>
            <w:tcBorders>
              <w:top w:val="nil"/>
              <w:bottom w:val="single" w:sz="6" w:space="0" w:color="000000"/>
              <w:right w:val="single" w:sz="6" w:space="0" w:color="000000"/>
            </w:tcBorders>
          </w:tcPr>
          <w:p>
            <w:pPr>
              <w:rPr>
                <w:sz w:val="2"/>
                <w:szCs w:val="2"/>
              </w:rPr>
            </w:pPr>
          </w:p>
        </w:tc>
        <w:tc>
          <w:tcPr>
            <w:tcW w:w="990" w:type="dxa"/>
            <w:tcBorders>
              <w:top w:val="nil"/>
              <w:left w:val="single" w:sz="6" w:space="0" w:color="000000"/>
              <w:bottom w:val="single" w:sz="6" w:space="0" w:color="000000"/>
            </w:tcBorders>
          </w:tcPr>
          <w:p>
            <w:pPr>
              <w:pStyle w:val="TableParagraph"/>
              <w:spacing w:line="264" w:lineRule="exact" w:before="2"/>
              <w:ind w:right="101"/>
              <w:jc w:val="right"/>
              <w:rPr>
                <w:sz w:val="23"/>
              </w:rPr>
            </w:pPr>
            <w:r>
              <w:rPr>
                <w:spacing w:val="-5"/>
                <w:sz w:val="23"/>
              </w:rPr>
              <w:t>06</w:t>
            </w:r>
          </w:p>
        </w:tc>
      </w:tr>
      <w:tr>
        <w:trPr>
          <w:trHeight w:val="334" w:hRule="atLeast"/>
        </w:trPr>
        <w:tc>
          <w:tcPr>
            <w:tcW w:w="959" w:type="dxa"/>
            <w:vMerge w:val="restart"/>
            <w:tcBorders>
              <w:top w:val="single" w:sz="6" w:space="0" w:color="000000"/>
              <w:left w:val="single" w:sz="6" w:space="0" w:color="000000"/>
              <w:right w:val="single" w:sz="6" w:space="0" w:color="000000"/>
            </w:tcBorders>
          </w:tcPr>
          <w:p>
            <w:pPr>
              <w:pStyle w:val="TableParagraph"/>
              <w:rPr>
                <w:sz w:val="22"/>
              </w:rPr>
            </w:pPr>
          </w:p>
        </w:tc>
        <w:tc>
          <w:tcPr>
            <w:tcW w:w="1058" w:type="dxa"/>
            <w:tcBorders>
              <w:top w:val="single" w:sz="6" w:space="0" w:color="000000"/>
              <w:left w:val="single" w:sz="6" w:space="0" w:color="000000"/>
              <w:bottom w:val="nil"/>
              <w:right w:val="single" w:sz="6" w:space="0" w:color="000000"/>
            </w:tcBorders>
          </w:tcPr>
          <w:p>
            <w:pPr>
              <w:pStyle w:val="TableParagraph"/>
              <w:rPr>
                <w:sz w:val="22"/>
              </w:rPr>
            </w:pPr>
          </w:p>
        </w:tc>
        <w:tc>
          <w:tcPr>
            <w:tcW w:w="1532" w:type="dxa"/>
            <w:tcBorders>
              <w:top w:val="single" w:sz="6" w:space="0" w:color="000000"/>
              <w:left w:val="single" w:sz="6" w:space="0" w:color="000000"/>
              <w:bottom w:val="nil"/>
            </w:tcBorders>
          </w:tcPr>
          <w:p>
            <w:pPr>
              <w:pStyle w:val="TableParagraph"/>
              <w:rPr>
                <w:sz w:val="22"/>
              </w:rPr>
            </w:pPr>
          </w:p>
        </w:tc>
        <w:tc>
          <w:tcPr>
            <w:tcW w:w="1525" w:type="dxa"/>
            <w:tcBorders>
              <w:top w:val="single" w:sz="6" w:space="0" w:color="000000"/>
              <w:bottom w:val="nil"/>
            </w:tcBorders>
          </w:tcPr>
          <w:p>
            <w:pPr>
              <w:pStyle w:val="TableParagraph"/>
              <w:rPr>
                <w:sz w:val="22"/>
              </w:rPr>
            </w:pPr>
          </w:p>
        </w:tc>
        <w:tc>
          <w:tcPr>
            <w:tcW w:w="989" w:type="dxa"/>
            <w:tcBorders>
              <w:top w:val="single" w:sz="6" w:space="0" w:color="000000"/>
              <w:bottom w:val="nil"/>
            </w:tcBorders>
          </w:tcPr>
          <w:p>
            <w:pPr>
              <w:pStyle w:val="TableParagraph"/>
              <w:spacing w:line="256" w:lineRule="exact" w:before="58"/>
              <w:ind w:right="78"/>
              <w:jc w:val="right"/>
              <w:rPr>
                <w:sz w:val="23"/>
              </w:rPr>
            </w:pPr>
            <w:r>
              <w:rPr>
                <w:spacing w:val="-2"/>
                <w:sz w:val="23"/>
              </w:rPr>
              <w:t>1.13E-</w:t>
            </w:r>
          </w:p>
        </w:tc>
        <w:tc>
          <w:tcPr>
            <w:tcW w:w="987" w:type="dxa"/>
            <w:tcBorders>
              <w:top w:val="single" w:sz="6" w:space="0" w:color="000000"/>
              <w:bottom w:val="nil"/>
              <w:right w:val="single" w:sz="6" w:space="0" w:color="000000"/>
            </w:tcBorders>
          </w:tcPr>
          <w:p>
            <w:pPr>
              <w:pStyle w:val="TableParagraph"/>
              <w:rPr>
                <w:sz w:val="22"/>
              </w:rPr>
            </w:pPr>
          </w:p>
        </w:tc>
        <w:tc>
          <w:tcPr>
            <w:tcW w:w="1321" w:type="dxa"/>
            <w:tcBorders>
              <w:top w:val="single" w:sz="6" w:space="0" w:color="000000"/>
              <w:left w:val="single" w:sz="6" w:space="0" w:color="000000"/>
              <w:bottom w:val="nil"/>
              <w:right w:val="single" w:sz="6" w:space="0" w:color="000000"/>
            </w:tcBorders>
          </w:tcPr>
          <w:p>
            <w:pPr>
              <w:pStyle w:val="TableParagraph"/>
              <w:spacing w:line="256" w:lineRule="exact" w:before="58"/>
              <w:ind w:left="433"/>
              <w:rPr>
                <w:sz w:val="23"/>
              </w:rPr>
            </w:pPr>
            <w:r>
              <w:rPr>
                <w:spacing w:val="-2"/>
                <w:sz w:val="23"/>
              </w:rPr>
              <w:t>2.84E-</w:t>
            </w:r>
          </w:p>
        </w:tc>
        <w:tc>
          <w:tcPr>
            <w:tcW w:w="990" w:type="dxa"/>
            <w:tcBorders>
              <w:top w:val="single" w:sz="6" w:space="0" w:color="000000"/>
              <w:left w:val="single" w:sz="6" w:space="0" w:color="000000"/>
              <w:bottom w:val="nil"/>
            </w:tcBorders>
          </w:tcPr>
          <w:p>
            <w:pPr>
              <w:pStyle w:val="TableParagraph"/>
              <w:spacing w:line="256" w:lineRule="exact" w:before="58"/>
              <w:ind w:right="78"/>
              <w:jc w:val="right"/>
              <w:rPr>
                <w:sz w:val="23"/>
              </w:rPr>
            </w:pPr>
            <w:r>
              <w:rPr>
                <w:spacing w:val="-2"/>
                <w:sz w:val="23"/>
              </w:rPr>
              <w:t>4.73E-</w:t>
            </w:r>
          </w:p>
        </w:tc>
        <w:tc>
          <w:tcPr>
            <w:tcW w:w="987" w:type="dxa"/>
            <w:vMerge w:val="restart"/>
            <w:tcBorders>
              <w:top w:val="single" w:sz="6" w:space="0" w:color="000000"/>
              <w:right w:val="single" w:sz="6" w:space="0" w:color="000000"/>
            </w:tcBorders>
          </w:tcPr>
          <w:p>
            <w:pPr>
              <w:pStyle w:val="TableParagraph"/>
              <w:rPr>
                <w:sz w:val="22"/>
              </w:rPr>
            </w:pPr>
          </w:p>
        </w:tc>
        <w:tc>
          <w:tcPr>
            <w:tcW w:w="990" w:type="dxa"/>
            <w:tcBorders>
              <w:top w:val="single" w:sz="6" w:space="0" w:color="000000"/>
              <w:left w:val="single" w:sz="6" w:space="0" w:color="000000"/>
              <w:bottom w:val="nil"/>
            </w:tcBorders>
          </w:tcPr>
          <w:p>
            <w:pPr>
              <w:pStyle w:val="TableParagraph"/>
              <w:spacing w:line="256" w:lineRule="exact" w:before="58"/>
              <w:ind w:right="79"/>
              <w:jc w:val="right"/>
              <w:rPr>
                <w:sz w:val="23"/>
              </w:rPr>
            </w:pPr>
            <w:r>
              <w:rPr>
                <w:spacing w:val="-2"/>
                <w:sz w:val="23"/>
              </w:rPr>
              <w:t>1.22E-</w:t>
            </w:r>
          </w:p>
        </w:tc>
      </w:tr>
      <w:tr>
        <w:trPr>
          <w:trHeight w:val="288" w:hRule="atLeast"/>
        </w:trPr>
        <w:tc>
          <w:tcPr>
            <w:tcW w:w="959" w:type="dxa"/>
            <w:vMerge/>
            <w:tcBorders>
              <w:top w:val="nil"/>
              <w:left w:val="single" w:sz="6" w:space="0" w:color="000000"/>
              <w:right w:val="single" w:sz="6" w:space="0" w:color="000000"/>
            </w:tcBorders>
          </w:tcPr>
          <w:p>
            <w:pPr>
              <w:rPr>
                <w:sz w:val="2"/>
                <w:szCs w:val="2"/>
              </w:rPr>
            </w:pPr>
          </w:p>
        </w:tc>
        <w:tc>
          <w:tcPr>
            <w:tcW w:w="1058" w:type="dxa"/>
            <w:tcBorders>
              <w:top w:val="nil"/>
              <w:left w:val="single" w:sz="6" w:space="0" w:color="000000"/>
              <w:right w:val="single" w:sz="6" w:space="0" w:color="000000"/>
            </w:tcBorders>
          </w:tcPr>
          <w:p>
            <w:pPr>
              <w:pStyle w:val="TableParagraph"/>
              <w:spacing w:line="264" w:lineRule="exact" w:before="4"/>
              <w:ind w:left="120"/>
              <w:rPr>
                <w:sz w:val="23"/>
              </w:rPr>
            </w:pPr>
            <w:r>
              <w:rPr>
                <w:spacing w:val="-4"/>
                <w:sz w:val="23"/>
              </w:rPr>
              <w:t>Mean</w:t>
            </w:r>
          </w:p>
        </w:tc>
        <w:tc>
          <w:tcPr>
            <w:tcW w:w="1532" w:type="dxa"/>
            <w:tcBorders>
              <w:top w:val="nil"/>
              <w:left w:val="single" w:sz="6" w:space="0" w:color="000000"/>
            </w:tcBorders>
          </w:tcPr>
          <w:p>
            <w:pPr>
              <w:pStyle w:val="TableParagraph"/>
              <w:spacing w:line="264" w:lineRule="exact" w:before="4"/>
              <w:ind w:right="88"/>
              <w:jc w:val="right"/>
              <w:rPr>
                <w:sz w:val="23"/>
              </w:rPr>
            </w:pPr>
            <w:r>
              <w:rPr>
                <w:spacing w:val="-2"/>
                <w:sz w:val="23"/>
              </w:rPr>
              <w:t>0.0788</w:t>
            </w:r>
          </w:p>
        </w:tc>
        <w:tc>
          <w:tcPr>
            <w:tcW w:w="1525" w:type="dxa"/>
            <w:tcBorders>
              <w:top w:val="nil"/>
            </w:tcBorders>
          </w:tcPr>
          <w:p>
            <w:pPr>
              <w:pStyle w:val="TableParagraph"/>
              <w:spacing w:line="264" w:lineRule="exact" w:before="4"/>
              <w:ind w:right="98"/>
              <w:jc w:val="right"/>
              <w:rPr>
                <w:sz w:val="23"/>
              </w:rPr>
            </w:pPr>
            <w:r>
              <w:rPr>
                <w:sz w:val="23"/>
              </w:rPr>
              <w:t>2.25E-</w:t>
            </w:r>
            <w:r>
              <w:rPr>
                <w:spacing w:val="-5"/>
                <w:sz w:val="23"/>
              </w:rPr>
              <w:t>09</w:t>
            </w:r>
          </w:p>
        </w:tc>
        <w:tc>
          <w:tcPr>
            <w:tcW w:w="989" w:type="dxa"/>
            <w:tcBorders>
              <w:top w:val="nil"/>
            </w:tcBorders>
          </w:tcPr>
          <w:p>
            <w:pPr>
              <w:pStyle w:val="TableParagraph"/>
              <w:spacing w:line="264" w:lineRule="exact" w:before="4"/>
              <w:ind w:right="100"/>
              <w:jc w:val="right"/>
              <w:rPr>
                <w:sz w:val="23"/>
              </w:rPr>
            </w:pPr>
            <w:r>
              <w:rPr>
                <w:spacing w:val="-5"/>
                <w:sz w:val="23"/>
              </w:rPr>
              <w:t>09</w:t>
            </w:r>
          </w:p>
        </w:tc>
        <w:tc>
          <w:tcPr>
            <w:tcW w:w="987" w:type="dxa"/>
            <w:tcBorders>
              <w:top w:val="nil"/>
              <w:right w:val="single" w:sz="6" w:space="0" w:color="000000"/>
            </w:tcBorders>
          </w:tcPr>
          <w:p>
            <w:pPr>
              <w:pStyle w:val="TableParagraph"/>
              <w:spacing w:line="264" w:lineRule="exact" w:before="4"/>
              <w:ind w:left="167"/>
              <w:rPr>
                <w:sz w:val="23"/>
              </w:rPr>
            </w:pPr>
            <w:r>
              <w:rPr>
                <w:sz w:val="23"/>
              </w:rPr>
              <w:t>7.5E-</w:t>
            </w:r>
            <w:r>
              <w:rPr>
                <w:spacing w:val="-5"/>
                <w:sz w:val="23"/>
              </w:rPr>
              <w:t>07</w:t>
            </w:r>
          </w:p>
        </w:tc>
        <w:tc>
          <w:tcPr>
            <w:tcW w:w="1321" w:type="dxa"/>
            <w:tcBorders>
              <w:top w:val="nil"/>
              <w:left w:val="single" w:sz="6" w:space="0" w:color="000000"/>
              <w:right w:val="single" w:sz="6" w:space="0" w:color="000000"/>
            </w:tcBorders>
          </w:tcPr>
          <w:p>
            <w:pPr>
              <w:pStyle w:val="TableParagraph"/>
              <w:spacing w:line="264" w:lineRule="exact" w:before="4"/>
              <w:ind w:right="95"/>
              <w:jc w:val="right"/>
              <w:rPr>
                <w:sz w:val="23"/>
              </w:rPr>
            </w:pPr>
            <w:r>
              <w:rPr>
                <w:spacing w:val="-5"/>
                <w:sz w:val="23"/>
              </w:rPr>
              <w:t>11</w:t>
            </w:r>
          </w:p>
        </w:tc>
        <w:tc>
          <w:tcPr>
            <w:tcW w:w="990" w:type="dxa"/>
            <w:tcBorders>
              <w:top w:val="nil"/>
              <w:left w:val="single" w:sz="6" w:space="0" w:color="000000"/>
            </w:tcBorders>
          </w:tcPr>
          <w:p>
            <w:pPr>
              <w:pStyle w:val="TableParagraph"/>
              <w:spacing w:line="264" w:lineRule="exact" w:before="4"/>
              <w:ind w:right="101"/>
              <w:jc w:val="right"/>
              <w:rPr>
                <w:sz w:val="23"/>
              </w:rPr>
            </w:pPr>
            <w:r>
              <w:rPr>
                <w:spacing w:val="-5"/>
                <w:sz w:val="23"/>
              </w:rPr>
              <w:t>07</w:t>
            </w:r>
          </w:p>
        </w:tc>
        <w:tc>
          <w:tcPr>
            <w:tcW w:w="987" w:type="dxa"/>
            <w:vMerge/>
            <w:tcBorders>
              <w:top w:val="nil"/>
              <w:right w:val="single" w:sz="6" w:space="0" w:color="000000"/>
            </w:tcBorders>
          </w:tcPr>
          <w:p>
            <w:pPr>
              <w:rPr>
                <w:sz w:val="2"/>
                <w:szCs w:val="2"/>
              </w:rPr>
            </w:pPr>
          </w:p>
        </w:tc>
        <w:tc>
          <w:tcPr>
            <w:tcW w:w="990" w:type="dxa"/>
            <w:tcBorders>
              <w:top w:val="nil"/>
              <w:left w:val="single" w:sz="6" w:space="0" w:color="000000"/>
            </w:tcBorders>
          </w:tcPr>
          <w:p>
            <w:pPr>
              <w:pStyle w:val="TableParagraph"/>
              <w:spacing w:line="264" w:lineRule="exact" w:before="4"/>
              <w:ind w:right="101"/>
              <w:jc w:val="right"/>
              <w:rPr>
                <w:sz w:val="23"/>
              </w:rPr>
            </w:pPr>
            <w:r>
              <w:rPr>
                <w:spacing w:val="-5"/>
                <w:sz w:val="23"/>
              </w:rPr>
              <w:t>06</w:t>
            </w:r>
          </w:p>
        </w:tc>
      </w:tr>
      <w:tr>
        <w:trPr>
          <w:trHeight w:val="334" w:hRule="atLeast"/>
        </w:trPr>
        <w:tc>
          <w:tcPr>
            <w:tcW w:w="959" w:type="dxa"/>
            <w:tcBorders>
              <w:left w:val="single" w:sz="6" w:space="0" w:color="000000"/>
              <w:bottom w:val="nil"/>
              <w:right w:val="single" w:sz="6" w:space="0" w:color="000000"/>
            </w:tcBorders>
          </w:tcPr>
          <w:p>
            <w:pPr>
              <w:pStyle w:val="TableParagraph"/>
              <w:rPr>
                <w:sz w:val="22"/>
              </w:rPr>
            </w:pPr>
          </w:p>
        </w:tc>
        <w:tc>
          <w:tcPr>
            <w:tcW w:w="1058" w:type="dxa"/>
            <w:tcBorders>
              <w:left w:val="single" w:sz="6" w:space="0" w:color="000000"/>
              <w:bottom w:val="nil"/>
              <w:right w:val="single" w:sz="6" w:space="0" w:color="000000"/>
            </w:tcBorders>
          </w:tcPr>
          <w:p>
            <w:pPr>
              <w:pStyle w:val="TableParagraph"/>
              <w:rPr>
                <w:sz w:val="22"/>
              </w:rPr>
            </w:pPr>
          </w:p>
        </w:tc>
        <w:tc>
          <w:tcPr>
            <w:tcW w:w="1532" w:type="dxa"/>
            <w:tcBorders>
              <w:left w:val="single" w:sz="6" w:space="0" w:color="000000"/>
              <w:bottom w:val="nil"/>
            </w:tcBorders>
          </w:tcPr>
          <w:p>
            <w:pPr>
              <w:pStyle w:val="TableParagraph"/>
              <w:rPr>
                <w:sz w:val="22"/>
              </w:rPr>
            </w:pPr>
          </w:p>
        </w:tc>
        <w:tc>
          <w:tcPr>
            <w:tcW w:w="1525" w:type="dxa"/>
            <w:tcBorders>
              <w:bottom w:val="nil"/>
            </w:tcBorders>
          </w:tcPr>
          <w:p>
            <w:pPr>
              <w:pStyle w:val="TableParagraph"/>
              <w:rPr>
                <w:sz w:val="22"/>
              </w:rPr>
            </w:pPr>
          </w:p>
        </w:tc>
        <w:tc>
          <w:tcPr>
            <w:tcW w:w="989" w:type="dxa"/>
            <w:vMerge w:val="restart"/>
            <w:tcBorders>
              <w:bottom w:val="single" w:sz="6" w:space="0" w:color="000000"/>
            </w:tcBorders>
          </w:tcPr>
          <w:p>
            <w:pPr>
              <w:pStyle w:val="TableParagraph"/>
              <w:rPr>
                <w:sz w:val="22"/>
              </w:rPr>
            </w:pPr>
          </w:p>
        </w:tc>
        <w:tc>
          <w:tcPr>
            <w:tcW w:w="987" w:type="dxa"/>
            <w:tcBorders>
              <w:bottom w:val="nil"/>
              <w:right w:val="single" w:sz="6" w:space="0" w:color="000000"/>
            </w:tcBorders>
          </w:tcPr>
          <w:p>
            <w:pPr>
              <w:pStyle w:val="TableParagraph"/>
              <w:spacing w:line="253" w:lineRule="exact" w:before="60"/>
              <w:ind w:right="73"/>
              <w:jc w:val="right"/>
              <w:rPr>
                <w:sz w:val="23"/>
              </w:rPr>
            </w:pPr>
            <w:r>
              <w:rPr>
                <w:spacing w:val="-2"/>
                <w:sz w:val="23"/>
              </w:rPr>
              <w:t>3.43E-</w:t>
            </w:r>
          </w:p>
        </w:tc>
        <w:tc>
          <w:tcPr>
            <w:tcW w:w="1321" w:type="dxa"/>
            <w:tcBorders>
              <w:left w:val="single" w:sz="6" w:space="0" w:color="000000"/>
              <w:bottom w:val="nil"/>
              <w:right w:val="single" w:sz="6" w:space="0" w:color="000000"/>
            </w:tcBorders>
          </w:tcPr>
          <w:p>
            <w:pPr>
              <w:pStyle w:val="TableParagraph"/>
              <w:spacing w:line="253" w:lineRule="exact" w:before="60"/>
              <w:ind w:left="433"/>
              <w:rPr>
                <w:sz w:val="23"/>
              </w:rPr>
            </w:pPr>
            <w:r>
              <w:rPr>
                <w:spacing w:val="-2"/>
                <w:sz w:val="23"/>
              </w:rPr>
              <w:t>1.03E-</w:t>
            </w:r>
          </w:p>
        </w:tc>
        <w:tc>
          <w:tcPr>
            <w:tcW w:w="990" w:type="dxa"/>
            <w:tcBorders>
              <w:left w:val="single" w:sz="6" w:space="0" w:color="000000"/>
              <w:bottom w:val="nil"/>
            </w:tcBorders>
          </w:tcPr>
          <w:p>
            <w:pPr>
              <w:pStyle w:val="TableParagraph"/>
              <w:spacing w:line="253" w:lineRule="exact" w:before="60"/>
              <w:ind w:right="78"/>
              <w:jc w:val="right"/>
              <w:rPr>
                <w:sz w:val="23"/>
              </w:rPr>
            </w:pPr>
            <w:r>
              <w:rPr>
                <w:spacing w:val="-2"/>
                <w:sz w:val="23"/>
              </w:rPr>
              <w:t>6.44E-</w:t>
            </w:r>
          </w:p>
        </w:tc>
        <w:tc>
          <w:tcPr>
            <w:tcW w:w="987" w:type="dxa"/>
            <w:vMerge w:val="restart"/>
            <w:tcBorders>
              <w:bottom w:val="single" w:sz="6" w:space="0" w:color="000000"/>
              <w:right w:val="single" w:sz="6" w:space="0" w:color="000000"/>
            </w:tcBorders>
          </w:tcPr>
          <w:p>
            <w:pPr>
              <w:pStyle w:val="TableParagraph"/>
              <w:rPr>
                <w:sz w:val="22"/>
              </w:rPr>
            </w:pPr>
          </w:p>
        </w:tc>
        <w:tc>
          <w:tcPr>
            <w:tcW w:w="990" w:type="dxa"/>
            <w:tcBorders>
              <w:left w:val="single" w:sz="6" w:space="0" w:color="000000"/>
              <w:bottom w:val="nil"/>
            </w:tcBorders>
          </w:tcPr>
          <w:p>
            <w:pPr>
              <w:pStyle w:val="TableParagraph"/>
              <w:spacing w:line="253" w:lineRule="exact" w:before="60"/>
              <w:ind w:right="79"/>
              <w:jc w:val="right"/>
              <w:rPr>
                <w:sz w:val="23"/>
              </w:rPr>
            </w:pPr>
            <w:r>
              <w:rPr>
                <w:spacing w:val="-2"/>
                <w:sz w:val="23"/>
              </w:rPr>
              <w:t>3.43E-</w:t>
            </w:r>
          </w:p>
        </w:tc>
      </w:tr>
      <w:tr>
        <w:trPr>
          <w:trHeight w:val="286" w:hRule="atLeast"/>
        </w:trPr>
        <w:tc>
          <w:tcPr>
            <w:tcW w:w="959" w:type="dxa"/>
            <w:tcBorders>
              <w:top w:val="nil"/>
              <w:left w:val="single" w:sz="6" w:space="0" w:color="000000"/>
              <w:bottom w:val="single" w:sz="6" w:space="0" w:color="000000"/>
              <w:right w:val="single" w:sz="6" w:space="0" w:color="000000"/>
            </w:tcBorders>
          </w:tcPr>
          <w:p>
            <w:pPr>
              <w:pStyle w:val="TableParagraph"/>
              <w:spacing w:line="264" w:lineRule="exact" w:before="2"/>
              <w:ind w:left="122"/>
              <w:rPr>
                <w:sz w:val="23"/>
              </w:rPr>
            </w:pPr>
            <w:r>
              <w:rPr>
                <w:spacing w:val="-5"/>
                <w:sz w:val="23"/>
              </w:rPr>
              <w:t>Co</w:t>
            </w:r>
          </w:p>
        </w:tc>
        <w:tc>
          <w:tcPr>
            <w:tcW w:w="1058" w:type="dxa"/>
            <w:tcBorders>
              <w:top w:val="nil"/>
              <w:left w:val="single" w:sz="6" w:space="0" w:color="000000"/>
              <w:bottom w:val="single" w:sz="6" w:space="0" w:color="000000"/>
              <w:right w:val="single" w:sz="6" w:space="0" w:color="000000"/>
            </w:tcBorders>
          </w:tcPr>
          <w:p>
            <w:pPr>
              <w:pStyle w:val="TableParagraph"/>
              <w:spacing w:line="264" w:lineRule="exact" w:before="2"/>
              <w:ind w:left="120"/>
              <w:rPr>
                <w:sz w:val="23"/>
              </w:rPr>
            </w:pPr>
            <w:r>
              <w:rPr>
                <w:spacing w:val="-5"/>
                <w:sz w:val="23"/>
              </w:rPr>
              <w:t>Min</w:t>
            </w:r>
          </w:p>
        </w:tc>
        <w:tc>
          <w:tcPr>
            <w:tcW w:w="1532" w:type="dxa"/>
            <w:tcBorders>
              <w:top w:val="nil"/>
              <w:left w:val="single" w:sz="6" w:space="0" w:color="000000"/>
              <w:bottom w:val="single" w:sz="6" w:space="0" w:color="000000"/>
            </w:tcBorders>
          </w:tcPr>
          <w:p>
            <w:pPr>
              <w:pStyle w:val="TableParagraph"/>
              <w:spacing w:line="264" w:lineRule="exact" w:before="2"/>
              <w:ind w:right="88"/>
              <w:jc w:val="right"/>
              <w:rPr>
                <w:sz w:val="23"/>
              </w:rPr>
            </w:pPr>
            <w:r>
              <w:rPr>
                <w:spacing w:val="-4"/>
                <w:sz w:val="23"/>
              </w:rPr>
              <w:t>0.24</w:t>
            </w:r>
          </w:p>
        </w:tc>
        <w:tc>
          <w:tcPr>
            <w:tcW w:w="1525" w:type="dxa"/>
            <w:tcBorders>
              <w:top w:val="nil"/>
              <w:bottom w:val="single" w:sz="6" w:space="0" w:color="000000"/>
            </w:tcBorders>
          </w:tcPr>
          <w:p>
            <w:pPr>
              <w:pStyle w:val="TableParagraph"/>
              <w:spacing w:line="264" w:lineRule="exact" w:before="2"/>
              <w:ind w:right="98"/>
              <w:jc w:val="right"/>
              <w:rPr>
                <w:sz w:val="23"/>
              </w:rPr>
            </w:pPr>
            <w:r>
              <w:rPr>
                <w:sz w:val="23"/>
              </w:rPr>
              <w:t>6.86E-</w:t>
            </w:r>
            <w:r>
              <w:rPr>
                <w:spacing w:val="-5"/>
                <w:sz w:val="23"/>
              </w:rPr>
              <w:t>09</w:t>
            </w:r>
          </w:p>
        </w:tc>
        <w:tc>
          <w:tcPr>
            <w:tcW w:w="989" w:type="dxa"/>
            <w:vMerge/>
            <w:tcBorders>
              <w:top w:val="nil"/>
              <w:bottom w:val="single" w:sz="6" w:space="0" w:color="000000"/>
            </w:tcBorders>
          </w:tcPr>
          <w:p>
            <w:pPr>
              <w:rPr>
                <w:sz w:val="2"/>
                <w:szCs w:val="2"/>
              </w:rPr>
            </w:pPr>
          </w:p>
        </w:tc>
        <w:tc>
          <w:tcPr>
            <w:tcW w:w="987" w:type="dxa"/>
            <w:tcBorders>
              <w:top w:val="nil"/>
              <w:bottom w:val="single" w:sz="6" w:space="0" w:color="000000"/>
              <w:right w:val="single" w:sz="6" w:space="0" w:color="000000"/>
            </w:tcBorders>
          </w:tcPr>
          <w:p>
            <w:pPr>
              <w:pStyle w:val="TableParagraph"/>
              <w:spacing w:line="264" w:lineRule="exact" w:before="2"/>
              <w:ind w:right="92"/>
              <w:jc w:val="right"/>
              <w:rPr>
                <w:sz w:val="23"/>
              </w:rPr>
            </w:pPr>
            <w:r>
              <w:rPr>
                <w:spacing w:val="-5"/>
                <w:sz w:val="23"/>
              </w:rPr>
              <w:t>07</w:t>
            </w:r>
          </w:p>
        </w:tc>
        <w:tc>
          <w:tcPr>
            <w:tcW w:w="1321" w:type="dxa"/>
            <w:tcBorders>
              <w:top w:val="nil"/>
              <w:left w:val="single" w:sz="6" w:space="0" w:color="000000"/>
              <w:bottom w:val="single" w:sz="6" w:space="0" w:color="000000"/>
              <w:right w:val="single" w:sz="6" w:space="0" w:color="000000"/>
            </w:tcBorders>
          </w:tcPr>
          <w:p>
            <w:pPr>
              <w:pStyle w:val="TableParagraph"/>
              <w:spacing w:line="264" w:lineRule="exact" w:before="2"/>
              <w:ind w:right="95"/>
              <w:jc w:val="right"/>
              <w:rPr>
                <w:sz w:val="23"/>
              </w:rPr>
            </w:pPr>
            <w:r>
              <w:rPr>
                <w:spacing w:val="-5"/>
                <w:sz w:val="23"/>
              </w:rPr>
              <w:t>12</w:t>
            </w:r>
          </w:p>
        </w:tc>
        <w:tc>
          <w:tcPr>
            <w:tcW w:w="990" w:type="dxa"/>
            <w:tcBorders>
              <w:top w:val="nil"/>
              <w:left w:val="single" w:sz="6" w:space="0" w:color="000000"/>
              <w:bottom w:val="single" w:sz="6" w:space="0" w:color="000000"/>
            </w:tcBorders>
          </w:tcPr>
          <w:p>
            <w:pPr>
              <w:pStyle w:val="TableParagraph"/>
              <w:spacing w:line="264" w:lineRule="exact" w:before="2"/>
              <w:ind w:right="101"/>
              <w:jc w:val="right"/>
              <w:rPr>
                <w:sz w:val="23"/>
              </w:rPr>
            </w:pPr>
            <w:r>
              <w:rPr>
                <w:spacing w:val="-5"/>
                <w:sz w:val="23"/>
              </w:rPr>
              <w:t>11</w:t>
            </w:r>
          </w:p>
        </w:tc>
        <w:tc>
          <w:tcPr>
            <w:tcW w:w="987" w:type="dxa"/>
            <w:vMerge/>
            <w:tcBorders>
              <w:top w:val="nil"/>
              <w:bottom w:val="single" w:sz="6" w:space="0" w:color="000000"/>
              <w:right w:val="single" w:sz="6" w:space="0" w:color="000000"/>
            </w:tcBorders>
          </w:tcPr>
          <w:p>
            <w:pPr>
              <w:rPr>
                <w:sz w:val="2"/>
                <w:szCs w:val="2"/>
              </w:rPr>
            </w:pPr>
          </w:p>
        </w:tc>
        <w:tc>
          <w:tcPr>
            <w:tcW w:w="990" w:type="dxa"/>
            <w:tcBorders>
              <w:top w:val="nil"/>
              <w:left w:val="single" w:sz="6" w:space="0" w:color="000000"/>
              <w:bottom w:val="single" w:sz="6" w:space="0" w:color="000000"/>
            </w:tcBorders>
          </w:tcPr>
          <w:p>
            <w:pPr>
              <w:pStyle w:val="TableParagraph"/>
              <w:spacing w:line="264" w:lineRule="exact" w:before="2"/>
              <w:ind w:right="101"/>
              <w:jc w:val="right"/>
              <w:rPr>
                <w:sz w:val="23"/>
              </w:rPr>
            </w:pPr>
            <w:r>
              <w:rPr>
                <w:spacing w:val="-5"/>
                <w:sz w:val="23"/>
              </w:rPr>
              <w:t>07</w:t>
            </w:r>
          </w:p>
        </w:tc>
      </w:tr>
      <w:tr>
        <w:trPr>
          <w:trHeight w:val="329" w:hRule="atLeast"/>
        </w:trPr>
        <w:tc>
          <w:tcPr>
            <w:tcW w:w="959" w:type="dxa"/>
            <w:vMerge w:val="restart"/>
            <w:tcBorders>
              <w:top w:val="single" w:sz="6" w:space="0" w:color="000000"/>
              <w:left w:val="single" w:sz="6" w:space="0" w:color="000000"/>
              <w:bottom w:val="single" w:sz="6" w:space="0" w:color="000000"/>
              <w:right w:val="single" w:sz="6" w:space="0" w:color="000000"/>
            </w:tcBorders>
          </w:tcPr>
          <w:p>
            <w:pPr>
              <w:pStyle w:val="TableParagraph"/>
              <w:rPr>
                <w:sz w:val="22"/>
              </w:rPr>
            </w:pPr>
          </w:p>
        </w:tc>
        <w:tc>
          <w:tcPr>
            <w:tcW w:w="1058" w:type="dxa"/>
            <w:tcBorders>
              <w:top w:val="single" w:sz="6" w:space="0" w:color="000000"/>
              <w:left w:val="single" w:sz="6" w:space="0" w:color="000000"/>
              <w:bottom w:val="nil"/>
              <w:right w:val="single" w:sz="6" w:space="0" w:color="000000"/>
            </w:tcBorders>
          </w:tcPr>
          <w:p>
            <w:pPr>
              <w:pStyle w:val="TableParagraph"/>
              <w:rPr>
                <w:sz w:val="22"/>
              </w:rPr>
            </w:pPr>
          </w:p>
        </w:tc>
        <w:tc>
          <w:tcPr>
            <w:tcW w:w="1532" w:type="dxa"/>
            <w:tcBorders>
              <w:top w:val="single" w:sz="6" w:space="0" w:color="000000"/>
              <w:left w:val="single" w:sz="6" w:space="0" w:color="000000"/>
              <w:bottom w:val="nil"/>
            </w:tcBorders>
          </w:tcPr>
          <w:p>
            <w:pPr>
              <w:pStyle w:val="TableParagraph"/>
              <w:rPr>
                <w:sz w:val="22"/>
              </w:rPr>
            </w:pPr>
          </w:p>
        </w:tc>
        <w:tc>
          <w:tcPr>
            <w:tcW w:w="1525" w:type="dxa"/>
            <w:tcBorders>
              <w:top w:val="single" w:sz="6" w:space="0" w:color="000000"/>
              <w:bottom w:val="nil"/>
            </w:tcBorders>
          </w:tcPr>
          <w:p>
            <w:pPr>
              <w:pStyle w:val="TableParagraph"/>
              <w:rPr>
                <w:sz w:val="22"/>
              </w:rPr>
            </w:pPr>
          </w:p>
        </w:tc>
        <w:tc>
          <w:tcPr>
            <w:tcW w:w="989" w:type="dxa"/>
            <w:vMerge w:val="restart"/>
            <w:tcBorders>
              <w:top w:val="single" w:sz="6" w:space="0" w:color="000000"/>
              <w:bottom w:val="single" w:sz="6" w:space="0" w:color="000000"/>
            </w:tcBorders>
          </w:tcPr>
          <w:p>
            <w:pPr>
              <w:pStyle w:val="TableParagraph"/>
              <w:rPr>
                <w:sz w:val="22"/>
              </w:rPr>
            </w:pPr>
          </w:p>
        </w:tc>
        <w:tc>
          <w:tcPr>
            <w:tcW w:w="987" w:type="dxa"/>
            <w:tcBorders>
              <w:top w:val="single" w:sz="6" w:space="0" w:color="000000"/>
              <w:bottom w:val="nil"/>
              <w:right w:val="single" w:sz="6" w:space="0" w:color="000000"/>
            </w:tcBorders>
          </w:tcPr>
          <w:p>
            <w:pPr>
              <w:pStyle w:val="TableParagraph"/>
              <w:spacing w:line="253" w:lineRule="exact" w:before="55"/>
              <w:ind w:right="73"/>
              <w:jc w:val="right"/>
              <w:rPr>
                <w:sz w:val="23"/>
              </w:rPr>
            </w:pPr>
            <w:r>
              <w:rPr>
                <w:spacing w:val="-2"/>
                <w:sz w:val="23"/>
              </w:rPr>
              <w:t>1.19E-</w:t>
            </w:r>
          </w:p>
        </w:tc>
        <w:tc>
          <w:tcPr>
            <w:tcW w:w="1321" w:type="dxa"/>
            <w:tcBorders>
              <w:top w:val="single" w:sz="6" w:space="0" w:color="000000"/>
              <w:left w:val="single" w:sz="6" w:space="0" w:color="000000"/>
              <w:bottom w:val="nil"/>
              <w:right w:val="single" w:sz="6" w:space="0" w:color="000000"/>
            </w:tcBorders>
          </w:tcPr>
          <w:p>
            <w:pPr>
              <w:pStyle w:val="TableParagraph"/>
              <w:spacing w:line="253" w:lineRule="exact" w:before="55"/>
              <w:ind w:left="433"/>
              <w:rPr>
                <w:sz w:val="23"/>
              </w:rPr>
            </w:pPr>
            <w:r>
              <w:rPr>
                <w:spacing w:val="-2"/>
                <w:sz w:val="23"/>
              </w:rPr>
              <w:t>3.57E-</w:t>
            </w:r>
          </w:p>
        </w:tc>
        <w:tc>
          <w:tcPr>
            <w:tcW w:w="990" w:type="dxa"/>
            <w:tcBorders>
              <w:top w:val="single" w:sz="6" w:space="0" w:color="000000"/>
              <w:left w:val="single" w:sz="6" w:space="0" w:color="000000"/>
              <w:bottom w:val="nil"/>
            </w:tcBorders>
          </w:tcPr>
          <w:p>
            <w:pPr>
              <w:pStyle w:val="TableParagraph"/>
              <w:spacing w:line="253" w:lineRule="exact" w:before="55"/>
              <w:ind w:right="78"/>
              <w:jc w:val="right"/>
              <w:rPr>
                <w:sz w:val="23"/>
              </w:rPr>
            </w:pPr>
            <w:r>
              <w:rPr>
                <w:spacing w:val="-2"/>
                <w:sz w:val="23"/>
              </w:rPr>
              <w:t>2.23E-</w:t>
            </w:r>
          </w:p>
        </w:tc>
        <w:tc>
          <w:tcPr>
            <w:tcW w:w="987" w:type="dxa"/>
            <w:vMerge w:val="restart"/>
            <w:tcBorders>
              <w:top w:val="single" w:sz="6" w:space="0" w:color="000000"/>
              <w:bottom w:val="single" w:sz="6" w:space="0" w:color="000000"/>
              <w:right w:val="single" w:sz="6" w:space="0" w:color="000000"/>
            </w:tcBorders>
          </w:tcPr>
          <w:p>
            <w:pPr>
              <w:pStyle w:val="TableParagraph"/>
              <w:rPr>
                <w:sz w:val="22"/>
              </w:rPr>
            </w:pPr>
          </w:p>
        </w:tc>
        <w:tc>
          <w:tcPr>
            <w:tcW w:w="990" w:type="dxa"/>
            <w:tcBorders>
              <w:top w:val="single" w:sz="6" w:space="0" w:color="000000"/>
              <w:left w:val="single" w:sz="6" w:space="0" w:color="000000"/>
              <w:bottom w:val="nil"/>
            </w:tcBorders>
          </w:tcPr>
          <w:p>
            <w:pPr>
              <w:pStyle w:val="TableParagraph"/>
              <w:spacing w:line="253" w:lineRule="exact" w:before="55"/>
              <w:ind w:right="79"/>
              <w:jc w:val="right"/>
              <w:rPr>
                <w:sz w:val="23"/>
              </w:rPr>
            </w:pPr>
            <w:r>
              <w:rPr>
                <w:spacing w:val="-2"/>
                <w:sz w:val="23"/>
              </w:rPr>
              <w:t>1.19E-</w:t>
            </w:r>
          </w:p>
        </w:tc>
      </w:tr>
      <w:tr>
        <w:trPr>
          <w:trHeight w:val="286" w:hRule="atLeast"/>
        </w:trPr>
        <w:tc>
          <w:tcPr>
            <w:tcW w:w="959" w:type="dxa"/>
            <w:vMerge/>
            <w:tcBorders>
              <w:top w:val="nil"/>
              <w:left w:val="single" w:sz="6" w:space="0" w:color="000000"/>
              <w:bottom w:val="single" w:sz="6" w:space="0" w:color="000000"/>
              <w:right w:val="single" w:sz="6" w:space="0" w:color="000000"/>
            </w:tcBorders>
          </w:tcPr>
          <w:p>
            <w:pPr>
              <w:rPr>
                <w:sz w:val="2"/>
                <w:szCs w:val="2"/>
              </w:rPr>
            </w:pPr>
          </w:p>
        </w:tc>
        <w:tc>
          <w:tcPr>
            <w:tcW w:w="1058" w:type="dxa"/>
            <w:tcBorders>
              <w:top w:val="nil"/>
              <w:left w:val="single" w:sz="6" w:space="0" w:color="000000"/>
              <w:bottom w:val="single" w:sz="6" w:space="0" w:color="000000"/>
              <w:right w:val="single" w:sz="6" w:space="0" w:color="000000"/>
            </w:tcBorders>
          </w:tcPr>
          <w:p>
            <w:pPr>
              <w:pStyle w:val="TableParagraph"/>
              <w:spacing w:line="264" w:lineRule="exact" w:before="2"/>
              <w:ind w:left="120"/>
              <w:rPr>
                <w:sz w:val="23"/>
              </w:rPr>
            </w:pPr>
            <w:r>
              <w:rPr>
                <w:spacing w:val="-5"/>
                <w:sz w:val="23"/>
              </w:rPr>
              <w:t>Max</w:t>
            </w:r>
          </w:p>
        </w:tc>
        <w:tc>
          <w:tcPr>
            <w:tcW w:w="1532" w:type="dxa"/>
            <w:tcBorders>
              <w:top w:val="nil"/>
              <w:left w:val="single" w:sz="6" w:space="0" w:color="000000"/>
              <w:bottom w:val="single" w:sz="6" w:space="0" w:color="000000"/>
            </w:tcBorders>
          </w:tcPr>
          <w:p>
            <w:pPr>
              <w:pStyle w:val="TableParagraph"/>
              <w:spacing w:line="264" w:lineRule="exact" w:before="2"/>
              <w:ind w:right="88"/>
              <w:jc w:val="right"/>
              <w:rPr>
                <w:sz w:val="23"/>
              </w:rPr>
            </w:pPr>
            <w:r>
              <w:rPr>
                <w:spacing w:val="-4"/>
                <w:sz w:val="23"/>
              </w:rPr>
              <w:t>0.83</w:t>
            </w:r>
          </w:p>
        </w:tc>
        <w:tc>
          <w:tcPr>
            <w:tcW w:w="1525" w:type="dxa"/>
            <w:tcBorders>
              <w:top w:val="nil"/>
              <w:bottom w:val="single" w:sz="6" w:space="0" w:color="000000"/>
            </w:tcBorders>
          </w:tcPr>
          <w:p>
            <w:pPr>
              <w:pStyle w:val="TableParagraph"/>
              <w:spacing w:line="264" w:lineRule="exact" w:before="2"/>
              <w:ind w:right="98"/>
              <w:jc w:val="right"/>
              <w:rPr>
                <w:sz w:val="23"/>
              </w:rPr>
            </w:pPr>
            <w:r>
              <w:rPr>
                <w:sz w:val="23"/>
              </w:rPr>
              <w:t>2.37E-</w:t>
            </w:r>
            <w:r>
              <w:rPr>
                <w:spacing w:val="-5"/>
                <w:sz w:val="23"/>
              </w:rPr>
              <w:t>08</w:t>
            </w:r>
          </w:p>
        </w:tc>
        <w:tc>
          <w:tcPr>
            <w:tcW w:w="989" w:type="dxa"/>
            <w:vMerge/>
            <w:tcBorders>
              <w:top w:val="nil"/>
              <w:bottom w:val="single" w:sz="6" w:space="0" w:color="000000"/>
            </w:tcBorders>
          </w:tcPr>
          <w:p>
            <w:pPr>
              <w:rPr>
                <w:sz w:val="2"/>
                <w:szCs w:val="2"/>
              </w:rPr>
            </w:pPr>
          </w:p>
        </w:tc>
        <w:tc>
          <w:tcPr>
            <w:tcW w:w="987" w:type="dxa"/>
            <w:tcBorders>
              <w:top w:val="nil"/>
              <w:bottom w:val="single" w:sz="6" w:space="0" w:color="000000"/>
              <w:right w:val="single" w:sz="6" w:space="0" w:color="000000"/>
            </w:tcBorders>
          </w:tcPr>
          <w:p>
            <w:pPr>
              <w:pStyle w:val="TableParagraph"/>
              <w:spacing w:line="264" w:lineRule="exact" w:before="2"/>
              <w:ind w:right="92"/>
              <w:jc w:val="right"/>
              <w:rPr>
                <w:sz w:val="23"/>
              </w:rPr>
            </w:pPr>
            <w:r>
              <w:rPr>
                <w:spacing w:val="-5"/>
                <w:sz w:val="23"/>
              </w:rPr>
              <w:t>06</w:t>
            </w:r>
          </w:p>
        </w:tc>
        <w:tc>
          <w:tcPr>
            <w:tcW w:w="1321" w:type="dxa"/>
            <w:tcBorders>
              <w:top w:val="nil"/>
              <w:left w:val="single" w:sz="6" w:space="0" w:color="000000"/>
              <w:bottom w:val="single" w:sz="6" w:space="0" w:color="000000"/>
              <w:right w:val="single" w:sz="6" w:space="0" w:color="000000"/>
            </w:tcBorders>
          </w:tcPr>
          <w:p>
            <w:pPr>
              <w:pStyle w:val="TableParagraph"/>
              <w:spacing w:line="264" w:lineRule="exact" w:before="2"/>
              <w:ind w:right="95"/>
              <w:jc w:val="right"/>
              <w:rPr>
                <w:sz w:val="23"/>
              </w:rPr>
            </w:pPr>
            <w:r>
              <w:rPr>
                <w:spacing w:val="-5"/>
                <w:sz w:val="23"/>
              </w:rPr>
              <w:t>12</w:t>
            </w:r>
          </w:p>
        </w:tc>
        <w:tc>
          <w:tcPr>
            <w:tcW w:w="990" w:type="dxa"/>
            <w:tcBorders>
              <w:top w:val="nil"/>
              <w:left w:val="single" w:sz="6" w:space="0" w:color="000000"/>
              <w:bottom w:val="single" w:sz="6" w:space="0" w:color="000000"/>
            </w:tcBorders>
          </w:tcPr>
          <w:p>
            <w:pPr>
              <w:pStyle w:val="TableParagraph"/>
              <w:spacing w:line="264" w:lineRule="exact" w:before="2"/>
              <w:ind w:right="101"/>
              <w:jc w:val="right"/>
              <w:rPr>
                <w:sz w:val="23"/>
              </w:rPr>
            </w:pPr>
            <w:r>
              <w:rPr>
                <w:spacing w:val="-5"/>
                <w:sz w:val="23"/>
              </w:rPr>
              <w:t>10</w:t>
            </w:r>
          </w:p>
        </w:tc>
        <w:tc>
          <w:tcPr>
            <w:tcW w:w="987" w:type="dxa"/>
            <w:vMerge/>
            <w:tcBorders>
              <w:top w:val="nil"/>
              <w:bottom w:val="single" w:sz="6" w:space="0" w:color="000000"/>
              <w:right w:val="single" w:sz="6" w:space="0" w:color="000000"/>
            </w:tcBorders>
          </w:tcPr>
          <w:p>
            <w:pPr>
              <w:rPr>
                <w:sz w:val="2"/>
                <w:szCs w:val="2"/>
              </w:rPr>
            </w:pPr>
          </w:p>
        </w:tc>
        <w:tc>
          <w:tcPr>
            <w:tcW w:w="990" w:type="dxa"/>
            <w:tcBorders>
              <w:top w:val="nil"/>
              <w:left w:val="single" w:sz="6" w:space="0" w:color="000000"/>
              <w:bottom w:val="single" w:sz="6" w:space="0" w:color="000000"/>
            </w:tcBorders>
          </w:tcPr>
          <w:p>
            <w:pPr>
              <w:pStyle w:val="TableParagraph"/>
              <w:spacing w:line="264" w:lineRule="exact" w:before="2"/>
              <w:ind w:right="101"/>
              <w:jc w:val="right"/>
              <w:rPr>
                <w:sz w:val="23"/>
              </w:rPr>
            </w:pPr>
            <w:r>
              <w:rPr>
                <w:spacing w:val="-5"/>
                <w:sz w:val="23"/>
              </w:rPr>
              <w:t>06</w:t>
            </w:r>
          </w:p>
        </w:tc>
      </w:tr>
      <w:tr>
        <w:trPr>
          <w:trHeight w:val="331" w:hRule="atLeast"/>
        </w:trPr>
        <w:tc>
          <w:tcPr>
            <w:tcW w:w="959" w:type="dxa"/>
            <w:vMerge w:val="restart"/>
            <w:tcBorders>
              <w:top w:val="single" w:sz="6" w:space="0" w:color="000000"/>
              <w:left w:val="single" w:sz="6" w:space="0" w:color="000000"/>
              <w:bottom w:val="single" w:sz="6" w:space="0" w:color="000000"/>
              <w:right w:val="single" w:sz="6" w:space="0" w:color="000000"/>
            </w:tcBorders>
          </w:tcPr>
          <w:p>
            <w:pPr>
              <w:pStyle w:val="TableParagraph"/>
              <w:rPr>
                <w:sz w:val="22"/>
              </w:rPr>
            </w:pPr>
          </w:p>
        </w:tc>
        <w:tc>
          <w:tcPr>
            <w:tcW w:w="1058" w:type="dxa"/>
            <w:tcBorders>
              <w:top w:val="single" w:sz="6" w:space="0" w:color="000000"/>
              <w:left w:val="single" w:sz="6" w:space="0" w:color="000000"/>
              <w:bottom w:val="nil"/>
              <w:right w:val="single" w:sz="6" w:space="0" w:color="000000"/>
            </w:tcBorders>
          </w:tcPr>
          <w:p>
            <w:pPr>
              <w:pStyle w:val="TableParagraph"/>
              <w:rPr>
                <w:sz w:val="22"/>
              </w:rPr>
            </w:pPr>
          </w:p>
        </w:tc>
        <w:tc>
          <w:tcPr>
            <w:tcW w:w="1532" w:type="dxa"/>
            <w:tcBorders>
              <w:top w:val="single" w:sz="6" w:space="0" w:color="000000"/>
              <w:left w:val="single" w:sz="6" w:space="0" w:color="000000"/>
              <w:bottom w:val="nil"/>
            </w:tcBorders>
          </w:tcPr>
          <w:p>
            <w:pPr>
              <w:pStyle w:val="TableParagraph"/>
              <w:rPr>
                <w:sz w:val="22"/>
              </w:rPr>
            </w:pPr>
          </w:p>
        </w:tc>
        <w:tc>
          <w:tcPr>
            <w:tcW w:w="1525" w:type="dxa"/>
            <w:tcBorders>
              <w:top w:val="single" w:sz="6" w:space="0" w:color="000000"/>
              <w:bottom w:val="nil"/>
            </w:tcBorders>
          </w:tcPr>
          <w:p>
            <w:pPr>
              <w:pStyle w:val="TableParagraph"/>
              <w:rPr>
                <w:sz w:val="22"/>
              </w:rPr>
            </w:pPr>
          </w:p>
        </w:tc>
        <w:tc>
          <w:tcPr>
            <w:tcW w:w="989" w:type="dxa"/>
            <w:vMerge w:val="restart"/>
            <w:tcBorders>
              <w:top w:val="single" w:sz="6" w:space="0" w:color="000000"/>
              <w:bottom w:val="single" w:sz="6" w:space="0" w:color="000000"/>
            </w:tcBorders>
          </w:tcPr>
          <w:p>
            <w:pPr>
              <w:pStyle w:val="TableParagraph"/>
              <w:rPr>
                <w:sz w:val="22"/>
              </w:rPr>
            </w:pPr>
          </w:p>
        </w:tc>
        <w:tc>
          <w:tcPr>
            <w:tcW w:w="987" w:type="dxa"/>
            <w:tcBorders>
              <w:top w:val="single" w:sz="6" w:space="0" w:color="000000"/>
              <w:bottom w:val="nil"/>
              <w:right w:val="single" w:sz="6" w:space="0" w:color="000000"/>
            </w:tcBorders>
          </w:tcPr>
          <w:p>
            <w:pPr>
              <w:pStyle w:val="TableParagraph"/>
              <w:rPr>
                <w:sz w:val="22"/>
              </w:rPr>
            </w:pPr>
          </w:p>
        </w:tc>
        <w:tc>
          <w:tcPr>
            <w:tcW w:w="1321" w:type="dxa"/>
            <w:tcBorders>
              <w:top w:val="single" w:sz="6" w:space="0" w:color="000000"/>
              <w:left w:val="single" w:sz="6" w:space="0" w:color="000000"/>
              <w:bottom w:val="nil"/>
              <w:right w:val="single" w:sz="6" w:space="0" w:color="000000"/>
            </w:tcBorders>
          </w:tcPr>
          <w:p>
            <w:pPr>
              <w:pStyle w:val="TableParagraph"/>
              <w:spacing w:line="253" w:lineRule="exact" w:before="58"/>
              <w:ind w:left="433"/>
              <w:rPr>
                <w:sz w:val="23"/>
              </w:rPr>
            </w:pPr>
            <w:r>
              <w:rPr>
                <w:spacing w:val="-2"/>
                <w:sz w:val="23"/>
              </w:rPr>
              <w:t>2.55E-</w:t>
            </w:r>
          </w:p>
        </w:tc>
        <w:tc>
          <w:tcPr>
            <w:tcW w:w="990" w:type="dxa"/>
            <w:tcBorders>
              <w:top w:val="single" w:sz="6" w:space="0" w:color="000000"/>
              <w:left w:val="single" w:sz="6" w:space="0" w:color="000000"/>
              <w:bottom w:val="nil"/>
            </w:tcBorders>
          </w:tcPr>
          <w:p>
            <w:pPr>
              <w:pStyle w:val="TableParagraph"/>
              <w:spacing w:line="253" w:lineRule="exact" w:before="58"/>
              <w:ind w:right="78"/>
              <w:jc w:val="right"/>
              <w:rPr>
                <w:sz w:val="23"/>
              </w:rPr>
            </w:pPr>
            <w:r>
              <w:rPr>
                <w:spacing w:val="-2"/>
                <w:sz w:val="23"/>
              </w:rPr>
              <w:t>1.59E-</w:t>
            </w:r>
          </w:p>
        </w:tc>
        <w:tc>
          <w:tcPr>
            <w:tcW w:w="987" w:type="dxa"/>
            <w:vMerge w:val="restart"/>
            <w:tcBorders>
              <w:top w:val="single" w:sz="6" w:space="0" w:color="000000"/>
              <w:bottom w:val="single" w:sz="6" w:space="0" w:color="000000"/>
              <w:right w:val="single" w:sz="6" w:space="0" w:color="000000"/>
            </w:tcBorders>
          </w:tcPr>
          <w:p>
            <w:pPr>
              <w:pStyle w:val="TableParagraph"/>
              <w:rPr>
                <w:sz w:val="22"/>
              </w:rPr>
            </w:pPr>
          </w:p>
        </w:tc>
        <w:tc>
          <w:tcPr>
            <w:tcW w:w="990" w:type="dxa"/>
            <w:tcBorders>
              <w:top w:val="single" w:sz="6" w:space="0" w:color="000000"/>
              <w:left w:val="single" w:sz="6" w:space="0" w:color="000000"/>
              <w:bottom w:val="nil"/>
            </w:tcBorders>
          </w:tcPr>
          <w:p>
            <w:pPr>
              <w:pStyle w:val="TableParagraph"/>
              <w:rPr>
                <w:sz w:val="22"/>
              </w:rPr>
            </w:pPr>
          </w:p>
        </w:tc>
      </w:tr>
      <w:tr>
        <w:trPr>
          <w:trHeight w:val="283" w:hRule="atLeast"/>
        </w:trPr>
        <w:tc>
          <w:tcPr>
            <w:tcW w:w="959" w:type="dxa"/>
            <w:vMerge/>
            <w:tcBorders>
              <w:top w:val="nil"/>
              <w:left w:val="single" w:sz="6" w:space="0" w:color="000000"/>
              <w:bottom w:val="single" w:sz="6" w:space="0" w:color="000000"/>
              <w:right w:val="single" w:sz="6" w:space="0" w:color="000000"/>
            </w:tcBorders>
          </w:tcPr>
          <w:p>
            <w:pPr>
              <w:rPr>
                <w:sz w:val="2"/>
                <w:szCs w:val="2"/>
              </w:rPr>
            </w:pPr>
          </w:p>
        </w:tc>
        <w:tc>
          <w:tcPr>
            <w:tcW w:w="1058" w:type="dxa"/>
            <w:tcBorders>
              <w:top w:val="nil"/>
              <w:left w:val="single" w:sz="6" w:space="0" w:color="000000"/>
              <w:bottom w:val="single" w:sz="6" w:space="0" w:color="000000"/>
              <w:right w:val="single" w:sz="6" w:space="0" w:color="000000"/>
            </w:tcBorders>
          </w:tcPr>
          <w:p>
            <w:pPr>
              <w:pStyle w:val="TableParagraph"/>
              <w:spacing w:line="261" w:lineRule="exact" w:before="2"/>
              <w:ind w:left="120"/>
              <w:rPr>
                <w:sz w:val="23"/>
              </w:rPr>
            </w:pPr>
            <w:r>
              <w:rPr>
                <w:spacing w:val="-4"/>
                <w:sz w:val="23"/>
              </w:rPr>
              <w:t>Mean</w:t>
            </w:r>
          </w:p>
        </w:tc>
        <w:tc>
          <w:tcPr>
            <w:tcW w:w="1532" w:type="dxa"/>
            <w:tcBorders>
              <w:top w:val="nil"/>
              <w:left w:val="single" w:sz="6" w:space="0" w:color="000000"/>
              <w:bottom w:val="single" w:sz="6" w:space="0" w:color="000000"/>
            </w:tcBorders>
          </w:tcPr>
          <w:p>
            <w:pPr>
              <w:pStyle w:val="TableParagraph"/>
              <w:spacing w:line="261" w:lineRule="exact" w:before="2"/>
              <w:ind w:right="88"/>
              <w:jc w:val="right"/>
              <w:rPr>
                <w:sz w:val="23"/>
              </w:rPr>
            </w:pPr>
            <w:r>
              <w:rPr>
                <w:spacing w:val="-2"/>
                <w:sz w:val="23"/>
              </w:rPr>
              <w:t>0.594</w:t>
            </w:r>
          </w:p>
        </w:tc>
        <w:tc>
          <w:tcPr>
            <w:tcW w:w="1525" w:type="dxa"/>
            <w:tcBorders>
              <w:top w:val="nil"/>
              <w:bottom w:val="single" w:sz="6" w:space="0" w:color="000000"/>
            </w:tcBorders>
          </w:tcPr>
          <w:p>
            <w:pPr>
              <w:pStyle w:val="TableParagraph"/>
              <w:spacing w:line="261" w:lineRule="exact" w:before="2"/>
              <w:ind w:right="98"/>
              <w:jc w:val="right"/>
              <w:rPr>
                <w:sz w:val="23"/>
              </w:rPr>
            </w:pPr>
            <w:r>
              <w:rPr>
                <w:sz w:val="23"/>
              </w:rPr>
              <w:t>1.7E-</w:t>
            </w:r>
            <w:r>
              <w:rPr>
                <w:spacing w:val="-5"/>
                <w:sz w:val="23"/>
              </w:rPr>
              <w:t>08</w:t>
            </w:r>
          </w:p>
        </w:tc>
        <w:tc>
          <w:tcPr>
            <w:tcW w:w="989" w:type="dxa"/>
            <w:vMerge/>
            <w:tcBorders>
              <w:top w:val="nil"/>
              <w:bottom w:val="single" w:sz="6" w:space="0" w:color="000000"/>
            </w:tcBorders>
          </w:tcPr>
          <w:p>
            <w:pPr>
              <w:rPr>
                <w:sz w:val="2"/>
                <w:szCs w:val="2"/>
              </w:rPr>
            </w:pPr>
          </w:p>
        </w:tc>
        <w:tc>
          <w:tcPr>
            <w:tcW w:w="987" w:type="dxa"/>
            <w:tcBorders>
              <w:top w:val="nil"/>
              <w:bottom w:val="single" w:sz="6" w:space="0" w:color="000000"/>
              <w:right w:val="single" w:sz="6" w:space="0" w:color="000000"/>
            </w:tcBorders>
          </w:tcPr>
          <w:p>
            <w:pPr>
              <w:pStyle w:val="TableParagraph"/>
              <w:spacing w:line="261" w:lineRule="exact" w:before="2"/>
              <w:ind w:left="167"/>
              <w:rPr>
                <w:sz w:val="23"/>
              </w:rPr>
            </w:pPr>
            <w:r>
              <w:rPr>
                <w:sz w:val="23"/>
              </w:rPr>
              <w:t>8.5E-</w:t>
            </w:r>
            <w:r>
              <w:rPr>
                <w:spacing w:val="-5"/>
                <w:sz w:val="23"/>
              </w:rPr>
              <w:t>07</w:t>
            </w:r>
          </w:p>
        </w:tc>
        <w:tc>
          <w:tcPr>
            <w:tcW w:w="1321" w:type="dxa"/>
            <w:tcBorders>
              <w:top w:val="nil"/>
              <w:left w:val="single" w:sz="6" w:space="0" w:color="000000"/>
              <w:bottom w:val="single" w:sz="6" w:space="0" w:color="000000"/>
              <w:right w:val="single" w:sz="6" w:space="0" w:color="000000"/>
            </w:tcBorders>
          </w:tcPr>
          <w:p>
            <w:pPr>
              <w:pStyle w:val="TableParagraph"/>
              <w:spacing w:line="261" w:lineRule="exact" w:before="2"/>
              <w:ind w:right="95"/>
              <w:jc w:val="right"/>
              <w:rPr>
                <w:sz w:val="23"/>
              </w:rPr>
            </w:pPr>
            <w:r>
              <w:rPr>
                <w:spacing w:val="-5"/>
                <w:sz w:val="23"/>
              </w:rPr>
              <w:t>12</w:t>
            </w:r>
          </w:p>
        </w:tc>
        <w:tc>
          <w:tcPr>
            <w:tcW w:w="990" w:type="dxa"/>
            <w:tcBorders>
              <w:top w:val="nil"/>
              <w:left w:val="single" w:sz="6" w:space="0" w:color="000000"/>
              <w:bottom w:val="single" w:sz="6" w:space="0" w:color="000000"/>
            </w:tcBorders>
          </w:tcPr>
          <w:p>
            <w:pPr>
              <w:pStyle w:val="TableParagraph"/>
              <w:spacing w:line="261" w:lineRule="exact" w:before="2"/>
              <w:ind w:right="101"/>
              <w:jc w:val="right"/>
              <w:rPr>
                <w:sz w:val="23"/>
              </w:rPr>
            </w:pPr>
            <w:r>
              <w:rPr>
                <w:spacing w:val="-5"/>
                <w:sz w:val="23"/>
              </w:rPr>
              <w:t>10</w:t>
            </w:r>
          </w:p>
        </w:tc>
        <w:tc>
          <w:tcPr>
            <w:tcW w:w="987" w:type="dxa"/>
            <w:vMerge/>
            <w:tcBorders>
              <w:top w:val="nil"/>
              <w:bottom w:val="single" w:sz="6" w:space="0" w:color="000000"/>
              <w:right w:val="single" w:sz="6" w:space="0" w:color="000000"/>
            </w:tcBorders>
          </w:tcPr>
          <w:p>
            <w:pPr>
              <w:rPr>
                <w:sz w:val="2"/>
                <w:szCs w:val="2"/>
              </w:rPr>
            </w:pPr>
          </w:p>
        </w:tc>
        <w:tc>
          <w:tcPr>
            <w:tcW w:w="990" w:type="dxa"/>
            <w:tcBorders>
              <w:top w:val="nil"/>
              <w:left w:val="single" w:sz="6" w:space="0" w:color="000000"/>
              <w:bottom w:val="single" w:sz="6" w:space="0" w:color="000000"/>
            </w:tcBorders>
          </w:tcPr>
          <w:p>
            <w:pPr>
              <w:pStyle w:val="TableParagraph"/>
              <w:spacing w:line="261" w:lineRule="exact" w:before="2"/>
              <w:ind w:right="60"/>
              <w:jc w:val="right"/>
              <w:rPr>
                <w:sz w:val="23"/>
              </w:rPr>
            </w:pPr>
            <w:r>
              <w:rPr>
                <w:sz w:val="23"/>
              </w:rPr>
              <w:t>8.5E-</w:t>
            </w:r>
            <w:r>
              <w:rPr>
                <w:spacing w:val="-5"/>
                <w:sz w:val="23"/>
              </w:rPr>
              <w:t>07</w:t>
            </w:r>
          </w:p>
        </w:tc>
      </w:tr>
      <w:tr>
        <w:trPr>
          <w:trHeight w:val="339" w:hRule="atLeast"/>
        </w:trPr>
        <w:tc>
          <w:tcPr>
            <w:tcW w:w="959" w:type="dxa"/>
            <w:tcBorders>
              <w:top w:val="single" w:sz="6" w:space="0" w:color="000000"/>
              <w:left w:val="single" w:sz="6" w:space="0" w:color="000000"/>
              <w:bottom w:val="nil"/>
              <w:right w:val="single" w:sz="6" w:space="0" w:color="000000"/>
            </w:tcBorders>
          </w:tcPr>
          <w:p>
            <w:pPr>
              <w:pStyle w:val="TableParagraph"/>
              <w:rPr>
                <w:sz w:val="22"/>
              </w:rPr>
            </w:pPr>
          </w:p>
        </w:tc>
        <w:tc>
          <w:tcPr>
            <w:tcW w:w="1058" w:type="dxa"/>
            <w:tcBorders>
              <w:top w:val="single" w:sz="6" w:space="0" w:color="000000"/>
              <w:left w:val="single" w:sz="6" w:space="0" w:color="000000"/>
              <w:bottom w:val="nil"/>
              <w:right w:val="single" w:sz="6" w:space="0" w:color="000000"/>
            </w:tcBorders>
          </w:tcPr>
          <w:p>
            <w:pPr>
              <w:pStyle w:val="TableParagraph"/>
              <w:rPr>
                <w:sz w:val="22"/>
              </w:rPr>
            </w:pPr>
          </w:p>
        </w:tc>
        <w:tc>
          <w:tcPr>
            <w:tcW w:w="1532" w:type="dxa"/>
            <w:tcBorders>
              <w:top w:val="single" w:sz="6" w:space="0" w:color="000000"/>
              <w:left w:val="single" w:sz="6" w:space="0" w:color="000000"/>
              <w:bottom w:val="nil"/>
            </w:tcBorders>
          </w:tcPr>
          <w:p>
            <w:pPr>
              <w:pStyle w:val="TableParagraph"/>
              <w:rPr>
                <w:sz w:val="22"/>
              </w:rPr>
            </w:pPr>
          </w:p>
        </w:tc>
        <w:tc>
          <w:tcPr>
            <w:tcW w:w="1525" w:type="dxa"/>
            <w:tcBorders>
              <w:top w:val="single" w:sz="6" w:space="0" w:color="000000"/>
              <w:bottom w:val="nil"/>
            </w:tcBorders>
          </w:tcPr>
          <w:p>
            <w:pPr>
              <w:pStyle w:val="TableParagraph"/>
              <w:rPr>
                <w:sz w:val="22"/>
              </w:rPr>
            </w:pPr>
          </w:p>
        </w:tc>
        <w:tc>
          <w:tcPr>
            <w:tcW w:w="989" w:type="dxa"/>
            <w:tcBorders>
              <w:top w:val="single" w:sz="6" w:space="0" w:color="000000"/>
              <w:bottom w:val="nil"/>
            </w:tcBorders>
          </w:tcPr>
          <w:p>
            <w:pPr>
              <w:pStyle w:val="TableParagraph"/>
              <w:spacing w:line="261" w:lineRule="exact" w:before="59"/>
              <w:ind w:right="78"/>
              <w:jc w:val="right"/>
              <w:rPr>
                <w:sz w:val="23"/>
              </w:rPr>
            </w:pPr>
            <w:r>
              <w:rPr>
                <w:spacing w:val="-2"/>
                <w:sz w:val="23"/>
              </w:rPr>
              <w:t>4.29E-</w:t>
            </w:r>
          </w:p>
        </w:tc>
        <w:tc>
          <w:tcPr>
            <w:tcW w:w="987" w:type="dxa"/>
            <w:tcBorders>
              <w:top w:val="single" w:sz="6" w:space="0" w:color="000000"/>
              <w:bottom w:val="nil"/>
              <w:right w:val="single" w:sz="6" w:space="0" w:color="000000"/>
            </w:tcBorders>
          </w:tcPr>
          <w:p>
            <w:pPr>
              <w:pStyle w:val="TableParagraph"/>
              <w:spacing w:line="261" w:lineRule="exact" w:before="59"/>
              <w:ind w:right="73"/>
              <w:jc w:val="right"/>
              <w:rPr>
                <w:sz w:val="23"/>
              </w:rPr>
            </w:pPr>
            <w:r>
              <w:rPr>
                <w:spacing w:val="-2"/>
                <w:sz w:val="23"/>
              </w:rPr>
              <w:t>9.53E-</w:t>
            </w:r>
          </w:p>
        </w:tc>
        <w:tc>
          <w:tcPr>
            <w:tcW w:w="1321" w:type="dxa"/>
            <w:tcBorders>
              <w:top w:val="single" w:sz="6" w:space="0" w:color="000000"/>
              <w:left w:val="single" w:sz="6" w:space="0" w:color="000000"/>
              <w:bottom w:val="nil"/>
              <w:right w:val="single" w:sz="6" w:space="0" w:color="000000"/>
            </w:tcBorders>
          </w:tcPr>
          <w:p>
            <w:pPr>
              <w:pStyle w:val="TableParagraph"/>
              <w:spacing w:line="261" w:lineRule="exact" w:before="59"/>
              <w:ind w:left="433"/>
              <w:rPr>
                <w:sz w:val="23"/>
              </w:rPr>
            </w:pPr>
            <w:r>
              <w:rPr>
                <w:spacing w:val="-2"/>
                <w:sz w:val="23"/>
              </w:rPr>
              <w:t>9.92E-</w:t>
            </w:r>
          </w:p>
        </w:tc>
        <w:tc>
          <w:tcPr>
            <w:tcW w:w="990" w:type="dxa"/>
            <w:tcBorders>
              <w:top w:val="single" w:sz="6" w:space="0" w:color="000000"/>
              <w:left w:val="single" w:sz="6" w:space="0" w:color="000000"/>
              <w:bottom w:val="nil"/>
            </w:tcBorders>
          </w:tcPr>
          <w:p>
            <w:pPr>
              <w:pStyle w:val="TableParagraph"/>
              <w:spacing w:line="261" w:lineRule="exact" w:before="59"/>
              <w:ind w:right="78"/>
              <w:jc w:val="right"/>
              <w:rPr>
                <w:sz w:val="23"/>
              </w:rPr>
            </w:pPr>
            <w:r>
              <w:rPr>
                <w:spacing w:val="-2"/>
                <w:sz w:val="23"/>
              </w:rPr>
              <w:t>8.07E-</w:t>
            </w:r>
          </w:p>
        </w:tc>
        <w:tc>
          <w:tcPr>
            <w:tcW w:w="987" w:type="dxa"/>
            <w:tcBorders>
              <w:top w:val="single" w:sz="6" w:space="0" w:color="000000"/>
              <w:bottom w:val="nil"/>
              <w:right w:val="single" w:sz="6" w:space="0" w:color="000000"/>
            </w:tcBorders>
          </w:tcPr>
          <w:p>
            <w:pPr>
              <w:pStyle w:val="TableParagraph"/>
              <w:spacing w:line="261" w:lineRule="exact" w:before="59"/>
              <w:ind w:right="73"/>
              <w:jc w:val="right"/>
              <w:rPr>
                <w:sz w:val="23"/>
              </w:rPr>
            </w:pPr>
            <w:r>
              <w:rPr>
                <w:spacing w:val="-2"/>
                <w:sz w:val="23"/>
              </w:rPr>
              <w:t>3.63E-</w:t>
            </w:r>
          </w:p>
        </w:tc>
        <w:tc>
          <w:tcPr>
            <w:tcW w:w="990" w:type="dxa"/>
            <w:tcBorders>
              <w:top w:val="single" w:sz="6" w:space="0" w:color="000000"/>
              <w:left w:val="single" w:sz="6" w:space="0" w:color="000000"/>
              <w:bottom w:val="nil"/>
            </w:tcBorders>
          </w:tcPr>
          <w:p>
            <w:pPr>
              <w:pStyle w:val="TableParagraph"/>
              <w:spacing w:line="261" w:lineRule="exact" w:before="59"/>
              <w:ind w:right="79"/>
              <w:jc w:val="right"/>
              <w:rPr>
                <w:sz w:val="23"/>
              </w:rPr>
            </w:pPr>
            <w:r>
              <w:rPr>
                <w:spacing w:val="-2"/>
                <w:sz w:val="23"/>
              </w:rPr>
              <w:t>9.54E-</w:t>
            </w:r>
          </w:p>
        </w:tc>
      </w:tr>
      <w:tr>
        <w:trPr>
          <w:trHeight w:val="296" w:hRule="atLeast"/>
        </w:trPr>
        <w:tc>
          <w:tcPr>
            <w:tcW w:w="959" w:type="dxa"/>
            <w:tcBorders>
              <w:top w:val="nil"/>
              <w:left w:val="single" w:sz="6" w:space="0" w:color="000000"/>
              <w:right w:val="single" w:sz="6" w:space="0" w:color="000000"/>
            </w:tcBorders>
          </w:tcPr>
          <w:p>
            <w:pPr>
              <w:pStyle w:val="TableParagraph"/>
              <w:spacing w:before="9"/>
              <w:ind w:left="122"/>
              <w:rPr>
                <w:sz w:val="23"/>
              </w:rPr>
            </w:pPr>
            <w:r>
              <w:rPr>
                <w:spacing w:val="-5"/>
                <w:sz w:val="23"/>
              </w:rPr>
              <w:t>As</w:t>
            </w:r>
          </w:p>
        </w:tc>
        <w:tc>
          <w:tcPr>
            <w:tcW w:w="1058" w:type="dxa"/>
            <w:tcBorders>
              <w:top w:val="nil"/>
              <w:left w:val="single" w:sz="6" w:space="0" w:color="000000"/>
              <w:right w:val="single" w:sz="6" w:space="0" w:color="000000"/>
            </w:tcBorders>
          </w:tcPr>
          <w:p>
            <w:pPr>
              <w:pStyle w:val="TableParagraph"/>
              <w:spacing w:before="9"/>
              <w:ind w:left="120"/>
              <w:rPr>
                <w:sz w:val="23"/>
              </w:rPr>
            </w:pPr>
            <w:r>
              <w:rPr>
                <w:spacing w:val="-5"/>
                <w:sz w:val="23"/>
              </w:rPr>
              <w:t>Min</w:t>
            </w:r>
          </w:p>
        </w:tc>
        <w:tc>
          <w:tcPr>
            <w:tcW w:w="1532" w:type="dxa"/>
            <w:tcBorders>
              <w:top w:val="nil"/>
              <w:left w:val="single" w:sz="6" w:space="0" w:color="000000"/>
            </w:tcBorders>
          </w:tcPr>
          <w:p>
            <w:pPr>
              <w:pStyle w:val="TableParagraph"/>
              <w:spacing w:before="9"/>
              <w:ind w:right="88"/>
              <w:jc w:val="right"/>
              <w:rPr>
                <w:sz w:val="23"/>
              </w:rPr>
            </w:pPr>
            <w:r>
              <w:rPr>
                <w:spacing w:val="-2"/>
                <w:sz w:val="23"/>
              </w:rPr>
              <w:t>0.001</w:t>
            </w:r>
          </w:p>
        </w:tc>
        <w:tc>
          <w:tcPr>
            <w:tcW w:w="1525" w:type="dxa"/>
            <w:tcBorders>
              <w:top w:val="nil"/>
            </w:tcBorders>
          </w:tcPr>
          <w:p>
            <w:pPr>
              <w:pStyle w:val="TableParagraph"/>
              <w:spacing w:before="9"/>
              <w:ind w:right="98"/>
              <w:jc w:val="right"/>
              <w:rPr>
                <w:sz w:val="23"/>
              </w:rPr>
            </w:pPr>
            <w:r>
              <w:rPr>
                <w:sz w:val="23"/>
              </w:rPr>
              <w:t>2.86E-</w:t>
            </w:r>
            <w:r>
              <w:rPr>
                <w:spacing w:val="-5"/>
                <w:sz w:val="23"/>
              </w:rPr>
              <w:t>11</w:t>
            </w:r>
          </w:p>
        </w:tc>
        <w:tc>
          <w:tcPr>
            <w:tcW w:w="989" w:type="dxa"/>
            <w:tcBorders>
              <w:top w:val="nil"/>
            </w:tcBorders>
          </w:tcPr>
          <w:p>
            <w:pPr>
              <w:pStyle w:val="TableParagraph"/>
              <w:spacing w:before="9"/>
              <w:ind w:right="100"/>
              <w:jc w:val="right"/>
              <w:rPr>
                <w:sz w:val="23"/>
              </w:rPr>
            </w:pPr>
            <w:r>
              <w:rPr>
                <w:spacing w:val="-5"/>
                <w:sz w:val="23"/>
              </w:rPr>
              <w:t>11</w:t>
            </w:r>
          </w:p>
        </w:tc>
        <w:tc>
          <w:tcPr>
            <w:tcW w:w="987" w:type="dxa"/>
            <w:tcBorders>
              <w:top w:val="nil"/>
              <w:right w:val="single" w:sz="6" w:space="0" w:color="000000"/>
            </w:tcBorders>
          </w:tcPr>
          <w:p>
            <w:pPr>
              <w:pStyle w:val="TableParagraph"/>
              <w:spacing w:before="9"/>
              <w:ind w:right="92"/>
              <w:jc w:val="right"/>
              <w:rPr>
                <w:sz w:val="23"/>
              </w:rPr>
            </w:pPr>
            <w:r>
              <w:rPr>
                <w:spacing w:val="-5"/>
                <w:sz w:val="23"/>
              </w:rPr>
              <w:t>08</w:t>
            </w:r>
          </w:p>
        </w:tc>
        <w:tc>
          <w:tcPr>
            <w:tcW w:w="1321" w:type="dxa"/>
            <w:tcBorders>
              <w:top w:val="nil"/>
              <w:left w:val="single" w:sz="6" w:space="0" w:color="000000"/>
              <w:right w:val="single" w:sz="6" w:space="0" w:color="000000"/>
            </w:tcBorders>
          </w:tcPr>
          <w:p>
            <w:pPr>
              <w:pStyle w:val="TableParagraph"/>
              <w:spacing w:before="9"/>
              <w:ind w:right="95"/>
              <w:jc w:val="right"/>
              <w:rPr>
                <w:sz w:val="23"/>
              </w:rPr>
            </w:pPr>
            <w:r>
              <w:rPr>
                <w:spacing w:val="-5"/>
                <w:sz w:val="23"/>
              </w:rPr>
              <w:t>15</w:t>
            </w:r>
          </w:p>
        </w:tc>
        <w:tc>
          <w:tcPr>
            <w:tcW w:w="990" w:type="dxa"/>
            <w:tcBorders>
              <w:top w:val="nil"/>
              <w:left w:val="single" w:sz="6" w:space="0" w:color="000000"/>
            </w:tcBorders>
          </w:tcPr>
          <w:p>
            <w:pPr>
              <w:pStyle w:val="TableParagraph"/>
              <w:spacing w:before="9"/>
              <w:ind w:right="101"/>
              <w:jc w:val="right"/>
              <w:rPr>
                <w:sz w:val="23"/>
              </w:rPr>
            </w:pPr>
            <w:r>
              <w:rPr>
                <w:spacing w:val="-5"/>
                <w:sz w:val="23"/>
              </w:rPr>
              <w:t>11</w:t>
            </w:r>
          </w:p>
        </w:tc>
        <w:tc>
          <w:tcPr>
            <w:tcW w:w="987" w:type="dxa"/>
            <w:tcBorders>
              <w:top w:val="nil"/>
              <w:right w:val="single" w:sz="6" w:space="0" w:color="000000"/>
            </w:tcBorders>
          </w:tcPr>
          <w:p>
            <w:pPr>
              <w:pStyle w:val="TableParagraph"/>
              <w:spacing w:before="9"/>
              <w:ind w:right="95"/>
              <w:jc w:val="right"/>
              <w:rPr>
                <w:sz w:val="23"/>
              </w:rPr>
            </w:pPr>
            <w:r>
              <w:rPr>
                <w:spacing w:val="-5"/>
                <w:sz w:val="23"/>
              </w:rPr>
              <w:t>08</w:t>
            </w:r>
          </w:p>
        </w:tc>
        <w:tc>
          <w:tcPr>
            <w:tcW w:w="990" w:type="dxa"/>
            <w:tcBorders>
              <w:top w:val="nil"/>
              <w:left w:val="single" w:sz="6" w:space="0" w:color="000000"/>
            </w:tcBorders>
          </w:tcPr>
          <w:p>
            <w:pPr>
              <w:pStyle w:val="TableParagraph"/>
              <w:spacing w:before="9"/>
              <w:ind w:right="101"/>
              <w:jc w:val="right"/>
              <w:rPr>
                <w:sz w:val="23"/>
              </w:rPr>
            </w:pPr>
            <w:r>
              <w:rPr>
                <w:spacing w:val="-5"/>
                <w:sz w:val="23"/>
              </w:rPr>
              <w:t>08</w:t>
            </w:r>
          </w:p>
        </w:tc>
      </w:tr>
      <w:tr>
        <w:trPr>
          <w:trHeight w:val="334" w:hRule="atLeast"/>
        </w:trPr>
        <w:tc>
          <w:tcPr>
            <w:tcW w:w="959" w:type="dxa"/>
            <w:vMerge w:val="restart"/>
            <w:tcBorders>
              <w:left w:val="single" w:sz="6" w:space="0" w:color="000000"/>
              <w:right w:val="single" w:sz="6" w:space="0" w:color="000000"/>
            </w:tcBorders>
          </w:tcPr>
          <w:p>
            <w:pPr>
              <w:pStyle w:val="TableParagraph"/>
              <w:rPr>
                <w:sz w:val="22"/>
              </w:rPr>
            </w:pPr>
          </w:p>
        </w:tc>
        <w:tc>
          <w:tcPr>
            <w:tcW w:w="1058" w:type="dxa"/>
            <w:tcBorders>
              <w:left w:val="single" w:sz="6" w:space="0" w:color="000000"/>
              <w:bottom w:val="nil"/>
              <w:right w:val="single" w:sz="6" w:space="0" w:color="000000"/>
            </w:tcBorders>
          </w:tcPr>
          <w:p>
            <w:pPr>
              <w:pStyle w:val="TableParagraph"/>
              <w:rPr>
                <w:sz w:val="22"/>
              </w:rPr>
            </w:pPr>
          </w:p>
        </w:tc>
        <w:tc>
          <w:tcPr>
            <w:tcW w:w="1532" w:type="dxa"/>
            <w:tcBorders>
              <w:left w:val="single" w:sz="6" w:space="0" w:color="000000"/>
              <w:bottom w:val="nil"/>
            </w:tcBorders>
          </w:tcPr>
          <w:p>
            <w:pPr>
              <w:pStyle w:val="TableParagraph"/>
              <w:rPr>
                <w:sz w:val="22"/>
              </w:rPr>
            </w:pPr>
          </w:p>
        </w:tc>
        <w:tc>
          <w:tcPr>
            <w:tcW w:w="1525" w:type="dxa"/>
            <w:tcBorders>
              <w:bottom w:val="nil"/>
            </w:tcBorders>
          </w:tcPr>
          <w:p>
            <w:pPr>
              <w:pStyle w:val="TableParagraph"/>
              <w:rPr>
                <w:sz w:val="22"/>
              </w:rPr>
            </w:pPr>
          </w:p>
        </w:tc>
        <w:tc>
          <w:tcPr>
            <w:tcW w:w="989" w:type="dxa"/>
            <w:tcBorders>
              <w:bottom w:val="nil"/>
            </w:tcBorders>
          </w:tcPr>
          <w:p>
            <w:pPr>
              <w:pStyle w:val="TableParagraph"/>
              <w:spacing w:line="256" w:lineRule="exact" w:before="58"/>
              <w:ind w:right="78"/>
              <w:jc w:val="right"/>
              <w:rPr>
                <w:sz w:val="23"/>
              </w:rPr>
            </w:pPr>
            <w:r>
              <w:rPr>
                <w:spacing w:val="-2"/>
                <w:sz w:val="23"/>
              </w:rPr>
              <w:t>9.86E-</w:t>
            </w:r>
          </w:p>
        </w:tc>
        <w:tc>
          <w:tcPr>
            <w:tcW w:w="987" w:type="dxa"/>
            <w:tcBorders>
              <w:bottom w:val="nil"/>
              <w:right w:val="single" w:sz="6" w:space="0" w:color="000000"/>
            </w:tcBorders>
          </w:tcPr>
          <w:p>
            <w:pPr>
              <w:pStyle w:val="TableParagraph"/>
              <w:spacing w:line="256" w:lineRule="exact" w:before="58"/>
              <w:ind w:right="73"/>
              <w:jc w:val="right"/>
              <w:rPr>
                <w:sz w:val="23"/>
              </w:rPr>
            </w:pPr>
            <w:r>
              <w:rPr>
                <w:spacing w:val="-2"/>
                <w:sz w:val="23"/>
              </w:rPr>
              <w:t>2.19E-</w:t>
            </w:r>
          </w:p>
        </w:tc>
        <w:tc>
          <w:tcPr>
            <w:tcW w:w="1321" w:type="dxa"/>
            <w:tcBorders>
              <w:left w:val="single" w:sz="6" w:space="0" w:color="000000"/>
              <w:bottom w:val="nil"/>
              <w:right w:val="single" w:sz="6" w:space="0" w:color="000000"/>
            </w:tcBorders>
          </w:tcPr>
          <w:p>
            <w:pPr>
              <w:pStyle w:val="TableParagraph"/>
              <w:spacing w:line="256" w:lineRule="exact" w:before="58"/>
              <w:ind w:left="433"/>
              <w:rPr>
                <w:sz w:val="23"/>
              </w:rPr>
            </w:pPr>
            <w:r>
              <w:rPr>
                <w:spacing w:val="-2"/>
                <w:sz w:val="23"/>
              </w:rPr>
              <w:t>2.28E-</w:t>
            </w:r>
          </w:p>
        </w:tc>
        <w:tc>
          <w:tcPr>
            <w:tcW w:w="990" w:type="dxa"/>
            <w:tcBorders>
              <w:left w:val="single" w:sz="6" w:space="0" w:color="000000"/>
              <w:bottom w:val="nil"/>
            </w:tcBorders>
          </w:tcPr>
          <w:p>
            <w:pPr>
              <w:pStyle w:val="TableParagraph"/>
              <w:spacing w:line="256" w:lineRule="exact" w:before="58"/>
              <w:ind w:right="78"/>
              <w:jc w:val="right"/>
              <w:rPr>
                <w:sz w:val="23"/>
              </w:rPr>
            </w:pPr>
            <w:r>
              <w:rPr>
                <w:spacing w:val="-2"/>
                <w:sz w:val="23"/>
              </w:rPr>
              <w:t>1.85E-</w:t>
            </w:r>
          </w:p>
        </w:tc>
        <w:tc>
          <w:tcPr>
            <w:tcW w:w="987" w:type="dxa"/>
            <w:tcBorders>
              <w:bottom w:val="nil"/>
              <w:right w:val="single" w:sz="6" w:space="0" w:color="000000"/>
            </w:tcBorders>
          </w:tcPr>
          <w:p>
            <w:pPr>
              <w:pStyle w:val="TableParagraph"/>
              <w:spacing w:line="256" w:lineRule="exact" w:before="58"/>
              <w:ind w:right="73"/>
              <w:jc w:val="right"/>
              <w:rPr>
                <w:sz w:val="23"/>
              </w:rPr>
            </w:pPr>
            <w:r>
              <w:rPr>
                <w:spacing w:val="-2"/>
                <w:sz w:val="23"/>
              </w:rPr>
              <w:t>8.34E-</w:t>
            </w:r>
          </w:p>
        </w:tc>
        <w:tc>
          <w:tcPr>
            <w:tcW w:w="990" w:type="dxa"/>
            <w:tcBorders>
              <w:left w:val="single" w:sz="6" w:space="0" w:color="000000"/>
              <w:bottom w:val="nil"/>
            </w:tcBorders>
          </w:tcPr>
          <w:p>
            <w:pPr>
              <w:pStyle w:val="TableParagraph"/>
              <w:spacing w:line="256" w:lineRule="exact" w:before="58"/>
              <w:ind w:right="79"/>
              <w:jc w:val="right"/>
              <w:rPr>
                <w:sz w:val="23"/>
              </w:rPr>
            </w:pPr>
            <w:r>
              <w:rPr>
                <w:spacing w:val="-2"/>
                <w:sz w:val="23"/>
              </w:rPr>
              <w:t>1.85E-</w:t>
            </w:r>
          </w:p>
        </w:tc>
      </w:tr>
      <w:tr>
        <w:trPr>
          <w:trHeight w:val="291" w:hRule="atLeast"/>
        </w:trPr>
        <w:tc>
          <w:tcPr>
            <w:tcW w:w="959" w:type="dxa"/>
            <w:vMerge/>
            <w:tcBorders>
              <w:top w:val="nil"/>
              <w:left w:val="single" w:sz="6" w:space="0" w:color="000000"/>
              <w:right w:val="single" w:sz="6" w:space="0" w:color="000000"/>
            </w:tcBorders>
          </w:tcPr>
          <w:p>
            <w:pPr>
              <w:rPr>
                <w:sz w:val="2"/>
                <w:szCs w:val="2"/>
              </w:rPr>
            </w:pPr>
          </w:p>
        </w:tc>
        <w:tc>
          <w:tcPr>
            <w:tcW w:w="1058" w:type="dxa"/>
            <w:tcBorders>
              <w:top w:val="nil"/>
              <w:left w:val="single" w:sz="6" w:space="0" w:color="000000"/>
              <w:right w:val="single" w:sz="6" w:space="0" w:color="000000"/>
            </w:tcBorders>
          </w:tcPr>
          <w:p>
            <w:pPr>
              <w:pStyle w:val="TableParagraph"/>
              <w:spacing w:before="4"/>
              <w:ind w:left="120"/>
              <w:rPr>
                <w:sz w:val="23"/>
              </w:rPr>
            </w:pPr>
            <w:r>
              <w:rPr>
                <w:spacing w:val="-5"/>
                <w:sz w:val="23"/>
              </w:rPr>
              <w:t>Max</w:t>
            </w:r>
          </w:p>
        </w:tc>
        <w:tc>
          <w:tcPr>
            <w:tcW w:w="1532" w:type="dxa"/>
            <w:tcBorders>
              <w:top w:val="nil"/>
              <w:left w:val="single" w:sz="6" w:space="0" w:color="000000"/>
            </w:tcBorders>
          </w:tcPr>
          <w:p>
            <w:pPr>
              <w:pStyle w:val="TableParagraph"/>
              <w:spacing w:before="4"/>
              <w:ind w:right="88"/>
              <w:jc w:val="right"/>
              <w:rPr>
                <w:sz w:val="23"/>
              </w:rPr>
            </w:pPr>
            <w:r>
              <w:rPr>
                <w:spacing w:val="-2"/>
                <w:sz w:val="23"/>
              </w:rPr>
              <w:t>0.023</w:t>
            </w:r>
          </w:p>
        </w:tc>
        <w:tc>
          <w:tcPr>
            <w:tcW w:w="1525" w:type="dxa"/>
            <w:tcBorders>
              <w:top w:val="nil"/>
            </w:tcBorders>
          </w:tcPr>
          <w:p>
            <w:pPr>
              <w:pStyle w:val="TableParagraph"/>
              <w:spacing w:before="4"/>
              <w:ind w:right="98"/>
              <w:jc w:val="right"/>
              <w:rPr>
                <w:sz w:val="23"/>
              </w:rPr>
            </w:pPr>
            <w:r>
              <w:rPr>
                <w:sz w:val="23"/>
              </w:rPr>
              <w:t>6.57E-</w:t>
            </w:r>
            <w:r>
              <w:rPr>
                <w:spacing w:val="-5"/>
                <w:sz w:val="23"/>
              </w:rPr>
              <w:t>10</w:t>
            </w:r>
          </w:p>
        </w:tc>
        <w:tc>
          <w:tcPr>
            <w:tcW w:w="989" w:type="dxa"/>
            <w:tcBorders>
              <w:top w:val="nil"/>
            </w:tcBorders>
          </w:tcPr>
          <w:p>
            <w:pPr>
              <w:pStyle w:val="TableParagraph"/>
              <w:spacing w:before="4"/>
              <w:ind w:right="100"/>
              <w:jc w:val="right"/>
              <w:rPr>
                <w:sz w:val="23"/>
              </w:rPr>
            </w:pPr>
            <w:r>
              <w:rPr>
                <w:spacing w:val="-5"/>
                <w:sz w:val="23"/>
              </w:rPr>
              <w:t>10</w:t>
            </w:r>
          </w:p>
        </w:tc>
        <w:tc>
          <w:tcPr>
            <w:tcW w:w="987" w:type="dxa"/>
            <w:tcBorders>
              <w:top w:val="nil"/>
              <w:right w:val="single" w:sz="6" w:space="0" w:color="000000"/>
            </w:tcBorders>
          </w:tcPr>
          <w:p>
            <w:pPr>
              <w:pStyle w:val="TableParagraph"/>
              <w:spacing w:before="4"/>
              <w:ind w:right="92"/>
              <w:jc w:val="right"/>
              <w:rPr>
                <w:sz w:val="23"/>
              </w:rPr>
            </w:pPr>
            <w:r>
              <w:rPr>
                <w:spacing w:val="-5"/>
                <w:sz w:val="23"/>
              </w:rPr>
              <w:t>11</w:t>
            </w:r>
          </w:p>
        </w:tc>
        <w:tc>
          <w:tcPr>
            <w:tcW w:w="1321" w:type="dxa"/>
            <w:tcBorders>
              <w:top w:val="nil"/>
              <w:left w:val="single" w:sz="6" w:space="0" w:color="000000"/>
              <w:right w:val="single" w:sz="6" w:space="0" w:color="000000"/>
            </w:tcBorders>
          </w:tcPr>
          <w:p>
            <w:pPr>
              <w:pStyle w:val="TableParagraph"/>
              <w:spacing w:before="4"/>
              <w:ind w:right="95"/>
              <w:jc w:val="right"/>
              <w:rPr>
                <w:sz w:val="23"/>
              </w:rPr>
            </w:pPr>
            <w:r>
              <w:rPr>
                <w:spacing w:val="-5"/>
                <w:sz w:val="23"/>
              </w:rPr>
              <w:t>11</w:t>
            </w:r>
          </w:p>
        </w:tc>
        <w:tc>
          <w:tcPr>
            <w:tcW w:w="990" w:type="dxa"/>
            <w:tcBorders>
              <w:top w:val="nil"/>
              <w:left w:val="single" w:sz="6" w:space="0" w:color="000000"/>
            </w:tcBorders>
          </w:tcPr>
          <w:p>
            <w:pPr>
              <w:pStyle w:val="TableParagraph"/>
              <w:spacing w:before="4"/>
              <w:ind w:right="101"/>
              <w:jc w:val="right"/>
              <w:rPr>
                <w:sz w:val="23"/>
              </w:rPr>
            </w:pPr>
            <w:r>
              <w:rPr>
                <w:spacing w:val="-5"/>
                <w:sz w:val="23"/>
              </w:rPr>
              <w:t>07</w:t>
            </w:r>
          </w:p>
        </w:tc>
        <w:tc>
          <w:tcPr>
            <w:tcW w:w="987" w:type="dxa"/>
            <w:tcBorders>
              <w:top w:val="nil"/>
              <w:right w:val="single" w:sz="6" w:space="0" w:color="000000"/>
            </w:tcBorders>
          </w:tcPr>
          <w:p>
            <w:pPr>
              <w:pStyle w:val="TableParagraph"/>
              <w:spacing w:before="4"/>
              <w:ind w:right="95"/>
              <w:jc w:val="right"/>
              <w:rPr>
                <w:sz w:val="23"/>
              </w:rPr>
            </w:pPr>
            <w:r>
              <w:rPr>
                <w:spacing w:val="-5"/>
                <w:sz w:val="23"/>
              </w:rPr>
              <w:t>05</w:t>
            </w:r>
          </w:p>
        </w:tc>
        <w:tc>
          <w:tcPr>
            <w:tcW w:w="990" w:type="dxa"/>
            <w:tcBorders>
              <w:top w:val="nil"/>
              <w:left w:val="single" w:sz="6" w:space="0" w:color="000000"/>
            </w:tcBorders>
          </w:tcPr>
          <w:p>
            <w:pPr>
              <w:pStyle w:val="TableParagraph"/>
              <w:spacing w:before="4"/>
              <w:ind w:right="101"/>
              <w:jc w:val="right"/>
              <w:rPr>
                <w:sz w:val="23"/>
              </w:rPr>
            </w:pPr>
            <w:r>
              <w:rPr>
                <w:spacing w:val="-5"/>
                <w:sz w:val="23"/>
              </w:rPr>
              <w:t>07</w:t>
            </w:r>
          </w:p>
        </w:tc>
      </w:tr>
      <w:tr>
        <w:trPr>
          <w:trHeight w:val="334" w:hRule="atLeast"/>
        </w:trPr>
        <w:tc>
          <w:tcPr>
            <w:tcW w:w="959" w:type="dxa"/>
            <w:vMerge w:val="restart"/>
            <w:tcBorders>
              <w:left w:val="single" w:sz="6" w:space="0" w:color="000000"/>
              <w:bottom w:val="single" w:sz="6" w:space="0" w:color="000000"/>
              <w:right w:val="single" w:sz="6" w:space="0" w:color="000000"/>
            </w:tcBorders>
          </w:tcPr>
          <w:p>
            <w:pPr>
              <w:pStyle w:val="TableParagraph"/>
              <w:rPr>
                <w:sz w:val="22"/>
              </w:rPr>
            </w:pPr>
          </w:p>
        </w:tc>
        <w:tc>
          <w:tcPr>
            <w:tcW w:w="1058" w:type="dxa"/>
            <w:tcBorders>
              <w:left w:val="single" w:sz="6" w:space="0" w:color="000000"/>
              <w:bottom w:val="nil"/>
              <w:right w:val="single" w:sz="6" w:space="0" w:color="000000"/>
            </w:tcBorders>
          </w:tcPr>
          <w:p>
            <w:pPr>
              <w:pStyle w:val="TableParagraph"/>
              <w:rPr>
                <w:sz w:val="22"/>
              </w:rPr>
            </w:pPr>
          </w:p>
        </w:tc>
        <w:tc>
          <w:tcPr>
            <w:tcW w:w="1532" w:type="dxa"/>
            <w:tcBorders>
              <w:left w:val="single" w:sz="6" w:space="0" w:color="000000"/>
              <w:bottom w:val="nil"/>
            </w:tcBorders>
          </w:tcPr>
          <w:p>
            <w:pPr>
              <w:pStyle w:val="TableParagraph"/>
              <w:rPr>
                <w:sz w:val="22"/>
              </w:rPr>
            </w:pPr>
          </w:p>
        </w:tc>
        <w:tc>
          <w:tcPr>
            <w:tcW w:w="1525" w:type="dxa"/>
            <w:tcBorders>
              <w:bottom w:val="nil"/>
            </w:tcBorders>
          </w:tcPr>
          <w:p>
            <w:pPr>
              <w:pStyle w:val="TableParagraph"/>
              <w:rPr>
                <w:sz w:val="22"/>
              </w:rPr>
            </w:pPr>
          </w:p>
        </w:tc>
        <w:tc>
          <w:tcPr>
            <w:tcW w:w="989" w:type="dxa"/>
            <w:tcBorders>
              <w:bottom w:val="nil"/>
            </w:tcBorders>
          </w:tcPr>
          <w:p>
            <w:pPr>
              <w:pStyle w:val="TableParagraph"/>
              <w:spacing w:line="253" w:lineRule="exact" w:before="60"/>
              <w:ind w:right="78"/>
              <w:jc w:val="right"/>
              <w:rPr>
                <w:sz w:val="23"/>
              </w:rPr>
            </w:pPr>
            <w:r>
              <w:rPr>
                <w:spacing w:val="-2"/>
                <w:sz w:val="23"/>
              </w:rPr>
              <w:t>4.41E-</w:t>
            </w:r>
          </w:p>
        </w:tc>
        <w:tc>
          <w:tcPr>
            <w:tcW w:w="987" w:type="dxa"/>
            <w:tcBorders>
              <w:bottom w:val="nil"/>
              <w:right w:val="single" w:sz="6" w:space="0" w:color="000000"/>
            </w:tcBorders>
          </w:tcPr>
          <w:p>
            <w:pPr>
              <w:pStyle w:val="TableParagraph"/>
              <w:rPr>
                <w:sz w:val="22"/>
              </w:rPr>
            </w:pPr>
          </w:p>
        </w:tc>
        <w:tc>
          <w:tcPr>
            <w:tcW w:w="1321" w:type="dxa"/>
            <w:tcBorders>
              <w:left w:val="single" w:sz="6" w:space="0" w:color="000000"/>
              <w:bottom w:val="nil"/>
              <w:right w:val="single" w:sz="6" w:space="0" w:color="000000"/>
            </w:tcBorders>
          </w:tcPr>
          <w:p>
            <w:pPr>
              <w:pStyle w:val="TableParagraph"/>
              <w:spacing w:line="253" w:lineRule="exact" w:before="60"/>
              <w:ind w:left="433"/>
              <w:rPr>
                <w:sz w:val="23"/>
              </w:rPr>
            </w:pPr>
            <w:r>
              <w:rPr>
                <w:spacing w:val="-2"/>
                <w:sz w:val="23"/>
              </w:rPr>
              <w:t>1.02E-</w:t>
            </w:r>
          </w:p>
        </w:tc>
        <w:tc>
          <w:tcPr>
            <w:tcW w:w="990" w:type="dxa"/>
            <w:tcBorders>
              <w:left w:val="single" w:sz="6" w:space="0" w:color="000000"/>
              <w:bottom w:val="nil"/>
            </w:tcBorders>
          </w:tcPr>
          <w:p>
            <w:pPr>
              <w:pStyle w:val="TableParagraph"/>
              <w:spacing w:line="253" w:lineRule="exact" w:before="60"/>
              <w:ind w:right="78"/>
              <w:jc w:val="right"/>
              <w:rPr>
                <w:sz w:val="23"/>
              </w:rPr>
            </w:pPr>
            <w:r>
              <w:rPr>
                <w:spacing w:val="-2"/>
                <w:sz w:val="23"/>
              </w:rPr>
              <w:t>8.29E-</w:t>
            </w:r>
          </w:p>
        </w:tc>
        <w:tc>
          <w:tcPr>
            <w:tcW w:w="987" w:type="dxa"/>
            <w:tcBorders>
              <w:bottom w:val="nil"/>
              <w:right w:val="single" w:sz="6" w:space="0" w:color="000000"/>
            </w:tcBorders>
          </w:tcPr>
          <w:p>
            <w:pPr>
              <w:pStyle w:val="TableParagraph"/>
              <w:spacing w:line="253" w:lineRule="exact" w:before="60"/>
              <w:ind w:right="73"/>
              <w:jc w:val="right"/>
              <w:rPr>
                <w:sz w:val="23"/>
              </w:rPr>
            </w:pPr>
            <w:r>
              <w:rPr>
                <w:spacing w:val="-2"/>
                <w:sz w:val="23"/>
              </w:rPr>
              <w:t>3.73E-</w:t>
            </w:r>
          </w:p>
        </w:tc>
        <w:tc>
          <w:tcPr>
            <w:tcW w:w="990" w:type="dxa"/>
            <w:tcBorders>
              <w:left w:val="single" w:sz="6" w:space="0" w:color="000000"/>
              <w:bottom w:val="nil"/>
            </w:tcBorders>
          </w:tcPr>
          <w:p>
            <w:pPr>
              <w:pStyle w:val="TableParagraph"/>
              <w:spacing w:line="253" w:lineRule="exact" w:before="60"/>
              <w:ind w:right="79"/>
              <w:jc w:val="right"/>
              <w:rPr>
                <w:sz w:val="23"/>
              </w:rPr>
            </w:pPr>
            <w:r>
              <w:rPr>
                <w:spacing w:val="-2"/>
                <w:sz w:val="23"/>
              </w:rPr>
              <w:t>9.81E-</w:t>
            </w:r>
          </w:p>
        </w:tc>
      </w:tr>
      <w:tr>
        <w:trPr>
          <w:trHeight w:val="283" w:hRule="atLeast"/>
        </w:trPr>
        <w:tc>
          <w:tcPr>
            <w:tcW w:w="959" w:type="dxa"/>
            <w:vMerge/>
            <w:tcBorders>
              <w:top w:val="nil"/>
              <w:left w:val="single" w:sz="6" w:space="0" w:color="000000"/>
              <w:bottom w:val="single" w:sz="6" w:space="0" w:color="000000"/>
              <w:right w:val="single" w:sz="6" w:space="0" w:color="000000"/>
            </w:tcBorders>
          </w:tcPr>
          <w:p>
            <w:pPr>
              <w:rPr>
                <w:sz w:val="2"/>
                <w:szCs w:val="2"/>
              </w:rPr>
            </w:pPr>
          </w:p>
        </w:tc>
        <w:tc>
          <w:tcPr>
            <w:tcW w:w="1058" w:type="dxa"/>
            <w:tcBorders>
              <w:top w:val="nil"/>
              <w:left w:val="single" w:sz="6" w:space="0" w:color="000000"/>
              <w:bottom w:val="single" w:sz="6" w:space="0" w:color="000000"/>
              <w:right w:val="single" w:sz="6" w:space="0" w:color="000000"/>
            </w:tcBorders>
          </w:tcPr>
          <w:p>
            <w:pPr>
              <w:pStyle w:val="TableParagraph"/>
              <w:spacing w:line="261" w:lineRule="exact" w:before="2"/>
              <w:ind w:left="120"/>
              <w:rPr>
                <w:sz w:val="23"/>
              </w:rPr>
            </w:pPr>
            <w:r>
              <w:rPr>
                <w:spacing w:val="-4"/>
                <w:sz w:val="23"/>
              </w:rPr>
              <w:t>Mean</w:t>
            </w:r>
          </w:p>
        </w:tc>
        <w:tc>
          <w:tcPr>
            <w:tcW w:w="1532" w:type="dxa"/>
            <w:tcBorders>
              <w:top w:val="nil"/>
              <w:left w:val="single" w:sz="6" w:space="0" w:color="000000"/>
              <w:bottom w:val="single" w:sz="6" w:space="0" w:color="000000"/>
            </w:tcBorders>
          </w:tcPr>
          <w:p>
            <w:pPr>
              <w:pStyle w:val="TableParagraph"/>
              <w:spacing w:line="261" w:lineRule="exact" w:before="2"/>
              <w:ind w:right="88"/>
              <w:jc w:val="right"/>
              <w:rPr>
                <w:sz w:val="23"/>
              </w:rPr>
            </w:pPr>
            <w:r>
              <w:rPr>
                <w:spacing w:val="-2"/>
                <w:sz w:val="23"/>
              </w:rPr>
              <w:t>0.0103</w:t>
            </w:r>
          </w:p>
        </w:tc>
        <w:tc>
          <w:tcPr>
            <w:tcW w:w="1525" w:type="dxa"/>
            <w:tcBorders>
              <w:top w:val="nil"/>
              <w:bottom w:val="single" w:sz="6" w:space="0" w:color="000000"/>
            </w:tcBorders>
          </w:tcPr>
          <w:p>
            <w:pPr>
              <w:pStyle w:val="TableParagraph"/>
              <w:spacing w:line="261" w:lineRule="exact" w:before="2"/>
              <w:ind w:right="98"/>
              <w:jc w:val="right"/>
              <w:rPr>
                <w:sz w:val="23"/>
              </w:rPr>
            </w:pPr>
            <w:r>
              <w:rPr>
                <w:sz w:val="23"/>
              </w:rPr>
              <w:t>2.94E-</w:t>
            </w:r>
            <w:r>
              <w:rPr>
                <w:spacing w:val="-5"/>
                <w:sz w:val="23"/>
              </w:rPr>
              <w:t>10</w:t>
            </w:r>
          </w:p>
        </w:tc>
        <w:tc>
          <w:tcPr>
            <w:tcW w:w="989" w:type="dxa"/>
            <w:tcBorders>
              <w:top w:val="nil"/>
              <w:bottom w:val="single" w:sz="6" w:space="0" w:color="000000"/>
            </w:tcBorders>
          </w:tcPr>
          <w:p>
            <w:pPr>
              <w:pStyle w:val="TableParagraph"/>
              <w:spacing w:line="261" w:lineRule="exact" w:before="2"/>
              <w:ind w:right="100"/>
              <w:jc w:val="right"/>
              <w:rPr>
                <w:sz w:val="23"/>
              </w:rPr>
            </w:pPr>
            <w:r>
              <w:rPr>
                <w:spacing w:val="-5"/>
                <w:sz w:val="23"/>
              </w:rPr>
              <w:t>10</w:t>
            </w:r>
          </w:p>
        </w:tc>
        <w:tc>
          <w:tcPr>
            <w:tcW w:w="987" w:type="dxa"/>
            <w:tcBorders>
              <w:top w:val="nil"/>
              <w:bottom w:val="single" w:sz="6" w:space="0" w:color="000000"/>
              <w:right w:val="single" w:sz="6" w:space="0" w:color="000000"/>
            </w:tcBorders>
          </w:tcPr>
          <w:p>
            <w:pPr>
              <w:pStyle w:val="TableParagraph"/>
              <w:spacing w:line="261" w:lineRule="exact" w:before="2"/>
              <w:ind w:left="167"/>
              <w:rPr>
                <w:sz w:val="23"/>
              </w:rPr>
            </w:pPr>
            <w:r>
              <w:rPr>
                <w:sz w:val="23"/>
              </w:rPr>
              <w:t>9.8E-</w:t>
            </w:r>
            <w:r>
              <w:rPr>
                <w:spacing w:val="-5"/>
                <w:sz w:val="23"/>
              </w:rPr>
              <w:t>07</w:t>
            </w:r>
          </w:p>
        </w:tc>
        <w:tc>
          <w:tcPr>
            <w:tcW w:w="1321" w:type="dxa"/>
            <w:tcBorders>
              <w:top w:val="nil"/>
              <w:left w:val="single" w:sz="6" w:space="0" w:color="000000"/>
              <w:bottom w:val="single" w:sz="6" w:space="0" w:color="000000"/>
              <w:right w:val="single" w:sz="6" w:space="0" w:color="000000"/>
            </w:tcBorders>
          </w:tcPr>
          <w:p>
            <w:pPr>
              <w:pStyle w:val="TableParagraph"/>
              <w:spacing w:line="261" w:lineRule="exact" w:before="2"/>
              <w:ind w:right="95"/>
              <w:jc w:val="right"/>
              <w:rPr>
                <w:sz w:val="23"/>
              </w:rPr>
            </w:pPr>
            <w:r>
              <w:rPr>
                <w:spacing w:val="-5"/>
                <w:sz w:val="23"/>
              </w:rPr>
              <w:t>13</w:t>
            </w:r>
          </w:p>
        </w:tc>
        <w:tc>
          <w:tcPr>
            <w:tcW w:w="990" w:type="dxa"/>
            <w:tcBorders>
              <w:top w:val="nil"/>
              <w:left w:val="single" w:sz="6" w:space="0" w:color="000000"/>
              <w:bottom w:val="single" w:sz="6" w:space="0" w:color="000000"/>
            </w:tcBorders>
          </w:tcPr>
          <w:p>
            <w:pPr>
              <w:pStyle w:val="TableParagraph"/>
              <w:spacing w:line="261" w:lineRule="exact" w:before="2"/>
              <w:ind w:right="101"/>
              <w:jc w:val="right"/>
              <w:rPr>
                <w:sz w:val="23"/>
              </w:rPr>
            </w:pPr>
            <w:r>
              <w:rPr>
                <w:spacing w:val="-5"/>
                <w:sz w:val="23"/>
              </w:rPr>
              <w:t>10</w:t>
            </w:r>
          </w:p>
        </w:tc>
        <w:tc>
          <w:tcPr>
            <w:tcW w:w="987" w:type="dxa"/>
            <w:tcBorders>
              <w:top w:val="nil"/>
              <w:bottom w:val="single" w:sz="6" w:space="0" w:color="000000"/>
              <w:right w:val="single" w:sz="6" w:space="0" w:color="000000"/>
            </w:tcBorders>
          </w:tcPr>
          <w:p>
            <w:pPr>
              <w:pStyle w:val="TableParagraph"/>
              <w:spacing w:line="261" w:lineRule="exact" w:before="2"/>
              <w:ind w:right="95"/>
              <w:jc w:val="right"/>
              <w:rPr>
                <w:sz w:val="23"/>
              </w:rPr>
            </w:pPr>
            <w:r>
              <w:rPr>
                <w:spacing w:val="-5"/>
                <w:sz w:val="23"/>
              </w:rPr>
              <w:t>07</w:t>
            </w:r>
          </w:p>
        </w:tc>
        <w:tc>
          <w:tcPr>
            <w:tcW w:w="990" w:type="dxa"/>
            <w:tcBorders>
              <w:top w:val="nil"/>
              <w:left w:val="single" w:sz="6" w:space="0" w:color="000000"/>
              <w:bottom w:val="single" w:sz="6" w:space="0" w:color="000000"/>
            </w:tcBorders>
          </w:tcPr>
          <w:p>
            <w:pPr>
              <w:pStyle w:val="TableParagraph"/>
              <w:spacing w:line="261" w:lineRule="exact" w:before="2"/>
              <w:ind w:right="101"/>
              <w:jc w:val="right"/>
              <w:rPr>
                <w:sz w:val="23"/>
              </w:rPr>
            </w:pPr>
            <w:r>
              <w:rPr>
                <w:spacing w:val="-5"/>
                <w:sz w:val="23"/>
              </w:rPr>
              <w:t>07</w:t>
            </w:r>
          </w:p>
        </w:tc>
      </w:tr>
    </w:tbl>
    <w:p>
      <w:pPr>
        <w:pStyle w:val="TableParagraph"/>
        <w:spacing w:after="0" w:line="261" w:lineRule="exact"/>
        <w:jc w:val="right"/>
        <w:rPr>
          <w:sz w:val="23"/>
        </w:rPr>
        <w:sectPr>
          <w:pgSz w:w="12240" w:h="15840"/>
          <w:pgMar w:header="0" w:footer="1674" w:top="1460" w:bottom="1860" w:left="360" w:right="0"/>
        </w:sectPr>
      </w:pPr>
    </w:p>
    <w:p>
      <w:pPr>
        <w:pStyle w:val="Heading1"/>
        <w:numPr>
          <w:ilvl w:val="2"/>
          <w:numId w:val="7"/>
        </w:numPr>
        <w:tabs>
          <w:tab w:pos="1728" w:val="left" w:leader="none"/>
        </w:tabs>
        <w:spacing w:line="487" w:lineRule="auto" w:before="70" w:after="0"/>
        <w:ind w:left="1155" w:right="1888" w:firstLine="0"/>
        <w:jc w:val="left"/>
      </w:pPr>
      <w:r>
        <w:rPr/>
        <w:t>CARCINOGENIC AND NON-CARCINOGENIC RISK ASSESSMENT OF SOIL</w:t>
      </w:r>
      <w:r>
        <w:rPr>
          <w:spacing w:val="-4"/>
        </w:rPr>
        <w:t> </w:t>
      </w:r>
      <w:r>
        <w:rPr/>
        <w:t>SAMPLES</w:t>
      </w:r>
    </w:p>
    <w:p>
      <w:pPr>
        <w:pStyle w:val="BodyText"/>
        <w:spacing w:line="491" w:lineRule="auto" w:before="174"/>
        <w:ind w:left="1167" w:right="1896" w:hanging="13"/>
      </w:pPr>
      <w:r>
        <w:rPr/>
        <w:t>Between the two exposure pathways considered (ingestion and dermal contact), the ingestion route showed higher average daily intake (ADI) values for all elements. The trend observed was As &lt; Cd &lt; Cr &lt; Co &lt; Pb, with Lead (Pb) having the highest</w:t>
      </w:r>
      <w:r>
        <w:rPr>
          <w:spacing w:val="-2"/>
        </w:rPr>
        <w:t> </w:t>
      </w:r>
      <w:r>
        <w:rPr/>
        <w:t>ADI (5.5E-06) and Arsenic (As) the lowest (1.51E-06). In contrast, the dermal pathway followed a different trend: Co &lt; Pb &lt;</w:t>
      </w:r>
      <w:r>
        <w:rPr>
          <w:spacing w:val="-11"/>
        </w:rPr>
        <w:t> </w:t>
      </w:r>
      <w:r>
        <w:rPr/>
        <w:t>As &lt; Cr &lt; Cd, with Cadmium (Cd) recording the highest ADIderm (7.52E-07) and Cobalt (Co) the lowest (1.19E-08).</w:t>
      </w:r>
    </w:p>
    <w:p>
      <w:pPr>
        <w:pStyle w:val="BodyText"/>
        <w:spacing w:line="491" w:lineRule="auto" w:before="168"/>
        <w:ind w:left="1167" w:right="1896" w:hanging="13"/>
      </w:pPr>
      <w:r>
        <w:rPr/>
        <w:t>Hazard Index (HI) values for all elements in the soil were below or equal to 1.0 (HI≤1), indicating no significant non-carcinogenic health risks, in line with the USEPA (2001) guidelines. Similarly, cancer risk values via the ingestion pathway were below 1.0E-06, suggesting no significant carcinogenic threat. However, in the dermal exposure</w:t>
      </w:r>
      <w:r>
        <w:rPr>
          <w:spacing w:val="80"/>
          <w:w w:val="150"/>
        </w:rPr>
        <w:t> </w:t>
      </w:r>
      <w:r>
        <w:rPr/>
        <w:t>pathway, Arsenic presented a mean cancer risk value of 6.59E-01, which exceeds the acceptable threshold (1.0E-06–1.0E-04). This finding highlights a substantial carcinogenic</w:t>
      </w:r>
      <w:r>
        <w:rPr>
          <w:spacing w:val="32"/>
        </w:rPr>
        <w:t> </w:t>
      </w:r>
      <w:r>
        <w:rPr/>
        <w:t>risk</w:t>
      </w:r>
      <w:r>
        <w:rPr>
          <w:spacing w:val="32"/>
        </w:rPr>
        <w:t> </w:t>
      </w:r>
      <w:r>
        <w:rPr/>
        <w:t>from</w:t>
      </w:r>
      <w:r>
        <w:rPr>
          <w:spacing w:val="32"/>
        </w:rPr>
        <w:t> </w:t>
      </w:r>
      <w:r>
        <w:rPr/>
        <w:t>dermal</w:t>
      </w:r>
      <w:r>
        <w:rPr>
          <w:spacing w:val="32"/>
        </w:rPr>
        <w:t> </w:t>
      </w:r>
      <w:r>
        <w:rPr/>
        <w:t>contact</w:t>
      </w:r>
      <w:r>
        <w:rPr>
          <w:spacing w:val="32"/>
        </w:rPr>
        <w:t> </w:t>
      </w:r>
      <w:r>
        <w:rPr/>
        <w:t>with Arsenic-contaminated</w:t>
      </w:r>
      <w:r>
        <w:rPr>
          <w:spacing w:val="32"/>
        </w:rPr>
        <w:t> </w:t>
      </w:r>
      <w:r>
        <w:rPr/>
        <w:t>soil</w:t>
      </w:r>
      <w:r>
        <w:rPr>
          <w:spacing w:val="32"/>
        </w:rPr>
        <w:t> </w:t>
      </w:r>
      <w:r>
        <w:rPr/>
        <w:t>in</w:t>
      </w:r>
      <w:r>
        <w:rPr>
          <w:spacing w:val="32"/>
        </w:rPr>
        <w:t> </w:t>
      </w:r>
      <w:r>
        <w:rPr/>
        <w:t>the</w:t>
      </w:r>
      <w:r>
        <w:rPr>
          <w:spacing w:val="32"/>
        </w:rPr>
        <w:t> </w:t>
      </w:r>
      <w:r>
        <w:rPr/>
        <w:t>study</w:t>
      </w:r>
      <w:r>
        <w:rPr/>
        <w:t> </w:t>
      </w:r>
      <w:r>
        <w:rPr>
          <w:spacing w:val="-2"/>
        </w:rPr>
        <w:t>area.</w:t>
      </w:r>
    </w:p>
    <w:p>
      <w:pPr>
        <w:pStyle w:val="BodyText"/>
        <w:spacing w:after="0" w:line="491" w:lineRule="auto"/>
        <w:sectPr>
          <w:pgSz w:w="12240" w:h="15840"/>
          <w:pgMar w:header="0" w:footer="1674" w:top="1780" w:bottom="1860" w:left="360" w:right="0"/>
        </w:sectPr>
      </w:pPr>
    </w:p>
    <w:p>
      <w:pPr>
        <w:spacing w:before="74"/>
        <w:ind w:left="1173" w:right="0" w:firstLine="0"/>
        <w:jc w:val="left"/>
        <w:rPr>
          <w:sz w:val="25"/>
        </w:rPr>
      </w:pPr>
      <w:r>
        <w:rPr>
          <w:b/>
          <w:sz w:val="25"/>
        </w:rPr>
        <w:t>Table</w:t>
      </w:r>
      <w:r>
        <w:rPr>
          <w:b/>
          <w:spacing w:val="8"/>
          <w:sz w:val="25"/>
        </w:rPr>
        <w:t> </w:t>
      </w:r>
      <w:r>
        <w:rPr>
          <w:b/>
          <w:sz w:val="25"/>
        </w:rPr>
        <w:t>4.5:</w:t>
      </w:r>
      <w:r>
        <w:rPr>
          <w:b/>
          <w:spacing w:val="7"/>
          <w:sz w:val="25"/>
        </w:rPr>
        <w:t> </w:t>
      </w:r>
      <w:r>
        <w:rPr>
          <w:sz w:val="25"/>
        </w:rPr>
        <w:t>Human</w:t>
      </w:r>
      <w:r>
        <w:rPr>
          <w:spacing w:val="8"/>
          <w:sz w:val="25"/>
        </w:rPr>
        <w:t> </w:t>
      </w:r>
      <w:r>
        <w:rPr>
          <w:sz w:val="25"/>
        </w:rPr>
        <w:t>risk</w:t>
      </w:r>
      <w:r>
        <w:rPr>
          <w:spacing w:val="9"/>
          <w:sz w:val="25"/>
        </w:rPr>
        <w:t> </w:t>
      </w:r>
      <w:r>
        <w:rPr>
          <w:sz w:val="25"/>
        </w:rPr>
        <w:t>estimation</w:t>
      </w:r>
      <w:r>
        <w:rPr>
          <w:spacing w:val="8"/>
          <w:sz w:val="25"/>
        </w:rPr>
        <w:t> </w:t>
      </w:r>
      <w:r>
        <w:rPr>
          <w:sz w:val="25"/>
        </w:rPr>
        <w:t>for</w:t>
      </w:r>
      <w:r>
        <w:rPr>
          <w:spacing w:val="7"/>
          <w:sz w:val="25"/>
        </w:rPr>
        <w:t> </w:t>
      </w:r>
      <w:r>
        <w:rPr>
          <w:sz w:val="25"/>
        </w:rPr>
        <w:t>soil</w:t>
      </w:r>
      <w:r>
        <w:rPr>
          <w:spacing w:val="9"/>
          <w:sz w:val="25"/>
        </w:rPr>
        <w:t> </w:t>
      </w:r>
      <w:r>
        <w:rPr>
          <w:spacing w:val="-2"/>
          <w:sz w:val="25"/>
        </w:rPr>
        <w:t>samples</w:t>
      </w:r>
    </w:p>
    <w:p>
      <w:pPr>
        <w:pStyle w:val="BodyText"/>
        <w:rPr>
          <w:sz w:val="20"/>
        </w:rPr>
      </w:pPr>
    </w:p>
    <w:p>
      <w:pPr>
        <w:pStyle w:val="BodyText"/>
        <w:spacing w:before="110" w:after="1"/>
        <w:rPr>
          <w:sz w:val="20"/>
        </w:rPr>
      </w:pPr>
    </w:p>
    <w:tbl>
      <w:tblPr>
        <w:tblW w:w="0" w:type="auto"/>
        <w:jc w:val="left"/>
        <w:tblInd w:w="9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34"/>
        <w:gridCol w:w="1068"/>
        <w:gridCol w:w="1548"/>
        <w:gridCol w:w="1132"/>
        <w:gridCol w:w="1069"/>
        <w:gridCol w:w="1288"/>
        <w:gridCol w:w="1013"/>
        <w:gridCol w:w="1006"/>
        <w:gridCol w:w="1367"/>
        <w:gridCol w:w="383"/>
      </w:tblGrid>
      <w:tr>
        <w:trPr>
          <w:trHeight w:val="925" w:hRule="atLeast"/>
        </w:trPr>
        <w:tc>
          <w:tcPr>
            <w:tcW w:w="834" w:type="dxa"/>
            <w:tcBorders>
              <w:left w:val="single" w:sz="6" w:space="0" w:color="000000"/>
              <w:right w:val="single" w:sz="6" w:space="0" w:color="000000"/>
            </w:tcBorders>
          </w:tcPr>
          <w:p>
            <w:pPr>
              <w:pStyle w:val="TableParagraph"/>
              <w:spacing w:before="58"/>
              <w:rPr>
                <w:sz w:val="23"/>
              </w:rPr>
            </w:pPr>
          </w:p>
          <w:p>
            <w:pPr>
              <w:pStyle w:val="TableParagraph"/>
              <w:spacing w:line="290" w:lineRule="atLeast" w:before="1"/>
              <w:ind w:left="110"/>
              <w:rPr>
                <w:sz w:val="23"/>
              </w:rPr>
            </w:pPr>
            <w:r>
              <w:rPr>
                <w:spacing w:val="-2"/>
                <w:sz w:val="23"/>
              </w:rPr>
              <w:t>Heavy Metal</w:t>
            </w:r>
          </w:p>
        </w:tc>
        <w:tc>
          <w:tcPr>
            <w:tcW w:w="1068" w:type="dxa"/>
            <w:tcBorders>
              <w:left w:val="single" w:sz="6" w:space="0" w:color="000000"/>
            </w:tcBorders>
          </w:tcPr>
          <w:p>
            <w:pPr>
              <w:pStyle w:val="TableParagraph"/>
              <w:rPr>
                <w:sz w:val="23"/>
              </w:rPr>
            </w:pPr>
          </w:p>
          <w:p>
            <w:pPr>
              <w:pStyle w:val="TableParagraph"/>
              <w:spacing w:before="110"/>
              <w:rPr>
                <w:sz w:val="23"/>
              </w:rPr>
            </w:pPr>
          </w:p>
          <w:p>
            <w:pPr>
              <w:pStyle w:val="TableParagraph"/>
              <w:ind w:left="110"/>
              <w:rPr>
                <w:sz w:val="23"/>
              </w:rPr>
            </w:pPr>
            <w:r>
              <w:rPr>
                <w:spacing w:val="-2"/>
                <w:sz w:val="23"/>
              </w:rPr>
              <w:t>Statistics</w:t>
            </w:r>
          </w:p>
        </w:tc>
        <w:tc>
          <w:tcPr>
            <w:tcW w:w="1548" w:type="dxa"/>
          </w:tcPr>
          <w:p>
            <w:pPr>
              <w:pStyle w:val="TableParagraph"/>
              <w:spacing w:before="58"/>
              <w:rPr>
                <w:sz w:val="23"/>
              </w:rPr>
            </w:pPr>
          </w:p>
          <w:p>
            <w:pPr>
              <w:pStyle w:val="TableParagraph"/>
              <w:spacing w:line="290" w:lineRule="atLeast" w:before="1"/>
              <w:ind w:left="123"/>
              <w:rPr>
                <w:sz w:val="23"/>
              </w:rPr>
            </w:pPr>
            <w:r>
              <w:rPr>
                <w:spacing w:val="-2"/>
                <w:sz w:val="23"/>
              </w:rPr>
              <w:t>Concentration (Soil)</w:t>
            </w:r>
          </w:p>
        </w:tc>
        <w:tc>
          <w:tcPr>
            <w:tcW w:w="1132" w:type="dxa"/>
          </w:tcPr>
          <w:p>
            <w:pPr>
              <w:pStyle w:val="TableParagraph"/>
              <w:rPr>
                <w:sz w:val="23"/>
              </w:rPr>
            </w:pPr>
          </w:p>
          <w:p>
            <w:pPr>
              <w:pStyle w:val="TableParagraph"/>
              <w:spacing w:before="110"/>
              <w:rPr>
                <w:sz w:val="23"/>
              </w:rPr>
            </w:pPr>
          </w:p>
          <w:p>
            <w:pPr>
              <w:pStyle w:val="TableParagraph"/>
              <w:ind w:left="28"/>
              <w:jc w:val="center"/>
              <w:rPr>
                <w:sz w:val="23"/>
              </w:rPr>
            </w:pPr>
            <w:r>
              <w:rPr>
                <w:spacing w:val="-2"/>
                <w:sz w:val="23"/>
              </w:rPr>
              <w:t>ADI(soil)</w:t>
            </w:r>
          </w:p>
        </w:tc>
        <w:tc>
          <w:tcPr>
            <w:tcW w:w="1069" w:type="dxa"/>
            <w:tcBorders>
              <w:right w:val="single" w:sz="6" w:space="0" w:color="000000"/>
            </w:tcBorders>
          </w:tcPr>
          <w:p>
            <w:pPr>
              <w:pStyle w:val="TableParagraph"/>
              <w:spacing w:line="290" w:lineRule="atLeast" w:before="32"/>
              <w:ind w:left="123" w:right="20"/>
              <w:rPr>
                <w:sz w:val="23"/>
              </w:rPr>
            </w:pPr>
            <w:r>
              <w:rPr>
                <w:spacing w:val="-2"/>
                <w:sz w:val="23"/>
              </w:rPr>
              <w:t>cancer </w:t>
            </w:r>
            <w:r>
              <w:rPr>
                <w:sz w:val="23"/>
              </w:rPr>
              <w:t>risk</w:t>
            </w:r>
            <w:r>
              <w:rPr>
                <w:spacing w:val="-15"/>
                <w:sz w:val="23"/>
              </w:rPr>
              <w:t> </w:t>
            </w:r>
            <w:r>
              <w:rPr>
                <w:sz w:val="23"/>
              </w:rPr>
              <w:t>Ing </w:t>
            </w:r>
            <w:r>
              <w:rPr>
                <w:spacing w:val="-4"/>
                <w:sz w:val="23"/>
              </w:rPr>
              <w:t>soil</w:t>
            </w:r>
          </w:p>
        </w:tc>
        <w:tc>
          <w:tcPr>
            <w:tcW w:w="1288" w:type="dxa"/>
            <w:tcBorders>
              <w:left w:val="single" w:sz="6" w:space="0" w:color="000000"/>
            </w:tcBorders>
          </w:tcPr>
          <w:p>
            <w:pPr>
              <w:pStyle w:val="TableParagraph"/>
              <w:rPr>
                <w:sz w:val="23"/>
              </w:rPr>
            </w:pPr>
          </w:p>
          <w:p>
            <w:pPr>
              <w:pStyle w:val="TableParagraph"/>
              <w:spacing w:before="110"/>
              <w:rPr>
                <w:sz w:val="23"/>
              </w:rPr>
            </w:pPr>
          </w:p>
          <w:p>
            <w:pPr>
              <w:pStyle w:val="TableParagraph"/>
              <w:ind w:left="121"/>
              <w:rPr>
                <w:sz w:val="23"/>
              </w:rPr>
            </w:pPr>
            <w:r>
              <w:rPr>
                <w:spacing w:val="-2"/>
                <w:sz w:val="23"/>
              </w:rPr>
              <w:t>Hqing</w:t>
            </w:r>
          </w:p>
        </w:tc>
        <w:tc>
          <w:tcPr>
            <w:tcW w:w="1013" w:type="dxa"/>
            <w:tcBorders>
              <w:right w:val="single" w:sz="6" w:space="0" w:color="000000"/>
            </w:tcBorders>
          </w:tcPr>
          <w:p>
            <w:pPr>
              <w:pStyle w:val="TableParagraph"/>
              <w:spacing w:before="53"/>
              <w:ind w:left="120"/>
              <w:rPr>
                <w:sz w:val="23"/>
              </w:rPr>
            </w:pPr>
            <w:r>
              <w:rPr>
                <w:spacing w:val="-5"/>
                <w:sz w:val="23"/>
              </w:rPr>
              <w:t>ADI</w:t>
            </w:r>
          </w:p>
          <w:p>
            <w:pPr>
              <w:pStyle w:val="TableParagraph"/>
              <w:spacing w:line="242" w:lineRule="auto" w:before="1"/>
              <w:ind w:left="120"/>
              <w:rPr>
                <w:sz w:val="23"/>
              </w:rPr>
            </w:pPr>
            <w:r>
              <w:rPr>
                <w:spacing w:val="-2"/>
                <w:sz w:val="23"/>
              </w:rPr>
              <w:t>(derm soil)</w:t>
            </w:r>
          </w:p>
        </w:tc>
        <w:tc>
          <w:tcPr>
            <w:tcW w:w="1006" w:type="dxa"/>
            <w:tcBorders>
              <w:left w:val="single" w:sz="6" w:space="0" w:color="000000"/>
              <w:right w:val="single" w:sz="6" w:space="0" w:color="000000"/>
            </w:tcBorders>
          </w:tcPr>
          <w:p>
            <w:pPr>
              <w:pStyle w:val="TableParagraph"/>
              <w:rPr>
                <w:sz w:val="23"/>
              </w:rPr>
            </w:pPr>
          </w:p>
          <w:p>
            <w:pPr>
              <w:pStyle w:val="TableParagraph"/>
              <w:spacing w:before="110"/>
              <w:rPr>
                <w:sz w:val="23"/>
              </w:rPr>
            </w:pPr>
          </w:p>
          <w:p>
            <w:pPr>
              <w:pStyle w:val="TableParagraph"/>
              <w:ind w:left="117"/>
              <w:rPr>
                <w:sz w:val="23"/>
              </w:rPr>
            </w:pPr>
            <w:r>
              <w:rPr>
                <w:spacing w:val="-2"/>
                <w:sz w:val="23"/>
              </w:rPr>
              <w:t>Hqderm</w:t>
            </w:r>
          </w:p>
        </w:tc>
        <w:tc>
          <w:tcPr>
            <w:tcW w:w="1367" w:type="dxa"/>
            <w:tcBorders>
              <w:left w:val="single" w:sz="6" w:space="0" w:color="000000"/>
            </w:tcBorders>
          </w:tcPr>
          <w:p>
            <w:pPr>
              <w:pStyle w:val="TableParagraph"/>
              <w:spacing w:before="58"/>
              <w:rPr>
                <w:sz w:val="23"/>
              </w:rPr>
            </w:pPr>
          </w:p>
          <w:p>
            <w:pPr>
              <w:pStyle w:val="TableParagraph"/>
              <w:spacing w:line="290" w:lineRule="atLeast" w:before="1"/>
              <w:ind w:left="119" w:right="-15"/>
              <w:rPr>
                <w:sz w:val="23"/>
              </w:rPr>
            </w:pPr>
            <w:r>
              <w:rPr>
                <w:sz w:val="23"/>
              </w:rPr>
              <w:t>Cancer</w:t>
            </w:r>
            <w:r>
              <w:rPr>
                <w:spacing w:val="79"/>
                <w:sz w:val="23"/>
              </w:rPr>
              <w:t> </w:t>
            </w:r>
            <w:r>
              <w:rPr>
                <w:sz w:val="23"/>
              </w:rPr>
              <w:t>Risk Derm water</w:t>
            </w:r>
          </w:p>
        </w:tc>
        <w:tc>
          <w:tcPr>
            <w:tcW w:w="383" w:type="dxa"/>
            <w:tcBorders>
              <w:right w:val="nil"/>
            </w:tcBorders>
          </w:tcPr>
          <w:p>
            <w:pPr>
              <w:pStyle w:val="TableParagraph"/>
              <w:spacing w:before="24"/>
              <w:rPr>
                <w:sz w:val="25"/>
              </w:rPr>
            </w:pPr>
          </w:p>
          <w:p>
            <w:pPr>
              <w:pStyle w:val="TableParagraph"/>
              <w:spacing w:before="1"/>
              <w:ind w:left="111" w:right="-15"/>
              <w:rPr>
                <w:sz w:val="25"/>
              </w:rPr>
            </w:pPr>
            <w:r>
              <w:rPr>
                <w:spacing w:val="-5"/>
                <w:sz w:val="25"/>
              </w:rPr>
              <w:t>HI</w:t>
            </w:r>
          </w:p>
        </w:tc>
      </w:tr>
      <w:tr>
        <w:trPr>
          <w:trHeight w:val="635" w:hRule="atLeast"/>
        </w:trPr>
        <w:tc>
          <w:tcPr>
            <w:tcW w:w="834" w:type="dxa"/>
            <w:tcBorders>
              <w:left w:val="single" w:sz="6" w:space="0" w:color="000000"/>
              <w:right w:val="single" w:sz="6" w:space="0" w:color="000000"/>
            </w:tcBorders>
          </w:tcPr>
          <w:p>
            <w:pPr>
              <w:pStyle w:val="TableParagraph"/>
              <w:spacing w:before="84"/>
              <w:rPr>
                <w:sz w:val="23"/>
              </w:rPr>
            </w:pPr>
          </w:p>
          <w:p>
            <w:pPr>
              <w:pStyle w:val="TableParagraph"/>
              <w:ind w:left="110"/>
              <w:rPr>
                <w:sz w:val="23"/>
              </w:rPr>
            </w:pPr>
            <w:r>
              <w:rPr>
                <w:spacing w:val="-5"/>
                <w:sz w:val="23"/>
              </w:rPr>
              <w:t>Pb</w:t>
            </w:r>
          </w:p>
        </w:tc>
        <w:tc>
          <w:tcPr>
            <w:tcW w:w="1068" w:type="dxa"/>
            <w:tcBorders>
              <w:left w:val="single" w:sz="6" w:space="0" w:color="000000"/>
            </w:tcBorders>
          </w:tcPr>
          <w:p>
            <w:pPr>
              <w:pStyle w:val="TableParagraph"/>
              <w:spacing w:before="84"/>
              <w:rPr>
                <w:sz w:val="23"/>
              </w:rPr>
            </w:pPr>
          </w:p>
          <w:p>
            <w:pPr>
              <w:pStyle w:val="TableParagraph"/>
              <w:ind w:left="110"/>
              <w:rPr>
                <w:sz w:val="23"/>
              </w:rPr>
            </w:pPr>
            <w:r>
              <w:rPr>
                <w:spacing w:val="-5"/>
                <w:sz w:val="23"/>
              </w:rPr>
              <w:t>Min</w:t>
            </w:r>
          </w:p>
        </w:tc>
        <w:tc>
          <w:tcPr>
            <w:tcW w:w="1548" w:type="dxa"/>
          </w:tcPr>
          <w:p>
            <w:pPr>
              <w:pStyle w:val="TableParagraph"/>
              <w:spacing w:before="35"/>
              <w:rPr>
                <w:sz w:val="25"/>
              </w:rPr>
            </w:pPr>
          </w:p>
          <w:p>
            <w:pPr>
              <w:pStyle w:val="TableParagraph"/>
              <w:ind w:right="88"/>
              <w:jc w:val="right"/>
              <w:rPr>
                <w:sz w:val="25"/>
              </w:rPr>
            </w:pPr>
            <w:r>
              <w:rPr>
                <w:spacing w:val="-4"/>
                <w:sz w:val="25"/>
              </w:rPr>
              <w:t>0.78</w:t>
            </w:r>
          </w:p>
        </w:tc>
        <w:tc>
          <w:tcPr>
            <w:tcW w:w="1132" w:type="dxa"/>
          </w:tcPr>
          <w:p>
            <w:pPr>
              <w:pStyle w:val="TableParagraph"/>
              <w:spacing w:before="84"/>
              <w:rPr>
                <w:sz w:val="23"/>
              </w:rPr>
            </w:pPr>
          </w:p>
          <w:p>
            <w:pPr>
              <w:pStyle w:val="TableParagraph"/>
              <w:ind w:left="104"/>
              <w:jc w:val="center"/>
              <w:rPr>
                <w:sz w:val="23"/>
              </w:rPr>
            </w:pPr>
            <w:r>
              <w:rPr>
                <w:sz w:val="23"/>
              </w:rPr>
              <w:t>1.11E-</w:t>
            </w:r>
            <w:r>
              <w:rPr>
                <w:spacing w:val="-5"/>
                <w:sz w:val="23"/>
              </w:rPr>
              <w:t>06</w:t>
            </w:r>
          </w:p>
        </w:tc>
        <w:tc>
          <w:tcPr>
            <w:tcW w:w="1069" w:type="dxa"/>
            <w:tcBorders>
              <w:right w:val="single" w:sz="6" w:space="0" w:color="000000"/>
            </w:tcBorders>
          </w:tcPr>
          <w:p>
            <w:pPr>
              <w:pStyle w:val="TableParagraph"/>
              <w:spacing w:before="58"/>
              <w:ind w:right="84"/>
              <w:jc w:val="right"/>
              <w:rPr>
                <w:sz w:val="23"/>
              </w:rPr>
            </w:pPr>
            <w:r>
              <w:rPr>
                <w:spacing w:val="-2"/>
                <w:sz w:val="23"/>
              </w:rPr>
              <w:t>9.44E-</w:t>
            </w:r>
          </w:p>
          <w:p>
            <w:pPr>
              <w:pStyle w:val="TableParagraph"/>
              <w:spacing w:before="26"/>
              <w:ind w:right="96"/>
              <w:jc w:val="right"/>
              <w:rPr>
                <w:sz w:val="23"/>
              </w:rPr>
            </w:pPr>
            <w:r>
              <w:rPr>
                <w:spacing w:val="-5"/>
                <w:sz w:val="23"/>
              </w:rPr>
              <w:t>09</w:t>
            </w:r>
          </w:p>
        </w:tc>
        <w:tc>
          <w:tcPr>
            <w:tcW w:w="1288" w:type="dxa"/>
            <w:tcBorders>
              <w:left w:val="single" w:sz="6" w:space="0" w:color="000000"/>
            </w:tcBorders>
          </w:tcPr>
          <w:p>
            <w:pPr>
              <w:pStyle w:val="TableParagraph"/>
              <w:spacing w:before="84"/>
              <w:rPr>
                <w:sz w:val="23"/>
              </w:rPr>
            </w:pPr>
          </w:p>
          <w:p>
            <w:pPr>
              <w:pStyle w:val="TableParagraph"/>
              <w:ind w:right="99"/>
              <w:jc w:val="right"/>
              <w:rPr>
                <w:sz w:val="23"/>
              </w:rPr>
            </w:pPr>
            <w:r>
              <w:rPr>
                <w:sz w:val="23"/>
              </w:rPr>
              <w:t>3.17E-</w:t>
            </w:r>
            <w:r>
              <w:rPr>
                <w:spacing w:val="-5"/>
                <w:sz w:val="23"/>
              </w:rPr>
              <w:t>04</w:t>
            </w:r>
          </w:p>
        </w:tc>
        <w:tc>
          <w:tcPr>
            <w:tcW w:w="1013" w:type="dxa"/>
            <w:tcBorders>
              <w:right w:val="single" w:sz="6" w:space="0" w:color="000000"/>
            </w:tcBorders>
          </w:tcPr>
          <w:p>
            <w:pPr>
              <w:pStyle w:val="TableParagraph"/>
              <w:spacing w:before="58"/>
              <w:ind w:right="82"/>
              <w:jc w:val="right"/>
              <w:rPr>
                <w:sz w:val="23"/>
              </w:rPr>
            </w:pPr>
            <w:r>
              <w:rPr>
                <w:spacing w:val="-2"/>
                <w:sz w:val="23"/>
              </w:rPr>
              <w:t>2.67E-</w:t>
            </w:r>
          </w:p>
          <w:p>
            <w:pPr>
              <w:pStyle w:val="TableParagraph"/>
              <w:spacing w:before="26"/>
              <w:ind w:right="87"/>
              <w:jc w:val="right"/>
              <w:rPr>
                <w:sz w:val="23"/>
              </w:rPr>
            </w:pPr>
            <w:r>
              <w:rPr>
                <w:spacing w:val="-5"/>
                <w:sz w:val="23"/>
              </w:rPr>
              <w:t>08</w:t>
            </w:r>
          </w:p>
        </w:tc>
        <w:tc>
          <w:tcPr>
            <w:tcW w:w="1006" w:type="dxa"/>
            <w:tcBorders>
              <w:left w:val="single" w:sz="6" w:space="0" w:color="000000"/>
              <w:right w:val="single" w:sz="6" w:space="0" w:color="000000"/>
            </w:tcBorders>
          </w:tcPr>
          <w:p>
            <w:pPr>
              <w:pStyle w:val="TableParagraph"/>
              <w:spacing w:before="58"/>
              <w:ind w:right="93"/>
              <w:jc w:val="right"/>
              <w:rPr>
                <w:sz w:val="23"/>
              </w:rPr>
            </w:pPr>
            <w:r>
              <w:rPr>
                <w:spacing w:val="-2"/>
                <w:sz w:val="23"/>
              </w:rPr>
              <w:t>4.84E-</w:t>
            </w:r>
          </w:p>
          <w:p>
            <w:pPr>
              <w:pStyle w:val="TableParagraph"/>
              <w:spacing w:before="26"/>
              <w:ind w:right="100"/>
              <w:jc w:val="right"/>
              <w:rPr>
                <w:sz w:val="23"/>
              </w:rPr>
            </w:pPr>
            <w:r>
              <w:rPr>
                <w:spacing w:val="-5"/>
                <w:sz w:val="23"/>
              </w:rPr>
              <w:t>05</w:t>
            </w:r>
          </w:p>
        </w:tc>
        <w:tc>
          <w:tcPr>
            <w:tcW w:w="1367" w:type="dxa"/>
            <w:tcBorders>
              <w:left w:val="single" w:sz="6" w:space="0" w:color="000000"/>
            </w:tcBorders>
          </w:tcPr>
          <w:p>
            <w:pPr>
              <w:pStyle w:val="TableParagraph"/>
              <w:rPr>
                <w:sz w:val="22"/>
              </w:rPr>
            </w:pPr>
          </w:p>
        </w:tc>
        <w:tc>
          <w:tcPr>
            <w:tcW w:w="383" w:type="dxa"/>
            <w:tcBorders>
              <w:right w:val="nil"/>
            </w:tcBorders>
          </w:tcPr>
          <w:p>
            <w:pPr>
              <w:pStyle w:val="TableParagraph"/>
              <w:spacing w:before="58"/>
              <w:ind w:left="122"/>
              <w:rPr>
                <w:sz w:val="23"/>
              </w:rPr>
            </w:pPr>
            <w:r>
              <w:rPr>
                <w:spacing w:val="-5"/>
                <w:sz w:val="23"/>
              </w:rPr>
              <w:t>3.</w:t>
            </w:r>
          </w:p>
        </w:tc>
      </w:tr>
      <w:tr>
        <w:trPr>
          <w:trHeight w:val="633" w:hRule="atLeast"/>
        </w:trPr>
        <w:tc>
          <w:tcPr>
            <w:tcW w:w="834" w:type="dxa"/>
            <w:tcBorders>
              <w:left w:val="single" w:sz="6" w:space="0" w:color="000000"/>
              <w:bottom w:val="single" w:sz="6" w:space="0" w:color="000000"/>
              <w:right w:val="single" w:sz="6" w:space="0" w:color="000000"/>
            </w:tcBorders>
          </w:tcPr>
          <w:p>
            <w:pPr>
              <w:pStyle w:val="TableParagraph"/>
              <w:rPr>
                <w:sz w:val="22"/>
              </w:rPr>
            </w:pPr>
          </w:p>
        </w:tc>
        <w:tc>
          <w:tcPr>
            <w:tcW w:w="1068" w:type="dxa"/>
            <w:tcBorders>
              <w:left w:val="single" w:sz="6" w:space="0" w:color="000000"/>
              <w:bottom w:val="single" w:sz="6" w:space="0" w:color="000000"/>
            </w:tcBorders>
          </w:tcPr>
          <w:p>
            <w:pPr>
              <w:pStyle w:val="TableParagraph"/>
              <w:spacing w:before="87"/>
              <w:rPr>
                <w:sz w:val="23"/>
              </w:rPr>
            </w:pPr>
          </w:p>
          <w:p>
            <w:pPr>
              <w:pStyle w:val="TableParagraph"/>
              <w:spacing w:line="262" w:lineRule="exact"/>
              <w:ind w:left="110"/>
              <w:rPr>
                <w:sz w:val="23"/>
              </w:rPr>
            </w:pPr>
            <w:r>
              <w:rPr>
                <w:spacing w:val="-5"/>
                <w:sz w:val="23"/>
              </w:rPr>
              <w:t>Max</w:t>
            </w:r>
          </w:p>
        </w:tc>
        <w:tc>
          <w:tcPr>
            <w:tcW w:w="1548" w:type="dxa"/>
            <w:tcBorders>
              <w:bottom w:val="single" w:sz="6" w:space="0" w:color="000000"/>
            </w:tcBorders>
          </w:tcPr>
          <w:p>
            <w:pPr>
              <w:pStyle w:val="TableParagraph"/>
              <w:spacing w:before="87"/>
              <w:rPr>
                <w:sz w:val="23"/>
              </w:rPr>
            </w:pPr>
          </w:p>
          <w:p>
            <w:pPr>
              <w:pStyle w:val="TableParagraph"/>
              <w:spacing w:line="262" w:lineRule="exact"/>
              <w:ind w:right="88"/>
              <w:jc w:val="right"/>
              <w:rPr>
                <w:sz w:val="23"/>
              </w:rPr>
            </w:pPr>
            <w:r>
              <w:rPr>
                <w:spacing w:val="-5"/>
                <w:sz w:val="23"/>
              </w:rPr>
              <w:t>7.2</w:t>
            </w:r>
          </w:p>
        </w:tc>
        <w:tc>
          <w:tcPr>
            <w:tcW w:w="1132" w:type="dxa"/>
            <w:tcBorders>
              <w:bottom w:val="single" w:sz="6" w:space="0" w:color="000000"/>
            </w:tcBorders>
          </w:tcPr>
          <w:p>
            <w:pPr>
              <w:pStyle w:val="TableParagraph"/>
              <w:spacing w:before="87"/>
              <w:rPr>
                <w:sz w:val="23"/>
              </w:rPr>
            </w:pPr>
          </w:p>
          <w:p>
            <w:pPr>
              <w:pStyle w:val="TableParagraph"/>
              <w:spacing w:line="262" w:lineRule="exact"/>
              <w:ind w:left="104" w:right="10"/>
              <w:jc w:val="center"/>
              <w:rPr>
                <w:sz w:val="23"/>
              </w:rPr>
            </w:pPr>
            <w:r>
              <w:rPr>
                <w:sz w:val="23"/>
              </w:rPr>
              <w:t>1.03E-</w:t>
            </w:r>
            <w:r>
              <w:rPr>
                <w:spacing w:val="-5"/>
                <w:sz w:val="23"/>
              </w:rPr>
              <w:t>05</w:t>
            </w:r>
          </w:p>
        </w:tc>
        <w:tc>
          <w:tcPr>
            <w:tcW w:w="1069" w:type="dxa"/>
            <w:tcBorders>
              <w:bottom w:val="single" w:sz="6" w:space="0" w:color="000000"/>
              <w:right w:val="single" w:sz="6" w:space="0" w:color="000000"/>
            </w:tcBorders>
          </w:tcPr>
          <w:p>
            <w:pPr>
              <w:pStyle w:val="TableParagraph"/>
              <w:spacing w:before="60"/>
              <w:ind w:right="84"/>
              <w:jc w:val="right"/>
              <w:rPr>
                <w:sz w:val="23"/>
              </w:rPr>
            </w:pPr>
            <w:r>
              <w:rPr>
                <w:spacing w:val="-2"/>
                <w:sz w:val="23"/>
              </w:rPr>
              <w:t>8.76E-</w:t>
            </w:r>
          </w:p>
          <w:p>
            <w:pPr>
              <w:pStyle w:val="TableParagraph"/>
              <w:spacing w:line="262" w:lineRule="exact" w:before="27"/>
              <w:ind w:right="96"/>
              <w:jc w:val="right"/>
              <w:rPr>
                <w:sz w:val="23"/>
              </w:rPr>
            </w:pPr>
            <w:r>
              <w:rPr>
                <w:spacing w:val="-5"/>
                <w:sz w:val="23"/>
              </w:rPr>
              <w:t>08</w:t>
            </w:r>
          </w:p>
        </w:tc>
        <w:tc>
          <w:tcPr>
            <w:tcW w:w="1288" w:type="dxa"/>
            <w:tcBorders>
              <w:left w:val="single" w:sz="6" w:space="0" w:color="000000"/>
              <w:bottom w:val="single" w:sz="6" w:space="0" w:color="000000"/>
            </w:tcBorders>
          </w:tcPr>
          <w:p>
            <w:pPr>
              <w:pStyle w:val="TableParagraph"/>
              <w:spacing w:before="87"/>
              <w:rPr>
                <w:sz w:val="23"/>
              </w:rPr>
            </w:pPr>
          </w:p>
          <w:p>
            <w:pPr>
              <w:pStyle w:val="TableParagraph"/>
              <w:spacing w:line="262" w:lineRule="exact"/>
              <w:ind w:right="99"/>
              <w:jc w:val="right"/>
              <w:rPr>
                <w:sz w:val="23"/>
              </w:rPr>
            </w:pPr>
            <w:r>
              <w:rPr>
                <w:sz w:val="23"/>
              </w:rPr>
              <w:t>2.94E-</w:t>
            </w:r>
            <w:r>
              <w:rPr>
                <w:spacing w:val="-5"/>
                <w:sz w:val="23"/>
              </w:rPr>
              <w:t>03</w:t>
            </w:r>
          </w:p>
        </w:tc>
        <w:tc>
          <w:tcPr>
            <w:tcW w:w="1013" w:type="dxa"/>
            <w:tcBorders>
              <w:bottom w:val="single" w:sz="6" w:space="0" w:color="000000"/>
              <w:right w:val="single" w:sz="6" w:space="0" w:color="000000"/>
            </w:tcBorders>
          </w:tcPr>
          <w:p>
            <w:pPr>
              <w:pStyle w:val="TableParagraph"/>
              <w:spacing w:before="60"/>
              <w:ind w:right="82"/>
              <w:jc w:val="right"/>
              <w:rPr>
                <w:sz w:val="23"/>
              </w:rPr>
            </w:pPr>
            <w:r>
              <w:rPr>
                <w:spacing w:val="-2"/>
                <w:sz w:val="23"/>
              </w:rPr>
              <w:t>2.46E-</w:t>
            </w:r>
          </w:p>
          <w:p>
            <w:pPr>
              <w:pStyle w:val="TableParagraph"/>
              <w:spacing w:line="262" w:lineRule="exact" w:before="27"/>
              <w:ind w:right="87"/>
              <w:jc w:val="right"/>
              <w:rPr>
                <w:sz w:val="23"/>
              </w:rPr>
            </w:pPr>
            <w:r>
              <w:rPr>
                <w:spacing w:val="-5"/>
                <w:sz w:val="23"/>
              </w:rPr>
              <w:t>07</w:t>
            </w:r>
          </w:p>
        </w:tc>
        <w:tc>
          <w:tcPr>
            <w:tcW w:w="1006" w:type="dxa"/>
            <w:tcBorders>
              <w:left w:val="single" w:sz="6" w:space="0" w:color="000000"/>
              <w:bottom w:val="single" w:sz="6" w:space="0" w:color="000000"/>
              <w:right w:val="single" w:sz="6" w:space="0" w:color="000000"/>
            </w:tcBorders>
          </w:tcPr>
          <w:p>
            <w:pPr>
              <w:pStyle w:val="TableParagraph"/>
              <w:spacing w:before="60"/>
              <w:ind w:right="93"/>
              <w:jc w:val="right"/>
              <w:rPr>
                <w:sz w:val="23"/>
              </w:rPr>
            </w:pPr>
            <w:r>
              <w:rPr>
                <w:spacing w:val="-2"/>
                <w:sz w:val="23"/>
              </w:rPr>
              <w:t>4.46E-</w:t>
            </w:r>
          </w:p>
          <w:p>
            <w:pPr>
              <w:pStyle w:val="TableParagraph"/>
              <w:spacing w:line="262" w:lineRule="exact" w:before="27"/>
              <w:ind w:right="100"/>
              <w:jc w:val="right"/>
              <w:rPr>
                <w:sz w:val="23"/>
              </w:rPr>
            </w:pPr>
            <w:r>
              <w:rPr>
                <w:spacing w:val="-5"/>
                <w:sz w:val="23"/>
              </w:rPr>
              <w:t>04</w:t>
            </w:r>
          </w:p>
        </w:tc>
        <w:tc>
          <w:tcPr>
            <w:tcW w:w="1367" w:type="dxa"/>
            <w:tcBorders>
              <w:left w:val="single" w:sz="6" w:space="0" w:color="000000"/>
              <w:bottom w:val="single" w:sz="6" w:space="0" w:color="000000"/>
            </w:tcBorders>
          </w:tcPr>
          <w:p>
            <w:pPr>
              <w:pStyle w:val="TableParagraph"/>
              <w:rPr>
                <w:sz w:val="22"/>
              </w:rPr>
            </w:pPr>
          </w:p>
        </w:tc>
        <w:tc>
          <w:tcPr>
            <w:tcW w:w="383" w:type="dxa"/>
            <w:tcBorders>
              <w:bottom w:val="single" w:sz="6" w:space="0" w:color="000000"/>
              <w:right w:val="nil"/>
            </w:tcBorders>
          </w:tcPr>
          <w:p>
            <w:pPr>
              <w:pStyle w:val="TableParagraph"/>
              <w:spacing w:before="60"/>
              <w:ind w:left="122"/>
              <w:rPr>
                <w:sz w:val="23"/>
              </w:rPr>
            </w:pPr>
            <w:r>
              <w:rPr>
                <w:spacing w:val="-5"/>
                <w:sz w:val="23"/>
              </w:rPr>
              <w:t>3.</w:t>
            </w:r>
          </w:p>
        </w:tc>
      </w:tr>
      <w:tr>
        <w:trPr>
          <w:trHeight w:val="635" w:hRule="atLeast"/>
        </w:trPr>
        <w:tc>
          <w:tcPr>
            <w:tcW w:w="834" w:type="dxa"/>
            <w:tcBorders>
              <w:top w:val="single" w:sz="6" w:space="0" w:color="000000"/>
              <w:left w:val="single" w:sz="6" w:space="0" w:color="000000"/>
              <w:right w:val="single" w:sz="6" w:space="0" w:color="000000"/>
            </w:tcBorders>
          </w:tcPr>
          <w:p>
            <w:pPr>
              <w:pStyle w:val="TableParagraph"/>
              <w:rPr>
                <w:sz w:val="22"/>
              </w:rPr>
            </w:pPr>
          </w:p>
        </w:tc>
        <w:tc>
          <w:tcPr>
            <w:tcW w:w="1068" w:type="dxa"/>
            <w:tcBorders>
              <w:top w:val="single" w:sz="6" w:space="0" w:color="000000"/>
              <w:left w:val="single" w:sz="6" w:space="0" w:color="000000"/>
            </w:tcBorders>
          </w:tcPr>
          <w:p>
            <w:pPr>
              <w:pStyle w:val="TableParagraph"/>
              <w:spacing w:before="84"/>
              <w:rPr>
                <w:sz w:val="23"/>
              </w:rPr>
            </w:pPr>
          </w:p>
          <w:p>
            <w:pPr>
              <w:pStyle w:val="TableParagraph"/>
              <w:ind w:left="110"/>
              <w:rPr>
                <w:sz w:val="23"/>
              </w:rPr>
            </w:pPr>
            <w:r>
              <w:rPr>
                <w:spacing w:val="-4"/>
                <w:sz w:val="23"/>
              </w:rPr>
              <w:t>Mean</w:t>
            </w:r>
          </w:p>
        </w:tc>
        <w:tc>
          <w:tcPr>
            <w:tcW w:w="1548" w:type="dxa"/>
            <w:tcBorders>
              <w:top w:val="single" w:sz="6" w:space="0" w:color="000000"/>
            </w:tcBorders>
          </w:tcPr>
          <w:p>
            <w:pPr>
              <w:pStyle w:val="TableParagraph"/>
              <w:spacing w:before="84"/>
              <w:rPr>
                <w:sz w:val="23"/>
              </w:rPr>
            </w:pPr>
          </w:p>
          <w:p>
            <w:pPr>
              <w:pStyle w:val="TableParagraph"/>
              <w:ind w:right="88"/>
              <w:jc w:val="right"/>
              <w:rPr>
                <w:sz w:val="23"/>
              </w:rPr>
            </w:pPr>
            <w:r>
              <w:rPr>
                <w:spacing w:val="-2"/>
                <w:sz w:val="23"/>
              </w:rPr>
              <w:t>3.872</w:t>
            </w:r>
          </w:p>
        </w:tc>
        <w:tc>
          <w:tcPr>
            <w:tcW w:w="1132" w:type="dxa"/>
            <w:tcBorders>
              <w:top w:val="single" w:sz="6" w:space="0" w:color="000000"/>
            </w:tcBorders>
          </w:tcPr>
          <w:p>
            <w:pPr>
              <w:pStyle w:val="TableParagraph"/>
              <w:spacing w:before="84"/>
              <w:rPr>
                <w:sz w:val="23"/>
              </w:rPr>
            </w:pPr>
          </w:p>
          <w:p>
            <w:pPr>
              <w:pStyle w:val="TableParagraph"/>
              <w:ind w:left="104" w:right="10"/>
              <w:jc w:val="center"/>
              <w:rPr>
                <w:sz w:val="23"/>
              </w:rPr>
            </w:pPr>
            <w:r>
              <w:rPr>
                <w:sz w:val="23"/>
              </w:rPr>
              <w:t>5.53E-</w:t>
            </w:r>
            <w:r>
              <w:rPr>
                <w:spacing w:val="-5"/>
                <w:sz w:val="23"/>
              </w:rPr>
              <w:t>06</w:t>
            </w:r>
          </w:p>
        </w:tc>
        <w:tc>
          <w:tcPr>
            <w:tcW w:w="1069" w:type="dxa"/>
            <w:tcBorders>
              <w:top w:val="single" w:sz="6" w:space="0" w:color="000000"/>
              <w:right w:val="single" w:sz="6" w:space="0" w:color="000000"/>
            </w:tcBorders>
          </w:tcPr>
          <w:p>
            <w:pPr>
              <w:pStyle w:val="TableParagraph"/>
              <w:spacing w:before="58"/>
              <w:ind w:right="84"/>
              <w:jc w:val="right"/>
              <w:rPr>
                <w:sz w:val="23"/>
              </w:rPr>
            </w:pPr>
            <w:r>
              <w:rPr>
                <w:spacing w:val="-2"/>
                <w:sz w:val="23"/>
              </w:rPr>
              <w:t>4.70E-</w:t>
            </w:r>
          </w:p>
          <w:p>
            <w:pPr>
              <w:pStyle w:val="TableParagraph"/>
              <w:spacing w:before="26"/>
              <w:ind w:right="96"/>
              <w:jc w:val="right"/>
              <w:rPr>
                <w:sz w:val="23"/>
              </w:rPr>
            </w:pPr>
            <w:r>
              <w:rPr>
                <w:spacing w:val="-5"/>
                <w:sz w:val="23"/>
              </w:rPr>
              <w:t>08</w:t>
            </w:r>
          </w:p>
        </w:tc>
        <w:tc>
          <w:tcPr>
            <w:tcW w:w="1288" w:type="dxa"/>
            <w:tcBorders>
              <w:top w:val="single" w:sz="6" w:space="0" w:color="000000"/>
              <w:left w:val="single" w:sz="6" w:space="0" w:color="000000"/>
            </w:tcBorders>
          </w:tcPr>
          <w:p>
            <w:pPr>
              <w:pStyle w:val="TableParagraph"/>
              <w:spacing w:before="84"/>
              <w:rPr>
                <w:sz w:val="23"/>
              </w:rPr>
            </w:pPr>
          </w:p>
          <w:p>
            <w:pPr>
              <w:pStyle w:val="TableParagraph"/>
              <w:ind w:right="99"/>
              <w:jc w:val="right"/>
              <w:rPr>
                <w:sz w:val="23"/>
              </w:rPr>
            </w:pPr>
            <w:r>
              <w:rPr>
                <w:sz w:val="23"/>
              </w:rPr>
              <w:t>1.58E-</w:t>
            </w:r>
            <w:r>
              <w:rPr>
                <w:spacing w:val="-5"/>
                <w:sz w:val="23"/>
              </w:rPr>
              <w:t>03</w:t>
            </w:r>
          </w:p>
        </w:tc>
        <w:tc>
          <w:tcPr>
            <w:tcW w:w="1013" w:type="dxa"/>
            <w:tcBorders>
              <w:top w:val="single" w:sz="6" w:space="0" w:color="000000"/>
              <w:right w:val="single" w:sz="6" w:space="0" w:color="000000"/>
            </w:tcBorders>
          </w:tcPr>
          <w:p>
            <w:pPr>
              <w:pStyle w:val="TableParagraph"/>
              <w:spacing w:before="58"/>
              <w:ind w:right="82"/>
              <w:jc w:val="right"/>
              <w:rPr>
                <w:sz w:val="23"/>
              </w:rPr>
            </w:pPr>
            <w:r>
              <w:rPr>
                <w:spacing w:val="-2"/>
                <w:sz w:val="23"/>
              </w:rPr>
              <w:t>1.32E-</w:t>
            </w:r>
          </w:p>
          <w:p>
            <w:pPr>
              <w:pStyle w:val="TableParagraph"/>
              <w:spacing w:before="26"/>
              <w:ind w:right="87"/>
              <w:jc w:val="right"/>
              <w:rPr>
                <w:sz w:val="23"/>
              </w:rPr>
            </w:pPr>
            <w:r>
              <w:rPr>
                <w:spacing w:val="-5"/>
                <w:sz w:val="23"/>
              </w:rPr>
              <w:t>07</w:t>
            </w:r>
          </w:p>
        </w:tc>
        <w:tc>
          <w:tcPr>
            <w:tcW w:w="1006" w:type="dxa"/>
            <w:tcBorders>
              <w:top w:val="single" w:sz="6" w:space="0" w:color="000000"/>
              <w:left w:val="single" w:sz="6" w:space="0" w:color="000000"/>
              <w:right w:val="single" w:sz="6" w:space="0" w:color="000000"/>
            </w:tcBorders>
          </w:tcPr>
          <w:p>
            <w:pPr>
              <w:pStyle w:val="TableParagraph"/>
              <w:spacing w:before="58"/>
              <w:ind w:right="93"/>
              <w:jc w:val="right"/>
              <w:rPr>
                <w:sz w:val="23"/>
              </w:rPr>
            </w:pPr>
            <w:r>
              <w:rPr>
                <w:spacing w:val="-2"/>
                <w:sz w:val="23"/>
              </w:rPr>
              <w:t>2.39E-</w:t>
            </w:r>
          </w:p>
          <w:p>
            <w:pPr>
              <w:pStyle w:val="TableParagraph"/>
              <w:spacing w:before="26"/>
              <w:ind w:right="100"/>
              <w:jc w:val="right"/>
              <w:rPr>
                <w:sz w:val="23"/>
              </w:rPr>
            </w:pPr>
            <w:r>
              <w:rPr>
                <w:spacing w:val="-5"/>
                <w:sz w:val="23"/>
              </w:rPr>
              <w:t>04</w:t>
            </w:r>
          </w:p>
        </w:tc>
        <w:tc>
          <w:tcPr>
            <w:tcW w:w="1367" w:type="dxa"/>
            <w:tcBorders>
              <w:top w:val="single" w:sz="6" w:space="0" w:color="000000"/>
              <w:left w:val="single" w:sz="6" w:space="0" w:color="000000"/>
            </w:tcBorders>
          </w:tcPr>
          <w:p>
            <w:pPr>
              <w:pStyle w:val="TableParagraph"/>
              <w:rPr>
                <w:sz w:val="22"/>
              </w:rPr>
            </w:pPr>
          </w:p>
        </w:tc>
        <w:tc>
          <w:tcPr>
            <w:tcW w:w="383" w:type="dxa"/>
            <w:tcBorders>
              <w:top w:val="single" w:sz="6" w:space="0" w:color="000000"/>
              <w:right w:val="nil"/>
            </w:tcBorders>
          </w:tcPr>
          <w:p>
            <w:pPr>
              <w:pStyle w:val="TableParagraph"/>
              <w:spacing w:before="58"/>
              <w:ind w:left="122"/>
              <w:rPr>
                <w:sz w:val="23"/>
              </w:rPr>
            </w:pPr>
            <w:r>
              <w:rPr>
                <w:spacing w:val="-5"/>
                <w:sz w:val="23"/>
              </w:rPr>
              <w:t>1.</w:t>
            </w:r>
          </w:p>
        </w:tc>
      </w:tr>
      <w:tr>
        <w:trPr>
          <w:trHeight w:val="635" w:hRule="atLeast"/>
        </w:trPr>
        <w:tc>
          <w:tcPr>
            <w:tcW w:w="834" w:type="dxa"/>
            <w:tcBorders>
              <w:left w:val="single" w:sz="6" w:space="0" w:color="000000"/>
              <w:right w:val="single" w:sz="6" w:space="0" w:color="000000"/>
            </w:tcBorders>
          </w:tcPr>
          <w:p>
            <w:pPr>
              <w:pStyle w:val="TableParagraph"/>
              <w:spacing w:before="84"/>
              <w:rPr>
                <w:sz w:val="23"/>
              </w:rPr>
            </w:pPr>
          </w:p>
          <w:p>
            <w:pPr>
              <w:pStyle w:val="TableParagraph"/>
              <w:ind w:left="110"/>
              <w:rPr>
                <w:sz w:val="23"/>
              </w:rPr>
            </w:pPr>
            <w:r>
              <w:rPr>
                <w:spacing w:val="-5"/>
                <w:sz w:val="23"/>
              </w:rPr>
              <w:t>Cd</w:t>
            </w:r>
          </w:p>
        </w:tc>
        <w:tc>
          <w:tcPr>
            <w:tcW w:w="1068" w:type="dxa"/>
            <w:tcBorders>
              <w:left w:val="single" w:sz="6" w:space="0" w:color="000000"/>
            </w:tcBorders>
          </w:tcPr>
          <w:p>
            <w:pPr>
              <w:pStyle w:val="TableParagraph"/>
              <w:spacing w:before="84"/>
              <w:rPr>
                <w:sz w:val="23"/>
              </w:rPr>
            </w:pPr>
          </w:p>
          <w:p>
            <w:pPr>
              <w:pStyle w:val="TableParagraph"/>
              <w:ind w:left="110"/>
              <w:rPr>
                <w:sz w:val="23"/>
              </w:rPr>
            </w:pPr>
            <w:r>
              <w:rPr>
                <w:spacing w:val="-5"/>
                <w:sz w:val="23"/>
              </w:rPr>
              <w:t>Min</w:t>
            </w:r>
          </w:p>
        </w:tc>
        <w:tc>
          <w:tcPr>
            <w:tcW w:w="1548" w:type="dxa"/>
          </w:tcPr>
          <w:p>
            <w:pPr>
              <w:pStyle w:val="TableParagraph"/>
              <w:spacing w:before="84"/>
              <w:rPr>
                <w:sz w:val="23"/>
              </w:rPr>
            </w:pPr>
          </w:p>
          <w:p>
            <w:pPr>
              <w:pStyle w:val="TableParagraph"/>
              <w:ind w:right="88"/>
              <w:jc w:val="right"/>
              <w:rPr>
                <w:sz w:val="23"/>
              </w:rPr>
            </w:pPr>
            <w:r>
              <w:rPr>
                <w:spacing w:val="-4"/>
                <w:sz w:val="23"/>
              </w:rPr>
              <w:t>0.16</w:t>
            </w:r>
          </w:p>
        </w:tc>
        <w:tc>
          <w:tcPr>
            <w:tcW w:w="1132" w:type="dxa"/>
          </w:tcPr>
          <w:p>
            <w:pPr>
              <w:pStyle w:val="TableParagraph"/>
              <w:spacing w:before="84"/>
              <w:rPr>
                <w:sz w:val="23"/>
              </w:rPr>
            </w:pPr>
          </w:p>
          <w:p>
            <w:pPr>
              <w:pStyle w:val="TableParagraph"/>
              <w:ind w:left="104" w:right="10"/>
              <w:jc w:val="center"/>
              <w:rPr>
                <w:sz w:val="23"/>
              </w:rPr>
            </w:pPr>
            <w:r>
              <w:rPr>
                <w:sz w:val="23"/>
              </w:rPr>
              <w:t>2.29E-</w:t>
            </w:r>
            <w:r>
              <w:rPr>
                <w:spacing w:val="-5"/>
                <w:sz w:val="23"/>
              </w:rPr>
              <w:t>07</w:t>
            </w:r>
          </w:p>
        </w:tc>
        <w:tc>
          <w:tcPr>
            <w:tcW w:w="1069" w:type="dxa"/>
            <w:tcBorders>
              <w:right w:val="single" w:sz="6" w:space="0" w:color="000000"/>
            </w:tcBorders>
          </w:tcPr>
          <w:p>
            <w:pPr>
              <w:pStyle w:val="TableParagraph"/>
              <w:spacing w:before="58"/>
              <w:ind w:right="84"/>
              <w:jc w:val="right"/>
              <w:rPr>
                <w:sz w:val="23"/>
              </w:rPr>
            </w:pPr>
            <w:r>
              <w:rPr>
                <w:spacing w:val="-2"/>
                <w:sz w:val="23"/>
              </w:rPr>
              <w:t>8.70E-</w:t>
            </w:r>
          </w:p>
          <w:p>
            <w:pPr>
              <w:pStyle w:val="TableParagraph"/>
              <w:spacing w:before="26"/>
              <w:ind w:right="96"/>
              <w:jc w:val="right"/>
              <w:rPr>
                <w:sz w:val="23"/>
              </w:rPr>
            </w:pPr>
            <w:r>
              <w:rPr>
                <w:spacing w:val="-5"/>
                <w:sz w:val="23"/>
              </w:rPr>
              <w:t>08</w:t>
            </w:r>
          </w:p>
        </w:tc>
        <w:tc>
          <w:tcPr>
            <w:tcW w:w="1288" w:type="dxa"/>
            <w:tcBorders>
              <w:left w:val="single" w:sz="6" w:space="0" w:color="000000"/>
            </w:tcBorders>
          </w:tcPr>
          <w:p>
            <w:pPr>
              <w:pStyle w:val="TableParagraph"/>
              <w:spacing w:before="84"/>
              <w:rPr>
                <w:sz w:val="23"/>
              </w:rPr>
            </w:pPr>
          </w:p>
          <w:p>
            <w:pPr>
              <w:pStyle w:val="TableParagraph"/>
              <w:ind w:right="99"/>
              <w:jc w:val="right"/>
              <w:rPr>
                <w:sz w:val="23"/>
              </w:rPr>
            </w:pPr>
            <w:r>
              <w:rPr>
                <w:sz w:val="23"/>
              </w:rPr>
              <w:t>2.29E-</w:t>
            </w:r>
            <w:r>
              <w:rPr>
                <w:spacing w:val="-5"/>
                <w:sz w:val="23"/>
              </w:rPr>
              <w:t>04</w:t>
            </w:r>
          </w:p>
        </w:tc>
        <w:tc>
          <w:tcPr>
            <w:tcW w:w="1013" w:type="dxa"/>
            <w:tcBorders>
              <w:right w:val="single" w:sz="6" w:space="0" w:color="000000"/>
            </w:tcBorders>
          </w:tcPr>
          <w:p>
            <w:pPr>
              <w:pStyle w:val="TableParagraph"/>
              <w:spacing w:before="58"/>
              <w:ind w:right="82"/>
              <w:jc w:val="right"/>
              <w:rPr>
                <w:sz w:val="23"/>
              </w:rPr>
            </w:pPr>
            <w:r>
              <w:rPr>
                <w:spacing w:val="-2"/>
                <w:sz w:val="23"/>
              </w:rPr>
              <w:t>1.28E-</w:t>
            </w:r>
          </w:p>
          <w:p>
            <w:pPr>
              <w:pStyle w:val="TableParagraph"/>
              <w:spacing w:before="26"/>
              <w:ind w:right="87"/>
              <w:jc w:val="right"/>
              <w:rPr>
                <w:sz w:val="23"/>
              </w:rPr>
            </w:pPr>
            <w:r>
              <w:rPr>
                <w:spacing w:val="-5"/>
                <w:sz w:val="23"/>
              </w:rPr>
              <w:t>07</w:t>
            </w:r>
          </w:p>
        </w:tc>
        <w:tc>
          <w:tcPr>
            <w:tcW w:w="1006" w:type="dxa"/>
            <w:tcBorders>
              <w:left w:val="single" w:sz="6" w:space="0" w:color="000000"/>
              <w:right w:val="single" w:sz="6" w:space="0" w:color="000000"/>
            </w:tcBorders>
          </w:tcPr>
          <w:p>
            <w:pPr>
              <w:pStyle w:val="TableParagraph"/>
              <w:spacing w:before="58"/>
              <w:ind w:right="93"/>
              <w:jc w:val="right"/>
              <w:rPr>
                <w:sz w:val="23"/>
              </w:rPr>
            </w:pPr>
            <w:r>
              <w:rPr>
                <w:spacing w:val="-2"/>
                <w:sz w:val="23"/>
              </w:rPr>
              <w:t>1.28E-</w:t>
            </w:r>
          </w:p>
          <w:p>
            <w:pPr>
              <w:pStyle w:val="TableParagraph"/>
              <w:spacing w:before="26"/>
              <w:ind w:right="100"/>
              <w:jc w:val="right"/>
              <w:rPr>
                <w:sz w:val="23"/>
              </w:rPr>
            </w:pPr>
            <w:r>
              <w:rPr>
                <w:spacing w:val="-5"/>
                <w:sz w:val="23"/>
              </w:rPr>
              <w:t>02</w:t>
            </w:r>
          </w:p>
        </w:tc>
        <w:tc>
          <w:tcPr>
            <w:tcW w:w="1367" w:type="dxa"/>
            <w:tcBorders>
              <w:left w:val="single" w:sz="6" w:space="0" w:color="000000"/>
            </w:tcBorders>
          </w:tcPr>
          <w:p>
            <w:pPr>
              <w:pStyle w:val="TableParagraph"/>
              <w:rPr>
                <w:sz w:val="22"/>
              </w:rPr>
            </w:pPr>
          </w:p>
        </w:tc>
        <w:tc>
          <w:tcPr>
            <w:tcW w:w="383" w:type="dxa"/>
            <w:tcBorders>
              <w:right w:val="nil"/>
            </w:tcBorders>
          </w:tcPr>
          <w:p>
            <w:pPr>
              <w:pStyle w:val="TableParagraph"/>
              <w:spacing w:before="58"/>
              <w:ind w:left="122"/>
              <w:rPr>
                <w:sz w:val="23"/>
              </w:rPr>
            </w:pPr>
            <w:r>
              <w:rPr>
                <w:spacing w:val="-5"/>
                <w:sz w:val="23"/>
              </w:rPr>
              <w:t>1.</w:t>
            </w:r>
          </w:p>
        </w:tc>
      </w:tr>
      <w:tr>
        <w:trPr>
          <w:trHeight w:val="632" w:hRule="atLeast"/>
        </w:trPr>
        <w:tc>
          <w:tcPr>
            <w:tcW w:w="834" w:type="dxa"/>
            <w:tcBorders>
              <w:left w:val="single" w:sz="6" w:space="0" w:color="000000"/>
              <w:bottom w:val="single" w:sz="6" w:space="0" w:color="000000"/>
              <w:right w:val="single" w:sz="6" w:space="0" w:color="000000"/>
            </w:tcBorders>
          </w:tcPr>
          <w:p>
            <w:pPr>
              <w:pStyle w:val="TableParagraph"/>
              <w:rPr>
                <w:sz w:val="22"/>
              </w:rPr>
            </w:pPr>
          </w:p>
        </w:tc>
        <w:tc>
          <w:tcPr>
            <w:tcW w:w="1068" w:type="dxa"/>
            <w:tcBorders>
              <w:left w:val="single" w:sz="6" w:space="0" w:color="000000"/>
              <w:bottom w:val="single" w:sz="6" w:space="0" w:color="000000"/>
            </w:tcBorders>
          </w:tcPr>
          <w:p>
            <w:pPr>
              <w:pStyle w:val="TableParagraph"/>
              <w:spacing w:before="87"/>
              <w:rPr>
                <w:sz w:val="23"/>
              </w:rPr>
            </w:pPr>
          </w:p>
          <w:p>
            <w:pPr>
              <w:pStyle w:val="TableParagraph"/>
              <w:spacing w:line="261" w:lineRule="exact"/>
              <w:ind w:left="110"/>
              <w:rPr>
                <w:sz w:val="23"/>
              </w:rPr>
            </w:pPr>
            <w:r>
              <w:rPr>
                <w:spacing w:val="-5"/>
                <w:sz w:val="23"/>
              </w:rPr>
              <w:t>Max</w:t>
            </w:r>
          </w:p>
        </w:tc>
        <w:tc>
          <w:tcPr>
            <w:tcW w:w="1548" w:type="dxa"/>
            <w:tcBorders>
              <w:bottom w:val="single" w:sz="6" w:space="0" w:color="000000"/>
            </w:tcBorders>
          </w:tcPr>
          <w:p>
            <w:pPr>
              <w:pStyle w:val="TableParagraph"/>
              <w:spacing w:before="87"/>
              <w:rPr>
                <w:sz w:val="23"/>
              </w:rPr>
            </w:pPr>
          </w:p>
          <w:p>
            <w:pPr>
              <w:pStyle w:val="TableParagraph"/>
              <w:spacing w:line="261" w:lineRule="exact"/>
              <w:ind w:right="88"/>
              <w:jc w:val="right"/>
              <w:rPr>
                <w:sz w:val="23"/>
              </w:rPr>
            </w:pPr>
            <w:r>
              <w:rPr>
                <w:spacing w:val="-4"/>
                <w:sz w:val="23"/>
              </w:rPr>
              <w:t>1.61</w:t>
            </w:r>
          </w:p>
        </w:tc>
        <w:tc>
          <w:tcPr>
            <w:tcW w:w="1132" w:type="dxa"/>
            <w:tcBorders>
              <w:bottom w:val="single" w:sz="6" w:space="0" w:color="000000"/>
            </w:tcBorders>
          </w:tcPr>
          <w:p>
            <w:pPr>
              <w:pStyle w:val="TableParagraph"/>
              <w:spacing w:before="87"/>
              <w:rPr>
                <w:sz w:val="23"/>
              </w:rPr>
            </w:pPr>
          </w:p>
          <w:p>
            <w:pPr>
              <w:pStyle w:val="TableParagraph"/>
              <w:spacing w:line="261" w:lineRule="exact"/>
              <w:ind w:left="104" w:right="10"/>
              <w:jc w:val="center"/>
              <w:rPr>
                <w:sz w:val="23"/>
              </w:rPr>
            </w:pPr>
            <w:r>
              <w:rPr>
                <w:sz w:val="23"/>
              </w:rPr>
              <w:t>2.30E-</w:t>
            </w:r>
            <w:r>
              <w:rPr>
                <w:spacing w:val="-5"/>
                <w:sz w:val="23"/>
              </w:rPr>
              <w:t>06</w:t>
            </w:r>
          </w:p>
        </w:tc>
        <w:tc>
          <w:tcPr>
            <w:tcW w:w="1069" w:type="dxa"/>
            <w:tcBorders>
              <w:bottom w:val="single" w:sz="6" w:space="0" w:color="000000"/>
              <w:right w:val="single" w:sz="6" w:space="0" w:color="000000"/>
            </w:tcBorders>
          </w:tcPr>
          <w:p>
            <w:pPr>
              <w:pStyle w:val="TableParagraph"/>
              <w:spacing w:before="60"/>
              <w:ind w:right="84"/>
              <w:jc w:val="right"/>
              <w:rPr>
                <w:sz w:val="23"/>
              </w:rPr>
            </w:pPr>
            <w:r>
              <w:rPr>
                <w:spacing w:val="-2"/>
                <w:sz w:val="23"/>
              </w:rPr>
              <w:t>8.74E-</w:t>
            </w:r>
          </w:p>
          <w:p>
            <w:pPr>
              <w:pStyle w:val="TableParagraph"/>
              <w:spacing w:line="261" w:lineRule="exact" w:before="27"/>
              <w:ind w:right="96"/>
              <w:jc w:val="right"/>
              <w:rPr>
                <w:sz w:val="23"/>
              </w:rPr>
            </w:pPr>
            <w:r>
              <w:rPr>
                <w:spacing w:val="-5"/>
                <w:sz w:val="23"/>
              </w:rPr>
              <w:t>07</w:t>
            </w:r>
          </w:p>
        </w:tc>
        <w:tc>
          <w:tcPr>
            <w:tcW w:w="1288" w:type="dxa"/>
            <w:tcBorders>
              <w:left w:val="single" w:sz="6" w:space="0" w:color="000000"/>
              <w:bottom w:val="single" w:sz="6" w:space="0" w:color="000000"/>
            </w:tcBorders>
          </w:tcPr>
          <w:p>
            <w:pPr>
              <w:pStyle w:val="TableParagraph"/>
              <w:spacing w:before="87"/>
              <w:rPr>
                <w:sz w:val="23"/>
              </w:rPr>
            </w:pPr>
          </w:p>
          <w:p>
            <w:pPr>
              <w:pStyle w:val="TableParagraph"/>
              <w:spacing w:line="261" w:lineRule="exact"/>
              <w:ind w:right="99"/>
              <w:jc w:val="right"/>
              <w:rPr>
                <w:sz w:val="23"/>
              </w:rPr>
            </w:pPr>
            <w:r>
              <w:rPr>
                <w:sz w:val="23"/>
              </w:rPr>
              <w:t>2.30E-</w:t>
            </w:r>
            <w:r>
              <w:rPr>
                <w:spacing w:val="-5"/>
                <w:sz w:val="23"/>
              </w:rPr>
              <w:t>03</w:t>
            </w:r>
          </w:p>
        </w:tc>
        <w:tc>
          <w:tcPr>
            <w:tcW w:w="1013" w:type="dxa"/>
            <w:tcBorders>
              <w:bottom w:val="single" w:sz="6" w:space="0" w:color="000000"/>
              <w:right w:val="single" w:sz="6" w:space="0" w:color="000000"/>
            </w:tcBorders>
          </w:tcPr>
          <w:p>
            <w:pPr>
              <w:pStyle w:val="TableParagraph"/>
              <w:spacing w:before="60"/>
              <w:ind w:right="82"/>
              <w:jc w:val="right"/>
              <w:rPr>
                <w:sz w:val="23"/>
              </w:rPr>
            </w:pPr>
            <w:r>
              <w:rPr>
                <w:spacing w:val="-2"/>
                <w:sz w:val="23"/>
              </w:rPr>
              <w:t>1.28E-</w:t>
            </w:r>
          </w:p>
          <w:p>
            <w:pPr>
              <w:pStyle w:val="TableParagraph"/>
              <w:spacing w:line="261" w:lineRule="exact" w:before="27"/>
              <w:ind w:right="87"/>
              <w:jc w:val="right"/>
              <w:rPr>
                <w:sz w:val="23"/>
              </w:rPr>
            </w:pPr>
            <w:r>
              <w:rPr>
                <w:spacing w:val="-5"/>
                <w:sz w:val="23"/>
              </w:rPr>
              <w:t>06</w:t>
            </w:r>
          </w:p>
        </w:tc>
        <w:tc>
          <w:tcPr>
            <w:tcW w:w="1006" w:type="dxa"/>
            <w:tcBorders>
              <w:left w:val="single" w:sz="6" w:space="0" w:color="000000"/>
              <w:bottom w:val="single" w:sz="6" w:space="0" w:color="000000"/>
              <w:right w:val="single" w:sz="6" w:space="0" w:color="000000"/>
            </w:tcBorders>
          </w:tcPr>
          <w:p>
            <w:pPr>
              <w:pStyle w:val="TableParagraph"/>
              <w:spacing w:before="60"/>
              <w:ind w:right="93"/>
              <w:jc w:val="right"/>
              <w:rPr>
                <w:sz w:val="23"/>
              </w:rPr>
            </w:pPr>
            <w:r>
              <w:rPr>
                <w:spacing w:val="-2"/>
                <w:sz w:val="23"/>
              </w:rPr>
              <w:t>1.28E-</w:t>
            </w:r>
          </w:p>
          <w:p>
            <w:pPr>
              <w:pStyle w:val="TableParagraph"/>
              <w:spacing w:line="261" w:lineRule="exact" w:before="27"/>
              <w:ind w:right="100"/>
              <w:jc w:val="right"/>
              <w:rPr>
                <w:sz w:val="23"/>
              </w:rPr>
            </w:pPr>
            <w:r>
              <w:rPr>
                <w:spacing w:val="-5"/>
                <w:sz w:val="23"/>
              </w:rPr>
              <w:t>01</w:t>
            </w:r>
          </w:p>
        </w:tc>
        <w:tc>
          <w:tcPr>
            <w:tcW w:w="1367" w:type="dxa"/>
            <w:tcBorders>
              <w:left w:val="single" w:sz="6" w:space="0" w:color="000000"/>
              <w:bottom w:val="single" w:sz="6" w:space="0" w:color="000000"/>
            </w:tcBorders>
          </w:tcPr>
          <w:p>
            <w:pPr>
              <w:pStyle w:val="TableParagraph"/>
              <w:rPr>
                <w:sz w:val="22"/>
              </w:rPr>
            </w:pPr>
          </w:p>
        </w:tc>
        <w:tc>
          <w:tcPr>
            <w:tcW w:w="383" w:type="dxa"/>
            <w:tcBorders>
              <w:bottom w:val="single" w:sz="6" w:space="0" w:color="000000"/>
              <w:right w:val="nil"/>
            </w:tcBorders>
          </w:tcPr>
          <w:p>
            <w:pPr>
              <w:pStyle w:val="TableParagraph"/>
              <w:spacing w:before="60"/>
              <w:ind w:left="122"/>
              <w:rPr>
                <w:sz w:val="23"/>
              </w:rPr>
            </w:pPr>
            <w:r>
              <w:rPr>
                <w:spacing w:val="-5"/>
                <w:sz w:val="23"/>
              </w:rPr>
              <w:t>1.</w:t>
            </w:r>
          </w:p>
        </w:tc>
      </w:tr>
      <w:tr>
        <w:trPr>
          <w:trHeight w:val="632" w:hRule="atLeast"/>
        </w:trPr>
        <w:tc>
          <w:tcPr>
            <w:tcW w:w="834" w:type="dxa"/>
            <w:tcBorders>
              <w:top w:val="single" w:sz="6" w:space="0" w:color="000000"/>
              <w:left w:val="single" w:sz="6" w:space="0" w:color="000000"/>
              <w:bottom w:val="single" w:sz="6" w:space="0" w:color="000000"/>
              <w:right w:val="single" w:sz="6" w:space="0" w:color="000000"/>
            </w:tcBorders>
          </w:tcPr>
          <w:p>
            <w:pPr>
              <w:pStyle w:val="TableParagraph"/>
              <w:rPr>
                <w:sz w:val="22"/>
              </w:rPr>
            </w:pPr>
          </w:p>
        </w:tc>
        <w:tc>
          <w:tcPr>
            <w:tcW w:w="1068" w:type="dxa"/>
            <w:tcBorders>
              <w:top w:val="single" w:sz="6" w:space="0" w:color="000000"/>
              <w:left w:val="single" w:sz="6" w:space="0" w:color="000000"/>
              <w:bottom w:val="single" w:sz="6" w:space="0" w:color="000000"/>
            </w:tcBorders>
          </w:tcPr>
          <w:p>
            <w:pPr>
              <w:pStyle w:val="TableParagraph"/>
              <w:spacing w:before="84"/>
              <w:rPr>
                <w:sz w:val="23"/>
              </w:rPr>
            </w:pPr>
          </w:p>
          <w:p>
            <w:pPr>
              <w:pStyle w:val="TableParagraph"/>
              <w:spacing w:line="264" w:lineRule="exact"/>
              <w:ind w:left="110"/>
              <w:rPr>
                <w:sz w:val="23"/>
              </w:rPr>
            </w:pPr>
            <w:r>
              <w:rPr>
                <w:spacing w:val="-4"/>
                <w:sz w:val="23"/>
              </w:rPr>
              <w:t>Mean</w:t>
            </w:r>
          </w:p>
        </w:tc>
        <w:tc>
          <w:tcPr>
            <w:tcW w:w="1548" w:type="dxa"/>
            <w:tcBorders>
              <w:top w:val="single" w:sz="6" w:space="0" w:color="000000"/>
              <w:bottom w:val="single" w:sz="6" w:space="0" w:color="000000"/>
            </w:tcBorders>
          </w:tcPr>
          <w:p>
            <w:pPr>
              <w:pStyle w:val="TableParagraph"/>
              <w:spacing w:before="84"/>
              <w:rPr>
                <w:sz w:val="23"/>
              </w:rPr>
            </w:pPr>
          </w:p>
          <w:p>
            <w:pPr>
              <w:pStyle w:val="TableParagraph"/>
              <w:spacing w:line="264" w:lineRule="exact"/>
              <w:ind w:right="88"/>
              <w:jc w:val="right"/>
              <w:rPr>
                <w:sz w:val="23"/>
              </w:rPr>
            </w:pPr>
            <w:r>
              <w:rPr>
                <w:spacing w:val="-2"/>
                <w:sz w:val="23"/>
              </w:rPr>
              <w:t>0.942</w:t>
            </w:r>
          </w:p>
        </w:tc>
        <w:tc>
          <w:tcPr>
            <w:tcW w:w="1132" w:type="dxa"/>
            <w:tcBorders>
              <w:top w:val="single" w:sz="6" w:space="0" w:color="000000"/>
              <w:bottom w:val="single" w:sz="6" w:space="0" w:color="000000"/>
            </w:tcBorders>
          </w:tcPr>
          <w:p>
            <w:pPr>
              <w:pStyle w:val="TableParagraph"/>
              <w:spacing w:before="84"/>
              <w:rPr>
                <w:sz w:val="23"/>
              </w:rPr>
            </w:pPr>
          </w:p>
          <w:p>
            <w:pPr>
              <w:pStyle w:val="TableParagraph"/>
              <w:spacing w:line="264" w:lineRule="exact"/>
              <w:ind w:left="104" w:right="10"/>
              <w:jc w:val="center"/>
              <w:rPr>
                <w:sz w:val="23"/>
              </w:rPr>
            </w:pPr>
            <w:r>
              <w:rPr>
                <w:sz w:val="23"/>
              </w:rPr>
              <w:t>1.35E-</w:t>
            </w:r>
            <w:r>
              <w:rPr>
                <w:spacing w:val="-5"/>
                <w:sz w:val="23"/>
              </w:rPr>
              <w:t>06</w:t>
            </w:r>
          </w:p>
        </w:tc>
        <w:tc>
          <w:tcPr>
            <w:tcW w:w="1069" w:type="dxa"/>
            <w:tcBorders>
              <w:top w:val="single" w:sz="6" w:space="0" w:color="000000"/>
              <w:bottom w:val="single" w:sz="6" w:space="0" w:color="000000"/>
              <w:right w:val="single" w:sz="6" w:space="0" w:color="000000"/>
            </w:tcBorders>
          </w:tcPr>
          <w:p>
            <w:pPr>
              <w:pStyle w:val="TableParagraph"/>
              <w:spacing w:before="58"/>
              <w:ind w:right="84"/>
              <w:jc w:val="right"/>
              <w:rPr>
                <w:sz w:val="23"/>
              </w:rPr>
            </w:pPr>
            <w:r>
              <w:rPr>
                <w:spacing w:val="-2"/>
                <w:sz w:val="23"/>
              </w:rPr>
              <w:t>5.13E-</w:t>
            </w:r>
          </w:p>
          <w:p>
            <w:pPr>
              <w:pStyle w:val="TableParagraph"/>
              <w:spacing w:line="264" w:lineRule="exact" w:before="26"/>
              <w:ind w:right="96"/>
              <w:jc w:val="right"/>
              <w:rPr>
                <w:sz w:val="23"/>
              </w:rPr>
            </w:pPr>
            <w:r>
              <w:rPr>
                <w:spacing w:val="-5"/>
                <w:sz w:val="23"/>
              </w:rPr>
              <w:t>07</w:t>
            </w:r>
          </w:p>
        </w:tc>
        <w:tc>
          <w:tcPr>
            <w:tcW w:w="1288" w:type="dxa"/>
            <w:tcBorders>
              <w:top w:val="single" w:sz="6" w:space="0" w:color="000000"/>
              <w:left w:val="single" w:sz="6" w:space="0" w:color="000000"/>
              <w:bottom w:val="single" w:sz="6" w:space="0" w:color="000000"/>
            </w:tcBorders>
          </w:tcPr>
          <w:p>
            <w:pPr>
              <w:pStyle w:val="TableParagraph"/>
              <w:spacing w:before="84"/>
              <w:rPr>
                <w:sz w:val="23"/>
              </w:rPr>
            </w:pPr>
          </w:p>
          <w:p>
            <w:pPr>
              <w:pStyle w:val="TableParagraph"/>
              <w:spacing w:line="264" w:lineRule="exact"/>
              <w:ind w:right="99"/>
              <w:jc w:val="right"/>
              <w:rPr>
                <w:sz w:val="23"/>
              </w:rPr>
            </w:pPr>
            <w:r>
              <w:rPr>
                <w:sz w:val="23"/>
              </w:rPr>
              <w:t>1.35E-</w:t>
            </w:r>
            <w:r>
              <w:rPr>
                <w:spacing w:val="-5"/>
                <w:sz w:val="23"/>
              </w:rPr>
              <w:t>03</w:t>
            </w:r>
          </w:p>
        </w:tc>
        <w:tc>
          <w:tcPr>
            <w:tcW w:w="1013" w:type="dxa"/>
            <w:tcBorders>
              <w:top w:val="single" w:sz="6" w:space="0" w:color="000000"/>
              <w:bottom w:val="single" w:sz="6" w:space="0" w:color="000000"/>
              <w:right w:val="single" w:sz="6" w:space="0" w:color="000000"/>
            </w:tcBorders>
          </w:tcPr>
          <w:p>
            <w:pPr>
              <w:pStyle w:val="TableParagraph"/>
              <w:spacing w:before="58"/>
              <w:ind w:right="82"/>
              <w:jc w:val="right"/>
              <w:rPr>
                <w:sz w:val="23"/>
              </w:rPr>
            </w:pPr>
            <w:r>
              <w:rPr>
                <w:spacing w:val="-2"/>
                <w:sz w:val="23"/>
              </w:rPr>
              <w:t>7.52E-</w:t>
            </w:r>
          </w:p>
          <w:p>
            <w:pPr>
              <w:pStyle w:val="TableParagraph"/>
              <w:spacing w:line="264" w:lineRule="exact" w:before="26"/>
              <w:ind w:right="87"/>
              <w:jc w:val="right"/>
              <w:rPr>
                <w:sz w:val="23"/>
              </w:rPr>
            </w:pPr>
            <w:r>
              <w:rPr>
                <w:spacing w:val="-5"/>
                <w:sz w:val="23"/>
              </w:rPr>
              <w:t>07</w:t>
            </w:r>
          </w:p>
        </w:tc>
        <w:tc>
          <w:tcPr>
            <w:tcW w:w="1006" w:type="dxa"/>
            <w:tcBorders>
              <w:top w:val="single" w:sz="6" w:space="0" w:color="000000"/>
              <w:left w:val="single" w:sz="6" w:space="0" w:color="000000"/>
              <w:bottom w:val="single" w:sz="6" w:space="0" w:color="000000"/>
              <w:right w:val="single" w:sz="6" w:space="0" w:color="000000"/>
            </w:tcBorders>
          </w:tcPr>
          <w:p>
            <w:pPr>
              <w:pStyle w:val="TableParagraph"/>
              <w:spacing w:before="58"/>
              <w:ind w:right="93"/>
              <w:jc w:val="right"/>
              <w:rPr>
                <w:sz w:val="23"/>
              </w:rPr>
            </w:pPr>
            <w:r>
              <w:rPr>
                <w:spacing w:val="-2"/>
                <w:sz w:val="23"/>
              </w:rPr>
              <w:t>7.52E-</w:t>
            </w:r>
          </w:p>
          <w:p>
            <w:pPr>
              <w:pStyle w:val="TableParagraph"/>
              <w:spacing w:line="264" w:lineRule="exact" w:before="26"/>
              <w:ind w:right="100"/>
              <w:jc w:val="right"/>
              <w:rPr>
                <w:sz w:val="23"/>
              </w:rPr>
            </w:pPr>
            <w:r>
              <w:rPr>
                <w:spacing w:val="-5"/>
                <w:sz w:val="23"/>
              </w:rPr>
              <w:t>02</w:t>
            </w:r>
          </w:p>
        </w:tc>
        <w:tc>
          <w:tcPr>
            <w:tcW w:w="1367" w:type="dxa"/>
            <w:tcBorders>
              <w:top w:val="single" w:sz="6" w:space="0" w:color="000000"/>
              <w:left w:val="single" w:sz="6" w:space="0" w:color="000000"/>
              <w:bottom w:val="single" w:sz="6" w:space="0" w:color="000000"/>
            </w:tcBorders>
          </w:tcPr>
          <w:p>
            <w:pPr>
              <w:pStyle w:val="TableParagraph"/>
              <w:rPr>
                <w:sz w:val="22"/>
              </w:rPr>
            </w:pPr>
          </w:p>
        </w:tc>
        <w:tc>
          <w:tcPr>
            <w:tcW w:w="383" w:type="dxa"/>
            <w:tcBorders>
              <w:top w:val="single" w:sz="6" w:space="0" w:color="000000"/>
              <w:bottom w:val="single" w:sz="6" w:space="0" w:color="000000"/>
              <w:right w:val="nil"/>
            </w:tcBorders>
          </w:tcPr>
          <w:p>
            <w:pPr>
              <w:pStyle w:val="TableParagraph"/>
              <w:spacing w:before="58"/>
              <w:ind w:left="122"/>
              <w:rPr>
                <w:sz w:val="23"/>
              </w:rPr>
            </w:pPr>
            <w:r>
              <w:rPr>
                <w:spacing w:val="-5"/>
                <w:sz w:val="23"/>
              </w:rPr>
              <w:t>7.</w:t>
            </w:r>
          </w:p>
        </w:tc>
      </w:tr>
      <w:tr>
        <w:trPr>
          <w:trHeight w:val="630" w:hRule="atLeast"/>
        </w:trPr>
        <w:tc>
          <w:tcPr>
            <w:tcW w:w="834" w:type="dxa"/>
            <w:tcBorders>
              <w:top w:val="single" w:sz="6" w:space="0" w:color="000000"/>
              <w:left w:val="single" w:sz="6" w:space="0" w:color="000000"/>
              <w:bottom w:val="single" w:sz="6" w:space="0" w:color="000000"/>
              <w:right w:val="single" w:sz="6" w:space="0" w:color="000000"/>
            </w:tcBorders>
          </w:tcPr>
          <w:p>
            <w:pPr>
              <w:pStyle w:val="TableParagraph"/>
              <w:spacing w:before="82"/>
              <w:rPr>
                <w:sz w:val="23"/>
              </w:rPr>
            </w:pPr>
          </w:p>
          <w:p>
            <w:pPr>
              <w:pStyle w:val="TableParagraph"/>
              <w:spacing w:line="264" w:lineRule="exact"/>
              <w:ind w:left="110"/>
              <w:rPr>
                <w:sz w:val="23"/>
              </w:rPr>
            </w:pPr>
            <w:r>
              <w:rPr>
                <w:spacing w:val="-5"/>
                <w:sz w:val="23"/>
              </w:rPr>
              <w:t>Cr</w:t>
            </w:r>
          </w:p>
        </w:tc>
        <w:tc>
          <w:tcPr>
            <w:tcW w:w="1068" w:type="dxa"/>
            <w:tcBorders>
              <w:top w:val="single" w:sz="6" w:space="0" w:color="000000"/>
              <w:left w:val="single" w:sz="6" w:space="0" w:color="000000"/>
              <w:bottom w:val="single" w:sz="6" w:space="0" w:color="000000"/>
            </w:tcBorders>
          </w:tcPr>
          <w:p>
            <w:pPr>
              <w:pStyle w:val="TableParagraph"/>
              <w:spacing w:before="82"/>
              <w:rPr>
                <w:sz w:val="23"/>
              </w:rPr>
            </w:pPr>
          </w:p>
          <w:p>
            <w:pPr>
              <w:pStyle w:val="TableParagraph"/>
              <w:spacing w:line="264" w:lineRule="exact"/>
              <w:ind w:left="110"/>
              <w:rPr>
                <w:sz w:val="23"/>
              </w:rPr>
            </w:pPr>
            <w:r>
              <w:rPr>
                <w:spacing w:val="-5"/>
                <w:sz w:val="23"/>
              </w:rPr>
              <w:t>Min</w:t>
            </w:r>
          </w:p>
        </w:tc>
        <w:tc>
          <w:tcPr>
            <w:tcW w:w="1548" w:type="dxa"/>
            <w:tcBorders>
              <w:top w:val="single" w:sz="6" w:space="0" w:color="000000"/>
              <w:bottom w:val="single" w:sz="6" w:space="0" w:color="000000"/>
            </w:tcBorders>
          </w:tcPr>
          <w:p>
            <w:pPr>
              <w:pStyle w:val="TableParagraph"/>
              <w:spacing w:before="82"/>
              <w:rPr>
                <w:sz w:val="23"/>
              </w:rPr>
            </w:pPr>
          </w:p>
          <w:p>
            <w:pPr>
              <w:pStyle w:val="TableParagraph"/>
              <w:spacing w:line="264" w:lineRule="exact"/>
              <w:ind w:right="88"/>
              <w:jc w:val="right"/>
              <w:rPr>
                <w:sz w:val="23"/>
              </w:rPr>
            </w:pPr>
            <w:r>
              <w:rPr>
                <w:spacing w:val="-4"/>
                <w:sz w:val="23"/>
              </w:rPr>
              <w:t>0.81</w:t>
            </w:r>
          </w:p>
        </w:tc>
        <w:tc>
          <w:tcPr>
            <w:tcW w:w="1132" w:type="dxa"/>
            <w:tcBorders>
              <w:top w:val="single" w:sz="6" w:space="0" w:color="000000"/>
              <w:bottom w:val="single" w:sz="6" w:space="0" w:color="000000"/>
            </w:tcBorders>
          </w:tcPr>
          <w:p>
            <w:pPr>
              <w:pStyle w:val="TableParagraph"/>
              <w:spacing w:before="82"/>
              <w:rPr>
                <w:sz w:val="23"/>
              </w:rPr>
            </w:pPr>
          </w:p>
          <w:p>
            <w:pPr>
              <w:pStyle w:val="TableParagraph"/>
              <w:spacing w:line="264" w:lineRule="exact"/>
              <w:ind w:left="104" w:right="10"/>
              <w:jc w:val="center"/>
              <w:rPr>
                <w:sz w:val="23"/>
              </w:rPr>
            </w:pPr>
            <w:r>
              <w:rPr>
                <w:sz w:val="23"/>
              </w:rPr>
              <w:t>1.16E-</w:t>
            </w:r>
            <w:r>
              <w:rPr>
                <w:spacing w:val="-5"/>
                <w:sz w:val="23"/>
              </w:rPr>
              <w:t>06</w:t>
            </w:r>
          </w:p>
        </w:tc>
        <w:tc>
          <w:tcPr>
            <w:tcW w:w="1069" w:type="dxa"/>
            <w:tcBorders>
              <w:top w:val="single" w:sz="6" w:space="0" w:color="000000"/>
              <w:bottom w:val="single" w:sz="6" w:space="0" w:color="000000"/>
              <w:right w:val="single" w:sz="6" w:space="0" w:color="000000"/>
            </w:tcBorders>
          </w:tcPr>
          <w:p>
            <w:pPr>
              <w:pStyle w:val="TableParagraph"/>
              <w:spacing w:before="55"/>
              <w:ind w:right="84"/>
              <w:jc w:val="right"/>
              <w:rPr>
                <w:sz w:val="23"/>
              </w:rPr>
            </w:pPr>
            <w:r>
              <w:rPr>
                <w:spacing w:val="-2"/>
                <w:sz w:val="23"/>
              </w:rPr>
              <w:t>5.80E-</w:t>
            </w:r>
          </w:p>
          <w:p>
            <w:pPr>
              <w:pStyle w:val="TableParagraph"/>
              <w:spacing w:line="264" w:lineRule="exact" w:before="27"/>
              <w:ind w:right="96"/>
              <w:jc w:val="right"/>
              <w:rPr>
                <w:sz w:val="23"/>
              </w:rPr>
            </w:pPr>
            <w:r>
              <w:rPr>
                <w:spacing w:val="-5"/>
                <w:sz w:val="23"/>
              </w:rPr>
              <w:t>07</w:t>
            </w:r>
          </w:p>
        </w:tc>
        <w:tc>
          <w:tcPr>
            <w:tcW w:w="1288" w:type="dxa"/>
            <w:tcBorders>
              <w:top w:val="single" w:sz="6" w:space="0" w:color="000000"/>
              <w:left w:val="single" w:sz="6" w:space="0" w:color="000000"/>
              <w:bottom w:val="single" w:sz="6" w:space="0" w:color="000000"/>
            </w:tcBorders>
          </w:tcPr>
          <w:p>
            <w:pPr>
              <w:pStyle w:val="TableParagraph"/>
              <w:spacing w:before="82"/>
              <w:rPr>
                <w:sz w:val="23"/>
              </w:rPr>
            </w:pPr>
          </w:p>
          <w:p>
            <w:pPr>
              <w:pStyle w:val="TableParagraph"/>
              <w:spacing w:line="264" w:lineRule="exact"/>
              <w:ind w:right="99"/>
              <w:jc w:val="right"/>
              <w:rPr>
                <w:sz w:val="23"/>
              </w:rPr>
            </w:pPr>
            <w:r>
              <w:rPr>
                <w:sz w:val="23"/>
              </w:rPr>
              <w:t>3.87E-</w:t>
            </w:r>
            <w:r>
              <w:rPr>
                <w:spacing w:val="-5"/>
                <w:sz w:val="23"/>
              </w:rPr>
              <w:t>04</w:t>
            </w:r>
          </w:p>
        </w:tc>
        <w:tc>
          <w:tcPr>
            <w:tcW w:w="1013" w:type="dxa"/>
            <w:tcBorders>
              <w:top w:val="single" w:sz="6" w:space="0" w:color="000000"/>
              <w:bottom w:val="single" w:sz="6" w:space="0" w:color="000000"/>
              <w:right w:val="single" w:sz="6" w:space="0" w:color="000000"/>
            </w:tcBorders>
          </w:tcPr>
          <w:p>
            <w:pPr>
              <w:pStyle w:val="TableParagraph"/>
              <w:spacing w:before="55"/>
              <w:ind w:right="82"/>
              <w:jc w:val="right"/>
              <w:rPr>
                <w:sz w:val="23"/>
              </w:rPr>
            </w:pPr>
            <w:r>
              <w:rPr>
                <w:spacing w:val="-2"/>
                <w:sz w:val="23"/>
              </w:rPr>
              <w:t>1.85E-</w:t>
            </w:r>
          </w:p>
          <w:p>
            <w:pPr>
              <w:pStyle w:val="TableParagraph"/>
              <w:spacing w:line="264" w:lineRule="exact" w:before="27"/>
              <w:ind w:right="87"/>
              <w:jc w:val="right"/>
              <w:rPr>
                <w:sz w:val="23"/>
              </w:rPr>
            </w:pPr>
            <w:r>
              <w:rPr>
                <w:spacing w:val="-5"/>
                <w:sz w:val="23"/>
              </w:rPr>
              <w:t>07</w:t>
            </w:r>
          </w:p>
        </w:tc>
        <w:tc>
          <w:tcPr>
            <w:tcW w:w="1006" w:type="dxa"/>
            <w:tcBorders>
              <w:top w:val="single" w:sz="6" w:space="0" w:color="000000"/>
              <w:left w:val="single" w:sz="6" w:space="0" w:color="000000"/>
              <w:bottom w:val="single" w:sz="6" w:space="0" w:color="000000"/>
              <w:right w:val="single" w:sz="6" w:space="0" w:color="000000"/>
            </w:tcBorders>
          </w:tcPr>
          <w:p>
            <w:pPr>
              <w:pStyle w:val="TableParagraph"/>
              <w:spacing w:before="55"/>
              <w:ind w:right="93"/>
              <w:jc w:val="right"/>
              <w:rPr>
                <w:sz w:val="23"/>
              </w:rPr>
            </w:pPr>
            <w:r>
              <w:rPr>
                <w:spacing w:val="-2"/>
                <w:sz w:val="23"/>
              </w:rPr>
              <w:t>3.08E-</w:t>
            </w:r>
          </w:p>
          <w:p>
            <w:pPr>
              <w:pStyle w:val="TableParagraph"/>
              <w:spacing w:line="264" w:lineRule="exact" w:before="27"/>
              <w:ind w:right="100"/>
              <w:jc w:val="right"/>
              <w:rPr>
                <w:sz w:val="23"/>
              </w:rPr>
            </w:pPr>
            <w:r>
              <w:rPr>
                <w:spacing w:val="-5"/>
                <w:sz w:val="23"/>
              </w:rPr>
              <w:t>03</w:t>
            </w:r>
          </w:p>
        </w:tc>
        <w:tc>
          <w:tcPr>
            <w:tcW w:w="1367" w:type="dxa"/>
            <w:tcBorders>
              <w:top w:val="single" w:sz="6" w:space="0" w:color="000000"/>
              <w:left w:val="single" w:sz="6" w:space="0" w:color="000000"/>
              <w:bottom w:val="single" w:sz="6" w:space="0" w:color="000000"/>
            </w:tcBorders>
          </w:tcPr>
          <w:p>
            <w:pPr>
              <w:pStyle w:val="TableParagraph"/>
              <w:rPr>
                <w:sz w:val="22"/>
              </w:rPr>
            </w:pPr>
          </w:p>
        </w:tc>
        <w:tc>
          <w:tcPr>
            <w:tcW w:w="383" w:type="dxa"/>
            <w:tcBorders>
              <w:top w:val="single" w:sz="6" w:space="0" w:color="000000"/>
              <w:bottom w:val="single" w:sz="6" w:space="0" w:color="000000"/>
              <w:right w:val="nil"/>
            </w:tcBorders>
          </w:tcPr>
          <w:p>
            <w:pPr>
              <w:pStyle w:val="TableParagraph"/>
              <w:spacing w:before="55"/>
              <w:ind w:left="122"/>
              <w:rPr>
                <w:sz w:val="23"/>
              </w:rPr>
            </w:pPr>
            <w:r>
              <w:rPr>
                <w:spacing w:val="-5"/>
                <w:sz w:val="23"/>
              </w:rPr>
              <w:t>3.</w:t>
            </w:r>
          </w:p>
        </w:tc>
      </w:tr>
      <w:tr>
        <w:trPr>
          <w:trHeight w:val="630" w:hRule="atLeast"/>
        </w:trPr>
        <w:tc>
          <w:tcPr>
            <w:tcW w:w="834" w:type="dxa"/>
            <w:tcBorders>
              <w:top w:val="single" w:sz="6" w:space="0" w:color="000000"/>
              <w:left w:val="single" w:sz="6" w:space="0" w:color="000000"/>
              <w:bottom w:val="single" w:sz="6" w:space="0" w:color="000000"/>
              <w:right w:val="single" w:sz="6" w:space="0" w:color="000000"/>
            </w:tcBorders>
          </w:tcPr>
          <w:p>
            <w:pPr>
              <w:pStyle w:val="TableParagraph"/>
              <w:rPr>
                <w:sz w:val="22"/>
              </w:rPr>
            </w:pPr>
          </w:p>
        </w:tc>
        <w:tc>
          <w:tcPr>
            <w:tcW w:w="1068" w:type="dxa"/>
            <w:tcBorders>
              <w:top w:val="single" w:sz="6" w:space="0" w:color="000000"/>
              <w:left w:val="single" w:sz="6" w:space="0" w:color="000000"/>
              <w:bottom w:val="single" w:sz="6" w:space="0" w:color="000000"/>
            </w:tcBorders>
          </w:tcPr>
          <w:p>
            <w:pPr>
              <w:pStyle w:val="TableParagraph"/>
              <w:spacing w:before="84"/>
              <w:rPr>
                <w:sz w:val="23"/>
              </w:rPr>
            </w:pPr>
          </w:p>
          <w:p>
            <w:pPr>
              <w:pStyle w:val="TableParagraph"/>
              <w:spacing w:line="261" w:lineRule="exact"/>
              <w:ind w:left="110"/>
              <w:rPr>
                <w:sz w:val="23"/>
              </w:rPr>
            </w:pPr>
            <w:r>
              <w:rPr>
                <w:spacing w:val="-5"/>
                <w:sz w:val="23"/>
              </w:rPr>
              <w:t>Max</w:t>
            </w:r>
          </w:p>
        </w:tc>
        <w:tc>
          <w:tcPr>
            <w:tcW w:w="1548" w:type="dxa"/>
            <w:tcBorders>
              <w:top w:val="single" w:sz="6" w:space="0" w:color="000000"/>
              <w:bottom w:val="single" w:sz="6" w:space="0" w:color="000000"/>
            </w:tcBorders>
          </w:tcPr>
          <w:p>
            <w:pPr>
              <w:pStyle w:val="TableParagraph"/>
              <w:spacing w:before="84"/>
              <w:rPr>
                <w:sz w:val="23"/>
              </w:rPr>
            </w:pPr>
          </w:p>
          <w:p>
            <w:pPr>
              <w:pStyle w:val="TableParagraph"/>
              <w:spacing w:line="261" w:lineRule="exact"/>
              <w:ind w:right="88"/>
              <w:jc w:val="right"/>
              <w:rPr>
                <w:sz w:val="23"/>
              </w:rPr>
            </w:pPr>
            <w:r>
              <w:rPr>
                <w:spacing w:val="-4"/>
                <w:sz w:val="23"/>
              </w:rPr>
              <w:t>3.11</w:t>
            </w:r>
          </w:p>
        </w:tc>
        <w:tc>
          <w:tcPr>
            <w:tcW w:w="1132" w:type="dxa"/>
            <w:tcBorders>
              <w:top w:val="single" w:sz="6" w:space="0" w:color="000000"/>
              <w:bottom w:val="single" w:sz="6" w:space="0" w:color="000000"/>
            </w:tcBorders>
          </w:tcPr>
          <w:p>
            <w:pPr>
              <w:pStyle w:val="TableParagraph"/>
              <w:spacing w:before="84"/>
              <w:rPr>
                <w:sz w:val="23"/>
              </w:rPr>
            </w:pPr>
          </w:p>
          <w:p>
            <w:pPr>
              <w:pStyle w:val="TableParagraph"/>
              <w:spacing w:line="261" w:lineRule="exact"/>
              <w:ind w:left="104" w:right="10"/>
              <w:jc w:val="center"/>
              <w:rPr>
                <w:sz w:val="23"/>
              </w:rPr>
            </w:pPr>
            <w:r>
              <w:rPr>
                <w:sz w:val="23"/>
              </w:rPr>
              <w:t>4.44E-</w:t>
            </w:r>
            <w:r>
              <w:rPr>
                <w:spacing w:val="-5"/>
                <w:sz w:val="23"/>
              </w:rPr>
              <w:t>06</w:t>
            </w:r>
          </w:p>
        </w:tc>
        <w:tc>
          <w:tcPr>
            <w:tcW w:w="1069" w:type="dxa"/>
            <w:tcBorders>
              <w:top w:val="single" w:sz="6" w:space="0" w:color="000000"/>
              <w:bottom w:val="single" w:sz="6" w:space="0" w:color="000000"/>
              <w:right w:val="single" w:sz="6" w:space="0" w:color="000000"/>
            </w:tcBorders>
          </w:tcPr>
          <w:p>
            <w:pPr>
              <w:pStyle w:val="TableParagraph"/>
              <w:spacing w:before="58"/>
              <w:ind w:right="84"/>
              <w:jc w:val="right"/>
              <w:rPr>
                <w:sz w:val="23"/>
              </w:rPr>
            </w:pPr>
            <w:r>
              <w:rPr>
                <w:spacing w:val="-2"/>
                <w:sz w:val="23"/>
              </w:rPr>
              <w:t>2.22E-</w:t>
            </w:r>
          </w:p>
          <w:p>
            <w:pPr>
              <w:pStyle w:val="TableParagraph"/>
              <w:spacing w:line="261" w:lineRule="exact" w:before="26"/>
              <w:ind w:right="96"/>
              <w:jc w:val="right"/>
              <w:rPr>
                <w:sz w:val="23"/>
              </w:rPr>
            </w:pPr>
            <w:r>
              <w:rPr>
                <w:spacing w:val="-5"/>
                <w:sz w:val="23"/>
              </w:rPr>
              <w:t>06</w:t>
            </w:r>
          </w:p>
        </w:tc>
        <w:tc>
          <w:tcPr>
            <w:tcW w:w="1288" w:type="dxa"/>
            <w:tcBorders>
              <w:top w:val="single" w:sz="6" w:space="0" w:color="000000"/>
              <w:left w:val="single" w:sz="6" w:space="0" w:color="000000"/>
              <w:bottom w:val="single" w:sz="6" w:space="0" w:color="000000"/>
            </w:tcBorders>
          </w:tcPr>
          <w:p>
            <w:pPr>
              <w:pStyle w:val="TableParagraph"/>
              <w:spacing w:before="84"/>
              <w:rPr>
                <w:sz w:val="23"/>
              </w:rPr>
            </w:pPr>
          </w:p>
          <w:p>
            <w:pPr>
              <w:pStyle w:val="TableParagraph"/>
              <w:spacing w:line="261" w:lineRule="exact"/>
              <w:ind w:right="99"/>
              <w:jc w:val="right"/>
              <w:rPr>
                <w:sz w:val="23"/>
              </w:rPr>
            </w:pPr>
            <w:r>
              <w:rPr>
                <w:sz w:val="23"/>
              </w:rPr>
              <w:t>1.48E-</w:t>
            </w:r>
            <w:r>
              <w:rPr>
                <w:spacing w:val="-5"/>
                <w:sz w:val="23"/>
              </w:rPr>
              <w:t>03</w:t>
            </w:r>
          </w:p>
        </w:tc>
        <w:tc>
          <w:tcPr>
            <w:tcW w:w="1013" w:type="dxa"/>
            <w:tcBorders>
              <w:top w:val="single" w:sz="6" w:space="0" w:color="000000"/>
              <w:bottom w:val="single" w:sz="6" w:space="0" w:color="000000"/>
              <w:right w:val="single" w:sz="6" w:space="0" w:color="000000"/>
            </w:tcBorders>
          </w:tcPr>
          <w:p>
            <w:pPr>
              <w:pStyle w:val="TableParagraph"/>
              <w:spacing w:before="58"/>
              <w:ind w:right="82"/>
              <w:jc w:val="right"/>
              <w:rPr>
                <w:sz w:val="23"/>
              </w:rPr>
            </w:pPr>
            <w:r>
              <w:rPr>
                <w:spacing w:val="-2"/>
                <w:sz w:val="23"/>
              </w:rPr>
              <w:t>7.09E-</w:t>
            </w:r>
          </w:p>
          <w:p>
            <w:pPr>
              <w:pStyle w:val="TableParagraph"/>
              <w:spacing w:line="261" w:lineRule="exact" w:before="26"/>
              <w:ind w:right="87"/>
              <w:jc w:val="right"/>
              <w:rPr>
                <w:sz w:val="23"/>
              </w:rPr>
            </w:pPr>
            <w:r>
              <w:rPr>
                <w:spacing w:val="-5"/>
                <w:sz w:val="23"/>
              </w:rPr>
              <w:t>07</w:t>
            </w:r>
          </w:p>
        </w:tc>
        <w:tc>
          <w:tcPr>
            <w:tcW w:w="1006" w:type="dxa"/>
            <w:tcBorders>
              <w:top w:val="single" w:sz="6" w:space="0" w:color="000000"/>
              <w:left w:val="single" w:sz="6" w:space="0" w:color="000000"/>
              <w:bottom w:val="single" w:sz="6" w:space="0" w:color="000000"/>
              <w:right w:val="single" w:sz="6" w:space="0" w:color="000000"/>
            </w:tcBorders>
          </w:tcPr>
          <w:p>
            <w:pPr>
              <w:pStyle w:val="TableParagraph"/>
              <w:spacing w:before="58"/>
              <w:ind w:right="93"/>
              <w:jc w:val="right"/>
              <w:rPr>
                <w:sz w:val="23"/>
              </w:rPr>
            </w:pPr>
            <w:r>
              <w:rPr>
                <w:spacing w:val="-2"/>
                <w:sz w:val="23"/>
              </w:rPr>
              <w:t>1.18E-</w:t>
            </w:r>
          </w:p>
          <w:p>
            <w:pPr>
              <w:pStyle w:val="TableParagraph"/>
              <w:spacing w:line="261" w:lineRule="exact" w:before="26"/>
              <w:ind w:right="100"/>
              <w:jc w:val="right"/>
              <w:rPr>
                <w:sz w:val="23"/>
              </w:rPr>
            </w:pPr>
            <w:r>
              <w:rPr>
                <w:spacing w:val="-5"/>
                <w:sz w:val="23"/>
              </w:rPr>
              <w:t>02</w:t>
            </w:r>
          </w:p>
        </w:tc>
        <w:tc>
          <w:tcPr>
            <w:tcW w:w="1367" w:type="dxa"/>
            <w:tcBorders>
              <w:top w:val="single" w:sz="6" w:space="0" w:color="000000"/>
              <w:left w:val="single" w:sz="6" w:space="0" w:color="000000"/>
              <w:bottom w:val="single" w:sz="6" w:space="0" w:color="000000"/>
            </w:tcBorders>
          </w:tcPr>
          <w:p>
            <w:pPr>
              <w:pStyle w:val="TableParagraph"/>
              <w:rPr>
                <w:sz w:val="22"/>
              </w:rPr>
            </w:pPr>
          </w:p>
        </w:tc>
        <w:tc>
          <w:tcPr>
            <w:tcW w:w="383" w:type="dxa"/>
            <w:tcBorders>
              <w:top w:val="single" w:sz="6" w:space="0" w:color="000000"/>
              <w:bottom w:val="single" w:sz="6" w:space="0" w:color="000000"/>
              <w:right w:val="nil"/>
            </w:tcBorders>
          </w:tcPr>
          <w:p>
            <w:pPr>
              <w:pStyle w:val="TableParagraph"/>
              <w:spacing w:before="58"/>
              <w:ind w:left="122"/>
              <w:rPr>
                <w:sz w:val="23"/>
              </w:rPr>
            </w:pPr>
            <w:r>
              <w:rPr>
                <w:spacing w:val="-5"/>
                <w:sz w:val="23"/>
              </w:rPr>
              <w:t>1.</w:t>
            </w:r>
          </w:p>
        </w:tc>
      </w:tr>
      <w:tr>
        <w:trPr>
          <w:trHeight w:val="632" w:hRule="atLeast"/>
        </w:trPr>
        <w:tc>
          <w:tcPr>
            <w:tcW w:w="834" w:type="dxa"/>
            <w:tcBorders>
              <w:top w:val="single" w:sz="6" w:space="0" w:color="000000"/>
              <w:left w:val="single" w:sz="6" w:space="0" w:color="000000"/>
              <w:bottom w:val="single" w:sz="6" w:space="0" w:color="000000"/>
              <w:right w:val="single" w:sz="6" w:space="0" w:color="000000"/>
            </w:tcBorders>
          </w:tcPr>
          <w:p>
            <w:pPr>
              <w:pStyle w:val="TableParagraph"/>
              <w:rPr>
                <w:sz w:val="22"/>
              </w:rPr>
            </w:pPr>
          </w:p>
        </w:tc>
        <w:tc>
          <w:tcPr>
            <w:tcW w:w="1068" w:type="dxa"/>
            <w:tcBorders>
              <w:top w:val="single" w:sz="6" w:space="0" w:color="000000"/>
              <w:left w:val="single" w:sz="6" w:space="0" w:color="000000"/>
              <w:bottom w:val="single" w:sz="6" w:space="0" w:color="000000"/>
            </w:tcBorders>
          </w:tcPr>
          <w:p>
            <w:pPr>
              <w:pStyle w:val="TableParagraph"/>
              <w:spacing w:before="84"/>
              <w:rPr>
                <w:sz w:val="23"/>
              </w:rPr>
            </w:pPr>
          </w:p>
          <w:p>
            <w:pPr>
              <w:pStyle w:val="TableParagraph"/>
              <w:spacing w:line="264" w:lineRule="exact"/>
              <w:ind w:left="110"/>
              <w:rPr>
                <w:sz w:val="23"/>
              </w:rPr>
            </w:pPr>
            <w:r>
              <w:rPr>
                <w:spacing w:val="-4"/>
                <w:sz w:val="23"/>
              </w:rPr>
              <w:t>Mean</w:t>
            </w:r>
          </w:p>
        </w:tc>
        <w:tc>
          <w:tcPr>
            <w:tcW w:w="1548" w:type="dxa"/>
            <w:tcBorders>
              <w:top w:val="single" w:sz="6" w:space="0" w:color="000000"/>
              <w:bottom w:val="single" w:sz="6" w:space="0" w:color="000000"/>
            </w:tcBorders>
          </w:tcPr>
          <w:p>
            <w:pPr>
              <w:pStyle w:val="TableParagraph"/>
              <w:spacing w:before="84"/>
              <w:rPr>
                <w:sz w:val="23"/>
              </w:rPr>
            </w:pPr>
          </w:p>
          <w:p>
            <w:pPr>
              <w:pStyle w:val="TableParagraph"/>
              <w:spacing w:line="264" w:lineRule="exact"/>
              <w:ind w:right="89"/>
              <w:jc w:val="right"/>
              <w:rPr>
                <w:sz w:val="23"/>
              </w:rPr>
            </w:pPr>
            <w:r>
              <w:rPr>
                <w:spacing w:val="-2"/>
                <w:sz w:val="23"/>
              </w:rPr>
              <w:t>1.7825</w:t>
            </w:r>
          </w:p>
        </w:tc>
        <w:tc>
          <w:tcPr>
            <w:tcW w:w="1132" w:type="dxa"/>
            <w:tcBorders>
              <w:top w:val="single" w:sz="6" w:space="0" w:color="000000"/>
              <w:bottom w:val="single" w:sz="6" w:space="0" w:color="000000"/>
            </w:tcBorders>
          </w:tcPr>
          <w:p>
            <w:pPr>
              <w:pStyle w:val="TableParagraph"/>
              <w:spacing w:before="84"/>
              <w:rPr>
                <w:sz w:val="23"/>
              </w:rPr>
            </w:pPr>
          </w:p>
          <w:p>
            <w:pPr>
              <w:pStyle w:val="TableParagraph"/>
              <w:spacing w:line="264" w:lineRule="exact"/>
              <w:ind w:left="104" w:right="10"/>
              <w:jc w:val="center"/>
              <w:rPr>
                <w:sz w:val="23"/>
              </w:rPr>
            </w:pPr>
            <w:r>
              <w:rPr>
                <w:sz w:val="23"/>
              </w:rPr>
              <w:t>2.55E-</w:t>
            </w:r>
            <w:r>
              <w:rPr>
                <w:spacing w:val="-5"/>
                <w:sz w:val="23"/>
              </w:rPr>
              <w:t>06</w:t>
            </w:r>
          </w:p>
        </w:tc>
        <w:tc>
          <w:tcPr>
            <w:tcW w:w="1069" w:type="dxa"/>
            <w:tcBorders>
              <w:top w:val="single" w:sz="6" w:space="0" w:color="000000"/>
              <w:bottom w:val="single" w:sz="6" w:space="0" w:color="000000"/>
              <w:right w:val="single" w:sz="6" w:space="0" w:color="000000"/>
            </w:tcBorders>
          </w:tcPr>
          <w:p>
            <w:pPr>
              <w:pStyle w:val="TableParagraph"/>
              <w:spacing w:before="58"/>
              <w:ind w:right="84"/>
              <w:jc w:val="right"/>
              <w:rPr>
                <w:sz w:val="23"/>
              </w:rPr>
            </w:pPr>
            <w:r>
              <w:rPr>
                <w:spacing w:val="-2"/>
                <w:sz w:val="23"/>
              </w:rPr>
              <w:t>1.28E-</w:t>
            </w:r>
          </w:p>
          <w:p>
            <w:pPr>
              <w:pStyle w:val="TableParagraph"/>
              <w:spacing w:line="264" w:lineRule="exact" w:before="26"/>
              <w:ind w:right="96"/>
              <w:jc w:val="right"/>
              <w:rPr>
                <w:sz w:val="23"/>
              </w:rPr>
            </w:pPr>
            <w:r>
              <w:rPr>
                <w:spacing w:val="-5"/>
                <w:sz w:val="23"/>
              </w:rPr>
              <w:t>06</w:t>
            </w:r>
          </w:p>
        </w:tc>
        <w:tc>
          <w:tcPr>
            <w:tcW w:w="1288" w:type="dxa"/>
            <w:tcBorders>
              <w:top w:val="single" w:sz="6" w:space="0" w:color="000000"/>
              <w:left w:val="single" w:sz="6" w:space="0" w:color="000000"/>
              <w:bottom w:val="single" w:sz="6" w:space="0" w:color="000000"/>
            </w:tcBorders>
          </w:tcPr>
          <w:p>
            <w:pPr>
              <w:pStyle w:val="TableParagraph"/>
              <w:spacing w:before="84"/>
              <w:rPr>
                <w:sz w:val="23"/>
              </w:rPr>
            </w:pPr>
          </w:p>
          <w:p>
            <w:pPr>
              <w:pStyle w:val="TableParagraph"/>
              <w:spacing w:line="264" w:lineRule="exact"/>
              <w:ind w:right="99"/>
              <w:jc w:val="right"/>
              <w:rPr>
                <w:sz w:val="23"/>
              </w:rPr>
            </w:pPr>
            <w:r>
              <w:rPr>
                <w:sz w:val="23"/>
              </w:rPr>
              <w:t>8.50E-</w:t>
            </w:r>
            <w:r>
              <w:rPr>
                <w:spacing w:val="-5"/>
                <w:sz w:val="23"/>
              </w:rPr>
              <w:t>04</w:t>
            </w:r>
          </w:p>
        </w:tc>
        <w:tc>
          <w:tcPr>
            <w:tcW w:w="1013" w:type="dxa"/>
            <w:tcBorders>
              <w:top w:val="single" w:sz="6" w:space="0" w:color="000000"/>
              <w:bottom w:val="single" w:sz="6" w:space="0" w:color="000000"/>
              <w:right w:val="single" w:sz="6" w:space="0" w:color="000000"/>
            </w:tcBorders>
          </w:tcPr>
          <w:p>
            <w:pPr>
              <w:pStyle w:val="TableParagraph"/>
              <w:spacing w:before="58"/>
              <w:ind w:right="82"/>
              <w:jc w:val="right"/>
              <w:rPr>
                <w:sz w:val="23"/>
              </w:rPr>
            </w:pPr>
            <w:r>
              <w:rPr>
                <w:spacing w:val="-2"/>
                <w:sz w:val="23"/>
              </w:rPr>
              <w:t>4.06E-</w:t>
            </w:r>
          </w:p>
          <w:p>
            <w:pPr>
              <w:pStyle w:val="TableParagraph"/>
              <w:spacing w:line="264" w:lineRule="exact" w:before="26"/>
              <w:ind w:right="87"/>
              <w:jc w:val="right"/>
              <w:rPr>
                <w:sz w:val="23"/>
              </w:rPr>
            </w:pPr>
            <w:r>
              <w:rPr>
                <w:spacing w:val="-5"/>
                <w:sz w:val="23"/>
              </w:rPr>
              <w:t>07</w:t>
            </w:r>
          </w:p>
        </w:tc>
        <w:tc>
          <w:tcPr>
            <w:tcW w:w="1006" w:type="dxa"/>
            <w:tcBorders>
              <w:top w:val="single" w:sz="6" w:space="0" w:color="000000"/>
              <w:left w:val="single" w:sz="6" w:space="0" w:color="000000"/>
              <w:bottom w:val="single" w:sz="6" w:space="0" w:color="000000"/>
              <w:right w:val="single" w:sz="6" w:space="0" w:color="000000"/>
            </w:tcBorders>
          </w:tcPr>
          <w:p>
            <w:pPr>
              <w:pStyle w:val="TableParagraph"/>
              <w:spacing w:before="58"/>
              <w:ind w:right="93"/>
              <w:jc w:val="right"/>
              <w:rPr>
                <w:sz w:val="23"/>
              </w:rPr>
            </w:pPr>
            <w:r>
              <w:rPr>
                <w:spacing w:val="-2"/>
                <w:sz w:val="23"/>
              </w:rPr>
              <w:t>6.77E-</w:t>
            </w:r>
          </w:p>
          <w:p>
            <w:pPr>
              <w:pStyle w:val="TableParagraph"/>
              <w:spacing w:line="264" w:lineRule="exact" w:before="26"/>
              <w:ind w:right="100"/>
              <w:jc w:val="right"/>
              <w:rPr>
                <w:sz w:val="23"/>
              </w:rPr>
            </w:pPr>
            <w:r>
              <w:rPr>
                <w:spacing w:val="-5"/>
                <w:sz w:val="23"/>
              </w:rPr>
              <w:t>03</w:t>
            </w:r>
          </w:p>
        </w:tc>
        <w:tc>
          <w:tcPr>
            <w:tcW w:w="1367" w:type="dxa"/>
            <w:tcBorders>
              <w:top w:val="single" w:sz="6" w:space="0" w:color="000000"/>
              <w:left w:val="single" w:sz="6" w:space="0" w:color="000000"/>
              <w:bottom w:val="single" w:sz="6" w:space="0" w:color="000000"/>
            </w:tcBorders>
          </w:tcPr>
          <w:p>
            <w:pPr>
              <w:pStyle w:val="TableParagraph"/>
              <w:rPr>
                <w:sz w:val="22"/>
              </w:rPr>
            </w:pPr>
          </w:p>
        </w:tc>
        <w:tc>
          <w:tcPr>
            <w:tcW w:w="383" w:type="dxa"/>
            <w:tcBorders>
              <w:top w:val="single" w:sz="6" w:space="0" w:color="000000"/>
              <w:bottom w:val="single" w:sz="6" w:space="0" w:color="000000"/>
              <w:right w:val="nil"/>
            </w:tcBorders>
          </w:tcPr>
          <w:p>
            <w:pPr>
              <w:pStyle w:val="TableParagraph"/>
              <w:spacing w:before="58"/>
              <w:ind w:left="122"/>
              <w:rPr>
                <w:sz w:val="23"/>
              </w:rPr>
            </w:pPr>
            <w:r>
              <w:rPr>
                <w:spacing w:val="-5"/>
                <w:sz w:val="23"/>
              </w:rPr>
              <w:t>7.</w:t>
            </w:r>
          </w:p>
        </w:tc>
      </w:tr>
      <w:tr>
        <w:trPr>
          <w:trHeight w:val="721" w:hRule="atLeast"/>
        </w:trPr>
        <w:tc>
          <w:tcPr>
            <w:tcW w:w="834" w:type="dxa"/>
            <w:tcBorders>
              <w:top w:val="single" w:sz="6" w:space="0" w:color="000000"/>
              <w:left w:val="single" w:sz="6" w:space="0" w:color="000000"/>
              <w:bottom w:val="single" w:sz="6" w:space="0" w:color="000000"/>
              <w:right w:val="single" w:sz="6" w:space="0" w:color="000000"/>
            </w:tcBorders>
          </w:tcPr>
          <w:p>
            <w:pPr>
              <w:pStyle w:val="TableParagraph"/>
              <w:spacing w:before="173"/>
              <w:rPr>
                <w:sz w:val="23"/>
              </w:rPr>
            </w:pPr>
          </w:p>
          <w:p>
            <w:pPr>
              <w:pStyle w:val="TableParagraph"/>
              <w:spacing w:line="264" w:lineRule="exact"/>
              <w:ind w:left="110"/>
              <w:rPr>
                <w:sz w:val="23"/>
              </w:rPr>
            </w:pPr>
            <w:r>
              <w:rPr>
                <w:spacing w:val="-5"/>
                <w:sz w:val="23"/>
              </w:rPr>
              <w:t>Co</w:t>
            </w:r>
          </w:p>
        </w:tc>
        <w:tc>
          <w:tcPr>
            <w:tcW w:w="1068" w:type="dxa"/>
            <w:tcBorders>
              <w:top w:val="single" w:sz="6" w:space="0" w:color="000000"/>
              <w:left w:val="single" w:sz="6" w:space="0" w:color="000000"/>
              <w:bottom w:val="single" w:sz="6" w:space="0" w:color="000000"/>
            </w:tcBorders>
          </w:tcPr>
          <w:p>
            <w:pPr>
              <w:pStyle w:val="TableParagraph"/>
              <w:spacing w:before="173"/>
              <w:rPr>
                <w:sz w:val="23"/>
              </w:rPr>
            </w:pPr>
          </w:p>
          <w:p>
            <w:pPr>
              <w:pStyle w:val="TableParagraph"/>
              <w:spacing w:line="264" w:lineRule="exact"/>
              <w:ind w:left="110"/>
              <w:rPr>
                <w:sz w:val="23"/>
              </w:rPr>
            </w:pPr>
            <w:r>
              <w:rPr>
                <w:spacing w:val="-5"/>
                <w:sz w:val="23"/>
              </w:rPr>
              <w:t>Min</w:t>
            </w:r>
          </w:p>
        </w:tc>
        <w:tc>
          <w:tcPr>
            <w:tcW w:w="1548" w:type="dxa"/>
            <w:tcBorders>
              <w:top w:val="single" w:sz="6" w:space="0" w:color="000000"/>
              <w:bottom w:val="single" w:sz="6" w:space="0" w:color="000000"/>
            </w:tcBorders>
          </w:tcPr>
          <w:p>
            <w:pPr>
              <w:pStyle w:val="TableParagraph"/>
              <w:spacing w:before="173"/>
              <w:rPr>
                <w:sz w:val="23"/>
              </w:rPr>
            </w:pPr>
          </w:p>
          <w:p>
            <w:pPr>
              <w:pStyle w:val="TableParagraph"/>
              <w:spacing w:line="264" w:lineRule="exact"/>
              <w:ind w:right="88"/>
              <w:jc w:val="right"/>
              <w:rPr>
                <w:sz w:val="23"/>
              </w:rPr>
            </w:pPr>
            <w:r>
              <w:rPr>
                <w:spacing w:val="-4"/>
                <w:sz w:val="23"/>
              </w:rPr>
              <w:t>0.68</w:t>
            </w:r>
          </w:p>
        </w:tc>
        <w:tc>
          <w:tcPr>
            <w:tcW w:w="1132" w:type="dxa"/>
            <w:tcBorders>
              <w:top w:val="single" w:sz="6" w:space="0" w:color="000000"/>
              <w:bottom w:val="single" w:sz="6" w:space="0" w:color="000000"/>
            </w:tcBorders>
          </w:tcPr>
          <w:p>
            <w:pPr>
              <w:pStyle w:val="TableParagraph"/>
              <w:spacing w:before="173"/>
              <w:rPr>
                <w:sz w:val="23"/>
              </w:rPr>
            </w:pPr>
          </w:p>
          <w:p>
            <w:pPr>
              <w:pStyle w:val="TableParagraph"/>
              <w:spacing w:line="264" w:lineRule="exact"/>
              <w:ind w:left="104" w:right="10"/>
              <w:jc w:val="center"/>
              <w:rPr>
                <w:sz w:val="23"/>
              </w:rPr>
            </w:pPr>
            <w:r>
              <w:rPr>
                <w:sz w:val="23"/>
              </w:rPr>
              <w:t>9.71E-</w:t>
            </w:r>
            <w:r>
              <w:rPr>
                <w:spacing w:val="-5"/>
                <w:sz w:val="23"/>
              </w:rPr>
              <w:t>07</w:t>
            </w:r>
          </w:p>
        </w:tc>
        <w:tc>
          <w:tcPr>
            <w:tcW w:w="1069" w:type="dxa"/>
            <w:tcBorders>
              <w:top w:val="single" w:sz="6" w:space="0" w:color="000000"/>
              <w:bottom w:val="single" w:sz="6" w:space="0" w:color="000000"/>
              <w:right w:val="single" w:sz="6" w:space="0" w:color="000000"/>
            </w:tcBorders>
          </w:tcPr>
          <w:p>
            <w:pPr>
              <w:pStyle w:val="TableParagraph"/>
              <w:rPr>
                <w:sz w:val="22"/>
              </w:rPr>
            </w:pPr>
          </w:p>
        </w:tc>
        <w:tc>
          <w:tcPr>
            <w:tcW w:w="1288" w:type="dxa"/>
            <w:tcBorders>
              <w:top w:val="single" w:sz="6" w:space="0" w:color="000000"/>
              <w:left w:val="single" w:sz="6" w:space="0" w:color="000000"/>
              <w:bottom w:val="single" w:sz="6" w:space="0" w:color="000000"/>
            </w:tcBorders>
          </w:tcPr>
          <w:p>
            <w:pPr>
              <w:pStyle w:val="TableParagraph"/>
              <w:spacing w:before="173"/>
              <w:rPr>
                <w:sz w:val="23"/>
              </w:rPr>
            </w:pPr>
          </w:p>
          <w:p>
            <w:pPr>
              <w:pStyle w:val="TableParagraph"/>
              <w:spacing w:line="264" w:lineRule="exact"/>
              <w:ind w:right="99"/>
              <w:jc w:val="right"/>
              <w:rPr>
                <w:sz w:val="23"/>
              </w:rPr>
            </w:pPr>
            <w:r>
              <w:rPr>
                <w:sz w:val="23"/>
              </w:rPr>
              <w:t>4.86E-</w:t>
            </w:r>
            <w:r>
              <w:rPr>
                <w:spacing w:val="-5"/>
                <w:sz w:val="23"/>
              </w:rPr>
              <w:t>05</w:t>
            </w:r>
          </w:p>
        </w:tc>
        <w:tc>
          <w:tcPr>
            <w:tcW w:w="1013" w:type="dxa"/>
            <w:tcBorders>
              <w:top w:val="single" w:sz="6" w:space="0" w:color="000000"/>
              <w:bottom w:val="single" w:sz="6" w:space="0" w:color="000000"/>
              <w:right w:val="single" w:sz="6" w:space="0" w:color="000000"/>
            </w:tcBorders>
          </w:tcPr>
          <w:p>
            <w:pPr>
              <w:pStyle w:val="TableParagraph"/>
              <w:spacing w:before="150"/>
              <w:ind w:right="82"/>
              <w:jc w:val="right"/>
              <w:rPr>
                <w:sz w:val="23"/>
              </w:rPr>
            </w:pPr>
            <w:r>
              <w:rPr>
                <w:spacing w:val="-2"/>
                <w:sz w:val="23"/>
              </w:rPr>
              <w:t>3.88E-</w:t>
            </w:r>
          </w:p>
          <w:p>
            <w:pPr>
              <w:pStyle w:val="TableParagraph"/>
              <w:spacing w:line="264" w:lineRule="exact" w:before="23"/>
              <w:ind w:right="87"/>
              <w:jc w:val="right"/>
              <w:rPr>
                <w:sz w:val="23"/>
              </w:rPr>
            </w:pPr>
            <w:r>
              <w:rPr>
                <w:spacing w:val="-5"/>
                <w:sz w:val="23"/>
              </w:rPr>
              <w:t>09</w:t>
            </w:r>
          </w:p>
        </w:tc>
        <w:tc>
          <w:tcPr>
            <w:tcW w:w="1006" w:type="dxa"/>
            <w:tcBorders>
              <w:top w:val="single" w:sz="6" w:space="0" w:color="000000"/>
              <w:left w:val="single" w:sz="6" w:space="0" w:color="000000"/>
              <w:bottom w:val="single" w:sz="6" w:space="0" w:color="000000"/>
              <w:right w:val="single" w:sz="6" w:space="0" w:color="000000"/>
            </w:tcBorders>
          </w:tcPr>
          <w:p>
            <w:pPr>
              <w:pStyle w:val="TableParagraph"/>
              <w:spacing w:before="150"/>
              <w:ind w:right="93"/>
              <w:jc w:val="right"/>
              <w:rPr>
                <w:sz w:val="23"/>
              </w:rPr>
            </w:pPr>
            <w:r>
              <w:rPr>
                <w:spacing w:val="-2"/>
                <w:sz w:val="23"/>
              </w:rPr>
              <w:t>2.43E-</w:t>
            </w:r>
          </w:p>
          <w:p>
            <w:pPr>
              <w:pStyle w:val="TableParagraph"/>
              <w:spacing w:line="264" w:lineRule="exact" w:before="23"/>
              <w:ind w:right="100"/>
              <w:jc w:val="right"/>
              <w:rPr>
                <w:sz w:val="23"/>
              </w:rPr>
            </w:pPr>
            <w:r>
              <w:rPr>
                <w:spacing w:val="-5"/>
                <w:sz w:val="23"/>
              </w:rPr>
              <w:t>07</w:t>
            </w:r>
          </w:p>
        </w:tc>
        <w:tc>
          <w:tcPr>
            <w:tcW w:w="1367" w:type="dxa"/>
            <w:tcBorders>
              <w:top w:val="single" w:sz="6" w:space="0" w:color="000000"/>
              <w:left w:val="single" w:sz="6" w:space="0" w:color="000000"/>
              <w:bottom w:val="single" w:sz="6" w:space="0" w:color="000000"/>
            </w:tcBorders>
          </w:tcPr>
          <w:p>
            <w:pPr>
              <w:pStyle w:val="TableParagraph"/>
              <w:rPr>
                <w:sz w:val="22"/>
              </w:rPr>
            </w:pPr>
          </w:p>
        </w:tc>
        <w:tc>
          <w:tcPr>
            <w:tcW w:w="383" w:type="dxa"/>
            <w:tcBorders>
              <w:top w:val="single" w:sz="6" w:space="0" w:color="000000"/>
              <w:bottom w:val="single" w:sz="6" w:space="0" w:color="000000"/>
              <w:right w:val="nil"/>
            </w:tcBorders>
          </w:tcPr>
          <w:p>
            <w:pPr>
              <w:pStyle w:val="TableParagraph"/>
              <w:spacing w:before="55"/>
              <w:ind w:left="122"/>
              <w:rPr>
                <w:sz w:val="23"/>
              </w:rPr>
            </w:pPr>
            <w:r>
              <w:rPr>
                <w:spacing w:val="-5"/>
                <w:sz w:val="23"/>
              </w:rPr>
              <w:t>4.</w:t>
            </w:r>
          </w:p>
        </w:tc>
      </w:tr>
      <w:tr>
        <w:trPr>
          <w:trHeight w:val="632" w:hRule="atLeast"/>
        </w:trPr>
        <w:tc>
          <w:tcPr>
            <w:tcW w:w="834" w:type="dxa"/>
            <w:tcBorders>
              <w:top w:val="single" w:sz="6" w:space="0" w:color="000000"/>
              <w:left w:val="single" w:sz="6" w:space="0" w:color="000000"/>
              <w:bottom w:val="single" w:sz="6" w:space="0" w:color="000000"/>
              <w:right w:val="single" w:sz="6" w:space="0" w:color="000000"/>
            </w:tcBorders>
          </w:tcPr>
          <w:p>
            <w:pPr>
              <w:pStyle w:val="TableParagraph"/>
              <w:rPr>
                <w:sz w:val="22"/>
              </w:rPr>
            </w:pPr>
          </w:p>
        </w:tc>
        <w:tc>
          <w:tcPr>
            <w:tcW w:w="1068" w:type="dxa"/>
            <w:tcBorders>
              <w:top w:val="single" w:sz="6" w:space="0" w:color="000000"/>
              <w:left w:val="single" w:sz="6" w:space="0" w:color="000000"/>
              <w:bottom w:val="single" w:sz="6" w:space="0" w:color="000000"/>
            </w:tcBorders>
          </w:tcPr>
          <w:p>
            <w:pPr>
              <w:pStyle w:val="TableParagraph"/>
              <w:spacing w:before="84"/>
              <w:rPr>
                <w:sz w:val="23"/>
              </w:rPr>
            </w:pPr>
          </w:p>
          <w:p>
            <w:pPr>
              <w:pStyle w:val="TableParagraph"/>
              <w:spacing w:line="264" w:lineRule="exact"/>
              <w:ind w:left="110"/>
              <w:rPr>
                <w:sz w:val="23"/>
              </w:rPr>
            </w:pPr>
            <w:r>
              <w:rPr>
                <w:spacing w:val="-5"/>
                <w:sz w:val="23"/>
              </w:rPr>
              <w:t>Max</w:t>
            </w:r>
          </w:p>
        </w:tc>
        <w:tc>
          <w:tcPr>
            <w:tcW w:w="1548" w:type="dxa"/>
            <w:tcBorders>
              <w:top w:val="single" w:sz="6" w:space="0" w:color="000000"/>
              <w:bottom w:val="single" w:sz="6" w:space="0" w:color="000000"/>
            </w:tcBorders>
          </w:tcPr>
          <w:p>
            <w:pPr>
              <w:pStyle w:val="TableParagraph"/>
              <w:spacing w:before="84"/>
              <w:rPr>
                <w:sz w:val="23"/>
              </w:rPr>
            </w:pPr>
          </w:p>
          <w:p>
            <w:pPr>
              <w:pStyle w:val="TableParagraph"/>
              <w:spacing w:line="264" w:lineRule="exact"/>
              <w:ind w:right="88"/>
              <w:jc w:val="right"/>
              <w:rPr>
                <w:sz w:val="23"/>
              </w:rPr>
            </w:pPr>
            <w:r>
              <w:rPr>
                <w:spacing w:val="-4"/>
                <w:sz w:val="23"/>
              </w:rPr>
              <w:t>5.43</w:t>
            </w:r>
          </w:p>
        </w:tc>
        <w:tc>
          <w:tcPr>
            <w:tcW w:w="1132" w:type="dxa"/>
            <w:tcBorders>
              <w:top w:val="single" w:sz="6" w:space="0" w:color="000000"/>
              <w:bottom w:val="single" w:sz="6" w:space="0" w:color="000000"/>
            </w:tcBorders>
          </w:tcPr>
          <w:p>
            <w:pPr>
              <w:pStyle w:val="TableParagraph"/>
              <w:spacing w:before="84"/>
              <w:rPr>
                <w:sz w:val="23"/>
              </w:rPr>
            </w:pPr>
          </w:p>
          <w:p>
            <w:pPr>
              <w:pStyle w:val="TableParagraph"/>
              <w:spacing w:line="264" w:lineRule="exact"/>
              <w:ind w:left="104" w:right="10"/>
              <w:jc w:val="center"/>
              <w:rPr>
                <w:sz w:val="23"/>
              </w:rPr>
            </w:pPr>
            <w:r>
              <w:rPr>
                <w:sz w:val="23"/>
              </w:rPr>
              <w:t>7.76E-</w:t>
            </w:r>
            <w:r>
              <w:rPr>
                <w:spacing w:val="-5"/>
                <w:sz w:val="23"/>
              </w:rPr>
              <w:t>06</w:t>
            </w:r>
          </w:p>
        </w:tc>
        <w:tc>
          <w:tcPr>
            <w:tcW w:w="1069" w:type="dxa"/>
            <w:tcBorders>
              <w:top w:val="single" w:sz="6" w:space="0" w:color="000000"/>
              <w:bottom w:val="single" w:sz="6" w:space="0" w:color="000000"/>
              <w:right w:val="single" w:sz="6" w:space="0" w:color="000000"/>
            </w:tcBorders>
          </w:tcPr>
          <w:p>
            <w:pPr>
              <w:pStyle w:val="TableParagraph"/>
              <w:rPr>
                <w:sz w:val="22"/>
              </w:rPr>
            </w:pPr>
          </w:p>
        </w:tc>
        <w:tc>
          <w:tcPr>
            <w:tcW w:w="1288" w:type="dxa"/>
            <w:tcBorders>
              <w:top w:val="single" w:sz="6" w:space="0" w:color="000000"/>
              <w:left w:val="single" w:sz="6" w:space="0" w:color="000000"/>
              <w:bottom w:val="single" w:sz="6" w:space="0" w:color="000000"/>
            </w:tcBorders>
          </w:tcPr>
          <w:p>
            <w:pPr>
              <w:pStyle w:val="TableParagraph"/>
              <w:spacing w:before="84"/>
              <w:rPr>
                <w:sz w:val="23"/>
              </w:rPr>
            </w:pPr>
          </w:p>
          <w:p>
            <w:pPr>
              <w:pStyle w:val="TableParagraph"/>
              <w:spacing w:line="264" w:lineRule="exact"/>
              <w:ind w:right="99"/>
              <w:jc w:val="right"/>
              <w:rPr>
                <w:sz w:val="23"/>
              </w:rPr>
            </w:pPr>
            <w:r>
              <w:rPr>
                <w:sz w:val="23"/>
              </w:rPr>
              <w:t>3.88E-</w:t>
            </w:r>
            <w:r>
              <w:rPr>
                <w:spacing w:val="-5"/>
                <w:sz w:val="23"/>
              </w:rPr>
              <w:t>04</w:t>
            </w:r>
          </w:p>
        </w:tc>
        <w:tc>
          <w:tcPr>
            <w:tcW w:w="1013" w:type="dxa"/>
            <w:tcBorders>
              <w:top w:val="single" w:sz="6" w:space="0" w:color="000000"/>
              <w:bottom w:val="single" w:sz="6" w:space="0" w:color="000000"/>
              <w:right w:val="single" w:sz="6" w:space="0" w:color="000000"/>
            </w:tcBorders>
          </w:tcPr>
          <w:p>
            <w:pPr>
              <w:pStyle w:val="TableParagraph"/>
              <w:spacing w:before="58"/>
              <w:ind w:right="82"/>
              <w:jc w:val="right"/>
              <w:rPr>
                <w:sz w:val="23"/>
              </w:rPr>
            </w:pPr>
            <w:r>
              <w:rPr>
                <w:spacing w:val="-2"/>
                <w:sz w:val="23"/>
              </w:rPr>
              <w:t>3.09E-</w:t>
            </w:r>
          </w:p>
          <w:p>
            <w:pPr>
              <w:pStyle w:val="TableParagraph"/>
              <w:spacing w:line="264" w:lineRule="exact" w:before="26"/>
              <w:ind w:right="87"/>
              <w:jc w:val="right"/>
              <w:rPr>
                <w:sz w:val="23"/>
              </w:rPr>
            </w:pPr>
            <w:r>
              <w:rPr>
                <w:spacing w:val="-5"/>
                <w:sz w:val="23"/>
              </w:rPr>
              <w:t>08</w:t>
            </w:r>
          </w:p>
        </w:tc>
        <w:tc>
          <w:tcPr>
            <w:tcW w:w="1006" w:type="dxa"/>
            <w:tcBorders>
              <w:top w:val="single" w:sz="6" w:space="0" w:color="000000"/>
              <w:left w:val="single" w:sz="6" w:space="0" w:color="000000"/>
              <w:bottom w:val="single" w:sz="6" w:space="0" w:color="000000"/>
              <w:right w:val="single" w:sz="6" w:space="0" w:color="000000"/>
            </w:tcBorders>
          </w:tcPr>
          <w:p>
            <w:pPr>
              <w:pStyle w:val="TableParagraph"/>
              <w:spacing w:before="58"/>
              <w:ind w:right="93"/>
              <w:jc w:val="right"/>
              <w:rPr>
                <w:sz w:val="23"/>
              </w:rPr>
            </w:pPr>
            <w:r>
              <w:rPr>
                <w:spacing w:val="-2"/>
                <w:sz w:val="23"/>
              </w:rPr>
              <w:t>1.93E-</w:t>
            </w:r>
          </w:p>
          <w:p>
            <w:pPr>
              <w:pStyle w:val="TableParagraph"/>
              <w:spacing w:line="264" w:lineRule="exact" w:before="26"/>
              <w:ind w:right="100"/>
              <w:jc w:val="right"/>
              <w:rPr>
                <w:sz w:val="23"/>
              </w:rPr>
            </w:pPr>
            <w:r>
              <w:rPr>
                <w:spacing w:val="-5"/>
                <w:sz w:val="23"/>
              </w:rPr>
              <w:t>06</w:t>
            </w:r>
          </w:p>
        </w:tc>
        <w:tc>
          <w:tcPr>
            <w:tcW w:w="1367" w:type="dxa"/>
            <w:tcBorders>
              <w:top w:val="single" w:sz="6" w:space="0" w:color="000000"/>
              <w:left w:val="single" w:sz="6" w:space="0" w:color="000000"/>
              <w:bottom w:val="single" w:sz="6" w:space="0" w:color="000000"/>
            </w:tcBorders>
          </w:tcPr>
          <w:p>
            <w:pPr>
              <w:pStyle w:val="TableParagraph"/>
              <w:rPr>
                <w:sz w:val="22"/>
              </w:rPr>
            </w:pPr>
          </w:p>
        </w:tc>
        <w:tc>
          <w:tcPr>
            <w:tcW w:w="383" w:type="dxa"/>
            <w:tcBorders>
              <w:top w:val="single" w:sz="6" w:space="0" w:color="000000"/>
              <w:bottom w:val="single" w:sz="6" w:space="0" w:color="000000"/>
              <w:right w:val="nil"/>
            </w:tcBorders>
          </w:tcPr>
          <w:p>
            <w:pPr>
              <w:pStyle w:val="TableParagraph"/>
              <w:spacing w:before="58"/>
              <w:ind w:left="122"/>
              <w:rPr>
                <w:sz w:val="23"/>
              </w:rPr>
            </w:pPr>
            <w:r>
              <w:rPr>
                <w:spacing w:val="-5"/>
                <w:sz w:val="23"/>
              </w:rPr>
              <w:t>3.</w:t>
            </w:r>
          </w:p>
        </w:tc>
      </w:tr>
      <w:tr>
        <w:trPr>
          <w:trHeight w:val="630" w:hRule="atLeast"/>
        </w:trPr>
        <w:tc>
          <w:tcPr>
            <w:tcW w:w="834" w:type="dxa"/>
            <w:tcBorders>
              <w:top w:val="single" w:sz="6" w:space="0" w:color="000000"/>
              <w:left w:val="single" w:sz="6" w:space="0" w:color="000000"/>
              <w:bottom w:val="single" w:sz="6" w:space="0" w:color="000000"/>
              <w:right w:val="single" w:sz="6" w:space="0" w:color="000000"/>
            </w:tcBorders>
          </w:tcPr>
          <w:p>
            <w:pPr>
              <w:pStyle w:val="TableParagraph"/>
              <w:rPr>
                <w:sz w:val="22"/>
              </w:rPr>
            </w:pPr>
          </w:p>
        </w:tc>
        <w:tc>
          <w:tcPr>
            <w:tcW w:w="1068" w:type="dxa"/>
            <w:tcBorders>
              <w:top w:val="single" w:sz="6" w:space="0" w:color="000000"/>
              <w:left w:val="single" w:sz="6" w:space="0" w:color="000000"/>
              <w:bottom w:val="single" w:sz="6" w:space="0" w:color="000000"/>
            </w:tcBorders>
          </w:tcPr>
          <w:p>
            <w:pPr>
              <w:pStyle w:val="TableParagraph"/>
              <w:spacing w:before="82"/>
              <w:rPr>
                <w:sz w:val="23"/>
              </w:rPr>
            </w:pPr>
          </w:p>
          <w:p>
            <w:pPr>
              <w:pStyle w:val="TableParagraph"/>
              <w:spacing w:line="264" w:lineRule="exact"/>
              <w:ind w:left="110"/>
              <w:rPr>
                <w:sz w:val="23"/>
              </w:rPr>
            </w:pPr>
            <w:r>
              <w:rPr>
                <w:spacing w:val="-4"/>
                <w:sz w:val="23"/>
              </w:rPr>
              <w:t>Mean</w:t>
            </w:r>
          </w:p>
        </w:tc>
        <w:tc>
          <w:tcPr>
            <w:tcW w:w="1548" w:type="dxa"/>
            <w:tcBorders>
              <w:top w:val="single" w:sz="6" w:space="0" w:color="000000"/>
              <w:bottom w:val="single" w:sz="6" w:space="0" w:color="000000"/>
            </w:tcBorders>
          </w:tcPr>
          <w:p>
            <w:pPr>
              <w:pStyle w:val="TableParagraph"/>
              <w:spacing w:before="82"/>
              <w:rPr>
                <w:sz w:val="23"/>
              </w:rPr>
            </w:pPr>
          </w:p>
          <w:p>
            <w:pPr>
              <w:pStyle w:val="TableParagraph"/>
              <w:spacing w:line="264" w:lineRule="exact"/>
              <w:ind w:right="88"/>
              <w:jc w:val="right"/>
              <w:rPr>
                <w:sz w:val="23"/>
              </w:rPr>
            </w:pPr>
            <w:r>
              <w:rPr>
                <w:spacing w:val="-2"/>
                <w:sz w:val="23"/>
              </w:rPr>
              <w:t>2.084</w:t>
            </w:r>
          </w:p>
        </w:tc>
        <w:tc>
          <w:tcPr>
            <w:tcW w:w="1132" w:type="dxa"/>
            <w:tcBorders>
              <w:top w:val="single" w:sz="6" w:space="0" w:color="000000"/>
              <w:bottom w:val="single" w:sz="6" w:space="0" w:color="000000"/>
            </w:tcBorders>
          </w:tcPr>
          <w:p>
            <w:pPr>
              <w:pStyle w:val="TableParagraph"/>
              <w:spacing w:before="82"/>
              <w:rPr>
                <w:sz w:val="23"/>
              </w:rPr>
            </w:pPr>
          </w:p>
          <w:p>
            <w:pPr>
              <w:pStyle w:val="TableParagraph"/>
              <w:spacing w:line="264" w:lineRule="exact"/>
              <w:ind w:left="104" w:right="10"/>
              <w:jc w:val="center"/>
              <w:rPr>
                <w:sz w:val="23"/>
              </w:rPr>
            </w:pPr>
            <w:r>
              <w:rPr>
                <w:sz w:val="23"/>
              </w:rPr>
              <w:t>2.98E-</w:t>
            </w:r>
            <w:r>
              <w:rPr>
                <w:spacing w:val="-5"/>
                <w:sz w:val="23"/>
              </w:rPr>
              <w:t>06</w:t>
            </w:r>
          </w:p>
        </w:tc>
        <w:tc>
          <w:tcPr>
            <w:tcW w:w="1069" w:type="dxa"/>
            <w:tcBorders>
              <w:top w:val="single" w:sz="6" w:space="0" w:color="000000"/>
              <w:bottom w:val="single" w:sz="6" w:space="0" w:color="000000"/>
              <w:right w:val="single" w:sz="6" w:space="0" w:color="000000"/>
            </w:tcBorders>
          </w:tcPr>
          <w:p>
            <w:pPr>
              <w:pStyle w:val="TableParagraph"/>
              <w:rPr>
                <w:sz w:val="22"/>
              </w:rPr>
            </w:pPr>
          </w:p>
        </w:tc>
        <w:tc>
          <w:tcPr>
            <w:tcW w:w="1288" w:type="dxa"/>
            <w:tcBorders>
              <w:top w:val="single" w:sz="6" w:space="0" w:color="000000"/>
              <w:left w:val="single" w:sz="6" w:space="0" w:color="000000"/>
              <w:bottom w:val="single" w:sz="6" w:space="0" w:color="000000"/>
            </w:tcBorders>
          </w:tcPr>
          <w:p>
            <w:pPr>
              <w:pStyle w:val="TableParagraph"/>
              <w:spacing w:before="82"/>
              <w:rPr>
                <w:sz w:val="23"/>
              </w:rPr>
            </w:pPr>
          </w:p>
          <w:p>
            <w:pPr>
              <w:pStyle w:val="TableParagraph"/>
              <w:spacing w:line="264" w:lineRule="exact"/>
              <w:ind w:right="99"/>
              <w:jc w:val="right"/>
              <w:rPr>
                <w:sz w:val="23"/>
              </w:rPr>
            </w:pPr>
            <w:r>
              <w:rPr>
                <w:sz w:val="23"/>
              </w:rPr>
              <w:t>1.49E-</w:t>
            </w:r>
            <w:r>
              <w:rPr>
                <w:spacing w:val="-5"/>
                <w:sz w:val="23"/>
              </w:rPr>
              <w:t>04</w:t>
            </w:r>
          </w:p>
        </w:tc>
        <w:tc>
          <w:tcPr>
            <w:tcW w:w="1013" w:type="dxa"/>
            <w:tcBorders>
              <w:top w:val="single" w:sz="6" w:space="0" w:color="000000"/>
              <w:bottom w:val="single" w:sz="6" w:space="0" w:color="000000"/>
              <w:right w:val="single" w:sz="6" w:space="0" w:color="000000"/>
            </w:tcBorders>
          </w:tcPr>
          <w:p>
            <w:pPr>
              <w:pStyle w:val="TableParagraph"/>
              <w:spacing w:before="56"/>
              <w:ind w:right="82"/>
              <w:jc w:val="right"/>
              <w:rPr>
                <w:sz w:val="23"/>
              </w:rPr>
            </w:pPr>
            <w:r>
              <w:rPr>
                <w:spacing w:val="-2"/>
                <w:sz w:val="23"/>
              </w:rPr>
              <w:t>1.19E-</w:t>
            </w:r>
          </w:p>
          <w:p>
            <w:pPr>
              <w:pStyle w:val="TableParagraph"/>
              <w:spacing w:line="264" w:lineRule="exact" w:before="26"/>
              <w:ind w:right="87"/>
              <w:jc w:val="right"/>
              <w:rPr>
                <w:sz w:val="23"/>
              </w:rPr>
            </w:pPr>
            <w:r>
              <w:rPr>
                <w:spacing w:val="-5"/>
                <w:sz w:val="23"/>
              </w:rPr>
              <w:t>08</w:t>
            </w:r>
          </w:p>
        </w:tc>
        <w:tc>
          <w:tcPr>
            <w:tcW w:w="1006" w:type="dxa"/>
            <w:tcBorders>
              <w:top w:val="single" w:sz="6" w:space="0" w:color="000000"/>
              <w:left w:val="single" w:sz="6" w:space="0" w:color="000000"/>
              <w:bottom w:val="single" w:sz="6" w:space="0" w:color="000000"/>
              <w:right w:val="single" w:sz="6" w:space="0" w:color="000000"/>
            </w:tcBorders>
          </w:tcPr>
          <w:p>
            <w:pPr>
              <w:pStyle w:val="TableParagraph"/>
              <w:spacing w:before="56"/>
              <w:ind w:right="93"/>
              <w:jc w:val="right"/>
              <w:rPr>
                <w:sz w:val="23"/>
              </w:rPr>
            </w:pPr>
            <w:r>
              <w:rPr>
                <w:spacing w:val="-2"/>
                <w:sz w:val="23"/>
              </w:rPr>
              <w:t>7.44E-</w:t>
            </w:r>
          </w:p>
          <w:p>
            <w:pPr>
              <w:pStyle w:val="TableParagraph"/>
              <w:spacing w:line="264" w:lineRule="exact" w:before="26"/>
              <w:ind w:right="100"/>
              <w:jc w:val="right"/>
              <w:rPr>
                <w:sz w:val="23"/>
              </w:rPr>
            </w:pPr>
            <w:r>
              <w:rPr>
                <w:spacing w:val="-5"/>
                <w:sz w:val="23"/>
              </w:rPr>
              <w:t>07</w:t>
            </w:r>
          </w:p>
        </w:tc>
        <w:tc>
          <w:tcPr>
            <w:tcW w:w="1367" w:type="dxa"/>
            <w:tcBorders>
              <w:top w:val="single" w:sz="6" w:space="0" w:color="000000"/>
              <w:left w:val="single" w:sz="6" w:space="0" w:color="000000"/>
              <w:bottom w:val="single" w:sz="6" w:space="0" w:color="000000"/>
            </w:tcBorders>
          </w:tcPr>
          <w:p>
            <w:pPr>
              <w:pStyle w:val="TableParagraph"/>
              <w:rPr>
                <w:sz w:val="22"/>
              </w:rPr>
            </w:pPr>
          </w:p>
        </w:tc>
        <w:tc>
          <w:tcPr>
            <w:tcW w:w="383" w:type="dxa"/>
            <w:tcBorders>
              <w:top w:val="single" w:sz="6" w:space="0" w:color="000000"/>
              <w:bottom w:val="single" w:sz="6" w:space="0" w:color="000000"/>
              <w:right w:val="nil"/>
            </w:tcBorders>
          </w:tcPr>
          <w:p>
            <w:pPr>
              <w:pStyle w:val="TableParagraph"/>
              <w:spacing w:before="56"/>
              <w:ind w:left="122"/>
              <w:rPr>
                <w:sz w:val="23"/>
              </w:rPr>
            </w:pPr>
            <w:r>
              <w:rPr>
                <w:spacing w:val="-5"/>
                <w:sz w:val="23"/>
              </w:rPr>
              <w:t>1.</w:t>
            </w:r>
          </w:p>
        </w:tc>
      </w:tr>
      <w:tr>
        <w:trPr>
          <w:trHeight w:val="632" w:hRule="atLeast"/>
        </w:trPr>
        <w:tc>
          <w:tcPr>
            <w:tcW w:w="834" w:type="dxa"/>
            <w:tcBorders>
              <w:top w:val="single" w:sz="6" w:space="0" w:color="000000"/>
              <w:left w:val="single" w:sz="6" w:space="0" w:color="000000"/>
              <w:right w:val="single" w:sz="6" w:space="0" w:color="000000"/>
            </w:tcBorders>
          </w:tcPr>
          <w:p>
            <w:pPr>
              <w:pStyle w:val="TableParagraph"/>
              <w:spacing w:before="81"/>
              <w:rPr>
                <w:sz w:val="23"/>
              </w:rPr>
            </w:pPr>
          </w:p>
          <w:p>
            <w:pPr>
              <w:pStyle w:val="TableParagraph"/>
              <w:spacing w:before="1"/>
              <w:ind w:left="110"/>
              <w:rPr>
                <w:sz w:val="23"/>
              </w:rPr>
            </w:pPr>
            <w:r>
              <w:rPr>
                <w:spacing w:val="-5"/>
                <w:sz w:val="23"/>
              </w:rPr>
              <w:t>As</w:t>
            </w:r>
          </w:p>
        </w:tc>
        <w:tc>
          <w:tcPr>
            <w:tcW w:w="1068" w:type="dxa"/>
            <w:tcBorders>
              <w:top w:val="single" w:sz="6" w:space="0" w:color="000000"/>
              <w:left w:val="single" w:sz="6" w:space="0" w:color="000000"/>
            </w:tcBorders>
          </w:tcPr>
          <w:p>
            <w:pPr>
              <w:pStyle w:val="TableParagraph"/>
              <w:spacing w:before="81"/>
              <w:rPr>
                <w:sz w:val="23"/>
              </w:rPr>
            </w:pPr>
          </w:p>
          <w:p>
            <w:pPr>
              <w:pStyle w:val="TableParagraph"/>
              <w:spacing w:before="1"/>
              <w:ind w:left="110"/>
              <w:rPr>
                <w:sz w:val="23"/>
              </w:rPr>
            </w:pPr>
            <w:r>
              <w:rPr>
                <w:spacing w:val="-5"/>
                <w:sz w:val="23"/>
              </w:rPr>
              <w:t>Min</w:t>
            </w:r>
          </w:p>
        </w:tc>
        <w:tc>
          <w:tcPr>
            <w:tcW w:w="1548" w:type="dxa"/>
            <w:tcBorders>
              <w:top w:val="single" w:sz="6" w:space="0" w:color="000000"/>
            </w:tcBorders>
          </w:tcPr>
          <w:p>
            <w:pPr>
              <w:pStyle w:val="TableParagraph"/>
              <w:spacing w:before="81"/>
              <w:rPr>
                <w:sz w:val="23"/>
              </w:rPr>
            </w:pPr>
          </w:p>
          <w:p>
            <w:pPr>
              <w:pStyle w:val="TableParagraph"/>
              <w:spacing w:before="1"/>
              <w:ind w:right="88"/>
              <w:jc w:val="right"/>
              <w:rPr>
                <w:sz w:val="23"/>
              </w:rPr>
            </w:pPr>
            <w:r>
              <w:rPr>
                <w:spacing w:val="-4"/>
                <w:sz w:val="23"/>
              </w:rPr>
              <w:t>0.22</w:t>
            </w:r>
          </w:p>
        </w:tc>
        <w:tc>
          <w:tcPr>
            <w:tcW w:w="1132" w:type="dxa"/>
            <w:tcBorders>
              <w:top w:val="single" w:sz="6" w:space="0" w:color="000000"/>
            </w:tcBorders>
          </w:tcPr>
          <w:p>
            <w:pPr>
              <w:pStyle w:val="TableParagraph"/>
              <w:spacing w:before="81"/>
              <w:rPr>
                <w:sz w:val="23"/>
              </w:rPr>
            </w:pPr>
          </w:p>
          <w:p>
            <w:pPr>
              <w:pStyle w:val="TableParagraph"/>
              <w:spacing w:before="1"/>
              <w:ind w:left="104" w:right="10"/>
              <w:jc w:val="center"/>
              <w:rPr>
                <w:sz w:val="23"/>
              </w:rPr>
            </w:pPr>
            <w:r>
              <w:rPr>
                <w:sz w:val="23"/>
              </w:rPr>
              <w:t>3.14E-</w:t>
            </w:r>
            <w:r>
              <w:rPr>
                <w:spacing w:val="-5"/>
                <w:sz w:val="23"/>
              </w:rPr>
              <w:t>07</w:t>
            </w:r>
          </w:p>
        </w:tc>
        <w:tc>
          <w:tcPr>
            <w:tcW w:w="1069" w:type="dxa"/>
            <w:tcBorders>
              <w:top w:val="single" w:sz="6" w:space="0" w:color="000000"/>
              <w:right w:val="single" w:sz="6" w:space="0" w:color="000000"/>
            </w:tcBorders>
          </w:tcPr>
          <w:p>
            <w:pPr>
              <w:pStyle w:val="TableParagraph"/>
              <w:spacing w:before="58"/>
              <w:ind w:right="84"/>
              <w:jc w:val="right"/>
              <w:rPr>
                <w:sz w:val="23"/>
              </w:rPr>
            </w:pPr>
            <w:r>
              <w:rPr>
                <w:spacing w:val="-2"/>
                <w:sz w:val="23"/>
              </w:rPr>
              <w:t>4.71E-</w:t>
            </w:r>
          </w:p>
          <w:p>
            <w:pPr>
              <w:pStyle w:val="TableParagraph"/>
              <w:spacing w:before="24"/>
              <w:ind w:right="96"/>
              <w:jc w:val="right"/>
              <w:rPr>
                <w:sz w:val="23"/>
              </w:rPr>
            </w:pPr>
            <w:r>
              <w:rPr>
                <w:spacing w:val="-5"/>
                <w:sz w:val="23"/>
              </w:rPr>
              <w:t>10</w:t>
            </w:r>
          </w:p>
        </w:tc>
        <w:tc>
          <w:tcPr>
            <w:tcW w:w="1288" w:type="dxa"/>
            <w:tcBorders>
              <w:top w:val="single" w:sz="6" w:space="0" w:color="000000"/>
              <w:left w:val="single" w:sz="6" w:space="0" w:color="000000"/>
            </w:tcBorders>
          </w:tcPr>
          <w:p>
            <w:pPr>
              <w:pStyle w:val="TableParagraph"/>
              <w:spacing w:before="81"/>
              <w:rPr>
                <w:sz w:val="23"/>
              </w:rPr>
            </w:pPr>
          </w:p>
          <w:p>
            <w:pPr>
              <w:pStyle w:val="TableParagraph"/>
              <w:spacing w:before="1"/>
              <w:ind w:right="99"/>
              <w:jc w:val="right"/>
              <w:rPr>
                <w:sz w:val="23"/>
              </w:rPr>
            </w:pPr>
            <w:r>
              <w:rPr>
                <w:sz w:val="23"/>
              </w:rPr>
              <w:t>1.05E-</w:t>
            </w:r>
            <w:r>
              <w:rPr>
                <w:spacing w:val="-5"/>
                <w:sz w:val="23"/>
              </w:rPr>
              <w:t>03</w:t>
            </w:r>
          </w:p>
        </w:tc>
        <w:tc>
          <w:tcPr>
            <w:tcW w:w="1013" w:type="dxa"/>
            <w:tcBorders>
              <w:top w:val="single" w:sz="6" w:space="0" w:color="000000"/>
              <w:right w:val="single" w:sz="6" w:space="0" w:color="000000"/>
            </w:tcBorders>
          </w:tcPr>
          <w:p>
            <w:pPr>
              <w:pStyle w:val="TableParagraph"/>
              <w:spacing w:before="58"/>
              <w:ind w:right="82"/>
              <w:jc w:val="right"/>
              <w:rPr>
                <w:sz w:val="23"/>
              </w:rPr>
            </w:pPr>
            <w:r>
              <w:rPr>
                <w:spacing w:val="-2"/>
                <w:sz w:val="23"/>
              </w:rPr>
              <w:t>3.76E-</w:t>
            </w:r>
          </w:p>
          <w:p>
            <w:pPr>
              <w:pStyle w:val="TableParagraph"/>
              <w:spacing w:before="24"/>
              <w:ind w:right="87"/>
              <w:jc w:val="right"/>
              <w:rPr>
                <w:sz w:val="23"/>
              </w:rPr>
            </w:pPr>
            <w:r>
              <w:rPr>
                <w:spacing w:val="-5"/>
                <w:sz w:val="23"/>
              </w:rPr>
              <w:t>08</w:t>
            </w:r>
          </w:p>
        </w:tc>
        <w:tc>
          <w:tcPr>
            <w:tcW w:w="1006" w:type="dxa"/>
            <w:tcBorders>
              <w:top w:val="single" w:sz="6" w:space="0" w:color="000000"/>
              <w:left w:val="single" w:sz="6" w:space="0" w:color="000000"/>
              <w:right w:val="single" w:sz="6" w:space="0" w:color="000000"/>
            </w:tcBorders>
          </w:tcPr>
          <w:p>
            <w:pPr>
              <w:pStyle w:val="TableParagraph"/>
              <w:spacing w:before="58"/>
              <w:ind w:right="93"/>
              <w:jc w:val="right"/>
              <w:rPr>
                <w:sz w:val="23"/>
              </w:rPr>
            </w:pPr>
            <w:r>
              <w:rPr>
                <w:spacing w:val="-2"/>
                <w:sz w:val="23"/>
              </w:rPr>
              <w:t>3.06E-</w:t>
            </w:r>
          </w:p>
          <w:p>
            <w:pPr>
              <w:pStyle w:val="TableParagraph"/>
              <w:spacing w:before="24"/>
              <w:ind w:right="100"/>
              <w:jc w:val="right"/>
              <w:rPr>
                <w:sz w:val="23"/>
              </w:rPr>
            </w:pPr>
            <w:r>
              <w:rPr>
                <w:spacing w:val="-5"/>
                <w:sz w:val="23"/>
              </w:rPr>
              <w:t>04</w:t>
            </w:r>
          </w:p>
        </w:tc>
        <w:tc>
          <w:tcPr>
            <w:tcW w:w="1367" w:type="dxa"/>
            <w:tcBorders>
              <w:top w:val="single" w:sz="6" w:space="0" w:color="000000"/>
              <w:left w:val="single" w:sz="6" w:space="0" w:color="000000"/>
            </w:tcBorders>
          </w:tcPr>
          <w:p>
            <w:pPr>
              <w:pStyle w:val="TableParagraph"/>
              <w:spacing w:before="81"/>
              <w:rPr>
                <w:sz w:val="23"/>
              </w:rPr>
            </w:pPr>
          </w:p>
          <w:p>
            <w:pPr>
              <w:pStyle w:val="TableParagraph"/>
              <w:spacing w:before="1"/>
              <w:ind w:right="100"/>
              <w:jc w:val="right"/>
              <w:rPr>
                <w:sz w:val="23"/>
              </w:rPr>
            </w:pPr>
            <w:r>
              <w:rPr>
                <w:sz w:val="23"/>
              </w:rPr>
              <w:t>1.38E-</w:t>
            </w:r>
            <w:r>
              <w:rPr>
                <w:spacing w:val="-5"/>
                <w:sz w:val="23"/>
              </w:rPr>
              <w:t>01</w:t>
            </w:r>
          </w:p>
        </w:tc>
        <w:tc>
          <w:tcPr>
            <w:tcW w:w="383" w:type="dxa"/>
            <w:tcBorders>
              <w:top w:val="single" w:sz="6" w:space="0" w:color="000000"/>
              <w:right w:val="nil"/>
            </w:tcBorders>
          </w:tcPr>
          <w:p>
            <w:pPr>
              <w:pStyle w:val="TableParagraph"/>
              <w:spacing w:before="58"/>
              <w:ind w:left="122"/>
              <w:rPr>
                <w:sz w:val="23"/>
              </w:rPr>
            </w:pPr>
            <w:r>
              <w:rPr>
                <w:spacing w:val="-5"/>
                <w:sz w:val="23"/>
              </w:rPr>
              <w:t>1.</w:t>
            </w:r>
          </w:p>
        </w:tc>
      </w:tr>
      <w:tr>
        <w:trPr>
          <w:trHeight w:val="637" w:hRule="atLeast"/>
        </w:trPr>
        <w:tc>
          <w:tcPr>
            <w:tcW w:w="834" w:type="dxa"/>
            <w:tcBorders>
              <w:left w:val="single" w:sz="6" w:space="0" w:color="000000"/>
              <w:right w:val="single" w:sz="6" w:space="0" w:color="000000"/>
            </w:tcBorders>
          </w:tcPr>
          <w:p>
            <w:pPr>
              <w:pStyle w:val="TableParagraph"/>
              <w:rPr>
                <w:sz w:val="22"/>
              </w:rPr>
            </w:pPr>
          </w:p>
        </w:tc>
        <w:tc>
          <w:tcPr>
            <w:tcW w:w="1068" w:type="dxa"/>
            <w:tcBorders>
              <w:left w:val="single" w:sz="6" w:space="0" w:color="000000"/>
            </w:tcBorders>
          </w:tcPr>
          <w:p>
            <w:pPr>
              <w:pStyle w:val="TableParagraph"/>
              <w:spacing w:before="87"/>
              <w:rPr>
                <w:sz w:val="23"/>
              </w:rPr>
            </w:pPr>
          </w:p>
          <w:p>
            <w:pPr>
              <w:pStyle w:val="TableParagraph"/>
              <w:ind w:left="110"/>
              <w:rPr>
                <w:sz w:val="23"/>
              </w:rPr>
            </w:pPr>
            <w:r>
              <w:rPr>
                <w:spacing w:val="-5"/>
                <w:sz w:val="23"/>
              </w:rPr>
              <w:t>Max</w:t>
            </w:r>
          </w:p>
        </w:tc>
        <w:tc>
          <w:tcPr>
            <w:tcW w:w="1548" w:type="dxa"/>
          </w:tcPr>
          <w:p>
            <w:pPr>
              <w:pStyle w:val="TableParagraph"/>
              <w:spacing w:before="87"/>
              <w:rPr>
                <w:sz w:val="23"/>
              </w:rPr>
            </w:pPr>
          </w:p>
          <w:p>
            <w:pPr>
              <w:pStyle w:val="TableParagraph"/>
              <w:ind w:right="88"/>
              <w:jc w:val="right"/>
              <w:rPr>
                <w:sz w:val="23"/>
              </w:rPr>
            </w:pPr>
            <w:r>
              <w:rPr>
                <w:spacing w:val="-4"/>
                <w:sz w:val="23"/>
              </w:rPr>
              <w:t>1.51</w:t>
            </w:r>
          </w:p>
        </w:tc>
        <w:tc>
          <w:tcPr>
            <w:tcW w:w="1132" w:type="dxa"/>
          </w:tcPr>
          <w:p>
            <w:pPr>
              <w:pStyle w:val="TableParagraph"/>
              <w:spacing w:before="87"/>
              <w:rPr>
                <w:sz w:val="23"/>
              </w:rPr>
            </w:pPr>
          </w:p>
          <w:p>
            <w:pPr>
              <w:pStyle w:val="TableParagraph"/>
              <w:ind w:left="104" w:right="10"/>
              <w:jc w:val="center"/>
              <w:rPr>
                <w:sz w:val="23"/>
              </w:rPr>
            </w:pPr>
            <w:r>
              <w:rPr>
                <w:sz w:val="23"/>
              </w:rPr>
              <w:t>2.16E-</w:t>
            </w:r>
            <w:r>
              <w:rPr>
                <w:spacing w:val="-5"/>
                <w:sz w:val="23"/>
              </w:rPr>
              <w:t>06</w:t>
            </w:r>
          </w:p>
        </w:tc>
        <w:tc>
          <w:tcPr>
            <w:tcW w:w="1069" w:type="dxa"/>
            <w:tcBorders>
              <w:right w:val="single" w:sz="6" w:space="0" w:color="000000"/>
            </w:tcBorders>
          </w:tcPr>
          <w:p>
            <w:pPr>
              <w:pStyle w:val="TableParagraph"/>
              <w:spacing w:before="60"/>
              <w:ind w:right="84"/>
              <w:jc w:val="right"/>
              <w:rPr>
                <w:sz w:val="23"/>
              </w:rPr>
            </w:pPr>
            <w:r>
              <w:rPr>
                <w:spacing w:val="-2"/>
                <w:sz w:val="23"/>
              </w:rPr>
              <w:t>3.24E-</w:t>
            </w:r>
          </w:p>
          <w:p>
            <w:pPr>
              <w:pStyle w:val="TableParagraph"/>
              <w:spacing w:before="27"/>
              <w:ind w:right="96"/>
              <w:jc w:val="right"/>
              <w:rPr>
                <w:sz w:val="23"/>
              </w:rPr>
            </w:pPr>
            <w:r>
              <w:rPr>
                <w:spacing w:val="-5"/>
                <w:sz w:val="23"/>
              </w:rPr>
              <w:t>10</w:t>
            </w:r>
          </w:p>
        </w:tc>
        <w:tc>
          <w:tcPr>
            <w:tcW w:w="1288" w:type="dxa"/>
            <w:tcBorders>
              <w:left w:val="single" w:sz="6" w:space="0" w:color="000000"/>
            </w:tcBorders>
          </w:tcPr>
          <w:p>
            <w:pPr>
              <w:pStyle w:val="TableParagraph"/>
              <w:spacing w:before="87"/>
              <w:rPr>
                <w:sz w:val="23"/>
              </w:rPr>
            </w:pPr>
          </w:p>
          <w:p>
            <w:pPr>
              <w:pStyle w:val="TableParagraph"/>
              <w:ind w:right="99"/>
              <w:jc w:val="right"/>
              <w:rPr>
                <w:sz w:val="23"/>
              </w:rPr>
            </w:pPr>
            <w:r>
              <w:rPr>
                <w:sz w:val="23"/>
              </w:rPr>
              <w:t>7.20E-</w:t>
            </w:r>
            <w:r>
              <w:rPr>
                <w:spacing w:val="-5"/>
                <w:sz w:val="23"/>
              </w:rPr>
              <w:t>03</w:t>
            </w:r>
          </w:p>
        </w:tc>
        <w:tc>
          <w:tcPr>
            <w:tcW w:w="1013" w:type="dxa"/>
            <w:tcBorders>
              <w:right w:val="single" w:sz="6" w:space="0" w:color="000000"/>
            </w:tcBorders>
          </w:tcPr>
          <w:p>
            <w:pPr>
              <w:pStyle w:val="TableParagraph"/>
              <w:spacing w:before="60"/>
              <w:ind w:right="82"/>
              <w:jc w:val="right"/>
              <w:rPr>
                <w:sz w:val="23"/>
              </w:rPr>
            </w:pPr>
            <w:r>
              <w:rPr>
                <w:spacing w:val="-2"/>
                <w:sz w:val="23"/>
              </w:rPr>
              <w:t>2.58E-</w:t>
            </w:r>
          </w:p>
          <w:p>
            <w:pPr>
              <w:pStyle w:val="TableParagraph"/>
              <w:spacing w:before="27"/>
              <w:ind w:right="87"/>
              <w:jc w:val="right"/>
              <w:rPr>
                <w:sz w:val="23"/>
              </w:rPr>
            </w:pPr>
            <w:r>
              <w:rPr>
                <w:spacing w:val="-5"/>
                <w:sz w:val="23"/>
              </w:rPr>
              <w:t>07</w:t>
            </w:r>
          </w:p>
        </w:tc>
        <w:tc>
          <w:tcPr>
            <w:tcW w:w="1006" w:type="dxa"/>
            <w:tcBorders>
              <w:left w:val="single" w:sz="6" w:space="0" w:color="000000"/>
              <w:right w:val="single" w:sz="6" w:space="0" w:color="000000"/>
            </w:tcBorders>
          </w:tcPr>
          <w:p>
            <w:pPr>
              <w:pStyle w:val="TableParagraph"/>
              <w:spacing w:before="60"/>
              <w:ind w:right="93"/>
              <w:jc w:val="right"/>
              <w:rPr>
                <w:sz w:val="23"/>
              </w:rPr>
            </w:pPr>
            <w:r>
              <w:rPr>
                <w:spacing w:val="-2"/>
                <w:sz w:val="23"/>
              </w:rPr>
              <w:t>2.10E-</w:t>
            </w:r>
          </w:p>
          <w:p>
            <w:pPr>
              <w:pStyle w:val="TableParagraph"/>
              <w:spacing w:before="27"/>
              <w:ind w:right="100"/>
              <w:jc w:val="right"/>
              <w:rPr>
                <w:sz w:val="23"/>
              </w:rPr>
            </w:pPr>
            <w:r>
              <w:rPr>
                <w:spacing w:val="-5"/>
                <w:sz w:val="23"/>
              </w:rPr>
              <w:t>03</w:t>
            </w:r>
          </w:p>
        </w:tc>
        <w:tc>
          <w:tcPr>
            <w:tcW w:w="1367" w:type="dxa"/>
            <w:tcBorders>
              <w:left w:val="single" w:sz="6" w:space="0" w:color="000000"/>
            </w:tcBorders>
          </w:tcPr>
          <w:p>
            <w:pPr>
              <w:pStyle w:val="TableParagraph"/>
              <w:spacing w:before="87"/>
              <w:rPr>
                <w:sz w:val="23"/>
              </w:rPr>
            </w:pPr>
          </w:p>
          <w:p>
            <w:pPr>
              <w:pStyle w:val="TableParagraph"/>
              <w:ind w:right="100"/>
              <w:jc w:val="right"/>
              <w:rPr>
                <w:sz w:val="23"/>
              </w:rPr>
            </w:pPr>
            <w:r>
              <w:rPr>
                <w:sz w:val="23"/>
              </w:rPr>
              <w:t>9.40E-</w:t>
            </w:r>
            <w:r>
              <w:rPr>
                <w:spacing w:val="-5"/>
                <w:sz w:val="23"/>
              </w:rPr>
              <w:t>01</w:t>
            </w:r>
          </w:p>
        </w:tc>
        <w:tc>
          <w:tcPr>
            <w:tcW w:w="383" w:type="dxa"/>
            <w:tcBorders>
              <w:right w:val="nil"/>
            </w:tcBorders>
          </w:tcPr>
          <w:p>
            <w:pPr>
              <w:pStyle w:val="TableParagraph"/>
              <w:spacing w:before="60"/>
              <w:ind w:left="122"/>
              <w:rPr>
                <w:sz w:val="23"/>
              </w:rPr>
            </w:pPr>
            <w:r>
              <w:rPr>
                <w:spacing w:val="-5"/>
                <w:sz w:val="23"/>
              </w:rPr>
              <w:t>9.</w:t>
            </w:r>
          </w:p>
        </w:tc>
      </w:tr>
      <w:tr>
        <w:trPr>
          <w:trHeight w:val="632" w:hRule="atLeast"/>
        </w:trPr>
        <w:tc>
          <w:tcPr>
            <w:tcW w:w="834" w:type="dxa"/>
            <w:tcBorders>
              <w:left w:val="single" w:sz="6" w:space="0" w:color="000000"/>
              <w:bottom w:val="single" w:sz="6" w:space="0" w:color="000000"/>
              <w:right w:val="single" w:sz="6" w:space="0" w:color="000000"/>
            </w:tcBorders>
          </w:tcPr>
          <w:p>
            <w:pPr>
              <w:pStyle w:val="TableParagraph"/>
              <w:rPr>
                <w:sz w:val="22"/>
              </w:rPr>
            </w:pPr>
          </w:p>
        </w:tc>
        <w:tc>
          <w:tcPr>
            <w:tcW w:w="1068" w:type="dxa"/>
            <w:tcBorders>
              <w:left w:val="single" w:sz="6" w:space="0" w:color="000000"/>
              <w:bottom w:val="single" w:sz="6" w:space="0" w:color="000000"/>
            </w:tcBorders>
          </w:tcPr>
          <w:p>
            <w:pPr>
              <w:pStyle w:val="TableParagraph"/>
              <w:spacing w:before="84"/>
              <w:rPr>
                <w:sz w:val="23"/>
              </w:rPr>
            </w:pPr>
          </w:p>
          <w:p>
            <w:pPr>
              <w:pStyle w:val="TableParagraph"/>
              <w:spacing w:line="264" w:lineRule="exact"/>
              <w:ind w:left="110"/>
              <w:rPr>
                <w:sz w:val="23"/>
              </w:rPr>
            </w:pPr>
            <w:r>
              <w:rPr>
                <w:spacing w:val="-4"/>
                <w:sz w:val="23"/>
              </w:rPr>
              <w:t>Mean</w:t>
            </w:r>
          </w:p>
        </w:tc>
        <w:tc>
          <w:tcPr>
            <w:tcW w:w="1548" w:type="dxa"/>
            <w:tcBorders>
              <w:bottom w:val="single" w:sz="6" w:space="0" w:color="000000"/>
            </w:tcBorders>
          </w:tcPr>
          <w:p>
            <w:pPr>
              <w:pStyle w:val="TableParagraph"/>
              <w:spacing w:before="84"/>
              <w:rPr>
                <w:sz w:val="23"/>
              </w:rPr>
            </w:pPr>
          </w:p>
          <w:p>
            <w:pPr>
              <w:pStyle w:val="TableParagraph"/>
              <w:spacing w:line="264" w:lineRule="exact"/>
              <w:ind w:right="88"/>
              <w:jc w:val="right"/>
              <w:rPr>
                <w:sz w:val="23"/>
              </w:rPr>
            </w:pPr>
            <w:r>
              <w:rPr>
                <w:spacing w:val="-2"/>
                <w:sz w:val="23"/>
              </w:rPr>
              <w:t>1.055</w:t>
            </w:r>
          </w:p>
        </w:tc>
        <w:tc>
          <w:tcPr>
            <w:tcW w:w="1132" w:type="dxa"/>
            <w:tcBorders>
              <w:bottom w:val="single" w:sz="6" w:space="0" w:color="000000"/>
            </w:tcBorders>
          </w:tcPr>
          <w:p>
            <w:pPr>
              <w:pStyle w:val="TableParagraph"/>
              <w:spacing w:before="84"/>
              <w:rPr>
                <w:sz w:val="23"/>
              </w:rPr>
            </w:pPr>
          </w:p>
          <w:p>
            <w:pPr>
              <w:pStyle w:val="TableParagraph"/>
              <w:spacing w:line="264" w:lineRule="exact"/>
              <w:ind w:left="104" w:right="10"/>
              <w:jc w:val="center"/>
              <w:rPr>
                <w:sz w:val="23"/>
              </w:rPr>
            </w:pPr>
            <w:r>
              <w:rPr>
                <w:sz w:val="23"/>
              </w:rPr>
              <w:t>1.51E-</w:t>
            </w:r>
            <w:r>
              <w:rPr>
                <w:spacing w:val="-5"/>
                <w:sz w:val="23"/>
              </w:rPr>
              <w:t>06</w:t>
            </w:r>
          </w:p>
        </w:tc>
        <w:tc>
          <w:tcPr>
            <w:tcW w:w="1069" w:type="dxa"/>
            <w:tcBorders>
              <w:bottom w:val="single" w:sz="6" w:space="0" w:color="000000"/>
              <w:right w:val="single" w:sz="6" w:space="0" w:color="000000"/>
            </w:tcBorders>
          </w:tcPr>
          <w:p>
            <w:pPr>
              <w:pStyle w:val="TableParagraph"/>
              <w:spacing w:before="58"/>
              <w:ind w:right="84"/>
              <w:jc w:val="right"/>
              <w:rPr>
                <w:sz w:val="23"/>
              </w:rPr>
            </w:pPr>
            <w:r>
              <w:rPr>
                <w:spacing w:val="-2"/>
                <w:sz w:val="23"/>
              </w:rPr>
              <w:t>2.27E-</w:t>
            </w:r>
          </w:p>
          <w:p>
            <w:pPr>
              <w:pStyle w:val="TableParagraph"/>
              <w:spacing w:line="264" w:lineRule="exact" w:before="26"/>
              <w:ind w:right="96"/>
              <w:jc w:val="right"/>
              <w:rPr>
                <w:sz w:val="23"/>
              </w:rPr>
            </w:pPr>
            <w:r>
              <w:rPr>
                <w:spacing w:val="-5"/>
                <w:sz w:val="23"/>
              </w:rPr>
              <w:t>10</w:t>
            </w:r>
          </w:p>
        </w:tc>
        <w:tc>
          <w:tcPr>
            <w:tcW w:w="1288" w:type="dxa"/>
            <w:tcBorders>
              <w:left w:val="single" w:sz="6" w:space="0" w:color="000000"/>
              <w:bottom w:val="single" w:sz="6" w:space="0" w:color="000000"/>
            </w:tcBorders>
          </w:tcPr>
          <w:p>
            <w:pPr>
              <w:pStyle w:val="TableParagraph"/>
              <w:spacing w:before="84"/>
              <w:rPr>
                <w:sz w:val="23"/>
              </w:rPr>
            </w:pPr>
          </w:p>
          <w:p>
            <w:pPr>
              <w:pStyle w:val="TableParagraph"/>
              <w:spacing w:line="264" w:lineRule="exact"/>
              <w:ind w:right="99"/>
              <w:jc w:val="right"/>
              <w:rPr>
                <w:sz w:val="23"/>
              </w:rPr>
            </w:pPr>
            <w:r>
              <w:rPr>
                <w:sz w:val="23"/>
              </w:rPr>
              <w:t>5.03E-</w:t>
            </w:r>
            <w:r>
              <w:rPr>
                <w:spacing w:val="-5"/>
                <w:sz w:val="23"/>
              </w:rPr>
              <w:t>03</w:t>
            </w:r>
          </w:p>
        </w:tc>
        <w:tc>
          <w:tcPr>
            <w:tcW w:w="1013" w:type="dxa"/>
            <w:tcBorders>
              <w:bottom w:val="single" w:sz="6" w:space="0" w:color="000000"/>
              <w:right w:val="single" w:sz="6" w:space="0" w:color="000000"/>
            </w:tcBorders>
          </w:tcPr>
          <w:p>
            <w:pPr>
              <w:pStyle w:val="TableParagraph"/>
              <w:spacing w:before="58"/>
              <w:ind w:right="82"/>
              <w:jc w:val="right"/>
              <w:rPr>
                <w:sz w:val="23"/>
              </w:rPr>
            </w:pPr>
            <w:r>
              <w:rPr>
                <w:spacing w:val="-2"/>
                <w:sz w:val="23"/>
              </w:rPr>
              <w:t>1.80E-</w:t>
            </w:r>
          </w:p>
          <w:p>
            <w:pPr>
              <w:pStyle w:val="TableParagraph"/>
              <w:spacing w:line="264" w:lineRule="exact" w:before="26"/>
              <w:ind w:right="87"/>
              <w:jc w:val="right"/>
              <w:rPr>
                <w:sz w:val="23"/>
              </w:rPr>
            </w:pPr>
            <w:r>
              <w:rPr>
                <w:spacing w:val="-5"/>
                <w:sz w:val="23"/>
              </w:rPr>
              <w:t>07</w:t>
            </w:r>
          </w:p>
        </w:tc>
        <w:tc>
          <w:tcPr>
            <w:tcW w:w="1006" w:type="dxa"/>
            <w:tcBorders>
              <w:left w:val="single" w:sz="6" w:space="0" w:color="000000"/>
              <w:bottom w:val="single" w:sz="6" w:space="0" w:color="000000"/>
              <w:right w:val="single" w:sz="6" w:space="0" w:color="000000"/>
            </w:tcBorders>
          </w:tcPr>
          <w:p>
            <w:pPr>
              <w:pStyle w:val="TableParagraph"/>
              <w:spacing w:before="58"/>
              <w:ind w:right="93"/>
              <w:jc w:val="right"/>
              <w:rPr>
                <w:sz w:val="23"/>
              </w:rPr>
            </w:pPr>
            <w:r>
              <w:rPr>
                <w:spacing w:val="-2"/>
                <w:sz w:val="23"/>
              </w:rPr>
              <w:t>1.46E-</w:t>
            </w:r>
          </w:p>
          <w:p>
            <w:pPr>
              <w:pStyle w:val="TableParagraph"/>
              <w:spacing w:line="264" w:lineRule="exact" w:before="26"/>
              <w:ind w:right="100"/>
              <w:jc w:val="right"/>
              <w:rPr>
                <w:sz w:val="23"/>
              </w:rPr>
            </w:pPr>
            <w:r>
              <w:rPr>
                <w:spacing w:val="-5"/>
                <w:sz w:val="23"/>
              </w:rPr>
              <w:t>03</w:t>
            </w:r>
          </w:p>
        </w:tc>
        <w:tc>
          <w:tcPr>
            <w:tcW w:w="1367" w:type="dxa"/>
            <w:tcBorders>
              <w:left w:val="single" w:sz="6" w:space="0" w:color="000000"/>
              <w:bottom w:val="single" w:sz="6" w:space="0" w:color="000000"/>
            </w:tcBorders>
          </w:tcPr>
          <w:p>
            <w:pPr>
              <w:pStyle w:val="TableParagraph"/>
              <w:spacing w:before="84"/>
              <w:rPr>
                <w:sz w:val="23"/>
              </w:rPr>
            </w:pPr>
          </w:p>
          <w:p>
            <w:pPr>
              <w:pStyle w:val="TableParagraph"/>
              <w:spacing w:line="264" w:lineRule="exact"/>
              <w:ind w:right="100"/>
              <w:jc w:val="right"/>
              <w:rPr>
                <w:sz w:val="23"/>
              </w:rPr>
            </w:pPr>
            <w:r>
              <w:rPr>
                <w:sz w:val="23"/>
              </w:rPr>
              <w:t>6.59E-</w:t>
            </w:r>
            <w:r>
              <w:rPr>
                <w:spacing w:val="-5"/>
                <w:sz w:val="23"/>
              </w:rPr>
              <w:t>01</w:t>
            </w:r>
          </w:p>
        </w:tc>
        <w:tc>
          <w:tcPr>
            <w:tcW w:w="383" w:type="dxa"/>
            <w:tcBorders>
              <w:bottom w:val="single" w:sz="6" w:space="0" w:color="000000"/>
              <w:right w:val="nil"/>
            </w:tcBorders>
          </w:tcPr>
          <w:p>
            <w:pPr>
              <w:pStyle w:val="TableParagraph"/>
              <w:spacing w:before="58"/>
              <w:ind w:left="122"/>
              <w:rPr>
                <w:sz w:val="23"/>
              </w:rPr>
            </w:pPr>
            <w:r>
              <w:rPr>
                <w:spacing w:val="-5"/>
                <w:sz w:val="23"/>
              </w:rPr>
              <w:t>6.</w:t>
            </w:r>
          </w:p>
        </w:tc>
      </w:tr>
    </w:tbl>
    <w:p>
      <w:pPr>
        <w:pStyle w:val="TableParagraph"/>
        <w:spacing w:after="0"/>
        <w:rPr>
          <w:sz w:val="23"/>
        </w:rPr>
        <w:sectPr>
          <w:footerReference w:type="default" r:id="rId20"/>
          <w:pgSz w:w="12240" w:h="15840"/>
          <w:pgMar w:header="0" w:footer="1674" w:top="1460" w:bottom="1860" w:left="360" w:right="0"/>
        </w:sectPr>
      </w:pPr>
    </w:p>
    <w:p>
      <w:pPr>
        <w:spacing w:before="74"/>
        <w:ind w:left="0" w:right="629" w:firstLine="0"/>
        <w:jc w:val="center"/>
        <w:rPr>
          <w:b/>
          <w:sz w:val="25"/>
        </w:rPr>
      </w:pPr>
      <w:r>
        <w:rPr>
          <w:b/>
          <w:sz w:val="25"/>
        </w:rPr>
        <w:t>CHAPTER</w:t>
      </w:r>
      <w:r>
        <w:rPr>
          <w:b/>
          <w:spacing w:val="24"/>
          <w:sz w:val="25"/>
        </w:rPr>
        <w:t> </w:t>
      </w:r>
      <w:r>
        <w:rPr>
          <w:b/>
          <w:spacing w:val="-4"/>
          <w:sz w:val="25"/>
        </w:rPr>
        <w:t>FIVE</w:t>
      </w:r>
    </w:p>
    <w:p>
      <w:pPr>
        <w:pStyle w:val="BodyText"/>
        <w:spacing w:before="182"/>
        <w:rPr>
          <w:b/>
        </w:rPr>
      </w:pPr>
    </w:p>
    <w:p>
      <w:pPr>
        <w:spacing w:before="0"/>
        <w:ind w:left="0" w:right="623" w:firstLine="0"/>
        <w:jc w:val="center"/>
        <w:rPr>
          <w:b/>
          <w:sz w:val="25"/>
        </w:rPr>
      </w:pPr>
      <w:r>
        <w:rPr>
          <w:b/>
          <w:sz w:val="25"/>
        </w:rPr>
        <w:t>CONCLUSION</w:t>
      </w:r>
      <w:r>
        <w:rPr>
          <w:b/>
          <w:spacing w:val="1"/>
          <w:sz w:val="25"/>
        </w:rPr>
        <w:t> </w:t>
      </w:r>
      <w:r>
        <w:rPr>
          <w:b/>
          <w:sz w:val="25"/>
        </w:rPr>
        <w:t>AND</w:t>
      </w:r>
      <w:r>
        <w:rPr>
          <w:b/>
          <w:spacing w:val="22"/>
          <w:sz w:val="25"/>
        </w:rPr>
        <w:t> </w:t>
      </w:r>
      <w:r>
        <w:rPr>
          <w:b/>
          <w:spacing w:val="-2"/>
          <w:sz w:val="25"/>
        </w:rPr>
        <w:t>RECOMMENDATION</w:t>
      </w:r>
    </w:p>
    <w:p>
      <w:pPr>
        <w:pStyle w:val="BodyText"/>
        <w:spacing w:before="185"/>
        <w:rPr>
          <w:b/>
        </w:rPr>
      </w:pPr>
    </w:p>
    <w:p>
      <w:pPr>
        <w:pStyle w:val="ListParagraph"/>
        <w:numPr>
          <w:ilvl w:val="1"/>
          <w:numId w:val="8"/>
        </w:numPr>
        <w:tabs>
          <w:tab w:pos="1537" w:val="left" w:leader="none"/>
        </w:tabs>
        <w:spacing w:line="240" w:lineRule="auto" w:before="0" w:after="0"/>
        <w:ind w:left="1537" w:right="0" w:hanging="382"/>
        <w:jc w:val="left"/>
        <w:rPr>
          <w:b/>
          <w:sz w:val="25"/>
        </w:rPr>
      </w:pPr>
      <w:r>
        <w:rPr>
          <w:b/>
          <w:spacing w:val="-2"/>
          <w:sz w:val="25"/>
        </w:rPr>
        <w:t>CONCLUSION</w:t>
      </w:r>
    </w:p>
    <w:p>
      <w:pPr>
        <w:pStyle w:val="BodyText"/>
        <w:spacing w:before="182"/>
        <w:rPr>
          <w:b/>
        </w:rPr>
      </w:pPr>
    </w:p>
    <w:p>
      <w:pPr>
        <w:pStyle w:val="BodyText"/>
        <w:spacing w:line="491" w:lineRule="auto" w:before="1"/>
        <w:ind w:left="1167" w:right="1779" w:hanging="13"/>
        <w:jc w:val="both"/>
      </w:pPr>
      <w:r>
        <w:rPr/>
        <w:t>This study evaluated the concentrations of lead (Pb), chromium (Cr), cobalt (Co), cadmium (Cd), and arsenic (As) in soil and water samples collected from Ipata Oloje, in Kwara State, Nigeria.</w:t>
      </w:r>
      <w:r>
        <w:rPr>
          <w:spacing w:val="-4"/>
        </w:rPr>
        <w:t> </w:t>
      </w:r>
      <w:r>
        <w:rPr/>
        <w:t>Analytical results revealed distinct distribution patterns: sediment samples contained the highest Pb levels and the lowest Cd concentrations, while water samples exhibited peak Co values with Cd being least prevalent.</w:t>
      </w:r>
    </w:p>
    <w:p>
      <w:pPr>
        <w:pStyle w:val="BodyText"/>
        <w:spacing w:line="491" w:lineRule="auto" w:before="167"/>
        <w:ind w:left="1167" w:right="1778" w:hanging="13"/>
        <w:jc w:val="both"/>
      </w:pPr>
      <w:r>
        <w:rPr/>
        <w:t>Ecological risk assessment using geo-accumulation indices demonstrated that the measured heavy metal concentrations in soil did not exceed critical thresholds, suggesting negligible ecological impacts. Water quality analysis focused on human health risks through two primary exposure pathways: ingestion and dermal contact. Carcinogenic risk assessments yielded values well below the 1.0×10⁻⁶ safety benchmark established</w:t>
      </w:r>
      <w:r>
        <w:rPr>
          <w:spacing w:val="-6"/>
        </w:rPr>
        <w:t> </w:t>
      </w:r>
      <w:r>
        <w:rPr/>
        <w:t>by</w:t>
      </w:r>
      <w:r>
        <w:rPr>
          <w:spacing w:val="-6"/>
        </w:rPr>
        <w:t> </w:t>
      </w:r>
      <w:r>
        <w:rPr/>
        <w:t>USEPA.</w:t>
      </w:r>
      <w:r>
        <w:rPr>
          <w:spacing w:val="-6"/>
        </w:rPr>
        <w:t> </w:t>
      </w:r>
      <w:r>
        <w:rPr/>
        <w:t>Concurrently,</w:t>
      </w:r>
      <w:r>
        <w:rPr>
          <w:spacing w:val="-6"/>
        </w:rPr>
        <w:t> </w:t>
      </w:r>
      <w:r>
        <w:rPr/>
        <w:t>the</w:t>
      </w:r>
      <w:r>
        <w:rPr>
          <w:spacing w:val="-2"/>
        </w:rPr>
        <w:t> </w:t>
      </w:r>
      <w:r>
        <w:rPr/>
        <w:t>Hazard</w:t>
      </w:r>
      <w:r>
        <w:rPr>
          <w:spacing w:val="-3"/>
        </w:rPr>
        <w:t> </w:t>
      </w:r>
      <w:r>
        <w:rPr/>
        <w:t>Index</w:t>
      </w:r>
      <w:r>
        <w:rPr>
          <w:spacing w:val="-6"/>
        </w:rPr>
        <w:t> </w:t>
      </w:r>
      <w:r>
        <w:rPr/>
        <w:t>(HI)</w:t>
      </w:r>
      <w:r>
        <w:rPr>
          <w:spacing w:val="-5"/>
        </w:rPr>
        <w:t> </w:t>
      </w:r>
      <w:r>
        <w:rPr/>
        <w:t>for</w:t>
      </w:r>
      <w:r>
        <w:rPr>
          <w:spacing w:val="-7"/>
        </w:rPr>
        <w:t> </w:t>
      </w:r>
      <w:r>
        <w:rPr/>
        <w:t>non-carcinogenic</w:t>
      </w:r>
      <w:r>
        <w:rPr>
          <w:spacing w:val="-6"/>
        </w:rPr>
        <w:t> </w:t>
      </w:r>
      <w:r>
        <w:rPr/>
        <w:t>effects remained below 1.0 (&lt;1), indicating no significant acute or chronic health threats from water consumption or contact.</w:t>
      </w:r>
    </w:p>
    <w:p>
      <w:pPr>
        <w:pStyle w:val="BodyText"/>
        <w:spacing w:line="491" w:lineRule="auto" w:before="170"/>
        <w:ind w:left="1167" w:right="1776" w:hanging="13"/>
        <w:jc w:val="both"/>
      </w:pPr>
      <w:r>
        <w:rPr/>
        <w:t>Soil risk assessments mirrored these findings for non-carcinogenic effects, with HI</w:t>
      </w:r>
      <w:r>
        <w:rPr>
          <w:spacing w:val="40"/>
        </w:rPr>
        <w:t> </w:t>
      </w:r>
      <w:r>
        <w:rPr/>
        <w:t>values &lt;1.0 for both ingestion and dermal routes. Cancer risks from incidental soil ingestion</w:t>
      </w:r>
      <w:r>
        <w:rPr>
          <w:spacing w:val="28"/>
        </w:rPr>
        <w:t> </w:t>
      </w:r>
      <w:r>
        <w:rPr/>
        <w:t>were</w:t>
      </w:r>
      <w:r>
        <w:rPr>
          <w:spacing w:val="31"/>
        </w:rPr>
        <w:t> </w:t>
      </w:r>
      <w:r>
        <w:rPr/>
        <w:t>also</w:t>
      </w:r>
      <w:r>
        <w:rPr>
          <w:spacing w:val="30"/>
        </w:rPr>
        <w:t> </w:t>
      </w:r>
      <w:r>
        <w:rPr/>
        <w:t>within</w:t>
      </w:r>
      <w:r>
        <w:rPr>
          <w:spacing w:val="29"/>
        </w:rPr>
        <w:t> </w:t>
      </w:r>
      <w:r>
        <w:rPr/>
        <w:t>safe</w:t>
      </w:r>
      <w:r>
        <w:rPr>
          <w:spacing w:val="26"/>
        </w:rPr>
        <w:t> </w:t>
      </w:r>
      <w:r>
        <w:rPr/>
        <w:t>limits</w:t>
      </w:r>
      <w:r>
        <w:rPr>
          <w:spacing w:val="30"/>
        </w:rPr>
        <w:t> </w:t>
      </w:r>
      <w:r>
        <w:rPr/>
        <w:t>(&lt;1.0×10⁻⁶).</w:t>
      </w:r>
      <w:r>
        <w:rPr>
          <w:spacing w:val="29"/>
        </w:rPr>
        <w:t> </w:t>
      </w:r>
      <w:r>
        <w:rPr/>
        <w:t>However,</w:t>
      </w:r>
      <w:r>
        <w:rPr>
          <w:spacing w:val="29"/>
        </w:rPr>
        <w:t> </w:t>
      </w:r>
      <w:r>
        <w:rPr/>
        <w:t>arsenic</w:t>
      </w:r>
      <w:r>
        <w:rPr>
          <w:spacing w:val="31"/>
        </w:rPr>
        <w:t> </w:t>
      </w:r>
      <w:r>
        <w:rPr/>
        <w:t>concentrations</w:t>
      </w:r>
      <w:r>
        <w:rPr>
          <w:spacing w:val="29"/>
        </w:rPr>
        <w:t> </w:t>
      </w:r>
      <w:r>
        <w:rPr>
          <w:spacing w:val="-5"/>
        </w:rPr>
        <w:t>in</w:t>
      </w:r>
    </w:p>
    <w:p>
      <w:pPr>
        <w:pStyle w:val="BodyText"/>
        <w:spacing w:after="0" w:line="491" w:lineRule="auto"/>
        <w:jc w:val="both"/>
        <w:sectPr>
          <w:footerReference w:type="default" r:id="rId21"/>
          <w:pgSz w:w="12240" w:h="15840"/>
          <w:pgMar w:header="0" w:footer="1674" w:top="1460" w:bottom="1860" w:left="360" w:right="0"/>
          <w:pgNumType w:start="1"/>
        </w:sectPr>
      </w:pPr>
    </w:p>
    <w:p>
      <w:pPr>
        <w:pStyle w:val="BodyText"/>
        <w:spacing w:line="491" w:lineRule="auto" w:before="74"/>
        <w:ind w:left="1167" w:right="1779"/>
        <w:jc w:val="both"/>
      </w:pPr>
      <w:r>
        <w:rPr/>
        <w:t>soil posed potential carcinogenic risks through dermal absorption, with calculated risk values</w:t>
      </w:r>
      <w:r>
        <w:rPr>
          <w:spacing w:val="40"/>
        </w:rPr>
        <w:t> </w:t>
      </w:r>
      <w:r>
        <w:rPr/>
        <w:t>approaching the 1.0×10⁻⁴ concern threshold. This specific finding warrants attention as prolonged skin contact with contaminated soil may increase cancer susceptibility among residents.</w:t>
      </w:r>
    </w:p>
    <w:p>
      <w:pPr>
        <w:pStyle w:val="BodyText"/>
        <w:spacing w:line="491" w:lineRule="auto" w:before="165"/>
        <w:ind w:left="1167" w:right="1779" w:hanging="13"/>
        <w:jc w:val="both"/>
      </w:pPr>
      <w:r>
        <w:rPr/>
        <w:t>The spatial distribution of heavy metals strongly correlated with proximity to the automobile spare parts and recycling park. Diagnostic ratios and multivariate analysis identified vehicular emissions (Pb), welding residues (Cr, Co), and improper waste disposal (Cd, As) as primary contamination sources. The observed metal enrichment factors (EF &gt; 5 for Pb and As) confirm anthropogenic dominance over natural geochemical backgrounds.</w:t>
      </w:r>
    </w:p>
    <w:p>
      <w:pPr>
        <w:pStyle w:val="Heading1"/>
        <w:numPr>
          <w:ilvl w:val="1"/>
          <w:numId w:val="8"/>
        </w:numPr>
        <w:tabs>
          <w:tab w:pos="1537" w:val="left" w:leader="none"/>
        </w:tabs>
        <w:spacing w:line="240" w:lineRule="auto" w:before="170" w:after="0"/>
        <w:ind w:left="1537" w:right="0" w:hanging="382"/>
        <w:jc w:val="left"/>
      </w:pPr>
      <w:r>
        <w:rPr>
          <w:spacing w:val="-2"/>
        </w:rPr>
        <w:t>RECOMMENDATION</w:t>
      </w:r>
    </w:p>
    <w:p>
      <w:pPr>
        <w:pStyle w:val="BodyText"/>
        <w:spacing w:before="182"/>
        <w:rPr>
          <w:b/>
        </w:rPr>
      </w:pPr>
    </w:p>
    <w:p>
      <w:pPr>
        <w:pStyle w:val="Heading2"/>
        <w:spacing w:before="0"/>
      </w:pPr>
      <w:r>
        <w:rPr>
          <w:spacing w:val="-2"/>
        </w:rPr>
        <w:t>Recommendations:</w:t>
      </w:r>
    </w:p>
    <w:p>
      <w:pPr>
        <w:pStyle w:val="BodyText"/>
        <w:spacing w:before="182"/>
        <w:rPr>
          <w:b/>
        </w:rPr>
      </w:pPr>
    </w:p>
    <w:p>
      <w:pPr>
        <w:pStyle w:val="ListParagraph"/>
        <w:numPr>
          <w:ilvl w:val="2"/>
          <w:numId w:val="8"/>
        </w:numPr>
        <w:tabs>
          <w:tab w:pos="1935" w:val="left" w:leader="none"/>
          <w:tab w:pos="1937" w:val="left" w:leader="none"/>
        </w:tabs>
        <w:spacing w:line="496" w:lineRule="auto" w:before="1" w:after="0"/>
        <w:ind w:left="1937" w:right="1997" w:hanging="383"/>
        <w:jc w:val="both"/>
        <w:rPr>
          <w:sz w:val="25"/>
        </w:rPr>
      </w:pPr>
      <w:r>
        <w:rPr>
          <w:b/>
          <w:sz w:val="25"/>
        </w:rPr>
        <w:t>Remediation: </w:t>
      </w:r>
      <w:r>
        <w:rPr>
          <w:sz w:val="25"/>
        </w:rPr>
        <w:t>Soil stabilization (e.g., phosphate-based immobilization) and targeted wastewater treatment at industrial discharge points should be prioritized to reduce heavy metal mobility.</w:t>
      </w:r>
    </w:p>
    <w:p>
      <w:pPr>
        <w:pStyle w:val="ListParagraph"/>
        <w:numPr>
          <w:ilvl w:val="2"/>
          <w:numId w:val="8"/>
        </w:numPr>
        <w:tabs>
          <w:tab w:pos="1935" w:val="left" w:leader="none"/>
          <w:tab w:pos="1937" w:val="left" w:leader="none"/>
        </w:tabs>
        <w:spacing w:line="496" w:lineRule="auto" w:before="158" w:after="0"/>
        <w:ind w:left="1937" w:right="1995" w:hanging="383"/>
        <w:jc w:val="both"/>
        <w:rPr>
          <w:sz w:val="25"/>
        </w:rPr>
      </w:pPr>
      <w:r>
        <w:rPr>
          <w:b/>
          <w:sz w:val="25"/>
        </w:rPr>
        <w:t>Research Expansion: </w:t>
      </w:r>
      <w:r>
        <w:rPr>
          <w:sz w:val="25"/>
        </w:rPr>
        <w:t>Future work should integrate </w:t>
      </w:r>
      <w:r>
        <w:rPr>
          <w:b/>
          <w:sz w:val="25"/>
        </w:rPr>
        <w:t>mass flux modeling </w:t>
      </w:r>
      <w:r>
        <w:rPr>
          <w:sz w:val="25"/>
        </w:rPr>
        <w:t>with geospatial analysis to predict contamination hotspots and validate remediation </w:t>
      </w:r>
      <w:r>
        <w:rPr>
          <w:spacing w:val="-2"/>
          <w:sz w:val="25"/>
        </w:rPr>
        <w:t>efficacy.</w:t>
      </w:r>
    </w:p>
    <w:p>
      <w:pPr>
        <w:pStyle w:val="ListParagraph"/>
        <w:spacing w:after="0" w:line="496" w:lineRule="auto"/>
        <w:jc w:val="both"/>
        <w:rPr>
          <w:sz w:val="25"/>
        </w:rPr>
        <w:sectPr>
          <w:pgSz w:w="12240" w:h="15840"/>
          <w:pgMar w:header="0" w:footer="1674" w:top="1460" w:bottom="1860" w:left="360" w:right="0"/>
        </w:sectPr>
      </w:pPr>
    </w:p>
    <w:p>
      <w:pPr>
        <w:pStyle w:val="ListParagraph"/>
        <w:numPr>
          <w:ilvl w:val="2"/>
          <w:numId w:val="8"/>
        </w:numPr>
        <w:tabs>
          <w:tab w:pos="1935" w:val="left" w:leader="none"/>
          <w:tab w:pos="1937" w:val="left" w:leader="none"/>
        </w:tabs>
        <w:spacing w:line="496" w:lineRule="auto" w:before="74" w:after="0"/>
        <w:ind w:left="1937" w:right="1999" w:hanging="383"/>
        <w:jc w:val="both"/>
        <w:rPr>
          <w:sz w:val="25"/>
        </w:rPr>
      </w:pPr>
      <w:r>
        <w:rPr>
          <w:b/>
          <w:sz w:val="25"/>
        </w:rPr>
        <w:t>Health Surveillance: </w:t>
      </w:r>
      <w:r>
        <w:rPr>
          <w:sz w:val="25"/>
        </w:rPr>
        <w:t>Biomonitoring of vulnerable populations (e.g., spare</w:t>
      </w:r>
      <w:r>
        <w:rPr>
          <w:spacing w:val="40"/>
          <w:sz w:val="25"/>
        </w:rPr>
        <w:t> </w:t>
      </w:r>
      <w:r>
        <w:rPr>
          <w:sz w:val="25"/>
        </w:rPr>
        <w:t>part vendors) for Pb and As exposure is critical, given their elevated</w:t>
      </w:r>
      <w:r>
        <w:rPr>
          <w:spacing w:val="-4"/>
          <w:sz w:val="25"/>
        </w:rPr>
        <w:t> </w:t>
      </w:r>
      <w:r>
        <w:rPr>
          <w:sz w:val="25"/>
        </w:rPr>
        <w:t>ADI and dermal risks.</w:t>
      </w:r>
    </w:p>
    <w:p>
      <w:pPr>
        <w:pStyle w:val="ListParagraph"/>
        <w:numPr>
          <w:ilvl w:val="2"/>
          <w:numId w:val="8"/>
        </w:numPr>
        <w:tabs>
          <w:tab w:pos="1935" w:val="left" w:leader="none"/>
          <w:tab w:pos="1937" w:val="left" w:leader="none"/>
        </w:tabs>
        <w:spacing w:line="496" w:lineRule="auto" w:before="158" w:after="0"/>
        <w:ind w:left="1937" w:right="1999" w:hanging="383"/>
        <w:jc w:val="both"/>
        <w:rPr>
          <w:sz w:val="25"/>
        </w:rPr>
      </w:pPr>
      <w:r>
        <w:rPr>
          <w:b/>
          <w:sz w:val="25"/>
        </w:rPr>
        <w:t>Regulatory Action: </w:t>
      </w:r>
      <w:r>
        <w:rPr>
          <w:sz w:val="25"/>
        </w:rPr>
        <w:t>Stakeholders must enforce stricter waste disposal guidelines and incentivize eco-friendly practices in auto-recycling industries.</w:t>
      </w:r>
    </w:p>
    <w:p>
      <w:pPr>
        <w:pStyle w:val="ListParagraph"/>
        <w:spacing w:after="0" w:line="496" w:lineRule="auto"/>
        <w:jc w:val="both"/>
        <w:rPr>
          <w:sz w:val="25"/>
        </w:rPr>
        <w:sectPr>
          <w:pgSz w:w="12240" w:h="15840"/>
          <w:pgMar w:header="0" w:footer="1674" w:top="1460" w:bottom="1860" w:left="360" w:right="0"/>
        </w:sectPr>
      </w:pPr>
    </w:p>
    <w:p>
      <w:pPr>
        <w:pStyle w:val="Heading2"/>
      </w:pPr>
      <w:r>
        <w:rPr>
          <w:spacing w:val="-2"/>
        </w:rPr>
        <w:t>References</w:t>
      </w:r>
    </w:p>
    <w:p>
      <w:pPr>
        <w:pStyle w:val="BodyText"/>
        <w:spacing w:before="182"/>
        <w:rPr>
          <w:b/>
        </w:rPr>
      </w:pPr>
    </w:p>
    <w:p>
      <w:pPr>
        <w:pStyle w:val="BodyText"/>
        <w:spacing w:line="496" w:lineRule="auto"/>
        <w:ind w:left="1922" w:right="1769" w:hanging="768"/>
        <w:jc w:val="both"/>
      </w:pPr>
      <w:r>
        <w:rPr/>
        <w:t>Abbas, M., Parveen, Z., Iqbal, M`., Niaz, U., &amp; Shah, M. H. (2019). Environmental and health risk assessment of heavy metals in the soil-plant-human system:</w:t>
      </w:r>
      <w:r>
        <w:rPr>
          <w:spacing w:val="-12"/>
        </w:rPr>
        <w:t> </w:t>
      </w:r>
      <w:r>
        <w:rPr/>
        <w:t>A</w:t>
      </w:r>
      <w:r>
        <w:rPr>
          <w:spacing w:val="-13"/>
        </w:rPr>
        <w:t> </w:t>
      </w:r>
      <w:r>
        <w:rPr/>
        <w:t>review. </w:t>
      </w:r>
      <w:r>
        <w:rPr>
          <w:i/>
        </w:rPr>
        <w:t>Environmental Geochemistry and Health</w:t>
      </w:r>
      <w:r>
        <w:rPr/>
        <w:t>, 41(5), 2255–2281. </w:t>
      </w:r>
      <w:r>
        <w:rPr>
          <w:spacing w:val="-2"/>
        </w:rPr>
        <w:t>https://doi.org/10.1007/s10653-018-02071-7</w:t>
      </w:r>
    </w:p>
    <w:p>
      <w:pPr>
        <w:pStyle w:val="BodyText"/>
        <w:spacing w:line="496" w:lineRule="auto" w:before="158"/>
        <w:ind w:left="1922" w:right="1778" w:hanging="768"/>
        <w:jc w:val="both"/>
      </w:pPr>
      <w:r>
        <w:rPr/>
        <w:t>Abdulkareem,</w:t>
      </w:r>
      <w:r>
        <w:rPr>
          <w:spacing w:val="-2"/>
        </w:rPr>
        <w:t> </w:t>
      </w:r>
      <w:r>
        <w:rPr/>
        <w:t>A. S., Odigure, J. O.,</w:t>
      </w:r>
      <w:r>
        <w:rPr>
          <w:spacing w:val="-3"/>
        </w:rPr>
        <w:t> </w:t>
      </w:r>
      <w:r>
        <w:rPr/>
        <w:t>Afolabi,</w:t>
      </w:r>
      <w:r>
        <w:rPr>
          <w:spacing w:val="-3"/>
        </w:rPr>
        <w:t> </w:t>
      </w:r>
      <w:r>
        <w:rPr/>
        <w:t>A. S., &amp; Iyanda,</w:t>
      </w:r>
      <w:r>
        <w:rPr>
          <w:spacing w:val="-3"/>
        </w:rPr>
        <w:t> </w:t>
      </w:r>
      <w:r>
        <w:rPr/>
        <w:t>A.</w:t>
      </w:r>
      <w:r>
        <w:rPr>
          <w:spacing w:val="-3"/>
        </w:rPr>
        <w:t> </w:t>
      </w:r>
      <w:r>
        <w:rPr/>
        <w:t>A. (2020).</w:t>
      </w:r>
      <w:r>
        <w:rPr>
          <w:spacing w:val="-3"/>
        </w:rPr>
        <w:t> </w:t>
      </w:r>
      <w:r>
        <w:rPr/>
        <w:t>Assessment of heavy metals in soil and vegetation around a cement factory in Nigeria.</w:t>
      </w:r>
    </w:p>
    <w:p>
      <w:pPr>
        <w:tabs>
          <w:tab w:pos="4148" w:val="left" w:leader="none"/>
          <w:tab w:pos="6116" w:val="left" w:leader="none"/>
          <w:tab w:pos="7829" w:val="left" w:leader="none"/>
          <w:tab w:pos="9150" w:val="left" w:leader="none"/>
        </w:tabs>
        <w:spacing w:line="496" w:lineRule="auto" w:before="0"/>
        <w:ind w:left="1948" w:right="1770" w:hanging="11"/>
        <w:jc w:val="both"/>
        <w:rPr>
          <w:sz w:val="25"/>
        </w:rPr>
      </w:pPr>
      <w:r>
        <w:rPr>
          <w:i/>
          <w:spacing w:val="-2"/>
          <w:sz w:val="25"/>
        </w:rPr>
        <w:t>Environmental</w:t>
      </w:r>
      <w:r>
        <w:rPr>
          <w:i/>
          <w:sz w:val="25"/>
        </w:rPr>
        <w:tab/>
      </w:r>
      <w:r>
        <w:rPr>
          <w:i/>
          <w:spacing w:val="-2"/>
          <w:sz w:val="25"/>
        </w:rPr>
        <w:t>Engineering</w:t>
      </w:r>
      <w:r>
        <w:rPr>
          <w:i/>
          <w:sz w:val="25"/>
        </w:rPr>
        <w:tab/>
      </w:r>
      <w:r>
        <w:rPr>
          <w:i/>
          <w:spacing w:val="-2"/>
          <w:sz w:val="25"/>
        </w:rPr>
        <w:t>Research</w:t>
      </w:r>
      <w:r>
        <w:rPr>
          <w:spacing w:val="-2"/>
          <w:sz w:val="25"/>
        </w:rPr>
        <w:t>,</w:t>
      </w:r>
      <w:r>
        <w:rPr>
          <w:sz w:val="25"/>
        </w:rPr>
        <w:tab/>
      </w:r>
      <w:r>
        <w:rPr>
          <w:i/>
          <w:spacing w:val="-2"/>
          <w:sz w:val="25"/>
        </w:rPr>
        <w:t>25</w:t>
      </w:r>
      <w:r>
        <w:rPr>
          <w:spacing w:val="-2"/>
          <w:sz w:val="25"/>
        </w:rPr>
        <w:t>(3),</w:t>
      </w:r>
      <w:r>
        <w:rPr>
          <w:sz w:val="25"/>
        </w:rPr>
        <w:tab/>
      </w:r>
      <w:r>
        <w:rPr>
          <w:spacing w:val="-2"/>
          <w:sz w:val="25"/>
        </w:rPr>
        <w:t>409–418. https://doi.org/10.4491/eer.2019.049</w:t>
      </w:r>
    </w:p>
    <w:p>
      <w:pPr>
        <w:pStyle w:val="BodyText"/>
        <w:spacing w:line="494" w:lineRule="auto" w:before="157"/>
        <w:ind w:left="1922" w:right="1770" w:hanging="768"/>
        <w:jc w:val="both"/>
      </w:pPr>
      <w:r>
        <w:rPr/>
        <w:t>Adedokun,</w:t>
      </w:r>
      <w:r>
        <w:rPr>
          <w:spacing w:val="-10"/>
        </w:rPr>
        <w:t> </w:t>
      </w:r>
      <w:r>
        <w:rPr/>
        <w:t>A. H., Ojo, J. O., &amp;</w:t>
      </w:r>
      <w:r>
        <w:rPr>
          <w:spacing w:val="-13"/>
        </w:rPr>
        <w:t> </w:t>
      </w:r>
      <w:r>
        <w:rPr/>
        <w:t>Adekunle,</w:t>
      </w:r>
      <w:r>
        <w:rPr>
          <w:spacing w:val="-11"/>
        </w:rPr>
        <w:t> </w:t>
      </w:r>
      <w:r>
        <w:rPr/>
        <w:t>A. S. (2021). Determination of toxic metals in dismantled</w:t>
      </w:r>
      <w:r>
        <w:rPr>
          <w:spacing w:val="-8"/>
        </w:rPr>
        <w:t> </w:t>
      </w:r>
      <w:r>
        <w:rPr/>
        <w:t>auto</w:t>
      </w:r>
      <w:r>
        <w:rPr>
          <w:spacing w:val="-2"/>
        </w:rPr>
        <w:t> </w:t>
      </w:r>
      <w:r>
        <w:rPr/>
        <w:t>parts</w:t>
      </w:r>
      <w:r>
        <w:rPr>
          <w:spacing w:val="-3"/>
        </w:rPr>
        <w:t> </w:t>
      </w:r>
      <w:r>
        <w:rPr/>
        <w:t>and</w:t>
      </w:r>
      <w:r>
        <w:rPr>
          <w:spacing w:val="-3"/>
        </w:rPr>
        <w:t> </w:t>
      </w:r>
      <w:r>
        <w:rPr/>
        <w:t>environmental</w:t>
      </w:r>
      <w:r>
        <w:rPr>
          <w:spacing w:val="-2"/>
        </w:rPr>
        <w:t> </w:t>
      </w:r>
      <w:r>
        <w:rPr/>
        <w:t>implications:</w:t>
      </w:r>
      <w:r>
        <w:rPr>
          <w:spacing w:val="-16"/>
        </w:rPr>
        <w:t> </w:t>
      </w:r>
      <w:r>
        <w:rPr/>
        <w:t>A</w:t>
      </w:r>
      <w:r>
        <w:rPr>
          <w:spacing w:val="-16"/>
        </w:rPr>
        <w:t> </w:t>
      </w:r>
      <w:r>
        <w:rPr/>
        <w:t>case</w:t>
      </w:r>
      <w:r>
        <w:rPr>
          <w:spacing w:val="-2"/>
        </w:rPr>
        <w:t> </w:t>
      </w:r>
      <w:r>
        <w:rPr/>
        <w:t>study</w:t>
      </w:r>
      <w:r>
        <w:rPr>
          <w:spacing w:val="-2"/>
        </w:rPr>
        <w:t> </w:t>
      </w:r>
      <w:r>
        <w:rPr/>
        <w:t>from</w:t>
      </w:r>
      <w:r>
        <w:rPr>
          <w:spacing w:val="-2"/>
        </w:rPr>
        <w:t> </w:t>
      </w:r>
      <w:r>
        <w:rPr/>
        <w:t>Nigeria. </w:t>
      </w:r>
      <w:r>
        <w:rPr>
          <w:i/>
        </w:rPr>
        <w:t>Environmental Monitoring and Assessment</w:t>
      </w:r>
      <w:r>
        <w:rPr/>
        <w:t>, 193(6), 1–13. </w:t>
      </w:r>
      <w:r>
        <w:rPr>
          <w:spacing w:val="-2"/>
        </w:rPr>
        <w:t>https://doi.org/10.1007/s10661-021-09179-0</w:t>
      </w:r>
    </w:p>
    <w:p>
      <w:pPr>
        <w:pStyle w:val="BodyText"/>
        <w:spacing w:line="494" w:lineRule="auto" w:before="169"/>
        <w:ind w:left="1922" w:right="1780" w:hanging="768"/>
        <w:jc w:val="both"/>
      </w:pPr>
      <w:r>
        <w:rPr/>
        <w:t>Adusei, J., Botwe, B. O., &amp; Gbogbo, F. (2020). Heavy metals in automotive brake pads and implications for human health. Environmental Monitoring and Assessment, 192(8), 506. https://doi.org/10.1007/s10661-020-08461-6</w:t>
      </w:r>
    </w:p>
    <w:p>
      <w:pPr>
        <w:spacing w:line="496" w:lineRule="auto" w:before="162"/>
        <w:ind w:left="1922" w:right="1819" w:hanging="768"/>
        <w:jc w:val="left"/>
        <w:rPr>
          <w:sz w:val="25"/>
        </w:rPr>
      </w:pPr>
      <w:r>
        <w:rPr>
          <w:sz w:val="25"/>
        </w:rPr>
        <w:t>Agency</w:t>
      </w:r>
      <w:r>
        <w:rPr>
          <w:spacing w:val="40"/>
          <w:sz w:val="25"/>
        </w:rPr>
        <w:t> </w:t>
      </w:r>
      <w:r>
        <w:rPr>
          <w:sz w:val="25"/>
        </w:rPr>
        <w:t>for</w:t>
      </w:r>
      <w:r>
        <w:rPr>
          <w:spacing w:val="40"/>
          <w:sz w:val="25"/>
        </w:rPr>
        <w:t> </w:t>
      </w:r>
      <w:r>
        <w:rPr>
          <w:sz w:val="25"/>
        </w:rPr>
        <w:t>Toxic</w:t>
      </w:r>
      <w:r>
        <w:rPr>
          <w:spacing w:val="40"/>
          <w:sz w:val="25"/>
        </w:rPr>
        <w:t> </w:t>
      </w:r>
      <w:r>
        <w:rPr>
          <w:sz w:val="25"/>
        </w:rPr>
        <w:t>Substances</w:t>
      </w:r>
      <w:r>
        <w:rPr>
          <w:spacing w:val="40"/>
          <w:sz w:val="25"/>
        </w:rPr>
        <w:t> </w:t>
      </w:r>
      <w:r>
        <w:rPr>
          <w:sz w:val="25"/>
        </w:rPr>
        <w:t>and</w:t>
      </w:r>
      <w:r>
        <w:rPr>
          <w:spacing w:val="40"/>
          <w:sz w:val="25"/>
        </w:rPr>
        <w:t> </w:t>
      </w:r>
      <w:r>
        <w:rPr>
          <w:sz w:val="25"/>
        </w:rPr>
        <w:t>Disease</w:t>
      </w:r>
      <w:r>
        <w:rPr>
          <w:spacing w:val="40"/>
          <w:sz w:val="25"/>
        </w:rPr>
        <w:t> </w:t>
      </w:r>
      <w:r>
        <w:rPr>
          <w:sz w:val="25"/>
        </w:rPr>
        <w:t>Registry</w:t>
      </w:r>
      <w:r>
        <w:rPr>
          <w:spacing w:val="40"/>
          <w:sz w:val="25"/>
        </w:rPr>
        <w:t> </w:t>
      </w:r>
      <w:r>
        <w:rPr>
          <w:sz w:val="25"/>
        </w:rPr>
        <w:t>(ATSDR).</w:t>
      </w:r>
      <w:r>
        <w:rPr>
          <w:spacing w:val="40"/>
          <w:sz w:val="25"/>
        </w:rPr>
        <w:t> </w:t>
      </w:r>
      <w:r>
        <w:rPr>
          <w:sz w:val="25"/>
        </w:rPr>
        <w:t>(2020).</w:t>
      </w:r>
      <w:r>
        <w:rPr>
          <w:spacing w:val="40"/>
          <w:sz w:val="25"/>
        </w:rPr>
        <w:t> </w:t>
      </w:r>
      <w:r>
        <w:rPr>
          <w:i/>
          <w:sz w:val="25"/>
        </w:rPr>
        <w:t>Toxicological profiles for heavy metals (Pb, Cd, Cr, Ni, Zn)</w:t>
      </w:r>
      <w:r>
        <w:rPr>
          <w:sz w:val="25"/>
        </w:rPr>
        <w:t>. U.S. Department of Health and Human Services.</w:t>
      </w:r>
    </w:p>
    <w:p>
      <w:pPr>
        <w:spacing w:after="0" w:line="496" w:lineRule="auto"/>
        <w:jc w:val="left"/>
        <w:rPr>
          <w:sz w:val="25"/>
        </w:rPr>
        <w:sectPr>
          <w:pgSz w:w="12240" w:h="15840"/>
          <w:pgMar w:header="0" w:footer="1674" w:top="1460" w:bottom="1860" w:left="360" w:right="0"/>
        </w:sectPr>
      </w:pPr>
    </w:p>
    <w:p>
      <w:pPr>
        <w:spacing w:line="496" w:lineRule="auto" w:before="74"/>
        <w:ind w:left="1922" w:right="2043" w:hanging="768"/>
        <w:jc w:val="both"/>
        <w:rPr>
          <w:sz w:val="25"/>
        </w:rPr>
      </w:pPr>
      <w:r>
        <w:rPr>
          <w:sz w:val="25"/>
        </w:rPr>
        <w:t>Akan, J. C., Moses, E.</w:t>
      </w:r>
      <w:r>
        <w:rPr>
          <w:spacing w:val="-10"/>
          <w:sz w:val="25"/>
        </w:rPr>
        <w:t> </w:t>
      </w:r>
      <w:r>
        <w:rPr>
          <w:sz w:val="25"/>
        </w:rPr>
        <w:t>A., Ogugbuaja, V. O., &amp;</w:t>
      </w:r>
      <w:r>
        <w:rPr>
          <w:spacing w:val="-9"/>
          <w:sz w:val="25"/>
        </w:rPr>
        <w:t> </w:t>
      </w:r>
      <w:r>
        <w:rPr>
          <w:sz w:val="25"/>
        </w:rPr>
        <w:t>Abah, J. (2019).</w:t>
      </w:r>
      <w:r>
        <w:rPr>
          <w:spacing w:val="-11"/>
          <w:sz w:val="25"/>
        </w:rPr>
        <w:t> </w:t>
      </w:r>
      <w:r>
        <w:rPr>
          <w:sz w:val="25"/>
        </w:rPr>
        <w:t>Assessment of heavy metals in soils around auto-mechanic workshops in Gombe metropolis, Nigeria. </w:t>
      </w:r>
      <w:r>
        <w:rPr>
          <w:i/>
          <w:sz w:val="25"/>
        </w:rPr>
        <w:t>Journal of Environmental Chemistry and Ecotoxicology</w:t>
      </w:r>
      <w:r>
        <w:rPr>
          <w:sz w:val="25"/>
        </w:rPr>
        <w:t>, </w:t>
      </w:r>
      <w:r>
        <w:rPr>
          <w:i/>
          <w:sz w:val="25"/>
        </w:rPr>
        <w:t>11</w:t>
      </w:r>
      <w:r>
        <w:rPr>
          <w:sz w:val="25"/>
        </w:rPr>
        <w:t>(1), 1–8.</w:t>
      </w:r>
    </w:p>
    <w:p>
      <w:pPr>
        <w:pStyle w:val="BodyText"/>
        <w:spacing w:line="496" w:lineRule="auto" w:before="158"/>
        <w:ind w:left="1922" w:right="1819" w:hanging="768"/>
      </w:pPr>
      <w:r>
        <w:rPr/>
        <w:t>Akinola, O. S., Lawal, I.</w:t>
      </w:r>
      <w:r>
        <w:rPr>
          <w:spacing w:val="-9"/>
        </w:rPr>
        <w:t> </w:t>
      </w:r>
      <w:r>
        <w:rPr/>
        <w:t>A., &amp; Bala,</w:t>
      </w:r>
      <w:r>
        <w:rPr>
          <w:spacing w:val="-3"/>
        </w:rPr>
        <w:t> </w:t>
      </w:r>
      <w:r>
        <w:rPr/>
        <w:t>Y. (2023).</w:t>
      </w:r>
      <w:r>
        <w:rPr>
          <w:spacing w:val="-9"/>
        </w:rPr>
        <w:t> </w:t>
      </w:r>
      <w:r>
        <w:rPr/>
        <w:t>Assessment of heavy metals in roadside dust in Kano, Nigeria. Heliyon, 9(2), e14231. </w:t>
      </w:r>
      <w:r>
        <w:rPr>
          <w:spacing w:val="-2"/>
        </w:rPr>
        <w:t>https://doi.org/10.1016/j.heliyon.2023.e14231</w:t>
      </w:r>
    </w:p>
    <w:p>
      <w:pPr>
        <w:pStyle w:val="BodyText"/>
        <w:spacing w:line="494" w:lineRule="auto" w:before="156"/>
        <w:ind w:left="1922" w:right="1788" w:hanging="768"/>
      </w:pPr>
      <w:r>
        <w:rPr/>
        <w:t>Alghamdi,</w:t>
      </w:r>
      <w:r>
        <w:rPr>
          <w:spacing w:val="73"/>
        </w:rPr>
        <w:t> </w:t>
      </w:r>
      <w:r>
        <w:rPr/>
        <w:t>M.</w:t>
      </w:r>
      <w:r>
        <w:rPr>
          <w:spacing w:val="40"/>
        </w:rPr>
        <w:t> </w:t>
      </w:r>
      <w:r>
        <w:rPr/>
        <w:t>A.,</w:t>
      </w:r>
      <w:r>
        <w:rPr>
          <w:spacing w:val="76"/>
        </w:rPr>
        <w:t> </w:t>
      </w:r>
      <w:r>
        <w:rPr/>
        <w:t>et</w:t>
      </w:r>
      <w:r>
        <w:rPr>
          <w:spacing w:val="73"/>
        </w:rPr>
        <w:t> </w:t>
      </w:r>
      <w:r>
        <w:rPr/>
        <w:t>al.</w:t>
      </w:r>
      <w:r>
        <w:rPr>
          <w:spacing w:val="77"/>
        </w:rPr>
        <w:t> </w:t>
      </w:r>
      <w:r>
        <w:rPr/>
        <w:t>(2021).</w:t>
      </w:r>
      <w:r>
        <w:rPr>
          <w:spacing w:val="72"/>
        </w:rPr>
        <w:t> </w:t>
      </w:r>
      <w:r>
        <w:rPr/>
        <w:t>Environmental</w:t>
      </w:r>
      <w:r>
        <w:rPr>
          <w:spacing w:val="76"/>
        </w:rPr>
        <w:t> </w:t>
      </w:r>
      <w:r>
        <w:rPr/>
        <w:t>hazards</w:t>
      </w:r>
      <w:r>
        <w:rPr>
          <w:spacing w:val="72"/>
        </w:rPr>
        <w:t> </w:t>
      </w:r>
      <w:r>
        <w:rPr/>
        <w:t>from</w:t>
      </w:r>
      <w:r>
        <w:rPr>
          <w:spacing w:val="73"/>
        </w:rPr>
        <w:t> </w:t>
      </w:r>
      <w:r>
        <w:rPr/>
        <w:t>used</w:t>
      </w:r>
      <w:r>
        <w:rPr>
          <w:spacing w:val="73"/>
        </w:rPr>
        <w:t> </w:t>
      </w:r>
      <w:r>
        <w:rPr/>
        <w:t>engine</w:t>
      </w:r>
      <w:r>
        <w:rPr>
          <w:spacing w:val="72"/>
        </w:rPr>
        <w:t> </w:t>
      </w:r>
      <w:r>
        <w:rPr/>
        <w:t>oil</w:t>
      </w:r>
      <w:r>
        <w:rPr>
          <w:spacing w:val="74"/>
        </w:rPr>
        <w:t> </w:t>
      </w:r>
      <w:r>
        <w:rPr/>
        <w:t>and lubricants: A review. Chemosphere, 278, 130426. </w:t>
      </w:r>
      <w:r>
        <w:rPr>
          <w:spacing w:val="-2"/>
        </w:rPr>
        <w:t>https://doi.org/10.1016/j.chemosphere.2021.130426</w:t>
      </w:r>
    </w:p>
    <w:p>
      <w:pPr>
        <w:pStyle w:val="BodyText"/>
        <w:spacing w:line="494" w:lineRule="auto" w:before="162"/>
        <w:ind w:left="1922" w:right="1943" w:hanging="768"/>
      </w:pPr>
      <w:r>
        <w:rPr/>
        <w:t>Ali, M. M.,</w:t>
      </w:r>
      <w:r>
        <w:rPr>
          <w:spacing w:val="-9"/>
        </w:rPr>
        <w:t> </w:t>
      </w:r>
      <w:r>
        <w:rPr/>
        <w:t>Ali, M. L., Islam, M. S., &amp; Rahman, M. Z. (2019). Preliminary assessment of heavy metals in water and sediment of Karnaphuli River, Bangladesh.</w:t>
      </w:r>
    </w:p>
    <w:p>
      <w:pPr>
        <w:spacing w:line="491" w:lineRule="auto" w:before="0"/>
        <w:ind w:left="1922" w:right="0" w:firstLine="0"/>
        <w:jc w:val="left"/>
        <w:rPr>
          <w:sz w:val="25"/>
        </w:rPr>
      </w:pPr>
      <w:r>
        <w:rPr>
          <w:i/>
          <w:sz w:val="25"/>
        </w:rPr>
        <w:t>Environmental Nanotechnology, Monitoring &amp; Management</w:t>
      </w:r>
      <w:r>
        <w:rPr>
          <w:sz w:val="25"/>
        </w:rPr>
        <w:t>, </w:t>
      </w:r>
      <w:r>
        <w:rPr>
          <w:i/>
          <w:sz w:val="25"/>
        </w:rPr>
        <w:t>12</w:t>
      </w:r>
      <w:r>
        <w:rPr>
          <w:sz w:val="25"/>
        </w:rPr>
        <w:t>, 100267. </w:t>
      </w:r>
      <w:r>
        <w:rPr>
          <w:spacing w:val="-2"/>
          <w:sz w:val="25"/>
        </w:rPr>
        <w:t>https://doi.org/10.1016/j.enmm.2019.100267</w:t>
      </w:r>
    </w:p>
    <w:p>
      <w:pPr>
        <w:spacing w:line="484" w:lineRule="auto" w:before="161"/>
        <w:ind w:left="1932" w:right="1584" w:hanging="778"/>
        <w:jc w:val="left"/>
        <w:rPr>
          <w:sz w:val="25"/>
        </w:rPr>
      </w:pPr>
      <w:r>
        <w:rPr>
          <w:sz w:val="25"/>
        </w:rPr>
        <w:t>Alloway, B. J. (2018). </w:t>
      </w:r>
      <w:r>
        <w:rPr>
          <w:i/>
          <w:sz w:val="25"/>
        </w:rPr>
        <w:t>Heavy Metals in Soils: Trace Metals and Metalloids in Soils and their Bioavailability </w:t>
      </w:r>
      <w:r>
        <w:rPr>
          <w:sz w:val="25"/>
        </w:rPr>
        <w:t>(3rd ed.). Springer. https://doi.org/10.1007/978-94-007-4470-</w:t>
      </w:r>
      <w:r>
        <w:rPr>
          <w:spacing w:val="40"/>
          <w:sz w:val="25"/>
        </w:rPr>
        <w:t> </w:t>
      </w:r>
      <w:r>
        <w:rPr>
          <w:spacing w:val="-10"/>
          <w:sz w:val="25"/>
        </w:rPr>
        <w:t>7</w:t>
      </w:r>
    </w:p>
    <w:p>
      <w:pPr>
        <w:spacing w:before="171"/>
        <w:ind w:left="1155" w:right="0" w:firstLine="0"/>
        <w:jc w:val="left"/>
        <w:rPr>
          <w:i/>
          <w:sz w:val="25"/>
        </w:rPr>
      </w:pPr>
      <w:r>
        <w:rPr>
          <w:sz w:val="25"/>
        </w:rPr>
        <w:t>American</w:t>
      </w:r>
      <w:r>
        <w:rPr>
          <w:spacing w:val="13"/>
          <w:sz w:val="25"/>
        </w:rPr>
        <w:t> </w:t>
      </w:r>
      <w:r>
        <w:rPr>
          <w:sz w:val="25"/>
        </w:rPr>
        <w:t>Public</w:t>
      </w:r>
      <w:r>
        <w:rPr>
          <w:spacing w:val="13"/>
          <w:sz w:val="25"/>
        </w:rPr>
        <w:t> </w:t>
      </w:r>
      <w:r>
        <w:rPr>
          <w:sz w:val="25"/>
        </w:rPr>
        <w:t>Health</w:t>
      </w:r>
      <w:r>
        <w:rPr>
          <w:spacing w:val="-2"/>
          <w:sz w:val="25"/>
        </w:rPr>
        <w:t> </w:t>
      </w:r>
      <w:r>
        <w:rPr>
          <w:sz w:val="25"/>
        </w:rPr>
        <w:t>Association</w:t>
      </w:r>
      <w:r>
        <w:rPr>
          <w:spacing w:val="14"/>
          <w:sz w:val="25"/>
        </w:rPr>
        <w:t> </w:t>
      </w:r>
      <w:r>
        <w:rPr>
          <w:sz w:val="25"/>
        </w:rPr>
        <w:t>(APHA).</w:t>
      </w:r>
      <w:r>
        <w:rPr>
          <w:spacing w:val="14"/>
          <w:sz w:val="25"/>
        </w:rPr>
        <w:t> </w:t>
      </w:r>
      <w:r>
        <w:rPr>
          <w:sz w:val="25"/>
        </w:rPr>
        <w:t>(2018).</w:t>
      </w:r>
      <w:r>
        <w:rPr>
          <w:spacing w:val="15"/>
          <w:sz w:val="25"/>
        </w:rPr>
        <w:t> </w:t>
      </w:r>
      <w:r>
        <w:rPr>
          <w:i/>
          <w:sz w:val="25"/>
        </w:rPr>
        <w:t>Standard</w:t>
      </w:r>
      <w:r>
        <w:rPr>
          <w:i/>
          <w:spacing w:val="13"/>
          <w:sz w:val="25"/>
        </w:rPr>
        <w:t> </w:t>
      </w:r>
      <w:r>
        <w:rPr>
          <w:i/>
          <w:sz w:val="25"/>
        </w:rPr>
        <w:t>Methods</w:t>
      </w:r>
      <w:r>
        <w:rPr>
          <w:i/>
          <w:spacing w:val="14"/>
          <w:sz w:val="25"/>
        </w:rPr>
        <w:t> </w:t>
      </w:r>
      <w:r>
        <w:rPr>
          <w:i/>
          <w:sz w:val="25"/>
        </w:rPr>
        <w:t>for</w:t>
      </w:r>
      <w:r>
        <w:rPr>
          <w:i/>
          <w:spacing w:val="14"/>
          <w:sz w:val="25"/>
        </w:rPr>
        <w:t> </w:t>
      </w:r>
      <w:r>
        <w:rPr>
          <w:i/>
          <w:spacing w:val="-5"/>
          <w:sz w:val="25"/>
        </w:rPr>
        <w:t>the</w:t>
      </w:r>
    </w:p>
    <w:p>
      <w:pPr>
        <w:pStyle w:val="BodyText"/>
        <w:spacing w:before="6"/>
        <w:rPr>
          <w:i/>
        </w:rPr>
      </w:pPr>
    </w:p>
    <w:p>
      <w:pPr>
        <w:spacing w:before="0"/>
        <w:ind w:left="1805" w:right="0" w:firstLine="0"/>
        <w:jc w:val="left"/>
        <w:rPr>
          <w:sz w:val="25"/>
        </w:rPr>
      </w:pPr>
      <w:r>
        <w:rPr>
          <w:i/>
          <w:sz w:val="25"/>
        </w:rPr>
        <w:t>Examination</w:t>
      </w:r>
      <w:r>
        <w:rPr>
          <w:i/>
          <w:spacing w:val="6"/>
          <w:sz w:val="25"/>
        </w:rPr>
        <w:t> </w:t>
      </w:r>
      <w:r>
        <w:rPr>
          <w:i/>
          <w:sz w:val="25"/>
        </w:rPr>
        <w:t>of</w:t>
      </w:r>
      <w:r>
        <w:rPr>
          <w:i/>
          <w:spacing w:val="6"/>
          <w:sz w:val="25"/>
        </w:rPr>
        <w:t> </w:t>
      </w:r>
      <w:r>
        <w:rPr>
          <w:i/>
          <w:sz w:val="25"/>
        </w:rPr>
        <w:t>Water</w:t>
      </w:r>
      <w:r>
        <w:rPr>
          <w:i/>
          <w:spacing w:val="6"/>
          <w:sz w:val="25"/>
        </w:rPr>
        <w:t> </w:t>
      </w:r>
      <w:r>
        <w:rPr>
          <w:i/>
          <w:sz w:val="25"/>
        </w:rPr>
        <w:t>and</w:t>
      </w:r>
      <w:r>
        <w:rPr>
          <w:i/>
          <w:spacing w:val="7"/>
          <w:sz w:val="25"/>
        </w:rPr>
        <w:t> </w:t>
      </w:r>
      <w:r>
        <w:rPr>
          <w:i/>
          <w:sz w:val="25"/>
        </w:rPr>
        <w:t>Wastewater</w:t>
      </w:r>
      <w:r>
        <w:rPr>
          <w:i/>
          <w:spacing w:val="7"/>
          <w:sz w:val="25"/>
        </w:rPr>
        <w:t> </w:t>
      </w:r>
      <w:r>
        <w:rPr>
          <w:sz w:val="25"/>
        </w:rPr>
        <w:t>(23rd</w:t>
      </w:r>
      <w:r>
        <w:rPr>
          <w:spacing w:val="6"/>
          <w:sz w:val="25"/>
        </w:rPr>
        <w:t> </w:t>
      </w:r>
      <w:r>
        <w:rPr>
          <w:sz w:val="25"/>
        </w:rPr>
        <w:t>ed.).</w:t>
      </w:r>
      <w:r>
        <w:rPr>
          <w:spacing w:val="5"/>
          <w:sz w:val="25"/>
        </w:rPr>
        <w:t> </w:t>
      </w:r>
      <w:r>
        <w:rPr>
          <w:sz w:val="25"/>
        </w:rPr>
        <w:t>Washington,</w:t>
      </w:r>
      <w:r>
        <w:rPr>
          <w:spacing w:val="7"/>
          <w:sz w:val="25"/>
        </w:rPr>
        <w:t> </w:t>
      </w:r>
      <w:r>
        <w:rPr>
          <w:sz w:val="25"/>
        </w:rPr>
        <w:t>DC:</w:t>
      </w:r>
      <w:r>
        <w:rPr>
          <w:spacing w:val="-10"/>
          <w:sz w:val="25"/>
        </w:rPr>
        <w:t> </w:t>
      </w:r>
      <w:r>
        <w:rPr>
          <w:spacing w:val="-2"/>
          <w:sz w:val="25"/>
        </w:rPr>
        <w:t>APHA.</w:t>
      </w:r>
    </w:p>
    <w:p>
      <w:pPr>
        <w:pStyle w:val="BodyText"/>
        <w:spacing w:line="496" w:lineRule="auto" w:before="29"/>
        <w:ind w:left="1922" w:right="1819" w:hanging="768"/>
      </w:pPr>
      <w:r>
        <w:rPr/>
        <w:t>Amoatey,</w:t>
      </w:r>
      <w:r>
        <w:rPr>
          <w:spacing w:val="80"/>
        </w:rPr>
        <w:t> </w:t>
      </w:r>
      <w:r>
        <w:rPr/>
        <w:t>P.,</w:t>
      </w:r>
      <w:r>
        <w:rPr>
          <w:spacing w:val="80"/>
        </w:rPr>
        <w:t> </w:t>
      </w:r>
      <w:r>
        <w:rPr/>
        <w:t>Baawain,</w:t>
      </w:r>
      <w:r>
        <w:rPr>
          <w:spacing w:val="80"/>
        </w:rPr>
        <w:t> </w:t>
      </w:r>
      <w:r>
        <w:rPr/>
        <w:t>M.</w:t>
      </w:r>
      <w:r>
        <w:rPr>
          <w:spacing w:val="80"/>
        </w:rPr>
        <w:t> </w:t>
      </w:r>
      <w:r>
        <w:rPr/>
        <w:t>S.,</w:t>
      </w:r>
      <w:r>
        <w:rPr>
          <w:spacing w:val="40"/>
        </w:rPr>
        <w:t> </w:t>
      </w:r>
      <w:r>
        <w:rPr/>
        <w:t>Al-Mamun,</w:t>
      </w:r>
      <w:r>
        <w:rPr>
          <w:spacing w:val="40"/>
        </w:rPr>
        <w:t> </w:t>
      </w:r>
      <w:r>
        <w:rPr/>
        <w:t>A.,</w:t>
      </w:r>
      <w:r>
        <w:rPr>
          <w:spacing w:val="80"/>
        </w:rPr>
        <w:t> </w:t>
      </w:r>
      <w:r>
        <w:rPr/>
        <w:t>&amp;</w:t>
      </w:r>
      <w:r>
        <w:rPr>
          <w:spacing w:val="40"/>
        </w:rPr>
        <w:t> </w:t>
      </w:r>
      <w:r>
        <w:rPr/>
        <w:t>Al-Kindi,</w:t>
      </w:r>
      <w:r>
        <w:rPr>
          <w:spacing w:val="80"/>
        </w:rPr>
        <w:t> </w:t>
      </w:r>
      <w:r>
        <w:rPr/>
        <w:t>R.</w:t>
      </w:r>
      <w:r>
        <w:rPr>
          <w:spacing w:val="80"/>
        </w:rPr>
        <w:t> </w:t>
      </w:r>
      <w:r>
        <w:rPr/>
        <w:t>(2020).</w:t>
      </w:r>
      <w:r>
        <w:rPr>
          <w:spacing w:val="80"/>
        </w:rPr>
        <w:t> </w:t>
      </w:r>
      <w:r>
        <w:rPr/>
        <w:t>Impact</w:t>
      </w:r>
      <w:r>
        <w:rPr>
          <w:spacing w:val="80"/>
        </w:rPr>
        <w:t> </w:t>
      </w:r>
      <w:r>
        <w:rPr/>
        <w:t>of automobile activities on heavy metal contamination in urban soils of Muscat,</w:t>
      </w:r>
    </w:p>
    <w:p>
      <w:pPr>
        <w:pStyle w:val="BodyText"/>
        <w:spacing w:after="0" w:line="496" w:lineRule="auto"/>
        <w:sectPr>
          <w:pgSz w:w="12240" w:h="15840"/>
          <w:pgMar w:header="0" w:footer="1674" w:top="1460" w:bottom="1860" w:left="360" w:right="0"/>
        </w:sectPr>
      </w:pPr>
    </w:p>
    <w:p>
      <w:pPr>
        <w:tabs>
          <w:tab w:pos="2940" w:val="left" w:leader="none"/>
          <w:tab w:pos="4762" w:val="left" w:leader="none"/>
          <w:tab w:pos="6241" w:val="left" w:leader="none"/>
          <w:tab w:pos="6929" w:val="left" w:leader="none"/>
          <w:tab w:pos="8472" w:val="left" w:leader="none"/>
          <w:tab w:pos="9532" w:val="left" w:leader="none"/>
        </w:tabs>
        <w:spacing w:line="496" w:lineRule="auto" w:before="74"/>
        <w:ind w:left="1948" w:right="1770" w:hanging="11"/>
        <w:jc w:val="left"/>
        <w:rPr>
          <w:sz w:val="25"/>
        </w:rPr>
      </w:pPr>
      <w:r>
        <w:rPr>
          <w:spacing w:val="-2"/>
          <w:sz w:val="25"/>
        </w:rPr>
        <w:t>Oman.</w:t>
      </w:r>
      <w:r>
        <w:rPr>
          <w:sz w:val="25"/>
        </w:rPr>
        <w:tab/>
      </w:r>
      <w:r>
        <w:rPr>
          <w:i/>
          <w:spacing w:val="-2"/>
          <w:sz w:val="25"/>
        </w:rPr>
        <w:t>Environmental</w:t>
      </w:r>
      <w:r>
        <w:rPr>
          <w:i/>
          <w:sz w:val="25"/>
        </w:rPr>
        <w:tab/>
      </w:r>
      <w:r>
        <w:rPr>
          <w:i/>
          <w:spacing w:val="-2"/>
          <w:sz w:val="25"/>
        </w:rPr>
        <w:t>Monitoring</w:t>
      </w:r>
      <w:r>
        <w:rPr>
          <w:i/>
          <w:sz w:val="25"/>
        </w:rPr>
        <w:tab/>
      </w:r>
      <w:r>
        <w:rPr>
          <w:i/>
          <w:spacing w:val="-4"/>
          <w:sz w:val="25"/>
        </w:rPr>
        <w:t>and</w:t>
      </w:r>
      <w:r>
        <w:rPr>
          <w:i/>
          <w:sz w:val="25"/>
        </w:rPr>
        <w:tab/>
      </w:r>
      <w:r>
        <w:rPr>
          <w:i/>
          <w:spacing w:val="-2"/>
          <w:sz w:val="25"/>
        </w:rPr>
        <w:t>Assessment</w:t>
      </w:r>
      <w:r>
        <w:rPr>
          <w:spacing w:val="-2"/>
          <w:sz w:val="25"/>
        </w:rPr>
        <w:t>,</w:t>
      </w:r>
      <w:r>
        <w:rPr>
          <w:sz w:val="25"/>
        </w:rPr>
        <w:tab/>
      </w:r>
      <w:r>
        <w:rPr>
          <w:i/>
          <w:spacing w:val="-2"/>
          <w:sz w:val="25"/>
        </w:rPr>
        <w:t>192</w:t>
      </w:r>
      <w:r>
        <w:rPr>
          <w:spacing w:val="-2"/>
          <w:sz w:val="25"/>
        </w:rPr>
        <w:t>(4),</w:t>
      </w:r>
      <w:r>
        <w:rPr>
          <w:sz w:val="25"/>
        </w:rPr>
        <w:tab/>
      </w:r>
      <w:r>
        <w:rPr>
          <w:spacing w:val="-2"/>
          <w:sz w:val="25"/>
        </w:rPr>
        <w:t>1–14. https://doi.org/10.1007/s10661-020-8134-6</w:t>
      </w:r>
    </w:p>
    <w:p>
      <w:pPr>
        <w:spacing w:line="496" w:lineRule="auto" w:before="159"/>
        <w:ind w:left="1922" w:right="1819" w:hanging="768"/>
        <w:jc w:val="left"/>
        <w:rPr>
          <w:i/>
          <w:sz w:val="25"/>
        </w:rPr>
      </w:pPr>
      <w:r>
        <w:rPr>
          <w:sz w:val="25"/>
        </w:rPr>
        <w:t>Ashraf, M. W., Maah, M. J., &amp; Yusoff, I. (2019). Heavy metals accumulation in plants</w:t>
      </w:r>
      <w:r>
        <w:rPr>
          <w:spacing w:val="40"/>
          <w:sz w:val="25"/>
        </w:rPr>
        <w:t> </w:t>
      </w:r>
      <w:r>
        <w:rPr>
          <w:sz w:val="25"/>
        </w:rPr>
        <w:t>growing near automobile workshops. </w:t>
      </w:r>
      <w:r>
        <w:rPr>
          <w:i/>
          <w:sz w:val="25"/>
        </w:rPr>
        <w:t>Environmental Science and Pollution</w:t>
      </w:r>
    </w:p>
    <w:p>
      <w:pPr>
        <w:pStyle w:val="BodyText"/>
        <w:spacing w:line="286" w:lineRule="exact"/>
        <w:ind w:left="1937"/>
      </w:pPr>
      <w:r>
        <w:rPr>
          <w:i/>
        </w:rPr>
        <w:t>Research</w:t>
      </w:r>
      <w:r>
        <w:rPr/>
        <w:t>,</w:t>
      </w:r>
      <w:r>
        <w:rPr>
          <w:spacing w:val="37"/>
        </w:rPr>
        <w:t> </w:t>
      </w:r>
      <w:r>
        <w:rPr>
          <w:i/>
        </w:rPr>
        <w:t>26</w:t>
      </w:r>
      <w:r>
        <w:rPr/>
        <w:t>(16),</w:t>
      </w:r>
      <w:r>
        <w:rPr>
          <w:spacing w:val="38"/>
        </w:rPr>
        <w:t> </w:t>
      </w:r>
      <w:r>
        <w:rPr/>
        <w:t>16474–16484.</w:t>
      </w:r>
      <w:r>
        <w:rPr>
          <w:spacing w:val="38"/>
        </w:rPr>
        <w:t> </w:t>
      </w:r>
      <w:r>
        <w:rPr/>
        <w:t>https://doi.org/10.1007/s11356-019-05090-</w:t>
      </w:r>
      <w:r>
        <w:rPr>
          <w:spacing w:val="-10"/>
        </w:rPr>
        <w:t>5</w:t>
      </w:r>
    </w:p>
    <w:p>
      <w:pPr>
        <w:pStyle w:val="BodyText"/>
        <w:spacing w:before="177"/>
      </w:pPr>
    </w:p>
    <w:p>
      <w:pPr>
        <w:pStyle w:val="BodyText"/>
        <w:spacing w:line="491" w:lineRule="auto" w:before="1"/>
        <w:ind w:left="1922" w:right="1819" w:hanging="768"/>
      </w:pPr>
      <w:r>
        <w:rPr/>
        <w:t>Atayese, M. O., Eigbadon,</w:t>
      </w:r>
      <w:r>
        <w:rPr>
          <w:spacing w:val="-9"/>
        </w:rPr>
        <w:t> </w:t>
      </w:r>
      <w:r>
        <w:rPr/>
        <w:t>A. I., Oluwa, K.</w:t>
      </w:r>
      <w:r>
        <w:rPr>
          <w:spacing w:val="-6"/>
        </w:rPr>
        <w:t> </w:t>
      </w:r>
      <w:r>
        <w:rPr/>
        <w:t>A., &amp;</w:t>
      </w:r>
      <w:r>
        <w:rPr>
          <w:spacing w:val="-6"/>
        </w:rPr>
        <w:t> </w:t>
      </w:r>
      <w:r>
        <w:rPr/>
        <w:t>Adesodun, J. K. (2018). Heavy metal contamination of Amaranthus grown along major highways in Lagos, Nigeria. </w:t>
      </w:r>
      <w:r>
        <w:rPr>
          <w:i/>
        </w:rPr>
        <w:t>African Crop Science Journal</w:t>
      </w:r>
      <w:r>
        <w:rPr/>
        <w:t>, </w:t>
      </w:r>
      <w:r>
        <w:rPr>
          <w:i/>
        </w:rPr>
        <w:t>18</w:t>
      </w:r>
      <w:r>
        <w:rPr/>
        <w:t>(4), 257–264.</w:t>
      </w:r>
    </w:p>
    <w:p>
      <w:pPr>
        <w:spacing w:line="491" w:lineRule="auto" w:before="165"/>
        <w:ind w:left="1922" w:right="1943" w:hanging="768"/>
        <w:jc w:val="left"/>
        <w:rPr>
          <w:sz w:val="25"/>
        </w:rPr>
      </w:pPr>
      <w:r>
        <w:rPr>
          <w:sz w:val="25"/>
        </w:rPr>
        <w:t>Awokunmi, E. E.,</w:t>
      </w:r>
      <w:r>
        <w:rPr>
          <w:spacing w:val="-12"/>
          <w:sz w:val="25"/>
        </w:rPr>
        <w:t> </w:t>
      </w:r>
      <w:r>
        <w:rPr>
          <w:sz w:val="25"/>
        </w:rPr>
        <w:t>Asaolu, S. S., Ipinmoroti, K. O., &amp;</w:t>
      </w:r>
      <w:r>
        <w:rPr>
          <w:spacing w:val="-11"/>
          <w:sz w:val="25"/>
        </w:rPr>
        <w:t> </w:t>
      </w:r>
      <w:r>
        <w:rPr>
          <w:sz w:val="25"/>
        </w:rPr>
        <w:t>Adetunji, B. P. (2020). Effect of seasonal variation on heavy metal content of soil and plant in a solid waste dumpsite. </w:t>
      </w:r>
      <w:r>
        <w:rPr>
          <w:i/>
          <w:sz w:val="25"/>
        </w:rPr>
        <w:t>International Journal of Environmental Science and Technology</w:t>
      </w:r>
      <w:r>
        <w:rPr>
          <w:sz w:val="25"/>
        </w:rPr>
        <w:t>, </w:t>
      </w:r>
      <w:r>
        <w:rPr>
          <w:i/>
          <w:spacing w:val="-2"/>
          <w:sz w:val="25"/>
        </w:rPr>
        <w:t>17</w:t>
      </w:r>
      <w:r>
        <w:rPr>
          <w:spacing w:val="-2"/>
          <w:sz w:val="25"/>
        </w:rPr>
        <w:t>(6),</w:t>
      </w:r>
    </w:p>
    <w:p>
      <w:pPr>
        <w:pStyle w:val="BodyText"/>
        <w:spacing w:before="7"/>
        <w:ind w:left="1937"/>
      </w:pPr>
      <w:r>
        <w:rPr/>
        <w:t>2945–2956.</w:t>
      </w:r>
      <w:r>
        <w:rPr>
          <w:spacing w:val="70"/>
          <w:w w:val="150"/>
        </w:rPr>
        <w:t> </w:t>
      </w:r>
      <w:r>
        <w:rPr/>
        <w:t>https://doi.org/10.1007/s13762-019-02526-</w:t>
      </w:r>
      <w:r>
        <w:rPr>
          <w:spacing w:val="-10"/>
        </w:rPr>
        <w:t>4</w:t>
      </w:r>
    </w:p>
    <w:p>
      <w:pPr>
        <w:pStyle w:val="BodyText"/>
        <w:spacing w:before="177"/>
      </w:pPr>
    </w:p>
    <w:p>
      <w:pPr>
        <w:pStyle w:val="BodyText"/>
        <w:spacing w:line="494" w:lineRule="auto"/>
        <w:ind w:left="1922" w:right="2366" w:hanging="768"/>
        <w:jc w:val="both"/>
      </w:pPr>
      <w:r>
        <w:rPr/>
        <w:t>Chibuike, G. U., &amp; Okonkwo, C. O. (2020). Heavy metal contamination in Nigerian auto-repair workshop environments. </w:t>
      </w:r>
      <w:r>
        <w:rPr>
          <w:i/>
        </w:rPr>
        <w:t>Environmental Science and Pollution Research</w:t>
      </w:r>
      <w:r>
        <w:rPr/>
        <w:t>, 27(3), 2631–2642. https://doi.org/10.1007/s11356- </w:t>
      </w:r>
      <w:r>
        <w:rPr>
          <w:spacing w:val="-2"/>
        </w:rPr>
        <w:t>019-06783-z</w:t>
      </w:r>
    </w:p>
    <w:p>
      <w:pPr>
        <w:pStyle w:val="BodyText"/>
        <w:spacing w:after="0" w:line="494" w:lineRule="auto"/>
        <w:jc w:val="both"/>
        <w:sectPr>
          <w:pgSz w:w="12240" w:h="15840"/>
          <w:pgMar w:header="0" w:footer="1674" w:top="1460" w:bottom="1860" w:left="360" w:right="0"/>
        </w:sectPr>
      </w:pPr>
    </w:p>
    <w:p>
      <w:pPr>
        <w:pStyle w:val="BodyText"/>
        <w:spacing w:line="491" w:lineRule="auto" w:before="74"/>
        <w:ind w:left="1922" w:right="1905" w:hanging="768"/>
      </w:pPr>
      <w:r>
        <w:rPr/>
        <w:t>Doyi, I. N.</w:t>
      </w:r>
      <w:r>
        <w:rPr>
          <w:spacing w:val="-5"/>
        </w:rPr>
        <w:t> </w:t>
      </w:r>
      <w:r>
        <w:rPr/>
        <w:t>Y., et al. (2021).</w:t>
      </w:r>
      <w:r>
        <w:rPr>
          <w:spacing w:val="-11"/>
        </w:rPr>
        <w:t> </w:t>
      </w:r>
      <w:r>
        <w:rPr/>
        <w:t>Assessment of heavy metals contamination in soils around automobile workshops in Ghana. Environmental Earth Sciences, 80(18), 659. </w:t>
      </w:r>
      <w:r>
        <w:rPr>
          <w:spacing w:val="-2"/>
        </w:rPr>
        <w:t>https://doi.org/10.1007/s12665-021-09887-5</w:t>
      </w:r>
    </w:p>
    <w:p>
      <w:pPr>
        <w:spacing w:line="491" w:lineRule="auto" w:before="165"/>
        <w:ind w:left="1922" w:right="2608" w:hanging="768"/>
        <w:jc w:val="both"/>
        <w:rPr>
          <w:sz w:val="25"/>
        </w:rPr>
      </w:pPr>
      <w:r>
        <w:rPr>
          <w:sz w:val="25"/>
        </w:rPr>
        <w:t>Duruibe, J. O., Ogwuegbu, M. O. C., &amp; Egwurugwu, J. N. (2021). Heavy metal pollution and human biotoxic effects. </w:t>
      </w:r>
      <w:r>
        <w:rPr>
          <w:i/>
          <w:sz w:val="25"/>
        </w:rPr>
        <w:t>International Journal of Physical Sciences</w:t>
      </w:r>
      <w:r>
        <w:rPr>
          <w:sz w:val="25"/>
        </w:rPr>
        <w:t>, </w:t>
      </w:r>
      <w:r>
        <w:rPr>
          <w:i/>
          <w:sz w:val="25"/>
        </w:rPr>
        <w:t>2</w:t>
      </w:r>
      <w:r>
        <w:rPr>
          <w:sz w:val="25"/>
        </w:rPr>
        <w:t>(5), 112–118.</w:t>
      </w:r>
    </w:p>
    <w:p>
      <w:pPr>
        <w:spacing w:line="491" w:lineRule="auto" w:before="165"/>
        <w:ind w:left="1922" w:right="2177" w:hanging="768"/>
        <w:jc w:val="left"/>
        <w:rPr>
          <w:sz w:val="25"/>
        </w:rPr>
      </w:pPr>
      <w:r>
        <w:rPr>
          <w:sz w:val="25"/>
        </w:rPr>
        <w:t>European Environment</w:t>
      </w:r>
      <w:r>
        <w:rPr>
          <w:spacing w:val="-3"/>
          <w:sz w:val="25"/>
        </w:rPr>
        <w:t> </w:t>
      </w:r>
      <w:r>
        <w:rPr>
          <w:sz w:val="25"/>
        </w:rPr>
        <w:t>Agency (EEA). (2021). </w:t>
      </w:r>
      <w:r>
        <w:rPr>
          <w:i/>
          <w:sz w:val="25"/>
        </w:rPr>
        <w:t>Soil contamination and remediation policies in Europe</w:t>
      </w:r>
      <w:r>
        <w:rPr>
          <w:sz w:val="25"/>
        </w:rPr>
        <w:t>. https:/</w:t>
      </w:r>
      <w:hyperlink r:id="rId22">
        <w:r>
          <w:rPr>
            <w:sz w:val="25"/>
          </w:rPr>
          <w:t>/www.eea.europa.eu/publications/soil-</w:t>
        </w:r>
      </w:hyperlink>
      <w:r>
        <w:rPr>
          <w:sz w:val="25"/>
        </w:rPr>
        <w:t> </w:t>
      </w:r>
      <w:r>
        <w:rPr>
          <w:spacing w:val="-2"/>
          <w:sz w:val="25"/>
        </w:rPr>
        <w:t>contaminationand-remediation</w:t>
      </w:r>
    </w:p>
    <w:p>
      <w:pPr>
        <w:pStyle w:val="BodyText"/>
        <w:spacing w:line="487" w:lineRule="auto" w:before="165"/>
        <w:ind w:left="1937" w:right="1819" w:hanging="783"/>
      </w:pPr>
      <w:r>
        <w:rPr/>
        <w:t>Eze, J. I., &amp; Chukwu, O. (2018). Assessment of heavy metals in soil and tailings from Abakaliki lead–zinc mine, southeastern Nigeria. </w:t>
      </w:r>
      <w:r>
        <w:rPr>
          <w:i/>
        </w:rPr>
        <w:t>Environmental Monitoring and Assessment</w:t>
      </w:r>
      <w:r>
        <w:rPr/>
        <w:t>, </w:t>
      </w:r>
      <w:r>
        <w:rPr>
          <w:i/>
        </w:rPr>
        <w:t>190</w:t>
      </w:r>
      <w:r>
        <w:rPr/>
        <w:t>(4), 1–14. https://doi.org/10.1007/s10661-018-6566-4</w:t>
      </w:r>
    </w:p>
    <w:p>
      <w:pPr>
        <w:pStyle w:val="BodyText"/>
        <w:spacing w:line="496" w:lineRule="auto" w:before="165"/>
        <w:ind w:left="1922" w:right="1770" w:hanging="768"/>
        <w:jc w:val="both"/>
      </w:pPr>
      <w:r>
        <w:rPr/>
        <w:t>Ezike,</w:t>
      </w:r>
      <w:r>
        <w:rPr>
          <w:spacing w:val="-3"/>
        </w:rPr>
        <w:t> </w:t>
      </w:r>
      <w:r>
        <w:rPr/>
        <w:t>C.</w:t>
      </w:r>
      <w:r>
        <w:rPr>
          <w:spacing w:val="-16"/>
        </w:rPr>
        <w:t> </w:t>
      </w:r>
      <w:r>
        <w:rPr/>
        <w:t>A.,</w:t>
      </w:r>
      <w:r>
        <w:rPr>
          <w:spacing w:val="-2"/>
        </w:rPr>
        <w:t> </w:t>
      </w:r>
      <w:r>
        <w:rPr/>
        <w:t>Okoye,</w:t>
      </w:r>
      <w:r>
        <w:rPr>
          <w:spacing w:val="-2"/>
        </w:rPr>
        <w:t> </w:t>
      </w:r>
      <w:r>
        <w:rPr/>
        <w:t>C.</w:t>
      </w:r>
      <w:r>
        <w:rPr>
          <w:spacing w:val="-2"/>
        </w:rPr>
        <w:t> </w:t>
      </w:r>
      <w:r>
        <w:rPr/>
        <w:t>O.</w:t>
      </w:r>
      <w:r>
        <w:rPr>
          <w:spacing w:val="-3"/>
        </w:rPr>
        <w:t> </w:t>
      </w:r>
      <w:r>
        <w:rPr/>
        <w:t>B.,</w:t>
      </w:r>
      <w:r>
        <w:rPr>
          <w:spacing w:val="-2"/>
        </w:rPr>
        <w:t> </w:t>
      </w:r>
      <w:r>
        <w:rPr/>
        <w:t>&amp;</w:t>
      </w:r>
      <w:r>
        <w:rPr>
          <w:spacing w:val="-4"/>
        </w:rPr>
        <w:t> </w:t>
      </w:r>
      <w:r>
        <w:rPr/>
        <w:t>Ezeabasili,</w:t>
      </w:r>
      <w:r>
        <w:rPr>
          <w:spacing w:val="-16"/>
        </w:rPr>
        <w:t> </w:t>
      </w:r>
      <w:r>
        <w:rPr/>
        <w:t>A.</w:t>
      </w:r>
      <w:r>
        <w:rPr>
          <w:spacing w:val="-2"/>
        </w:rPr>
        <w:t> </w:t>
      </w:r>
      <w:r>
        <w:rPr/>
        <w:t>C.</w:t>
      </w:r>
      <w:r>
        <w:rPr>
          <w:spacing w:val="-2"/>
        </w:rPr>
        <w:t> </w:t>
      </w:r>
      <w:r>
        <w:rPr/>
        <w:t>C.</w:t>
      </w:r>
      <w:r>
        <w:rPr>
          <w:spacing w:val="-2"/>
        </w:rPr>
        <w:t> </w:t>
      </w:r>
      <w:r>
        <w:rPr/>
        <w:t>(2022).</w:t>
      </w:r>
      <w:r>
        <w:rPr>
          <w:spacing w:val="-3"/>
        </w:rPr>
        <w:t> </w:t>
      </w:r>
      <w:r>
        <w:rPr/>
        <w:t>Pollution</w:t>
      </w:r>
      <w:r>
        <w:rPr>
          <w:spacing w:val="-2"/>
        </w:rPr>
        <w:t> </w:t>
      </w:r>
      <w:r>
        <w:rPr/>
        <w:t>indices</w:t>
      </w:r>
      <w:r>
        <w:rPr>
          <w:spacing w:val="-2"/>
        </w:rPr>
        <w:t> </w:t>
      </w:r>
      <w:r>
        <w:rPr/>
        <w:t>and</w:t>
      </w:r>
      <w:r>
        <w:rPr>
          <w:spacing w:val="-2"/>
        </w:rPr>
        <w:t> </w:t>
      </w:r>
      <w:r>
        <w:rPr/>
        <w:t>health risks from heavy metals in surface soils at auto-mechanic workshops in southeast Nigeria. </w:t>
      </w:r>
      <w:r>
        <w:rPr>
          <w:i/>
        </w:rPr>
        <w:t>Environmental Science and Pollution Research</w:t>
      </w:r>
      <w:r>
        <w:rPr/>
        <w:t>, 29, 13782–13796. </w:t>
      </w:r>
      <w:r>
        <w:rPr>
          <w:spacing w:val="-2"/>
        </w:rPr>
        <w:t>https://doi.org/10.1007/s11356-021-16345-3</w:t>
      </w:r>
    </w:p>
    <w:p>
      <w:pPr>
        <w:pStyle w:val="BodyText"/>
        <w:spacing w:line="496" w:lineRule="auto" w:before="158"/>
        <w:ind w:left="1922" w:right="1776" w:hanging="768"/>
        <w:jc w:val="both"/>
      </w:pPr>
      <w:r>
        <w:rPr/>
        <w:t>Fosu-Mensah, B. Y., Addae, E., Yirenya-Tawiah, D., &amp; Nyame, F. K. (2021). Heavy metals concentration and distribution in soils and water in a suburb of Accra,</w:t>
      </w:r>
    </w:p>
    <w:p>
      <w:pPr>
        <w:pStyle w:val="BodyText"/>
        <w:spacing w:after="0" w:line="496" w:lineRule="auto"/>
        <w:jc w:val="both"/>
        <w:sectPr>
          <w:pgSz w:w="12240" w:h="15840"/>
          <w:pgMar w:header="0" w:footer="1674" w:top="1460" w:bottom="1860" w:left="360" w:right="0"/>
        </w:sectPr>
      </w:pPr>
    </w:p>
    <w:p>
      <w:pPr>
        <w:tabs>
          <w:tab w:pos="3044" w:val="left" w:leader="none"/>
          <w:tab w:pos="4933" w:val="left" w:leader="none"/>
          <w:tab w:pos="6263" w:val="left" w:leader="none"/>
          <w:tab w:pos="7023" w:val="left" w:leader="none"/>
          <w:tab w:pos="8535" w:val="left" w:leader="none"/>
          <w:tab w:pos="9402" w:val="left" w:leader="none"/>
        </w:tabs>
        <w:spacing w:line="496" w:lineRule="auto" w:before="74"/>
        <w:ind w:left="1948" w:right="1770" w:hanging="11"/>
        <w:jc w:val="left"/>
        <w:rPr>
          <w:sz w:val="25"/>
        </w:rPr>
      </w:pPr>
      <w:r>
        <w:rPr>
          <w:spacing w:val="-2"/>
          <w:sz w:val="25"/>
        </w:rPr>
        <w:t>Ghana.</w:t>
      </w:r>
      <w:r>
        <w:rPr>
          <w:sz w:val="25"/>
        </w:rPr>
        <w:tab/>
      </w:r>
      <w:r>
        <w:rPr>
          <w:i/>
          <w:spacing w:val="-2"/>
          <w:sz w:val="25"/>
        </w:rPr>
        <w:t>Environmental</w:t>
      </w:r>
      <w:r>
        <w:rPr>
          <w:i/>
          <w:sz w:val="25"/>
        </w:rPr>
        <w:tab/>
      </w:r>
      <w:r>
        <w:rPr>
          <w:i/>
          <w:spacing w:val="-2"/>
          <w:sz w:val="25"/>
        </w:rPr>
        <w:t>Pollution</w:t>
      </w:r>
      <w:r>
        <w:rPr>
          <w:i/>
          <w:sz w:val="25"/>
        </w:rPr>
        <w:tab/>
      </w:r>
      <w:r>
        <w:rPr>
          <w:i/>
          <w:spacing w:val="-4"/>
          <w:sz w:val="25"/>
        </w:rPr>
        <w:t>and</w:t>
      </w:r>
      <w:r>
        <w:rPr>
          <w:i/>
          <w:sz w:val="25"/>
        </w:rPr>
        <w:tab/>
      </w:r>
      <w:r>
        <w:rPr>
          <w:i/>
          <w:spacing w:val="-2"/>
          <w:sz w:val="25"/>
        </w:rPr>
        <w:t>Protection</w:t>
      </w:r>
      <w:r>
        <w:rPr>
          <w:spacing w:val="-2"/>
          <w:sz w:val="25"/>
        </w:rPr>
        <w:t>,</w:t>
      </w:r>
      <w:r>
        <w:rPr>
          <w:sz w:val="25"/>
        </w:rPr>
        <w:tab/>
      </w:r>
      <w:r>
        <w:rPr>
          <w:i/>
          <w:spacing w:val="-2"/>
          <w:sz w:val="25"/>
        </w:rPr>
        <w:t>6</w:t>
      </w:r>
      <w:r>
        <w:rPr>
          <w:spacing w:val="-2"/>
          <w:sz w:val="25"/>
        </w:rPr>
        <w:t>(3),</w:t>
      </w:r>
      <w:r>
        <w:rPr>
          <w:sz w:val="25"/>
        </w:rPr>
        <w:tab/>
      </w:r>
      <w:r>
        <w:rPr>
          <w:spacing w:val="-2"/>
          <w:sz w:val="25"/>
        </w:rPr>
        <w:t>19–26. https://doi.org/10.22606/epp.2021.63003</w:t>
      </w:r>
    </w:p>
    <w:p>
      <w:pPr>
        <w:pStyle w:val="BodyText"/>
        <w:spacing w:before="159"/>
        <w:ind w:left="1155"/>
      </w:pPr>
      <w:r>
        <w:rPr/>
        <w:t>Heidari,</w:t>
      </w:r>
      <w:r>
        <w:rPr>
          <w:spacing w:val="-5"/>
        </w:rPr>
        <w:t> </w:t>
      </w:r>
      <w:r>
        <w:rPr/>
        <w:t>A.,</w:t>
      </w:r>
      <w:r>
        <w:rPr>
          <w:spacing w:val="9"/>
        </w:rPr>
        <w:t> </w:t>
      </w:r>
      <w:r>
        <w:rPr/>
        <w:t>et</w:t>
      </w:r>
      <w:r>
        <w:rPr>
          <w:spacing w:val="9"/>
        </w:rPr>
        <w:t> </w:t>
      </w:r>
      <w:r>
        <w:rPr/>
        <w:t>al.</w:t>
      </w:r>
      <w:r>
        <w:rPr>
          <w:spacing w:val="10"/>
        </w:rPr>
        <w:t> </w:t>
      </w:r>
      <w:r>
        <w:rPr/>
        <w:t>(2021).</w:t>
      </w:r>
      <w:r>
        <w:rPr>
          <w:spacing w:val="10"/>
        </w:rPr>
        <w:t> </w:t>
      </w:r>
      <w:r>
        <w:rPr/>
        <w:t>Health</w:t>
      </w:r>
      <w:r>
        <w:rPr>
          <w:spacing w:val="9"/>
        </w:rPr>
        <w:t> </w:t>
      </w:r>
      <w:r>
        <w:rPr/>
        <w:t>risks</w:t>
      </w:r>
      <w:r>
        <w:rPr>
          <w:spacing w:val="9"/>
        </w:rPr>
        <w:t> </w:t>
      </w:r>
      <w:r>
        <w:rPr/>
        <w:t>of</w:t>
      </w:r>
      <w:r>
        <w:rPr>
          <w:spacing w:val="9"/>
        </w:rPr>
        <w:t> </w:t>
      </w:r>
      <w:r>
        <w:rPr/>
        <w:t>heavy</w:t>
      </w:r>
      <w:r>
        <w:rPr>
          <w:spacing w:val="10"/>
        </w:rPr>
        <w:t> </w:t>
      </w:r>
      <w:r>
        <w:rPr/>
        <w:t>metals</w:t>
      </w:r>
      <w:r>
        <w:rPr>
          <w:spacing w:val="9"/>
        </w:rPr>
        <w:t> </w:t>
      </w:r>
      <w:r>
        <w:rPr/>
        <w:t>in</w:t>
      </w:r>
      <w:r>
        <w:rPr>
          <w:spacing w:val="9"/>
        </w:rPr>
        <w:t> </w:t>
      </w:r>
      <w:r>
        <w:rPr/>
        <w:t>urban</w:t>
      </w:r>
      <w:r>
        <w:rPr>
          <w:spacing w:val="9"/>
        </w:rPr>
        <w:t> </w:t>
      </w:r>
      <w:r>
        <w:rPr>
          <w:spacing w:val="-2"/>
        </w:rPr>
        <w:t>environments.</w:t>
      </w:r>
    </w:p>
    <w:p>
      <w:pPr>
        <w:pStyle w:val="BodyText"/>
        <w:spacing w:before="16"/>
      </w:pPr>
    </w:p>
    <w:p>
      <w:pPr>
        <w:pStyle w:val="BodyText"/>
        <w:spacing w:line="487" w:lineRule="auto"/>
        <w:ind w:left="1937" w:right="2327"/>
      </w:pPr>
      <w:r>
        <w:rPr/>
        <w:t>Environmental Research, 200, 111399. </w:t>
      </w:r>
      <w:r>
        <w:rPr>
          <w:spacing w:val="-2"/>
        </w:rPr>
        <w:t>https://doi.org/10.1016/j.envres.2021.111399</w:t>
      </w:r>
    </w:p>
    <w:p>
      <w:pPr>
        <w:pStyle w:val="BodyText"/>
        <w:spacing w:before="170"/>
        <w:ind w:left="1173"/>
      </w:pPr>
      <w:r>
        <w:rPr>
          <w:color w:val="0462C1"/>
          <w:spacing w:val="-2"/>
          <w:u w:val="single" w:color="0462C1"/>
        </w:rPr>
        <w:t>https://doi.org/10.1016/j.jhazmat.2021.125262</w:t>
      </w:r>
    </w:p>
    <w:p>
      <w:pPr>
        <w:pStyle w:val="BodyText"/>
        <w:spacing w:before="182"/>
      </w:pPr>
    </w:p>
    <w:p>
      <w:pPr>
        <w:pStyle w:val="BodyText"/>
        <w:spacing w:line="487" w:lineRule="auto"/>
        <w:ind w:left="1937" w:right="2327" w:hanging="783"/>
      </w:pPr>
      <w:r>
        <w:rPr/>
        <w:t>IARC (International</w:t>
      </w:r>
      <w:r>
        <w:rPr>
          <w:spacing w:val="-3"/>
        </w:rPr>
        <w:t> </w:t>
      </w:r>
      <w:r>
        <w:rPr/>
        <w:t>Agency for Research on Cancer). (2020). Monographs on the </w:t>
      </w:r>
      <w:hyperlink r:id="rId23">
        <w:r>
          <w:rPr/>
          <w:t>Identification of Carcinogenic Haz</w:t>
        </w:r>
      </w:hyperlink>
      <w:hyperlink r:id="rId23">
        <w:r>
          <w:rPr/>
          <w:t>a</w:t>
        </w:r>
      </w:hyperlink>
      <w:r>
        <w:rPr/>
        <w:t>rds to Humans. Vol. 125</w:t>
      </w:r>
    </w:p>
    <w:p>
      <w:pPr>
        <w:spacing w:line="491" w:lineRule="auto" w:before="180"/>
        <w:ind w:left="1922" w:right="2111" w:hanging="768"/>
        <w:jc w:val="left"/>
        <w:rPr>
          <w:sz w:val="25"/>
        </w:rPr>
      </w:pPr>
      <w:r>
        <w:rPr>
          <w:sz w:val="25"/>
        </w:rPr>
        <w:t>IARC (International</w:t>
      </w:r>
      <w:r>
        <w:rPr>
          <w:spacing w:val="-3"/>
          <w:sz w:val="25"/>
        </w:rPr>
        <w:t> </w:t>
      </w:r>
      <w:r>
        <w:rPr>
          <w:sz w:val="25"/>
        </w:rPr>
        <w:t>Agency for Research on Cancer). (2022). </w:t>
      </w:r>
      <w:r>
        <w:rPr>
          <w:i/>
          <w:sz w:val="25"/>
        </w:rPr>
        <w:t>IARC monographs on the identification of carcinogenic hazards to humans</w:t>
      </w:r>
      <w:r>
        <w:rPr>
          <w:sz w:val="25"/>
        </w:rPr>
        <w:t>. </w:t>
      </w:r>
      <w:r>
        <w:rPr>
          <w:spacing w:val="-2"/>
          <w:sz w:val="25"/>
        </w:rPr>
        <w:t>https://monographs.iarc.fr/listof-classifications</w:t>
      </w:r>
    </w:p>
    <w:p>
      <w:pPr>
        <w:pStyle w:val="BodyText"/>
        <w:spacing w:line="494" w:lineRule="auto" w:before="165"/>
        <w:ind w:left="1922" w:right="1771" w:hanging="768"/>
        <w:jc w:val="both"/>
      </w:pPr>
      <w:r>
        <w:rPr/>
        <w:t>Ibe, F. C., &amp; Adebiyi, A. A. (2019). Comparative assessment of heavy metal levels in</w:t>
      </w:r>
      <w:r>
        <w:rPr>
          <w:spacing w:val="40"/>
        </w:rPr>
        <w:t> </w:t>
      </w:r>
      <w:r>
        <w:rPr/>
        <w:t>soil and auto parts at two mechanic villages in southwestern Nigeria. </w:t>
      </w:r>
      <w:r>
        <w:rPr>
          <w:i/>
        </w:rPr>
        <w:t>Toxicology Reports</w:t>
      </w:r>
      <w:r>
        <w:rPr/>
        <w:t>, 6, 197–203. https://doi.org/10.1016/j.toxrep.2019.01.008</w:t>
      </w:r>
    </w:p>
    <w:p>
      <w:pPr>
        <w:spacing w:line="496" w:lineRule="auto" w:before="162"/>
        <w:ind w:left="1922" w:right="1771" w:hanging="768"/>
        <w:jc w:val="both"/>
        <w:rPr>
          <w:sz w:val="25"/>
        </w:rPr>
      </w:pPr>
      <w:r>
        <w:rPr>
          <w:sz w:val="25"/>
        </w:rPr>
        <w:t>International</w:t>
      </w:r>
      <w:r>
        <w:rPr>
          <w:spacing w:val="-6"/>
          <w:sz w:val="25"/>
        </w:rPr>
        <w:t> </w:t>
      </w:r>
      <w:r>
        <w:rPr>
          <w:sz w:val="25"/>
        </w:rPr>
        <w:t>Atomic Energy</w:t>
      </w:r>
      <w:r>
        <w:rPr>
          <w:spacing w:val="-10"/>
          <w:sz w:val="25"/>
        </w:rPr>
        <w:t> </w:t>
      </w:r>
      <w:r>
        <w:rPr>
          <w:sz w:val="25"/>
        </w:rPr>
        <w:t>Agency (IAEA). (2019). </w:t>
      </w:r>
      <w:r>
        <w:rPr>
          <w:i/>
          <w:sz w:val="25"/>
        </w:rPr>
        <w:t>Analytical methods for measuring metals in environmental samples</w:t>
      </w:r>
      <w:r>
        <w:rPr>
          <w:sz w:val="25"/>
        </w:rPr>
        <w:t>. https:/</w:t>
      </w:r>
      <w:hyperlink r:id="rId24">
        <w:r>
          <w:rPr>
            <w:sz w:val="25"/>
          </w:rPr>
          <w:t>/www.iaea.org/publications</w:t>
        </w:r>
      </w:hyperlink>
    </w:p>
    <w:p>
      <w:pPr>
        <w:pStyle w:val="BodyText"/>
        <w:spacing w:line="496" w:lineRule="auto" w:before="159"/>
        <w:ind w:left="1922" w:right="1775" w:hanging="768"/>
        <w:jc w:val="both"/>
      </w:pPr>
      <w:r>
        <w:rPr/>
        <w:t>Ipeaiyeda, A. R., &amp; Dawodu, M. (2019). Heavy metal contamination of topsoil and dispersion</w:t>
      </w:r>
      <w:r>
        <w:rPr>
          <w:spacing w:val="10"/>
        </w:rPr>
        <w:t> </w:t>
      </w:r>
      <w:r>
        <w:rPr/>
        <w:t>in</w:t>
      </w:r>
      <w:r>
        <w:rPr>
          <w:spacing w:val="11"/>
        </w:rPr>
        <w:t> </w:t>
      </w:r>
      <w:r>
        <w:rPr/>
        <w:t>the</w:t>
      </w:r>
      <w:r>
        <w:rPr>
          <w:spacing w:val="9"/>
        </w:rPr>
        <w:t> </w:t>
      </w:r>
      <w:r>
        <w:rPr/>
        <w:t>vicinity</w:t>
      </w:r>
      <w:r>
        <w:rPr>
          <w:spacing w:val="13"/>
        </w:rPr>
        <w:t> </w:t>
      </w:r>
      <w:r>
        <w:rPr/>
        <w:t>of</w:t>
      </w:r>
      <w:r>
        <w:rPr>
          <w:spacing w:val="9"/>
        </w:rPr>
        <w:t> </w:t>
      </w:r>
      <w:r>
        <w:rPr/>
        <w:t>reclaimed</w:t>
      </w:r>
      <w:r>
        <w:rPr>
          <w:spacing w:val="13"/>
        </w:rPr>
        <w:t> </w:t>
      </w:r>
      <w:r>
        <w:rPr/>
        <w:t>auto-repair</w:t>
      </w:r>
      <w:r>
        <w:rPr>
          <w:spacing w:val="13"/>
        </w:rPr>
        <w:t> </w:t>
      </w:r>
      <w:r>
        <w:rPr/>
        <w:t>workshops</w:t>
      </w:r>
      <w:r>
        <w:rPr>
          <w:spacing w:val="9"/>
        </w:rPr>
        <w:t> </w:t>
      </w:r>
      <w:r>
        <w:rPr/>
        <w:t>in</w:t>
      </w:r>
      <w:r>
        <w:rPr>
          <w:spacing w:val="11"/>
        </w:rPr>
        <w:t> </w:t>
      </w:r>
      <w:r>
        <w:rPr/>
        <w:t>Ibadan,</w:t>
      </w:r>
      <w:r>
        <w:rPr>
          <w:spacing w:val="10"/>
        </w:rPr>
        <w:t> </w:t>
      </w:r>
      <w:r>
        <w:rPr>
          <w:spacing w:val="-2"/>
        </w:rPr>
        <w:t>Nigeria.</w:t>
      </w:r>
    </w:p>
    <w:p>
      <w:pPr>
        <w:pStyle w:val="BodyText"/>
        <w:spacing w:after="0" w:line="496" w:lineRule="auto"/>
        <w:jc w:val="both"/>
        <w:sectPr>
          <w:pgSz w:w="12240" w:h="15840"/>
          <w:pgMar w:header="0" w:footer="1674" w:top="1460" w:bottom="1860" w:left="360" w:right="0"/>
        </w:sectPr>
      </w:pPr>
    </w:p>
    <w:p>
      <w:pPr>
        <w:tabs>
          <w:tab w:pos="3771" w:val="left" w:leader="none"/>
          <w:tab w:pos="4426" w:val="left" w:leader="none"/>
          <w:tab w:pos="6387" w:val="left" w:leader="none"/>
          <w:tab w:pos="7959" w:val="left" w:leader="none"/>
          <w:tab w:pos="9157" w:val="left" w:leader="none"/>
        </w:tabs>
        <w:spacing w:line="496" w:lineRule="auto" w:before="74"/>
        <w:ind w:left="1948" w:right="1773" w:hanging="11"/>
        <w:jc w:val="left"/>
        <w:rPr>
          <w:sz w:val="25"/>
        </w:rPr>
      </w:pPr>
      <w:r>
        <w:rPr>
          <w:i/>
          <w:spacing w:val="-2"/>
          <w:sz w:val="25"/>
        </w:rPr>
        <w:t>Toxicological</w:t>
      </w:r>
      <w:r>
        <w:rPr>
          <w:i/>
          <w:sz w:val="25"/>
        </w:rPr>
        <w:tab/>
      </w:r>
      <w:r>
        <w:rPr>
          <w:i/>
          <w:spacing w:val="-10"/>
          <w:sz w:val="25"/>
        </w:rPr>
        <w:t>&amp;</w:t>
      </w:r>
      <w:r>
        <w:rPr>
          <w:i/>
          <w:sz w:val="25"/>
        </w:rPr>
        <w:tab/>
      </w:r>
      <w:r>
        <w:rPr>
          <w:i/>
          <w:spacing w:val="-2"/>
          <w:sz w:val="25"/>
        </w:rPr>
        <w:t>Environmental</w:t>
      </w:r>
      <w:r>
        <w:rPr>
          <w:i/>
          <w:sz w:val="25"/>
        </w:rPr>
        <w:tab/>
      </w:r>
      <w:r>
        <w:rPr>
          <w:i/>
          <w:spacing w:val="-2"/>
          <w:sz w:val="25"/>
        </w:rPr>
        <w:t>Chemistry</w:t>
      </w:r>
      <w:r>
        <w:rPr>
          <w:spacing w:val="-2"/>
          <w:sz w:val="25"/>
        </w:rPr>
        <w:t>,</w:t>
      </w:r>
      <w:r>
        <w:rPr>
          <w:sz w:val="25"/>
        </w:rPr>
        <w:tab/>
      </w:r>
      <w:r>
        <w:rPr>
          <w:i/>
          <w:spacing w:val="-2"/>
          <w:sz w:val="25"/>
        </w:rPr>
        <w:t>101</w:t>
      </w:r>
      <w:r>
        <w:rPr>
          <w:spacing w:val="-2"/>
          <w:sz w:val="25"/>
        </w:rPr>
        <w:t>(1),</w:t>
      </w:r>
      <w:r>
        <w:rPr>
          <w:sz w:val="25"/>
        </w:rPr>
        <w:tab/>
      </w:r>
      <w:r>
        <w:rPr>
          <w:spacing w:val="-2"/>
          <w:sz w:val="25"/>
        </w:rPr>
        <w:t>103–117. https://doi.org/10.1080/02772248.2018.1505862</w:t>
      </w:r>
    </w:p>
    <w:p>
      <w:pPr>
        <w:pStyle w:val="BodyText"/>
        <w:spacing w:before="159"/>
        <w:ind w:left="1155"/>
      </w:pPr>
      <w:r>
        <w:rPr/>
        <w:t>Islam,</w:t>
      </w:r>
      <w:r>
        <w:rPr>
          <w:spacing w:val="8"/>
        </w:rPr>
        <w:t> </w:t>
      </w:r>
      <w:r>
        <w:rPr/>
        <w:t>M.</w:t>
      </w:r>
      <w:r>
        <w:rPr>
          <w:spacing w:val="8"/>
        </w:rPr>
        <w:t> </w:t>
      </w:r>
      <w:r>
        <w:rPr/>
        <w:t>S.,</w:t>
      </w:r>
      <w:r>
        <w:rPr>
          <w:spacing w:val="8"/>
        </w:rPr>
        <w:t> </w:t>
      </w:r>
      <w:r>
        <w:rPr/>
        <w:t>et</w:t>
      </w:r>
      <w:r>
        <w:rPr>
          <w:spacing w:val="9"/>
        </w:rPr>
        <w:t> </w:t>
      </w:r>
      <w:r>
        <w:rPr/>
        <w:t>al.</w:t>
      </w:r>
      <w:r>
        <w:rPr>
          <w:spacing w:val="8"/>
        </w:rPr>
        <w:t> </w:t>
      </w:r>
      <w:r>
        <w:rPr/>
        <w:t>(2018).</w:t>
      </w:r>
      <w:r>
        <w:rPr>
          <w:spacing w:val="3"/>
        </w:rPr>
        <w:t> </w:t>
      </w:r>
      <w:r>
        <w:rPr/>
        <w:t>Toxicological</w:t>
      </w:r>
      <w:r>
        <w:rPr>
          <w:spacing w:val="8"/>
        </w:rPr>
        <w:t> </w:t>
      </w:r>
      <w:r>
        <w:rPr/>
        <w:t>effects</w:t>
      </w:r>
      <w:r>
        <w:rPr>
          <w:spacing w:val="8"/>
        </w:rPr>
        <w:t> </w:t>
      </w:r>
      <w:r>
        <w:rPr/>
        <w:t>of</w:t>
      </w:r>
      <w:r>
        <w:rPr>
          <w:spacing w:val="9"/>
        </w:rPr>
        <w:t> </w:t>
      </w:r>
      <w:r>
        <w:rPr/>
        <w:t>heavy</w:t>
      </w:r>
      <w:r>
        <w:rPr>
          <w:spacing w:val="8"/>
        </w:rPr>
        <w:t> </w:t>
      </w:r>
      <w:r>
        <w:rPr/>
        <w:t>metals</w:t>
      </w:r>
      <w:r>
        <w:rPr>
          <w:spacing w:val="8"/>
        </w:rPr>
        <w:t> </w:t>
      </w:r>
      <w:r>
        <w:rPr/>
        <w:t>on</w:t>
      </w:r>
      <w:r>
        <w:rPr>
          <w:spacing w:val="9"/>
        </w:rPr>
        <w:t> </w:t>
      </w:r>
      <w:r>
        <w:rPr/>
        <w:t>the</w:t>
      </w:r>
      <w:r>
        <w:rPr>
          <w:spacing w:val="10"/>
        </w:rPr>
        <w:t> </w:t>
      </w:r>
      <w:r>
        <w:rPr>
          <w:spacing w:val="-2"/>
        </w:rPr>
        <w:t>environment.</w:t>
      </w:r>
    </w:p>
    <w:p>
      <w:pPr>
        <w:pStyle w:val="BodyText"/>
        <w:spacing w:before="16"/>
      </w:pPr>
    </w:p>
    <w:p>
      <w:pPr>
        <w:pStyle w:val="BodyText"/>
        <w:tabs>
          <w:tab w:pos="4207" w:val="left" w:leader="none"/>
          <w:tab w:pos="6024" w:val="left" w:leader="none"/>
          <w:tab w:pos="7551" w:val="left" w:leader="none"/>
          <w:tab w:pos="8920" w:val="left" w:leader="none"/>
        </w:tabs>
        <w:spacing w:line="496" w:lineRule="auto"/>
        <w:ind w:left="1948" w:right="1770" w:hanging="11"/>
      </w:pPr>
      <w:r>
        <w:rPr>
          <w:spacing w:val="-2"/>
        </w:rPr>
        <w:t>Environmental</w:t>
      </w:r>
      <w:r>
        <w:rPr/>
        <w:tab/>
      </w:r>
      <w:r>
        <w:rPr>
          <w:spacing w:val="-2"/>
        </w:rPr>
        <w:t>Chemistry</w:t>
      </w:r>
      <w:r>
        <w:rPr/>
        <w:tab/>
      </w:r>
      <w:r>
        <w:rPr>
          <w:spacing w:val="-2"/>
        </w:rPr>
        <w:t>Letters,</w:t>
      </w:r>
      <w:r>
        <w:rPr/>
        <w:tab/>
      </w:r>
      <w:r>
        <w:rPr>
          <w:spacing w:val="-2"/>
        </w:rPr>
        <w:t>16(3),</w:t>
      </w:r>
      <w:r>
        <w:rPr/>
        <w:tab/>
      </w:r>
      <w:r>
        <w:rPr>
          <w:spacing w:val="-2"/>
        </w:rPr>
        <w:t>1103–1118. https://doi.org/10.1007/s10311-018-0746-5</w:t>
      </w:r>
    </w:p>
    <w:p>
      <w:pPr>
        <w:pStyle w:val="BodyText"/>
        <w:spacing w:before="162"/>
        <w:ind w:left="1155"/>
      </w:pPr>
      <w:r>
        <w:rPr/>
        <w:t>Iwegbue,</w:t>
      </w:r>
      <w:r>
        <w:rPr>
          <w:spacing w:val="10"/>
        </w:rPr>
        <w:t> </w:t>
      </w:r>
      <w:r>
        <w:rPr/>
        <w:t>C.</w:t>
      </w:r>
      <w:r>
        <w:rPr>
          <w:spacing w:val="10"/>
        </w:rPr>
        <w:t> </w:t>
      </w:r>
      <w:r>
        <w:rPr/>
        <w:t>M.</w:t>
      </w:r>
      <w:r>
        <w:rPr>
          <w:spacing w:val="-5"/>
        </w:rPr>
        <w:t> </w:t>
      </w:r>
      <w:r>
        <w:rPr/>
        <w:t>A.,</w:t>
      </w:r>
      <w:r>
        <w:rPr>
          <w:spacing w:val="11"/>
        </w:rPr>
        <w:t> </w:t>
      </w:r>
      <w:r>
        <w:rPr/>
        <w:t>et</w:t>
      </w:r>
      <w:r>
        <w:rPr>
          <w:spacing w:val="10"/>
        </w:rPr>
        <w:t> </w:t>
      </w:r>
      <w:r>
        <w:rPr/>
        <w:t>al.</w:t>
      </w:r>
      <w:r>
        <w:rPr>
          <w:spacing w:val="13"/>
        </w:rPr>
        <w:t> </w:t>
      </w:r>
      <w:r>
        <w:rPr/>
        <w:t>(2019).</w:t>
      </w:r>
      <w:r>
        <w:rPr>
          <w:spacing w:val="10"/>
        </w:rPr>
        <w:t> </w:t>
      </w:r>
      <w:r>
        <w:rPr/>
        <w:t>Evaluation</w:t>
      </w:r>
      <w:r>
        <w:rPr>
          <w:spacing w:val="10"/>
        </w:rPr>
        <w:t> </w:t>
      </w:r>
      <w:r>
        <w:rPr/>
        <w:t>of</w:t>
      </w:r>
      <w:r>
        <w:rPr>
          <w:spacing w:val="11"/>
        </w:rPr>
        <w:t> </w:t>
      </w:r>
      <w:r>
        <w:rPr/>
        <w:t>heavy</w:t>
      </w:r>
      <w:r>
        <w:rPr>
          <w:spacing w:val="10"/>
        </w:rPr>
        <w:t> </w:t>
      </w:r>
      <w:r>
        <w:rPr/>
        <w:t>metals</w:t>
      </w:r>
      <w:r>
        <w:rPr>
          <w:spacing w:val="10"/>
        </w:rPr>
        <w:t> </w:t>
      </w:r>
      <w:r>
        <w:rPr/>
        <w:t>in</w:t>
      </w:r>
      <w:r>
        <w:rPr>
          <w:spacing w:val="10"/>
        </w:rPr>
        <w:t> </w:t>
      </w:r>
      <w:r>
        <w:rPr/>
        <w:t>vehicle</w:t>
      </w:r>
      <w:r>
        <w:rPr>
          <w:spacing w:val="10"/>
        </w:rPr>
        <w:t> </w:t>
      </w:r>
      <w:r>
        <w:rPr/>
        <w:t>brake</w:t>
      </w:r>
      <w:r>
        <w:rPr>
          <w:spacing w:val="9"/>
        </w:rPr>
        <w:t> </w:t>
      </w:r>
      <w:r>
        <w:rPr>
          <w:spacing w:val="-2"/>
        </w:rPr>
        <w:t>pads.</w:t>
      </w:r>
    </w:p>
    <w:p>
      <w:pPr>
        <w:pStyle w:val="BodyText"/>
        <w:spacing w:before="7"/>
      </w:pPr>
    </w:p>
    <w:p>
      <w:pPr>
        <w:pStyle w:val="BodyText"/>
        <w:tabs>
          <w:tab w:pos="3740" w:val="left" w:leader="none"/>
          <w:tab w:pos="4821" w:val="left" w:leader="none"/>
          <w:tab w:pos="5476" w:val="left" w:leader="none"/>
          <w:tab w:pos="6701" w:val="left" w:leader="none"/>
          <w:tab w:pos="7984" w:val="left" w:leader="none"/>
          <w:tab w:pos="8886" w:val="left" w:leader="none"/>
        </w:tabs>
        <w:spacing w:line="496" w:lineRule="auto"/>
        <w:ind w:left="1948" w:right="1773" w:hanging="11"/>
      </w:pPr>
      <w:r>
        <w:rPr>
          <w:spacing w:val="-2"/>
        </w:rPr>
        <w:t>Environmental</w:t>
      </w:r>
      <w:r>
        <w:rPr/>
        <w:tab/>
      </w:r>
      <w:r>
        <w:rPr>
          <w:spacing w:val="-2"/>
        </w:rPr>
        <w:t>Science</w:t>
      </w:r>
      <w:r>
        <w:rPr/>
        <w:tab/>
      </w:r>
      <w:r>
        <w:rPr>
          <w:spacing w:val="-4"/>
        </w:rPr>
        <w:t>and</w:t>
      </w:r>
      <w:r>
        <w:rPr/>
        <w:tab/>
      </w:r>
      <w:r>
        <w:rPr>
          <w:spacing w:val="-2"/>
        </w:rPr>
        <w:t>Pollution</w:t>
      </w:r>
      <w:r>
        <w:rPr/>
        <w:tab/>
      </w:r>
      <w:r>
        <w:rPr>
          <w:spacing w:val="-2"/>
        </w:rPr>
        <w:t>Research,</w:t>
      </w:r>
      <w:r>
        <w:rPr/>
        <w:tab/>
      </w:r>
      <w:r>
        <w:rPr>
          <w:spacing w:val="-2"/>
        </w:rPr>
        <w:t>26(2),</w:t>
      </w:r>
      <w:r>
        <w:rPr/>
        <w:tab/>
      </w:r>
      <w:r>
        <w:rPr>
          <w:spacing w:val="-2"/>
        </w:rPr>
        <w:t>1917–1926. https://doi.org/10.1007/s11356-018-3640-5</w:t>
      </w:r>
    </w:p>
    <w:p>
      <w:pPr>
        <w:pStyle w:val="BodyText"/>
        <w:spacing w:line="496" w:lineRule="auto" w:before="159"/>
        <w:ind w:left="1922" w:right="1788" w:hanging="768"/>
      </w:pPr>
      <w:r>
        <w:rPr/>
        <w:t>Karim,</w:t>
      </w:r>
      <w:r>
        <w:rPr>
          <w:spacing w:val="25"/>
        </w:rPr>
        <w:t> </w:t>
      </w:r>
      <w:r>
        <w:rPr/>
        <w:t>Z.,</w:t>
      </w:r>
      <w:r>
        <w:rPr>
          <w:spacing w:val="25"/>
        </w:rPr>
        <w:t> </w:t>
      </w:r>
      <w:r>
        <w:rPr/>
        <w:t>Qureshi,</w:t>
      </w:r>
      <w:r>
        <w:rPr>
          <w:spacing w:val="26"/>
        </w:rPr>
        <w:t> </w:t>
      </w:r>
      <w:r>
        <w:rPr/>
        <w:t>B. A.,</w:t>
      </w:r>
      <w:r>
        <w:rPr>
          <w:spacing w:val="25"/>
        </w:rPr>
        <w:t> </w:t>
      </w:r>
      <w:r>
        <w:rPr/>
        <w:t>Mumtaz,</w:t>
      </w:r>
      <w:r>
        <w:rPr>
          <w:spacing w:val="25"/>
        </w:rPr>
        <w:t> </w:t>
      </w:r>
      <w:r>
        <w:rPr/>
        <w:t>M.,</w:t>
      </w:r>
      <w:r>
        <w:rPr>
          <w:spacing w:val="25"/>
        </w:rPr>
        <w:t> </w:t>
      </w:r>
      <w:r>
        <w:rPr/>
        <w:t>&amp;</w:t>
      </w:r>
      <w:r>
        <w:rPr>
          <w:spacing w:val="23"/>
        </w:rPr>
        <w:t> </w:t>
      </w:r>
      <w:r>
        <w:rPr/>
        <w:t>Qureshi,</w:t>
      </w:r>
      <w:r>
        <w:rPr>
          <w:spacing w:val="26"/>
        </w:rPr>
        <w:t> </w:t>
      </w:r>
      <w:r>
        <w:rPr/>
        <w:t>S. (2020).</w:t>
      </w:r>
      <w:r>
        <w:rPr>
          <w:spacing w:val="24"/>
        </w:rPr>
        <w:t> </w:t>
      </w:r>
      <w:r>
        <w:rPr/>
        <w:t>Metal</w:t>
      </w:r>
      <w:r>
        <w:rPr>
          <w:spacing w:val="25"/>
        </w:rPr>
        <w:t> </w:t>
      </w:r>
      <w:r>
        <w:rPr/>
        <w:t>contamination</w:t>
      </w:r>
      <w:r>
        <w:rPr>
          <w:spacing w:val="25"/>
        </w:rPr>
        <w:t> </w:t>
      </w:r>
      <w:r>
        <w:rPr/>
        <w:t>in urban soil and street dust in Karachi, Pakistan. </w:t>
      </w:r>
      <w:r>
        <w:rPr>
          <w:i/>
        </w:rPr>
        <w:t>Environmental Earth Sciences</w:t>
      </w:r>
      <w:r>
        <w:rPr/>
        <w:t>, </w:t>
      </w:r>
      <w:r>
        <w:rPr>
          <w:i/>
        </w:rPr>
        <w:t>79</w:t>
      </w:r>
      <w:r>
        <w:rPr/>
        <w:t>(2), 1–11. https://doi.org/10.1007/s12665-020-8864-7</w:t>
      </w:r>
    </w:p>
    <w:p>
      <w:pPr>
        <w:spacing w:line="496" w:lineRule="auto" w:before="153"/>
        <w:ind w:left="1922" w:right="1819" w:hanging="768"/>
        <w:jc w:val="left"/>
        <w:rPr>
          <w:i/>
          <w:sz w:val="25"/>
        </w:rPr>
      </w:pPr>
      <w:r>
        <w:rPr>
          <w:sz w:val="25"/>
        </w:rPr>
        <w:t>Kasim, O. O., &amp; Ogunlade,</w:t>
      </w:r>
      <w:r>
        <w:rPr>
          <w:spacing w:val="-1"/>
          <w:sz w:val="25"/>
        </w:rPr>
        <w:t> </w:t>
      </w:r>
      <w:r>
        <w:rPr>
          <w:sz w:val="25"/>
        </w:rPr>
        <w:t>T. D. (2021). Heavy metals in road dust and topsoil in major cities in Nigeria: A review. </w:t>
      </w:r>
      <w:r>
        <w:rPr>
          <w:i/>
          <w:sz w:val="25"/>
        </w:rPr>
        <w:t>Journal of Environmental Science and Pollution</w:t>
      </w:r>
    </w:p>
    <w:p>
      <w:pPr>
        <w:pStyle w:val="BodyText"/>
        <w:spacing w:line="286" w:lineRule="exact"/>
        <w:ind w:left="1937"/>
      </w:pPr>
      <w:r>
        <w:rPr>
          <w:i/>
        </w:rPr>
        <w:t>Research</w:t>
      </w:r>
      <w:r>
        <w:rPr/>
        <w:t>,</w:t>
      </w:r>
      <w:r>
        <w:rPr>
          <w:spacing w:val="37"/>
        </w:rPr>
        <w:t> </w:t>
      </w:r>
      <w:r>
        <w:rPr>
          <w:i/>
        </w:rPr>
        <w:t>27</w:t>
      </w:r>
      <w:r>
        <w:rPr/>
        <w:t>(14),</w:t>
      </w:r>
      <w:r>
        <w:rPr>
          <w:spacing w:val="38"/>
        </w:rPr>
        <w:t> </w:t>
      </w:r>
      <w:r>
        <w:rPr/>
        <w:t>17042–17058.</w:t>
      </w:r>
      <w:r>
        <w:rPr>
          <w:spacing w:val="38"/>
        </w:rPr>
        <w:t> </w:t>
      </w:r>
      <w:r>
        <w:rPr/>
        <w:t>https://doi.org/10.1007/s11356-021-12093-</w:t>
      </w:r>
      <w:r>
        <w:rPr>
          <w:spacing w:val="-10"/>
        </w:rPr>
        <w:t>6</w:t>
      </w:r>
    </w:p>
    <w:p>
      <w:pPr>
        <w:pStyle w:val="BodyText"/>
        <w:spacing w:line="590" w:lineRule="atLeast" w:before="163"/>
        <w:ind w:left="1922" w:right="1781" w:hanging="768"/>
      </w:pPr>
      <w:r>
        <w:rPr/>
        <w:t>Lombi, E., &amp; Hettiarachchi, G. M. (2022). Heavy metal mobility and bioavailability in</w:t>
      </w:r>
      <w:r>
        <w:rPr>
          <w:spacing w:val="40"/>
        </w:rPr>
        <w:t> </w:t>
      </w:r>
      <w:r>
        <w:rPr/>
        <w:t>soil. In </w:t>
      </w:r>
      <w:r>
        <w:rPr>
          <w:i/>
        </w:rPr>
        <w:t>Environmental Chemistry of Soils </w:t>
      </w:r>
      <w:r>
        <w:rPr/>
        <w:t>(pp. 265–284). Springer. </w:t>
      </w:r>
      <w:r>
        <w:rPr>
          <w:spacing w:val="-2"/>
        </w:rPr>
        <w:t>https://doi.org/10.1007/978-3-030-82635-8_12</w:t>
      </w:r>
    </w:p>
    <w:p>
      <w:pPr>
        <w:spacing w:line="496" w:lineRule="auto" w:before="197"/>
        <w:ind w:left="1922" w:right="1788" w:hanging="768"/>
        <w:jc w:val="left"/>
        <w:rPr>
          <w:sz w:val="25"/>
        </w:rPr>
      </w:pPr>
      <w:r>
        <w:rPr>
          <w:sz w:val="25"/>
        </w:rPr>
        <w:t>Lu,</w:t>
      </w:r>
      <w:r>
        <w:rPr>
          <w:spacing w:val="75"/>
          <w:sz w:val="25"/>
        </w:rPr>
        <w:t> </w:t>
      </w:r>
      <w:r>
        <w:rPr>
          <w:sz w:val="25"/>
        </w:rPr>
        <w:t>X.,</w:t>
      </w:r>
      <w:r>
        <w:rPr>
          <w:spacing w:val="74"/>
          <w:sz w:val="25"/>
        </w:rPr>
        <w:t> </w:t>
      </w:r>
      <w:r>
        <w:rPr>
          <w:sz w:val="25"/>
        </w:rPr>
        <w:t>Zhang,</w:t>
      </w:r>
      <w:r>
        <w:rPr>
          <w:spacing w:val="75"/>
          <w:sz w:val="25"/>
        </w:rPr>
        <w:t> </w:t>
      </w:r>
      <w:r>
        <w:rPr>
          <w:sz w:val="25"/>
        </w:rPr>
        <w:t>X.,</w:t>
      </w:r>
      <w:r>
        <w:rPr>
          <w:spacing w:val="74"/>
          <w:sz w:val="25"/>
        </w:rPr>
        <w:t> </w:t>
      </w:r>
      <w:r>
        <w:rPr>
          <w:sz w:val="25"/>
        </w:rPr>
        <w:t>&amp;</w:t>
      </w:r>
      <w:r>
        <w:rPr>
          <w:spacing w:val="78"/>
          <w:sz w:val="25"/>
        </w:rPr>
        <w:t> </w:t>
      </w:r>
      <w:r>
        <w:rPr>
          <w:sz w:val="25"/>
        </w:rPr>
        <w:t>Li,</w:t>
      </w:r>
      <w:r>
        <w:rPr>
          <w:spacing w:val="75"/>
          <w:sz w:val="25"/>
        </w:rPr>
        <w:t> </w:t>
      </w:r>
      <w:r>
        <w:rPr>
          <w:sz w:val="25"/>
        </w:rPr>
        <w:t>L.</w:t>
      </w:r>
      <w:r>
        <w:rPr>
          <w:spacing w:val="40"/>
          <w:sz w:val="25"/>
        </w:rPr>
        <w:t> </w:t>
      </w:r>
      <w:r>
        <w:rPr>
          <w:sz w:val="25"/>
        </w:rPr>
        <w:t>Y.</w:t>
      </w:r>
      <w:r>
        <w:rPr>
          <w:spacing w:val="75"/>
          <w:sz w:val="25"/>
        </w:rPr>
        <w:t> </w:t>
      </w:r>
      <w:r>
        <w:rPr>
          <w:sz w:val="25"/>
        </w:rPr>
        <w:t>(2020).</w:t>
      </w:r>
      <w:r>
        <w:rPr>
          <w:spacing w:val="40"/>
          <w:sz w:val="25"/>
        </w:rPr>
        <w:t> </w:t>
      </w:r>
      <w:r>
        <w:rPr>
          <w:sz w:val="25"/>
        </w:rPr>
        <w:t>Anthropogenic</w:t>
      </w:r>
      <w:r>
        <w:rPr>
          <w:spacing w:val="74"/>
          <w:sz w:val="25"/>
        </w:rPr>
        <w:t> </w:t>
      </w:r>
      <w:r>
        <w:rPr>
          <w:sz w:val="25"/>
        </w:rPr>
        <w:t>influence</w:t>
      </w:r>
      <w:r>
        <w:rPr>
          <w:spacing w:val="74"/>
          <w:sz w:val="25"/>
        </w:rPr>
        <w:t> </w:t>
      </w:r>
      <w:r>
        <w:rPr>
          <w:sz w:val="25"/>
        </w:rPr>
        <w:t>on</w:t>
      </w:r>
      <w:r>
        <w:rPr>
          <w:spacing w:val="77"/>
          <w:sz w:val="25"/>
        </w:rPr>
        <w:t> </w:t>
      </w:r>
      <w:r>
        <w:rPr>
          <w:sz w:val="25"/>
        </w:rPr>
        <w:t>heavy</w:t>
      </w:r>
      <w:r>
        <w:rPr>
          <w:spacing w:val="75"/>
          <w:sz w:val="25"/>
        </w:rPr>
        <w:t> </w:t>
      </w:r>
      <w:r>
        <w:rPr>
          <w:sz w:val="25"/>
        </w:rPr>
        <w:t>metal concentrations in street dusts of Beijing. </w:t>
      </w:r>
      <w:r>
        <w:rPr>
          <w:i/>
          <w:sz w:val="25"/>
        </w:rPr>
        <w:t>Science of the Total Environment</w:t>
      </w:r>
      <w:r>
        <w:rPr>
          <w:sz w:val="25"/>
        </w:rPr>
        <w:t>,</w:t>
      </w:r>
    </w:p>
    <w:p>
      <w:pPr>
        <w:spacing w:after="0" w:line="496" w:lineRule="auto"/>
        <w:jc w:val="left"/>
        <w:rPr>
          <w:sz w:val="25"/>
        </w:rPr>
        <w:sectPr>
          <w:pgSz w:w="12240" w:h="15840"/>
          <w:pgMar w:header="0" w:footer="1674" w:top="1460" w:bottom="1860" w:left="360" w:right="0"/>
        </w:sectPr>
      </w:pPr>
    </w:p>
    <w:p>
      <w:pPr>
        <w:pStyle w:val="BodyText"/>
        <w:spacing w:before="74"/>
        <w:ind w:left="1937"/>
      </w:pPr>
      <w:r>
        <w:rPr>
          <w:i/>
        </w:rPr>
        <w:t>407</w:t>
      </w:r>
      <w:r>
        <w:rPr/>
        <w:t>(17),</w:t>
      </w:r>
      <w:r>
        <w:rPr>
          <w:spacing w:val="20"/>
        </w:rPr>
        <w:t> </w:t>
      </w:r>
      <w:r>
        <w:rPr/>
        <w:t>4706–4713.</w:t>
      </w:r>
      <w:r>
        <w:rPr>
          <w:spacing w:val="20"/>
        </w:rPr>
        <w:t> </w:t>
      </w:r>
      <w:r>
        <w:rPr>
          <w:spacing w:val="-2"/>
        </w:rPr>
        <w:t>https://doi.org/10.1016/j.scitotenv.2020.139859</w:t>
      </w:r>
    </w:p>
    <w:p>
      <w:pPr>
        <w:pStyle w:val="BodyText"/>
        <w:spacing w:before="187"/>
      </w:pPr>
    </w:p>
    <w:p>
      <w:pPr>
        <w:pStyle w:val="BodyText"/>
        <w:spacing w:line="491" w:lineRule="auto"/>
        <w:ind w:left="1922" w:right="1943" w:hanging="768"/>
      </w:pPr>
      <w:r>
        <w:rPr/>
        <w:t>Lyu, Y., et al. (2022). Brake wear particles: Metal composition and urban environmental implications. Science of the Total Environment, 810, 151308. </w:t>
      </w:r>
      <w:r>
        <w:rPr>
          <w:spacing w:val="-2"/>
        </w:rPr>
        <w:t>https://doi.org/10.1016/j.scitotenv.2021.151308</w:t>
      </w:r>
    </w:p>
    <w:p>
      <w:pPr>
        <w:pStyle w:val="BodyText"/>
        <w:spacing w:line="491" w:lineRule="auto" w:before="165"/>
        <w:ind w:left="1922" w:right="1819" w:hanging="768"/>
      </w:pPr>
      <w:r>
        <w:rPr/>
        <w:t>Manasfi, T., et al. (2021). Origin and environmental fate of heavy metals from vehicle components. Environmental Pollution, 276, 116695. </w:t>
      </w:r>
      <w:r>
        <w:rPr>
          <w:spacing w:val="-2"/>
        </w:rPr>
        <w:t>https://doi.org/10.1016/j.envpol.2021.116695</w:t>
      </w:r>
    </w:p>
    <w:p>
      <w:pPr>
        <w:pStyle w:val="BodyText"/>
        <w:spacing w:line="264" w:lineRule="auto" w:before="166"/>
        <w:ind w:left="1167" w:right="1943" w:hanging="13"/>
      </w:pPr>
      <w:r>
        <w:rPr/>
        <w:t>Mngomezulu, N., &amp; Monyai, R. (2019). Environmental impacts of battery dismantling</w:t>
      </w:r>
      <w:r>
        <w:rPr>
          <w:spacing w:val="80"/>
        </w:rPr>
        <w:t> </w:t>
      </w:r>
      <w:r>
        <w:rPr>
          <w:spacing w:val="-6"/>
        </w:rPr>
        <w:t>in</w:t>
      </w:r>
    </w:p>
    <w:p>
      <w:pPr>
        <w:pStyle w:val="BodyText"/>
        <w:spacing w:before="265"/>
        <w:ind w:left="1937"/>
      </w:pPr>
      <w:r>
        <w:rPr/>
        <w:t>South</w:t>
      </w:r>
      <w:r>
        <w:rPr>
          <w:spacing w:val="-7"/>
        </w:rPr>
        <w:t> </w:t>
      </w:r>
      <w:r>
        <w:rPr/>
        <w:t>Africa.</w:t>
      </w:r>
      <w:r>
        <w:rPr>
          <w:spacing w:val="11"/>
        </w:rPr>
        <w:t> </w:t>
      </w:r>
      <w:r>
        <w:rPr/>
        <w:t>Sustainability,</w:t>
      </w:r>
      <w:r>
        <w:rPr>
          <w:spacing w:val="12"/>
        </w:rPr>
        <w:t> </w:t>
      </w:r>
      <w:r>
        <w:rPr/>
        <w:t>11(24),</w:t>
      </w:r>
      <w:r>
        <w:rPr>
          <w:spacing w:val="11"/>
        </w:rPr>
        <w:t> </w:t>
      </w:r>
      <w:r>
        <w:rPr/>
        <w:t>7123.</w:t>
      </w:r>
      <w:r>
        <w:rPr>
          <w:spacing w:val="11"/>
        </w:rPr>
        <w:t> </w:t>
      </w:r>
      <w:r>
        <w:rPr>
          <w:spacing w:val="-2"/>
        </w:rPr>
        <w:t>https://doi.org/10.3390/su11247123</w:t>
      </w:r>
    </w:p>
    <w:p>
      <w:pPr>
        <w:pStyle w:val="BodyText"/>
        <w:spacing w:before="178"/>
      </w:pPr>
    </w:p>
    <w:p>
      <w:pPr>
        <w:pStyle w:val="BodyText"/>
        <w:spacing w:line="496" w:lineRule="auto"/>
        <w:ind w:left="1922" w:right="1770" w:hanging="768"/>
        <w:jc w:val="both"/>
      </w:pPr>
      <w:r>
        <w:rPr/>
        <w:t>Nganje, T. N., Udoinyang, E. P., &amp; Ugbaja, A. N. (2021). Impact of automobile workshops</w:t>
      </w:r>
      <w:r>
        <w:rPr>
          <w:spacing w:val="-1"/>
        </w:rPr>
        <w:t> </w:t>
      </w:r>
      <w:r>
        <w:rPr/>
        <w:t>on</w:t>
      </w:r>
      <w:r>
        <w:rPr>
          <w:spacing w:val="-1"/>
        </w:rPr>
        <w:t> </w:t>
      </w:r>
      <w:r>
        <w:rPr/>
        <w:t>soil quality</w:t>
      </w:r>
      <w:r>
        <w:rPr>
          <w:spacing w:val="-3"/>
        </w:rPr>
        <w:t> </w:t>
      </w:r>
      <w:r>
        <w:rPr/>
        <w:t>in</w:t>
      </w:r>
      <w:r>
        <w:rPr>
          <w:spacing w:val="-1"/>
        </w:rPr>
        <w:t> </w:t>
      </w:r>
      <w:r>
        <w:rPr/>
        <w:t>Calabar,</w:t>
      </w:r>
      <w:r>
        <w:rPr>
          <w:spacing w:val="-1"/>
        </w:rPr>
        <w:t> </w:t>
      </w:r>
      <w:r>
        <w:rPr/>
        <w:t>Nigeria. </w:t>
      </w:r>
      <w:r>
        <w:rPr>
          <w:i/>
        </w:rPr>
        <w:t>Environmental</w:t>
      </w:r>
      <w:r>
        <w:rPr>
          <w:i/>
          <w:spacing w:val="-1"/>
        </w:rPr>
        <w:t> </w:t>
      </w:r>
      <w:r>
        <w:rPr>
          <w:i/>
        </w:rPr>
        <w:t>Earth</w:t>
      </w:r>
      <w:r>
        <w:rPr>
          <w:i/>
          <w:spacing w:val="-1"/>
        </w:rPr>
        <w:t> </w:t>
      </w:r>
      <w:r>
        <w:rPr>
          <w:i/>
        </w:rPr>
        <w:t>Sciences</w:t>
      </w:r>
      <w:r>
        <w:rPr/>
        <w:t>,</w:t>
      </w:r>
      <w:r>
        <w:rPr>
          <w:spacing w:val="-1"/>
        </w:rPr>
        <w:t> </w:t>
      </w:r>
      <w:r>
        <w:rPr>
          <w:i/>
        </w:rPr>
        <w:t>80</w:t>
      </w:r>
      <w:r>
        <w:rPr/>
        <w:t>, 663. https://doi.org/10.1007/s12665-021-09896-5</w:t>
      </w:r>
    </w:p>
    <w:p>
      <w:pPr>
        <w:pStyle w:val="BodyText"/>
        <w:spacing w:line="496" w:lineRule="auto" w:before="155"/>
        <w:ind w:left="1922" w:right="1772" w:hanging="768"/>
        <w:jc w:val="both"/>
        <w:rPr>
          <w:i/>
        </w:rPr>
      </w:pPr>
      <w:r>
        <w:rPr/>
        <w:t>Nriagu, J. O., &amp; Udofia, E.</w:t>
      </w:r>
      <w:r>
        <w:rPr>
          <w:spacing w:val="-11"/>
        </w:rPr>
        <w:t> </w:t>
      </w:r>
      <w:r>
        <w:rPr/>
        <w:t>A. (2021). Human exposure to metals from informal e-waste activities in sub-Saharan Africa: A review of recent studies. </w:t>
      </w:r>
      <w:r>
        <w:rPr>
          <w:i/>
        </w:rPr>
        <w:t>Journal of</w:t>
      </w:r>
    </w:p>
    <w:p>
      <w:pPr>
        <w:spacing w:line="286" w:lineRule="exact" w:before="0"/>
        <w:ind w:left="1937" w:right="0" w:firstLine="0"/>
        <w:jc w:val="left"/>
        <w:rPr>
          <w:sz w:val="25"/>
        </w:rPr>
      </w:pPr>
      <w:r>
        <w:rPr>
          <w:i/>
          <w:sz w:val="25"/>
        </w:rPr>
        <w:t>Environmental</w:t>
      </w:r>
      <w:r>
        <w:rPr>
          <w:i/>
          <w:spacing w:val="19"/>
          <w:sz w:val="25"/>
        </w:rPr>
        <w:t> </w:t>
      </w:r>
      <w:r>
        <w:rPr>
          <w:i/>
          <w:sz w:val="25"/>
        </w:rPr>
        <w:t>Management</w:t>
      </w:r>
      <w:r>
        <w:rPr>
          <w:sz w:val="25"/>
        </w:rPr>
        <w:t>,</w:t>
      </w:r>
      <w:r>
        <w:rPr>
          <w:spacing w:val="18"/>
          <w:sz w:val="25"/>
        </w:rPr>
        <w:t> </w:t>
      </w:r>
      <w:r>
        <w:rPr>
          <w:sz w:val="25"/>
        </w:rPr>
        <w:t>292,</w:t>
      </w:r>
      <w:r>
        <w:rPr>
          <w:spacing w:val="18"/>
          <w:sz w:val="25"/>
        </w:rPr>
        <w:t> </w:t>
      </w:r>
      <w:r>
        <w:rPr>
          <w:spacing w:val="-2"/>
          <w:sz w:val="25"/>
        </w:rPr>
        <w:t>112768.</w:t>
      </w:r>
    </w:p>
    <w:p>
      <w:pPr>
        <w:pStyle w:val="BodyText"/>
        <w:spacing w:before="6"/>
      </w:pPr>
    </w:p>
    <w:p>
      <w:pPr>
        <w:pStyle w:val="BodyText"/>
        <w:spacing w:before="1"/>
        <w:ind w:left="1937"/>
      </w:pPr>
      <w:r>
        <w:rPr>
          <w:spacing w:val="-2"/>
        </w:rPr>
        <w:t>https://doi.org/10.1016/j.jenvman.2021.112768</w:t>
      </w:r>
    </w:p>
    <w:p>
      <w:pPr>
        <w:pStyle w:val="BodyText"/>
        <w:spacing w:line="496" w:lineRule="auto" w:before="189"/>
        <w:ind w:left="1818" w:right="1788" w:hanging="663"/>
      </w:pPr>
      <w:r>
        <w:rPr/>
        <w:t>Nwokocha,</w:t>
      </w:r>
      <w:r>
        <w:rPr>
          <w:spacing w:val="36"/>
        </w:rPr>
        <w:t> </w:t>
      </w:r>
      <w:r>
        <w:rPr/>
        <w:t>C.</w:t>
      </w:r>
      <w:r>
        <w:rPr>
          <w:spacing w:val="36"/>
        </w:rPr>
        <w:t> </w:t>
      </w:r>
      <w:r>
        <w:rPr/>
        <w:t>R.,</w:t>
      </w:r>
      <w:r>
        <w:rPr>
          <w:spacing w:val="36"/>
        </w:rPr>
        <w:t> </w:t>
      </w:r>
      <w:r>
        <w:rPr/>
        <w:t>&amp;</w:t>
      </w:r>
      <w:r>
        <w:rPr>
          <w:spacing w:val="36"/>
        </w:rPr>
        <w:t> </w:t>
      </w:r>
      <w:r>
        <w:rPr/>
        <w:t>Olatunde,</w:t>
      </w:r>
      <w:r>
        <w:rPr>
          <w:spacing w:val="35"/>
        </w:rPr>
        <w:t> </w:t>
      </w:r>
      <w:r>
        <w:rPr/>
        <w:t>F.</w:t>
      </w:r>
      <w:r>
        <w:rPr>
          <w:spacing w:val="36"/>
        </w:rPr>
        <w:t> </w:t>
      </w:r>
      <w:r>
        <w:rPr/>
        <w:t>O.</w:t>
      </w:r>
      <w:r>
        <w:rPr>
          <w:spacing w:val="35"/>
        </w:rPr>
        <w:t> </w:t>
      </w:r>
      <w:r>
        <w:rPr/>
        <w:t>(2018). Assessment</w:t>
      </w:r>
      <w:r>
        <w:rPr>
          <w:spacing w:val="36"/>
        </w:rPr>
        <w:t> </w:t>
      </w:r>
      <w:r>
        <w:rPr/>
        <w:t>of</w:t>
      </w:r>
      <w:r>
        <w:rPr>
          <w:spacing w:val="35"/>
        </w:rPr>
        <w:t> </w:t>
      </w:r>
      <w:r>
        <w:rPr/>
        <w:t>heavy</w:t>
      </w:r>
      <w:r>
        <w:rPr>
          <w:spacing w:val="36"/>
        </w:rPr>
        <w:t> </w:t>
      </w:r>
      <w:r>
        <w:rPr/>
        <w:t>metal</w:t>
      </w:r>
      <w:r>
        <w:rPr>
          <w:spacing w:val="38"/>
        </w:rPr>
        <w:t> </w:t>
      </w:r>
      <w:r>
        <w:rPr/>
        <w:t>pollution</w:t>
      </w:r>
      <w:r>
        <w:rPr>
          <w:spacing w:val="33"/>
        </w:rPr>
        <w:t> </w:t>
      </w:r>
      <w:r>
        <w:rPr/>
        <w:t>in roadside dust along selected roads in Lagos metropolis. </w:t>
      </w:r>
      <w:r>
        <w:rPr>
          <w:i/>
        </w:rPr>
        <w:t>Journal of Health &amp; Pollution</w:t>
      </w:r>
      <w:r>
        <w:rPr/>
        <w:t>, </w:t>
      </w:r>
      <w:r>
        <w:rPr>
          <w:i/>
        </w:rPr>
        <w:t>8</w:t>
      </w:r>
      <w:r>
        <w:rPr/>
        <w:t>(19), 180906. https://doi.org/10.5696/2156-9614-8.19.180906</w:t>
      </w:r>
    </w:p>
    <w:p>
      <w:pPr>
        <w:pStyle w:val="BodyText"/>
        <w:spacing w:after="0" w:line="496" w:lineRule="auto"/>
        <w:sectPr>
          <w:footerReference w:type="default" r:id="rId25"/>
          <w:pgSz w:w="12240" w:h="15840"/>
          <w:pgMar w:header="0" w:footer="1674" w:top="1460" w:bottom="1860" w:left="360" w:right="0"/>
        </w:sectPr>
      </w:pPr>
    </w:p>
    <w:p>
      <w:pPr>
        <w:pStyle w:val="BodyText"/>
        <w:spacing w:line="496" w:lineRule="auto" w:before="74"/>
        <w:ind w:left="1922" w:right="1777" w:hanging="768"/>
        <w:jc w:val="both"/>
      </w:pPr>
      <w:r>
        <w:rPr/>
        <w:t>Obafemi, A. A., &amp; Owoyemi, T. E. (2021). Risk assessment of heavy metal contamination in auto-mechanic workshop soils:</w:t>
      </w:r>
      <w:r>
        <w:rPr>
          <w:spacing w:val="-3"/>
        </w:rPr>
        <w:t> </w:t>
      </w:r>
      <w:r>
        <w:rPr/>
        <w:t>A</w:t>
      </w:r>
      <w:r>
        <w:rPr>
          <w:spacing w:val="-3"/>
        </w:rPr>
        <w:t> </w:t>
      </w:r>
      <w:r>
        <w:rPr/>
        <w:t>case study of Ilorin, Nigeria. </w:t>
      </w:r>
      <w:r>
        <w:rPr>
          <w:i/>
        </w:rPr>
        <w:t>Heliyon</w:t>
      </w:r>
      <w:r>
        <w:rPr/>
        <w:t>, 7(5), e06945. https://doi.org/10.1016/j.heliyon.2021.e06945</w:t>
      </w:r>
    </w:p>
    <w:p>
      <w:pPr>
        <w:pStyle w:val="BodyText"/>
        <w:tabs>
          <w:tab w:pos="4016" w:val="left" w:leader="none"/>
          <w:tab w:pos="6290" w:val="left" w:leader="none"/>
          <w:tab w:pos="8009" w:val="left" w:leader="none"/>
        </w:tabs>
        <w:spacing w:line="484" w:lineRule="auto" w:before="155"/>
        <w:ind w:left="1937" w:right="1772" w:hanging="783"/>
        <w:jc w:val="both"/>
      </w:pPr>
      <w:r>
        <w:rPr/>
        <w:t>Obeng-Gyasi, E. (2019). Lead exposure and public health: A review. Environmental </w:t>
      </w:r>
      <w:r>
        <w:rPr>
          <w:spacing w:val="-2"/>
        </w:rPr>
        <w:t>Health</w:t>
      </w:r>
      <w:r>
        <w:rPr/>
        <w:tab/>
      </w:r>
      <w:r>
        <w:rPr>
          <w:spacing w:val="-2"/>
        </w:rPr>
        <w:t>Insights,</w:t>
      </w:r>
      <w:r>
        <w:rPr/>
        <w:tab/>
      </w:r>
      <w:r>
        <w:rPr>
          <w:spacing w:val="-5"/>
        </w:rPr>
        <w:t>13,</w:t>
      </w:r>
      <w:r>
        <w:rPr/>
        <w:tab/>
      </w:r>
      <w:r>
        <w:rPr>
          <w:spacing w:val="-2"/>
        </w:rPr>
        <w:t>1178630219869372.</w:t>
      </w:r>
    </w:p>
    <w:p>
      <w:pPr>
        <w:pStyle w:val="BodyText"/>
        <w:spacing w:before="15"/>
        <w:ind w:left="1948"/>
      </w:pPr>
      <w:r>
        <w:rPr>
          <w:spacing w:val="-2"/>
        </w:rPr>
        <w:t>https://doi.org/10.1177/1178630219869372</w:t>
      </w:r>
    </w:p>
    <w:p>
      <w:pPr>
        <w:pStyle w:val="BodyText"/>
        <w:spacing w:before="180"/>
      </w:pPr>
    </w:p>
    <w:p>
      <w:pPr>
        <w:pStyle w:val="BodyText"/>
        <w:spacing w:line="491" w:lineRule="auto"/>
        <w:ind w:left="1922" w:right="2327" w:hanging="768"/>
      </w:pPr>
      <w:r>
        <w:rPr/>
        <w:t>Ochieng, G. M., et al. (2020). Occupational exposure to metals in informal workspaces. International Journal of Environmental Research and Public Health, 17(16), 5812. https://doi.org/10.3390/ijerph17165812</w:t>
      </w:r>
    </w:p>
    <w:p>
      <w:pPr>
        <w:pStyle w:val="BodyText"/>
        <w:spacing w:line="496" w:lineRule="auto" w:before="165"/>
        <w:ind w:left="1922" w:right="1788" w:hanging="768"/>
        <w:rPr>
          <w:i/>
        </w:rPr>
      </w:pPr>
      <w:r>
        <w:rPr/>
        <w:t>Oghenekohwo, J. E., &amp; Osubor, C. C. (2023).</w:t>
      </w:r>
      <w:r>
        <w:rPr>
          <w:spacing w:val="-13"/>
        </w:rPr>
        <w:t> </w:t>
      </w:r>
      <w:r>
        <w:rPr/>
        <w:t>Assessment of heavy metal concentrations from</w:t>
      </w:r>
      <w:r>
        <w:rPr>
          <w:spacing w:val="8"/>
        </w:rPr>
        <w:t> </w:t>
      </w:r>
      <w:r>
        <w:rPr/>
        <w:t>roadside</w:t>
      </w:r>
      <w:r>
        <w:rPr>
          <w:spacing w:val="9"/>
        </w:rPr>
        <w:t> </w:t>
      </w:r>
      <w:r>
        <w:rPr/>
        <w:t>dust</w:t>
      </w:r>
      <w:r>
        <w:rPr>
          <w:spacing w:val="9"/>
        </w:rPr>
        <w:t> </w:t>
      </w:r>
      <w:r>
        <w:rPr/>
        <w:t>and</w:t>
      </w:r>
      <w:r>
        <w:rPr>
          <w:spacing w:val="9"/>
        </w:rPr>
        <w:t> </w:t>
      </w:r>
      <w:r>
        <w:rPr/>
        <w:t>soil</w:t>
      </w:r>
      <w:r>
        <w:rPr>
          <w:spacing w:val="10"/>
        </w:rPr>
        <w:t> </w:t>
      </w:r>
      <w:r>
        <w:rPr/>
        <w:t>in</w:t>
      </w:r>
      <w:r>
        <w:rPr>
          <w:spacing w:val="4"/>
        </w:rPr>
        <w:t> </w:t>
      </w:r>
      <w:r>
        <w:rPr/>
        <w:t>Warri,</w:t>
      </w:r>
      <w:r>
        <w:rPr>
          <w:spacing w:val="9"/>
        </w:rPr>
        <w:t> </w:t>
      </w:r>
      <w:r>
        <w:rPr/>
        <w:t>Nigeria.</w:t>
      </w:r>
      <w:r>
        <w:rPr>
          <w:spacing w:val="10"/>
        </w:rPr>
        <w:t> </w:t>
      </w:r>
      <w:r>
        <w:rPr>
          <w:i/>
        </w:rPr>
        <w:t>African</w:t>
      </w:r>
      <w:r>
        <w:rPr>
          <w:i/>
          <w:spacing w:val="9"/>
        </w:rPr>
        <w:t> </w:t>
      </w:r>
      <w:r>
        <w:rPr>
          <w:i/>
        </w:rPr>
        <w:t>Journal</w:t>
      </w:r>
      <w:r>
        <w:rPr>
          <w:i/>
          <w:spacing w:val="8"/>
        </w:rPr>
        <w:t> </w:t>
      </w:r>
      <w:r>
        <w:rPr>
          <w:i/>
        </w:rPr>
        <w:t>of</w:t>
      </w:r>
      <w:r>
        <w:rPr>
          <w:i/>
          <w:spacing w:val="9"/>
        </w:rPr>
        <w:t> </w:t>
      </w:r>
      <w:r>
        <w:rPr>
          <w:i/>
          <w:spacing w:val="-2"/>
        </w:rPr>
        <w:t>Environmental</w:t>
      </w:r>
    </w:p>
    <w:p>
      <w:pPr>
        <w:spacing w:line="286" w:lineRule="exact" w:before="0"/>
        <w:ind w:left="0" w:right="137" w:firstLine="0"/>
        <w:jc w:val="center"/>
        <w:rPr>
          <w:sz w:val="25"/>
        </w:rPr>
      </w:pPr>
      <w:r>
        <w:rPr>
          <w:i/>
          <w:sz w:val="25"/>
        </w:rPr>
        <w:t>Science</w:t>
      </w:r>
      <w:r>
        <w:rPr>
          <w:i/>
          <w:spacing w:val="8"/>
          <w:sz w:val="25"/>
        </w:rPr>
        <w:t> </w:t>
      </w:r>
      <w:r>
        <w:rPr>
          <w:i/>
          <w:sz w:val="25"/>
        </w:rPr>
        <w:t>and</w:t>
      </w:r>
      <w:r>
        <w:rPr>
          <w:i/>
          <w:spacing w:val="13"/>
          <w:sz w:val="25"/>
        </w:rPr>
        <w:t> </w:t>
      </w:r>
      <w:r>
        <w:rPr>
          <w:i/>
          <w:sz w:val="25"/>
        </w:rPr>
        <w:t>Technology</w:t>
      </w:r>
      <w:r>
        <w:rPr>
          <w:sz w:val="25"/>
        </w:rPr>
        <w:t>,</w:t>
      </w:r>
      <w:r>
        <w:rPr>
          <w:spacing w:val="12"/>
          <w:sz w:val="25"/>
        </w:rPr>
        <w:t> </w:t>
      </w:r>
      <w:r>
        <w:rPr>
          <w:i/>
          <w:sz w:val="25"/>
        </w:rPr>
        <w:t>17</w:t>
      </w:r>
      <w:r>
        <w:rPr>
          <w:sz w:val="25"/>
        </w:rPr>
        <w:t>(3),</w:t>
      </w:r>
      <w:r>
        <w:rPr>
          <w:spacing w:val="10"/>
          <w:sz w:val="25"/>
        </w:rPr>
        <w:t> </w:t>
      </w:r>
      <w:r>
        <w:rPr>
          <w:sz w:val="25"/>
        </w:rPr>
        <w:t>95–104.</w:t>
      </w:r>
      <w:r>
        <w:rPr>
          <w:spacing w:val="10"/>
          <w:sz w:val="25"/>
        </w:rPr>
        <w:t> </w:t>
      </w:r>
      <w:r>
        <w:rPr>
          <w:spacing w:val="-2"/>
          <w:sz w:val="25"/>
        </w:rPr>
        <w:t>https://doi.org/10.5897/AJEST2022.3171</w:t>
      </w:r>
    </w:p>
    <w:p>
      <w:pPr>
        <w:pStyle w:val="BodyText"/>
        <w:spacing w:before="177"/>
      </w:pPr>
    </w:p>
    <w:p>
      <w:pPr>
        <w:pStyle w:val="BodyText"/>
        <w:spacing w:line="491" w:lineRule="auto"/>
        <w:ind w:left="1922" w:right="1943" w:hanging="768"/>
      </w:pPr>
      <w:r>
        <w:rPr/>
        <w:t>Oladeji, O. S., Adedeji, A. A., &amp; Oyelude, E. O. (2020). Evaluation of Atomic Absorption Spectrophotometry and X-ray Fluorescence in quantifying heavy metals in urban dusts. </w:t>
      </w:r>
      <w:r>
        <w:rPr>
          <w:i/>
        </w:rPr>
        <w:t>Scientific African</w:t>
      </w:r>
      <w:r>
        <w:rPr/>
        <w:t>, 9, e00525. https://doi.org/10.1016/j.sciaf 2020.e00525</w:t>
      </w:r>
    </w:p>
    <w:p>
      <w:pPr>
        <w:pStyle w:val="BodyText"/>
        <w:spacing w:line="491" w:lineRule="auto" w:before="165"/>
        <w:ind w:left="1922" w:right="2327" w:hanging="768"/>
      </w:pPr>
      <w:r>
        <w:rPr/>
        <w:t>Olatunji, O. S., et al. (2022). Spatial analysis of heavy metals in soils around automechanic workshops in Ibadan. Scientific African, 16, e01117. https://doi.org/10.1016/j.sciaf 2022.e01117</w:t>
      </w:r>
    </w:p>
    <w:p>
      <w:pPr>
        <w:pStyle w:val="BodyText"/>
        <w:spacing w:after="0" w:line="491" w:lineRule="auto"/>
        <w:sectPr>
          <w:footerReference w:type="default" r:id="rId26"/>
          <w:pgSz w:w="12240" w:h="15840"/>
          <w:pgMar w:header="0" w:footer="1674" w:top="1460" w:bottom="1860" w:left="360" w:right="0"/>
          <w:pgNumType w:start="1"/>
        </w:sectPr>
      </w:pPr>
    </w:p>
    <w:p>
      <w:pPr>
        <w:spacing w:line="496" w:lineRule="auto" w:before="74"/>
        <w:ind w:left="1922" w:right="1819" w:hanging="768"/>
        <w:jc w:val="left"/>
        <w:rPr>
          <w:sz w:val="25"/>
        </w:rPr>
      </w:pPr>
      <w:r>
        <w:rPr>
          <w:sz w:val="25"/>
        </w:rPr>
        <w:t>Olayinka,</w:t>
      </w:r>
      <w:r>
        <w:rPr>
          <w:spacing w:val="-11"/>
          <w:sz w:val="25"/>
        </w:rPr>
        <w:t> </w:t>
      </w:r>
      <w:r>
        <w:rPr>
          <w:sz w:val="25"/>
        </w:rPr>
        <w:t>A. O., Oyedeji, K.</w:t>
      </w:r>
      <w:r>
        <w:rPr>
          <w:spacing w:val="-11"/>
          <w:sz w:val="25"/>
        </w:rPr>
        <w:t> </w:t>
      </w:r>
      <w:r>
        <w:rPr>
          <w:sz w:val="25"/>
        </w:rPr>
        <w:t>A., &amp;</w:t>
      </w:r>
      <w:r>
        <w:rPr>
          <w:spacing w:val="-10"/>
          <w:sz w:val="25"/>
        </w:rPr>
        <w:t> </w:t>
      </w:r>
      <w:r>
        <w:rPr>
          <w:sz w:val="25"/>
        </w:rPr>
        <w:t>Adebisi, O. E. (2022). Heavy metal contamination in soil and water in Ilorin, Nigeria. </w:t>
      </w:r>
      <w:r>
        <w:rPr>
          <w:i/>
          <w:sz w:val="25"/>
        </w:rPr>
        <w:t>Journal of Environmental Science and Health, Part C, 40</w:t>
      </w:r>
      <w:r>
        <w:rPr>
          <w:sz w:val="25"/>
        </w:rPr>
        <w:t>, 105–112. </w:t>
      </w:r>
      <w:r>
        <w:rPr>
          <w:color w:val="0462C1"/>
          <w:sz w:val="25"/>
          <w:u w:val="single" w:color="0462C1"/>
        </w:rPr>
        <w:t>https://doi.org/10.1080/26896557.2022.2078583</w:t>
      </w:r>
    </w:p>
    <w:p>
      <w:pPr>
        <w:pStyle w:val="BodyText"/>
        <w:spacing w:line="496" w:lineRule="auto" w:before="160"/>
        <w:ind w:left="1922" w:right="1788" w:hanging="768"/>
        <w:rPr>
          <w:i/>
        </w:rPr>
      </w:pPr>
      <w:r>
        <w:rPr/>
        <w:t>Ololade, I.</w:t>
      </w:r>
      <w:r>
        <w:rPr>
          <w:spacing w:val="-12"/>
        </w:rPr>
        <w:t> </w:t>
      </w:r>
      <w:r>
        <w:rPr/>
        <w:t>A.,</w:t>
      </w:r>
      <w:r>
        <w:rPr>
          <w:spacing w:val="-12"/>
        </w:rPr>
        <w:t> </w:t>
      </w:r>
      <w:r>
        <w:rPr/>
        <w:t>Ajayi, I. R., &amp;</w:t>
      </w:r>
      <w:r>
        <w:rPr>
          <w:spacing w:val="-13"/>
        </w:rPr>
        <w:t> </w:t>
      </w:r>
      <w:r>
        <w:rPr/>
        <w:t>Amoo, I.</w:t>
      </w:r>
      <w:r>
        <w:rPr>
          <w:spacing w:val="-12"/>
        </w:rPr>
        <w:t> </w:t>
      </w:r>
      <w:r>
        <w:rPr/>
        <w:t>A. (2019). Investigation of</w:t>
      </w:r>
      <w:r>
        <w:rPr>
          <w:spacing w:val="-1"/>
        </w:rPr>
        <w:t> </w:t>
      </w:r>
      <w:r>
        <w:rPr/>
        <w:t>heavy metals in water, sediment and fish t</w:t>
      </w:r>
      <w:hyperlink r:id="rId27">
        <w:r>
          <w:rPr/>
          <w:t>issues from Ero Dam, southwest Nigeria. </w:t>
        </w:r>
        <w:r>
          <w:rPr>
            <w:i/>
          </w:rPr>
          <w:t>Env</w:t>
        </w:r>
      </w:hyperlink>
      <w:hyperlink r:id="rId27">
        <w:r>
          <w:rPr>
            <w:i/>
          </w:rPr>
          <w:t>ir</w:t>
        </w:r>
      </w:hyperlink>
      <w:r>
        <w:rPr>
          <w:i/>
        </w:rPr>
        <w:t>onmental</w:t>
      </w:r>
    </w:p>
    <w:p>
      <w:pPr>
        <w:spacing w:line="286" w:lineRule="exact" w:before="0"/>
        <w:ind w:left="1937" w:right="0" w:firstLine="0"/>
        <w:jc w:val="left"/>
        <w:rPr>
          <w:sz w:val="25"/>
        </w:rPr>
      </w:pPr>
      <w:r>
        <w:rPr>
          <w:i/>
          <w:sz w:val="25"/>
        </w:rPr>
        <w:t>Monitoring</w:t>
      </w:r>
      <w:r>
        <w:rPr>
          <w:i/>
          <w:spacing w:val="28"/>
          <w:sz w:val="25"/>
        </w:rPr>
        <w:t> </w:t>
      </w:r>
      <w:r>
        <w:rPr>
          <w:i/>
          <w:sz w:val="25"/>
        </w:rPr>
        <w:t>and</w:t>
      </w:r>
      <w:r>
        <w:rPr>
          <w:i/>
          <w:spacing w:val="21"/>
          <w:sz w:val="25"/>
        </w:rPr>
        <w:t> </w:t>
      </w:r>
      <w:r>
        <w:rPr>
          <w:i/>
          <w:sz w:val="25"/>
        </w:rPr>
        <w:t>Assessment</w:t>
      </w:r>
      <w:r>
        <w:rPr>
          <w:sz w:val="25"/>
        </w:rPr>
        <w:t>,</w:t>
      </w:r>
      <w:r>
        <w:rPr>
          <w:spacing w:val="28"/>
          <w:sz w:val="25"/>
        </w:rPr>
        <w:t> </w:t>
      </w:r>
      <w:r>
        <w:rPr>
          <w:i/>
          <w:sz w:val="25"/>
        </w:rPr>
        <w:t>191</w:t>
      </w:r>
      <w:r>
        <w:rPr>
          <w:sz w:val="25"/>
        </w:rPr>
        <w:t>(6),</w:t>
      </w:r>
      <w:r>
        <w:rPr>
          <w:spacing w:val="29"/>
          <w:sz w:val="25"/>
        </w:rPr>
        <w:t> </w:t>
      </w:r>
      <w:r>
        <w:rPr>
          <w:sz w:val="25"/>
        </w:rPr>
        <w:t>1–14.</w:t>
      </w:r>
      <w:r>
        <w:rPr>
          <w:spacing w:val="28"/>
          <w:sz w:val="25"/>
        </w:rPr>
        <w:t> </w:t>
      </w:r>
      <w:r>
        <w:rPr>
          <w:sz w:val="25"/>
        </w:rPr>
        <w:t>https://doi.org/10.1007/s10661-</w:t>
      </w:r>
      <w:r>
        <w:rPr>
          <w:spacing w:val="-4"/>
          <w:sz w:val="25"/>
        </w:rPr>
        <w:t>019-</w:t>
      </w:r>
    </w:p>
    <w:p>
      <w:pPr>
        <w:pStyle w:val="BodyText"/>
        <w:spacing w:before="7"/>
      </w:pPr>
    </w:p>
    <w:p>
      <w:pPr>
        <w:pStyle w:val="BodyText"/>
        <w:ind w:left="1937"/>
      </w:pPr>
      <w:r>
        <w:rPr/>
        <w:t>7464-</w:t>
      </w:r>
      <w:r>
        <w:rPr>
          <w:spacing w:val="-10"/>
        </w:rPr>
        <w:t>6</w:t>
      </w:r>
    </w:p>
    <w:p>
      <w:pPr>
        <w:pStyle w:val="BodyText"/>
        <w:spacing w:before="177"/>
      </w:pPr>
    </w:p>
    <w:p>
      <w:pPr>
        <w:pStyle w:val="BodyText"/>
        <w:spacing w:line="496" w:lineRule="auto"/>
        <w:ind w:left="1922" w:right="1788" w:hanging="768"/>
        <w:rPr>
          <w:i/>
        </w:rPr>
      </w:pPr>
      <w:r>
        <w:rPr/>
        <w:t>Onyedika,</w:t>
      </w:r>
      <w:r>
        <w:rPr>
          <w:spacing w:val="27"/>
        </w:rPr>
        <w:t> </w:t>
      </w:r>
      <w:r>
        <w:rPr/>
        <w:t>G.</w:t>
      </w:r>
      <w:r>
        <w:rPr>
          <w:spacing w:val="27"/>
        </w:rPr>
        <w:t> </w:t>
      </w:r>
      <w:r>
        <w:rPr/>
        <w:t>O.,</w:t>
      </w:r>
      <w:r>
        <w:rPr>
          <w:spacing w:val="27"/>
        </w:rPr>
        <w:t> </w:t>
      </w:r>
      <w:r>
        <w:rPr/>
        <w:t>&amp;</w:t>
      </w:r>
      <w:r>
        <w:rPr>
          <w:spacing w:val="31"/>
        </w:rPr>
        <w:t> </w:t>
      </w:r>
      <w:r>
        <w:rPr/>
        <w:t>Nnaji,</w:t>
      </w:r>
      <w:r>
        <w:rPr>
          <w:spacing w:val="27"/>
        </w:rPr>
        <w:t> </w:t>
      </w:r>
      <w:r>
        <w:rPr/>
        <w:t>C.</w:t>
      </w:r>
      <w:r>
        <w:rPr>
          <w:spacing w:val="27"/>
        </w:rPr>
        <w:t> </w:t>
      </w:r>
      <w:r>
        <w:rPr/>
        <w:t>C.</w:t>
      </w:r>
      <w:r>
        <w:rPr>
          <w:spacing w:val="27"/>
        </w:rPr>
        <w:t> </w:t>
      </w:r>
      <w:r>
        <w:rPr/>
        <w:t>(2020). Assessment</w:t>
      </w:r>
      <w:r>
        <w:rPr>
          <w:spacing w:val="27"/>
        </w:rPr>
        <w:t> </w:t>
      </w:r>
      <w:r>
        <w:rPr/>
        <w:t>of</w:t>
      </w:r>
      <w:r>
        <w:rPr>
          <w:spacing w:val="27"/>
        </w:rPr>
        <w:t> </w:t>
      </w:r>
      <w:r>
        <w:rPr/>
        <w:t>heavy</w:t>
      </w:r>
      <w:r>
        <w:rPr>
          <w:spacing w:val="27"/>
        </w:rPr>
        <w:t> </w:t>
      </w:r>
      <w:r>
        <w:rPr/>
        <w:t>metal</w:t>
      </w:r>
      <w:r>
        <w:rPr>
          <w:spacing w:val="28"/>
        </w:rPr>
        <w:t> </w:t>
      </w:r>
      <w:r>
        <w:rPr/>
        <w:t>contamination</w:t>
      </w:r>
      <w:r>
        <w:rPr>
          <w:spacing w:val="28"/>
        </w:rPr>
        <w:t> </w:t>
      </w:r>
      <w:r>
        <w:rPr/>
        <w:t>in the topsoil around mechanic workshops in Enugu urban, Nigeria. </w:t>
      </w:r>
      <w:r>
        <w:rPr>
          <w:i/>
        </w:rPr>
        <w:t>SN Applied</w:t>
      </w:r>
    </w:p>
    <w:p>
      <w:pPr>
        <w:pStyle w:val="BodyText"/>
        <w:spacing w:line="286" w:lineRule="exact"/>
        <w:ind w:left="1922"/>
      </w:pPr>
      <w:r>
        <w:rPr>
          <w:i/>
        </w:rPr>
        <w:t>Sciences</w:t>
      </w:r>
      <w:r>
        <w:rPr/>
        <w:t>,</w:t>
      </w:r>
      <w:r>
        <w:rPr>
          <w:spacing w:val="36"/>
        </w:rPr>
        <w:t> </w:t>
      </w:r>
      <w:r>
        <w:rPr>
          <w:i/>
        </w:rPr>
        <w:t>2</w:t>
      </w:r>
      <w:r>
        <w:rPr/>
        <w:t>(2),</w:t>
      </w:r>
      <w:r>
        <w:rPr>
          <w:spacing w:val="36"/>
        </w:rPr>
        <w:t> </w:t>
      </w:r>
      <w:r>
        <w:rPr/>
        <w:t>242.</w:t>
      </w:r>
      <w:r>
        <w:rPr>
          <w:spacing w:val="36"/>
        </w:rPr>
        <w:t> </w:t>
      </w:r>
      <w:r>
        <w:rPr>
          <w:color w:val="0462C1"/>
          <w:u w:val="single" w:color="0462C1"/>
        </w:rPr>
        <w:t>https://doi.org/10.1007/s42452-020-1985-</w:t>
      </w:r>
      <w:r>
        <w:rPr>
          <w:color w:val="0462C1"/>
          <w:spacing w:val="-10"/>
          <w:u w:val="single" w:color="0462C1"/>
        </w:rPr>
        <w:t>1</w:t>
      </w:r>
    </w:p>
    <w:p>
      <w:pPr>
        <w:pStyle w:val="BodyText"/>
        <w:spacing w:before="185"/>
      </w:pPr>
    </w:p>
    <w:p>
      <w:pPr>
        <w:pStyle w:val="BodyText"/>
        <w:spacing w:line="491" w:lineRule="auto"/>
        <w:ind w:left="1922" w:right="1819" w:hanging="768"/>
      </w:pPr>
      <w:r>
        <w:rPr/>
        <w:t>Orosun, M. M. (2021). Assessment of arsenic and its associated health risks due to mining activities </w:t>
      </w:r>
      <w:hyperlink r:id="rId28">
        <w:r>
          <w:rPr/>
          <w:t>in parts of North-Central</w:t>
        </w:r>
      </w:hyperlink>
      <w:r>
        <w:rPr/>
        <w:t> </w:t>
      </w:r>
      <w:hyperlink r:id="rId28">
        <w:r>
          <w:rPr/>
          <w:t>Niger</w:t>
        </w:r>
      </w:hyperlink>
      <w:hyperlink r:id="rId28">
        <w:r>
          <w:rPr/>
          <w:t>ia:</w:t>
        </w:r>
      </w:hyperlink>
      <w:r>
        <w:rPr/>
        <w:t> </w:t>
      </w:r>
      <w:hyperlink r:id="rId28">
        <w:r>
          <w:rPr/>
          <w:t>P</w:t>
        </w:r>
      </w:hyperlink>
      <w:hyperlink r:id="rId28">
        <w:r>
          <w:rPr/>
          <w:t>roba</w:t>
        </w:r>
      </w:hyperlink>
      <w:hyperlink r:id="rId28">
        <w:r>
          <w:rPr/>
          <w:t>bil</w:t>
        </w:r>
      </w:hyperlink>
      <w:r>
        <w:rPr/>
        <w:t>istic approach using Monte Carlo. </w:t>
      </w:r>
      <w:r>
        <w:rPr>
          <w:i/>
        </w:rPr>
        <w:t>Journal of Hazardous Materials, 412</w:t>
      </w:r>
      <w:r>
        <w:rPr/>
        <w:t>, 125262.</w:t>
      </w:r>
    </w:p>
    <w:p>
      <w:pPr>
        <w:pStyle w:val="BodyText"/>
        <w:spacing w:before="165"/>
        <w:ind w:left="1155"/>
      </w:pPr>
      <w:r>
        <w:rPr/>
        <w:t>Orosun,</w:t>
      </w:r>
      <w:r>
        <w:rPr>
          <w:spacing w:val="-2"/>
        </w:rPr>
        <w:t> </w:t>
      </w:r>
      <w:r>
        <w:rPr/>
        <w:t>M.</w:t>
      </w:r>
      <w:r>
        <w:rPr>
          <w:spacing w:val="-1"/>
        </w:rPr>
        <w:t> </w:t>
      </w:r>
      <w:r>
        <w:rPr/>
        <w:t>M.,</w:t>
      </w:r>
      <w:r>
        <w:rPr>
          <w:spacing w:val="-2"/>
        </w:rPr>
        <w:t> </w:t>
      </w:r>
      <w:r>
        <w:rPr/>
        <w:t>Oniku,</w:t>
      </w:r>
      <w:r>
        <w:rPr>
          <w:spacing w:val="-1"/>
        </w:rPr>
        <w:t> </w:t>
      </w:r>
      <w:r>
        <w:rPr/>
        <w:t>S.</w:t>
      </w:r>
      <w:r>
        <w:rPr>
          <w:spacing w:val="-13"/>
        </w:rPr>
        <w:t> </w:t>
      </w:r>
      <w:r>
        <w:rPr/>
        <w:t>A.,</w:t>
      </w:r>
      <w:r>
        <w:rPr>
          <w:spacing w:val="-15"/>
        </w:rPr>
        <w:t> </w:t>
      </w:r>
      <w:r>
        <w:rPr/>
        <w:t>Adie, P.,</w:t>
      </w:r>
      <w:r>
        <w:rPr>
          <w:spacing w:val="-1"/>
        </w:rPr>
        <w:t> </w:t>
      </w:r>
      <w:r>
        <w:rPr/>
        <w:t>Orosun,</w:t>
      </w:r>
      <w:r>
        <w:rPr>
          <w:spacing w:val="-2"/>
        </w:rPr>
        <w:t> </w:t>
      </w:r>
      <w:r>
        <w:rPr/>
        <w:t>R.</w:t>
      </w:r>
      <w:r>
        <w:rPr>
          <w:spacing w:val="2"/>
        </w:rPr>
        <w:t> </w:t>
      </w:r>
      <w:r>
        <w:rPr/>
        <w:t>O.,</w:t>
      </w:r>
      <w:r>
        <w:rPr>
          <w:spacing w:val="-1"/>
        </w:rPr>
        <w:t> </w:t>
      </w:r>
      <w:r>
        <w:rPr/>
        <w:t>Salawu,</w:t>
      </w:r>
      <w:r>
        <w:rPr>
          <w:spacing w:val="-2"/>
        </w:rPr>
        <w:t> </w:t>
      </w:r>
      <w:r>
        <w:rPr/>
        <w:t>N.</w:t>
      </w:r>
      <w:r>
        <w:rPr>
          <w:spacing w:val="1"/>
        </w:rPr>
        <w:t> </w:t>
      </w:r>
      <w:r>
        <w:rPr/>
        <w:t>B.,</w:t>
      </w:r>
      <w:r>
        <w:rPr>
          <w:spacing w:val="-1"/>
        </w:rPr>
        <w:t> </w:t>
      </w:r>
      <w:r>
        <w:rPr/>
        <w:t>&amp;</w:t>
      </w:r>
      <w:r>
        <w:rPr>
          <w:spacing w:val="-1"/>
        </w:rPr>
        <w:t> </w:t>
      </w:r>
      <w:r>
        <w:rPr/>
        <w:t>Hitler,</w:t>
      </w:r>
      <w:r>
        <w:rPr>
          <w:spacing w:val="-1"/>
        </w:rPr>
        <w:t> </w:t>
      </w:r>
      <w:r>
        <w:rPr/>
        <w:t>L.</w:t>
      </w:r>
      <w:r>
        <w:rPr>
          <w:spacing w:val="1"/>
        </w:rPr>
        <w:t> </w:t>
      </w:r>
      <w:r>
        <w:rPr>
          <w:spacing w:val="-2"/>
        </w:rPr>
        <w:t>(2020).</w:t>
      </w:r>
    </w:p>
    <w:p>
      <w:pPr>
        <w:pStyle w:val="BodyText"/>
        <w:spacing w:before="7"/>
      </w:pPr>
    </w:p>
    <w:p>
      <w:pPr>
        <w:pStyle w:val="BodyText"/>
        <w:spacing w:line="398" w:lineRule="auto"/>
        <w:ind w:left="1937" w:right="1770"/>
        <w:rPr>
          <w:i/>
        </w:rPr>
      </w:pPr>
      <w:r>
        <w:rPr/>
        <w:t>Magnetic</w:t>
      </w:r>
      <w:r>
        <w:rPr>
          <w:spacing w:val="-1"/>
        </w:rPr>
        <w:t> </w:t>
      </w:r>
      <w:r>
        <w:rPr/>
        <w:t>susceptibility</w:t>
      </w:r>
      <w:r>
        <w:rPr>
          <w:spacing w:val="-4"/>
        </w:rPr>
        <w:t> </w:t>
      </w:r>
      <w:r>
        <w:rPr/>
        <w:t>measurement and heavy metal pollution</w:t>
      </w:r>
      <w:r>
        <w:rPr>
          <w:spacing w:val="-4"/>
        </w:rPr>
        <w:t> </w:t>
      </w:r>
      <w:r>
        <w:rPr/>
        <w:t>at an automobile station in Ilorin, North-Central Nigeria. </w:t>
      </w:r>
      <w:r>
        <w:rPr>
          <w:i/>
        </w:rPr>
        <w:t>Environmental Research</w:t>
      </w:r>
    </w:p>
    <w:p>
      <w:pPr>
        <w:spacing w:before="104"/>
        <w:ind w:left="1922" w:right="0" w:firstLine="0"/>
        <w:jc w:val="left"/>
        <w:rPr>
          <w:sz w:val="25"/>
        </w:rPr>
      </w:pPr>
      <w:r>
        <w:rPr>
          <w:i/>
          <w:sz w:val="25"/>
        </w:rPr>
        <w:t>Communications</w:t>
      </w:r>
      <w:r>
        <w:rPr>
          <w:sz w:val="25"/>
        </w:rPr>
        <w:t>.</w:t>
      </w:r>
      <w:r>
        <w:rPr>
          <w:spacing w:val="75"/>
          <w:sz w:val="25"/>
        </w:rPr>
        <w:t> </w:t>
      </w:r>
      <w:r>
        <w:rPr>
          <w:color w:val="0462C1"/>
          <w:sz w:val="25"/>
          <w:u w:val="single" w:color="0462C1"/>
        </w:rPr>
        <w:t>https://doi.org/10.1088/2515-</w:t>
      </w:r>
      <w:r>
        <w:rPr>
          <w:color w:val="0462C1"/>
          <w:spacing w:val="-2"/>
          <w:sz w:val="25"/>
          <w:u w:val="single" w:color="0462C1"/>
        </w:rPr>
        <w:t>7620/ab636a</w:t>
      </w:r>
    </w:p>
    <w:p>
      <w:pPr>
        <w:pStyle w:val="BodyText"/>
        <w:spacing w:before="185"/>
      </w:pPr>
    </w:p>
    <w:p>
      <w:pPr>
        <w:pStyle w:val="BodyText"/>
        <w:spacing w:line="491" w:lineRule="auto"/>
        <w:ind w:left="1922" w:right="1819" w:hanging="768"/>
      </w:pPr>
      <w:r>
        <w:rPr/>
        <w:t>Rinklebe, J., Shaheen, </w:t>
      </w:r>
      <w:hyperlink r:id="rId29">
        <w:r>
          <w:rPr/>
          <w:t>S. M., &amp; Bakr, N. (2021). A</w:t>
        </w:r>
      </w:hyperlink>
      <w:r>
        <w:rPr/>
        <w:t> </w:t>
      </w:r>
      <w:hyperlink r:id="rId29">
        <w:r>
          <w:rPr/>
          <w:t>review of c</w:t>
        </w:r>
      </w:hyperlink>
      <w:hyperlink r:id="rId29">
        <w:r>
          <w:rPr/>
          <w:t>ontamination</w:t>
        </w:r>
      </w:hyperlink>
      <w:r>
        <w:rPr/>
        <w:t>, risk assessment and remediation of heavy metals in agricultural soils in developing</w:t>
      </w:r>
    </w:p>
    <w:p>
      <w:pPr>
        <w:pStyle w:val="BodyText"/>
        <w:spacing w:after="0" w:line="491" w:lineRule="auto"/>
        <w:sectPr>
          <w:pgSz w:w="12240" w:h="15840"/>
          <w:pgMar w:header="0" w:footer="1674" w:top="1460" w:bottom="1860" w:left="360" w:right="0"/>
        </w:sectPr>
      </w:pPr>
    </w:p>
    <w:p>
      <w:pPr>
        <w:spacing w:line="491" w:lineRule="auto" w:before="74"/>
        <w:ind w:left="1922" w:right="0" w:firstLine="0"/>
        <w:jc w:val="left"/>
        <w:rPr>
          <w:sz w:val="25"/>
        </w:rPr>
      </w:pPr>
      <w:r>
        <w:rPr>
          <w:sz w:val="25"/>
        </w:rPr>
        <w:t>countries. </w:t>
      </w:r>
      <w:r>
        <w:rPr>
          <w:i/>
          <w:sz w:val="25"/>
        </w:rPr>
        <w:t>Science of the Total Environment</w:t>
      </w:r>
      <w:r>
        <w:rPr>
          <w:sz w:val="25"/>
        </w:rPr>
        <w:t>, </w:t>
      </w:r>
      <w:r>
        <w:rPr>
          <w:i/>
          <w:sz w:val="25"/>
        </w:rPr>
        <w:t>711</w:t>
      </w:r>
      <w:r>
        <w:rPr>
          <w:sz w:val="25"/>
        </w:rPr>
        <w:t>, 135112. </w:t>
      </w:r>
      <w:r>
        <w:rPr>
          <w:spacing w:val="-2"/>
          <w:sz w:val="25"/>
        </w:rPr>
        <w:t>https://doi.org/10.1016/j.scitotenv.2020.135112</w:t>
      </w:r>
    </w:p>
    <w:p>
      <w:pPr>
        <w:pStyle w:val="BodyText"/>
        <w:spacing w:line="494" w:lineRule="auto" w:before="165"/>
        <w:ind w:left="1922" w:right="1819" w:hanging="768"/>
      </w:pPr>
      <w:r>
        <w:rPr/>
        <w:t>Umar, B., &amp; Abdullahi, M. (2022). Comparative study of heavy metal concentration in</w:t>
      </w:r>
      <w:r>
        <w:rPr>
          <w:spacing w:val="40"/>
        </w:rPr>
        <w:t> </w:t>
      </w:r>
      <w:r>
        <w:rPr/>
        <w:t>soils around mechanic workshops in Kano and Kaduna States, Nigeria.</w:t>
      </w:r>
    </w:p>
    <w:p>
      <w:pPr>
        <w:tabs>
          <w:tab w:pos="4082" w:val="left" w:leader="none"/>
          <w:tab w:pos="5419" w:val="left" w:leader="none"/>
          <w:tab w:pos="6934" w:val="left" w:leader="none"/>
          <w:tab w:pos="7892" w:val="left" w:leader="none"/>
        </w:tabs>
        <w:spacing w:before="1"/>
        <w:ind w:left="1937" w:right="0" w:firstLine="0"/>
        <w:jc w:val="left"/>
        <w:rPr>
          <w:sz w:val="25"/>
        </w:rPr>
      </w:pPr>
      <w:r>
        <w:rPr>
          <w:i/>
          <w:spacing w:val="-2"/>
          <w:sz w:val="25"/>
        </w:rPr>
        <w:t>Environmental</w:t>
      </w:r>
      <w:r>
        <w:rPr>
          <w:i/>
          <w:sz w:val="25"/>
        </w:rPr>
        <w:tab/>
      </w:r>
      <w:r>
        <w:rPr>
          <w:i/>
          <w:spacing w:val="-2"/>
          <w:sz w:val="25"/>
        </w:rPr>
        <w:t>Health</w:t>
      </w:r>
      <w:r>
        <w:rPr>
          <w:i/>
          <w:sz w:val="25"/>
        </w:rPr>
        <w:tab/>
      </w:r>
      <w:r>
        <w:rPr>
          <w:i/>
          <w:spacing w:val="-2"/>
          <w:sz w:val="25"/>
        </w:rPr>
        <w:t>Insights</w:t>
      </w:r>
      <w:r>
        <w:rPr>
          <w:spacing w:val="-2"/>
          <w:sz w:val="25"/>
        </w:rPr>
        <w:t>,</w:t>
      </w:r>
      <w:r>
        <w:rPr>
          <w:sz w:val="25"/>
        </w:rPr>
        <w:tab/>
      </w:r>
      <w:r>
        <w:rPr>
          <w:i/>
          <w:spacing w:val="-5"/>
          <w:sz w:val="25"/>
        </w:rPr>
        <w:t>16</w:t>
      </w:r>
      <w:r>
        <w:rPr>
          <w:spacing w:val="-5"/>
          <w:sz w:val="25"/>
        </w:rPr>
        <w:t>,</w:t>
      </w:r>
      <w:r>
        <w:rPr>
          <w:sz w:val="25"/>
        </w:rPr>
        <w:tab/>
      </w:r>
      <w:r>
        <w:rPr>
          <w:spacing w:val="-2"/>
          <w:sz w:val="25"/>
        </w:rPr>
        <w:t>11786302221104583.</w:t>
      </w:r>
    </w:p>
    <w:p>
      <w:pPr>
        <w:pStyle w:val="BodyText"/>
        <w:spacing w:before="20"/>
      </w:pPr>
    </w:p>
    <w:p>
      <w:pPr>
        <w:pStyle w:val="BodyText"/>
        <w:ind w:left="1948"/>
      </w:pPr>
      <w:r>
        <w:rPr>
          <w:spacing w:val="-2"/>
        </w:rPr>
        <w:t>https://doi.org/10.1177/11786302221104583</w:t>
      </w:r>
    </w:p>
    <w:p>
      <w:pPr>
        <w:pStyle w:val="BodyText"/>
        <w:spacing w:before="180"/>
      </w:pPr>
    </w:p>
    <w:p>
      <w:pPr>
        <w:spacing w:line="491" w:lineRule="auto" w:before="0"/>
        <w:ind w:left="1922" w:right="1819" w:hanging="768"/>
        <w:jc w:val="left"/>
        <w:rPr>
          <w:sz w:val="25"/>
        </w:rPr>
      </w:pPr>
      <w:r>
        <w:rPr>
          <w:sz w:val="25"/>
        </w:rPr>
        <w:t>WHO (World Health Organization). (2021). </w:t>
      </w:r>
      <w:r>
        <w:rPr>
          <w:i/>
          <w:sz w:val="25"/>
        </w:rPr>
        <w:t>Guidelines for drinking-water quality </w:t>
      </w:r>
      <w:r>
        <w:rPr>
          <w:sz w:val="25"/>
        </w:rPr>
        <w:t>(4th ed.). World Health Organization. </w:t>
      </w:r>
      <w:r>
        <w:rPr>
          <w:spacing w:val="-2"/>
          <w:sz w:val="25"/>
        </w:rPr>
        <w:t>https:/</w:t>
      </w:r>
      <w:hyperlink r:id="rId30">
        <w:r>
          <w:rPr>
            <w:spacing w:val="-2"/>
            <w:sz w:val="25"/>
          </w:rPr>
          <w:t>/www.who.int/publications/i/item/9789240045064</w:t>
        </w:r>
      </w:hyperlink>
    </w:p>
    <w:p>
      <w:pPr>
        <w:tabs>
          <w:tab w:pos="4536" w:val="left" w:leader="none"/>
          <w:tab w:pos="7218" w:val="left" w:leader="none"/>
          <w:tab w:pos="9404" w:val="left" w:leader="none"/>
        </w:tabs>
        <w:spacing w:line="491" w:lineRule="auto" w:before="165"/>
        <w:ind w:left="1937" w:right="1773" w:hanging="783"/>
        <w:jc w:val="left"/>
        <w:rPr>
          <w:sz w:val="25"/>
        </w:rPr>
      </w:pPr>
      <w:r>
        <w:rPr>
          <w:sz w:val="25"/>
        </w:rPr>
        <w:t>World Health Organization (WHO). (2021). </w:t>
      </w:r>
      <w:r>
        <w:rPr>
          <w:i/>
          <w:sz w:val="25"/>
        </w:rPr>
        <w:t>Exposure to Lead: A Major Public Health </w:t>
      </w:r>
      <w:r>
        <w:rPr>
          <w:i/>
          <w:spacing w:val="-2"/>
          <w:sz w:val="25"/>
        </w:rPr>
        <w:t>Concern</w:t>
      </w:r>
      <w:r>
        <w:rPr>
          <w:i/>
          <w:sz w:val="25"/>
        </w:rPr>
        <w:tab/>
      </w:r>
      <w:r>
        <w:rPr>
          <w:i/>
          <w:spacing w:val="-2"/>
          <w:sz w:val="25"/>
        </w:rPr>
        <w:t>(Updated</w:t>
      </w:r>
      <w:r>
        <w:rPr>
          <w:i/>
          <w:sz w:val="25"/>
        </w:rPr>
        <w:tab/>
      </w:r>
      <w:r>
        <w:rPr>
          <w:i/>
          <w:spacing w:val="-4"/>
          <w:sz w:val="25"/>
        </w:rPr>
        <w:t>Fact</w:t>
      </w:r>
      <w:r>
        <w:rPr>
          <w:i/>
          <w:sz w:val="25"/>
        </w:rPr>
        <w:tab/>
      </w:r>
      <w:r>
        <w:rPr>
          <w:i/>
          <w:spacing w:val="-2"/>
          <w:sz w:val="25"/>
        </w:rPr>
        <w:t>Sheet)</w:t>
      </w:r>
      <w:r>
        <w:rPr>
          <w:spacing w:val="-2"/>
          <w:sz w:val="25"/>
        </w:rPr>
        <w:t>. https:/</w:t>
      </w:r>
      <w:hyperlink r:id="rId31">
        <w:r>
          <w:rPr>
            <w:spacing w:val="-2"/>
            <w:sz w:val="25"/>
          </w:rPr>
          <w:t>/www.who.int/publications/i/item/9789240039833</w:t>
        </w:r>
      </w:hyperlink>
    </w:p>
    <w:p>
      <w:pPr>
        <w:pStyle w:val="BodyText"/>
        <w:spacing w:line="494" w:lineRule="auto" w:before="165"/>
        <w:ind w:left="1922" w:right="1771" w:hanging="768"/>
        <w:jc w:val="both"/>
      </w:pPr>
      <w:r>
        <w:rPr/>
        <w:t>Yuan, H.,</w:t>
      </w:r>
      <w:r>
        <w:rPr>
          <w:spacing w:val="-3"/>
        </w:rPr>
        <w:t> </w:t>
      </w:r>
      <w:r>
        <w:rPr/>
        <w:t>Yang, L., &amp; Zhang,</w:t>
      </w:r>
      <w:r>
        <w:rPr>
          <w:spacing w:val="-1"/>
        </w:rPr>
        <w:t> </w:t>
      </w:r>
      <w:r>
        <w:rPr/>
        <w:t>Y. (2020). Best practices for environmental sampling and quality control in heavy metal contamination research. </w:t>
      </w:r>
      <w:r>
        <w:rPr>
          <w:i/>
        </w:rPr>
        <w:t>Environmental Chemistry Letters</w:t>
      </w:r>
      <w:r>
        <w:rPr/>
        <w:t>, 18(4), 1205–1217. https://doi.org/10.1007/s10311-020-00994-5</w:t>
      </w:r>
    </w:p>
    <w:sectPr>
      <w:pgSz w:w="12240" w:h="15840"/>
      <w:pgMar w:header="0" w:footer="1674" w:top="1460" w:bottom="1860" w:left="36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Calibri">
    <w:altName w:val="Calibri"/>
    <w:charset w:val="1"/>
    <w:family w:val="roman"/>
    <w:pitch w:val="variable"/>
  </w:font>
  <w:font w:name="Cambria Math">
    <w:altName w:val="Cambria Math"/>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975040">
              <wp:simplePos x="0" y="0"/>
              <wp:positionH relativeFrom="page">
                <wp:posOffset>6125348</wp:posOffset>
              </wp:positionH>
              <wp:positionV relativeFrom="page">
                <wp:posOffset>9449167</wp:posOffset>
              </wp:positionV>
              <wp:extent cx="176530" cy="17272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76530" cy="172720"/>
                      </a:xfrm>
                      <a:prstGeom prst="rect">
                        <a:avLst/>
                      </a:prstGeom>
                    </wps:spPr>
                    <wps:txbx>
                      <w:txbxContent>
                        <w:p>
                          <w:pPr>
                            <w:spacing w:before="19"/>
                            <w:ind w:left="48" w:right="0" w:firstLine="0"/>
                            <w:jc w:val="left"/>
                            <w:rPr>
                              <w:rFonts w:ascii="Arial MT"/>
                              <w:sz w:val="20"/>
                            </w:rPr>
                          </w:pPr>
                          <w:r>
                            <w:rPr>
                              <w:rFonts w:ascii="Arial MT"/>
                              <w:spacing w:val="-5"/>
                              <w:w w:val="105"/>
                              <w:sz w:val="20"/>
                            </w:rPr>
                            <w:fldChar w:fldCharType="begin"/>
                          </w:r>
                          <w:r>
                            <w:rPr>
                              <w:rFonts w:ascii="Arial MT"/>
                              <w:spacing w:val="-5"/>
                              <w:w w:val="105"/>
                              <w:sz w:val="20"/>
                            </w:rPr>
                            <w:instrText> PAGE  \* roman </w:instrText>
                          </w:r>
                          <w:r>
                            <w:rPr>
                              <w:rFonts w:ascii="Arial MT"/>
                              <w:spacing w:val="-5"/>
                              <w:w w:val="105"/>
                              <w:sz w:val="20"/>
                            </w:rPr>
                            <w:fldChar w:fldCharType="separate"/>
                          </w:r>
                          <w:r>
                            <w:rPr>
                              <w:rFonts w:ascii="Arial MT"/>
                              <w:spacing w:val="-5"/>
                              <w:w w:val="105"/>
                              <w:sz w:val="20"/>
                            </w:rPr>
                            <w:t>iv</w:t>
                          </w:r>
                          <w:r>
                            <w:rPr>
                              <w:rFonts w:ascii="Arial MT"/>
                              <w:spacing w:val="-5"/>
                              <w:w w:val="105"/>
                              <w:sz w:val="2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82.310913pt;margin-top:744.028931pt;width:13.9pt;height:13.6pt;mso-position-horizontal-relative:page;mso-position-vertical-relative:page;z-index:-17341440" type="#_x0000_t202" id="docshape1" filled="false" stroked="false">
              <v:textbox inset="0,0,0,0">
                <w:txbxContent>
                  <w:p>
                    <w:pPr>
                      <w:spacing w:before="19"/>
                      <w:ind w:left="48" w:right="0" w:firstLine="0"/>
                      <w:jc w:val="left"/>
                      <w:rPr>
                        <w:rFonts w:ascii="Arial MT"/>
                        <w:sz w:val="20"/>
                      </w:rPr>
                    </w:pPr>
                    <w:r>
                      <w:rPr>
                        <w:rFonts w:ascii="Arial MT"/>
                        <w:spacing w:val="-5"/>
                        <w:w w:val="105"/>
                        <w:sz w:val="20"/>
                      </w:rPr>
                      <w:fldChar w:fldCharType="begin"/>
                    </w:r>
                    <w:r>
                      <w:rPr>
                        <w:rFonts w:ascii="Arial MT"/>
                        <w:spacing w:val="-5"/>
                        <w:w w:val="105"/>
                        <w:sz w:val="20"/>
                      </w:rPr>
                      <w:instrText> PAGE  \* roman </w:instrText>
                    </w:r>
                    <w:r>
                      <w:rPr>
                        <w:rFonts w:ascii="Arial MT"/>
                        <w:spacing w:val="-5"/>
                        <w:w w:val="105"/>
                        <w:sz w:val="20"/>
                      </w:rPr>
                      <w:fldChar w:fldCharType="separate"/>
                    </w:r>
                    <w:r>
                      <w:rPr>
                        <w:rFonts w:ascii="Arial MT"/>
                        <w:spacing w:val="-5"/>
                        <w:w w:val="105"/>
                        <w:sz w:val="20"/>
                      </w:rPr>
                      <w:t>iv</w:t>
                    </w:r>
                    <w:r>
                      <w:rPr>
                        <w:rFonts w:ascii="Arial MT"/>
                        <w:spacing w:val="-5"/>
                        <w:w w:val="105"/>
                        <w:sz w:val="20"/>
                      </w:rPr>
                      <w:fldChar w:fldCharType="end"/>
                    </w:r>
                  </w:p>
                </w:txbxContent>
              </v:textbox>
              <w10:wrap type="none"/>
            </v:shape>
          </w:pict>
        </mc:Fallback>
      </mc:AlternateContent>
    </w:r>
  </w:p>
</w:ftr>
</file>

<file path=word/footer1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979136">
              <wp:simplePos x="0" y="0"/>
              <wp:positionH relativeFrom="page">
                <wp:posOffset>3712249</wp:posOffset>
              </wp:positionH>
              <wp:positionV relativeFrom="page">
                <wp:posOffset>8855932</wp:posOffset>
              </wp:positionV>
              <wp:extent cx="229235" cy="187325"/>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229235" cy="187325"/>
                      </a:xfrm>
                      <a:prstGeom prst="rect">
                        <a:avLst/>
                      </a:prstGeom>
                    </wps:spPr>
                    <wps:txbx>
                      <w:txbxContent>
                        <w:p>
                          <w:pPr>
                            <w:pStyle w:val="BodyText"/>
                            <w:spacing w:line="278" w:lineRule="exact"/>
                            <w:ind w:left="20"/>
                            <w:rPr>
                              <w:rFonts w:ascii="Calibri"/>
                            </w:rPr>
                          </w:pPr>
                          <w:r>
                            <w:rPr>
                              <w:rFonts w:ascii="Calibri"/>
                              <w:spacing w:val="-5"/>
                            </w:rPr>
                            <w:t>3</w:t>
                          </w:r>
                          <w:r>
                            <w:rPr>
                              <w:rFonts w:ascii="Calibri"/>
                              <w:spacing w:val="-5"/>
                            </w:rPr>
                            <w:fldChar w:fldCharType="begin"/>
                          </w:r>
                          <w:r>
                            <w:rPr>
                              <w:rFonts w:ascii="Calibri"/>
                              <w:spacing w:val="-5"/>
                            </w:rPr>
                            <w:instrText> PAGE </w:instrText>
                          </w:r>
                          <w:r>
                            <w:rPr>
                              <w:rFonts w:ascii="Calibri"/>
                              <w:spacing w:val="-5"/>
                            </w:rPr>
                            <w:fldChar w:fldCharType="separate"/>
                          </w:r>
                          <w:r>
                            <w:rPr>
                              <w:rFonts w:ascii="Calibri"/>
                              <w:spacing w:val="-5"/>
                            </w:rPr>
                            <w:t>1</w:t>
                          </w:r>
                          <w:r>
                            <w:rPr>
                              <w:rFonts w:ascii="Calibri"/>
                              <w:spacing w:val="-5"/>
                            </w:rPr>
                            <w:fldChar w:fldCharType="end"/>
                          </w:r>
                        </w:p>
                      </w:txbxContent>
                    </wps:txbx>
                    <wps:bodyPr wrap="square" lIns="0" tIns="0" rIns="0" bIns="0" rtlCol="0">
                      <a:noAutofit/>
                    </wps:bodyPr>
                  </wps:wsp>
                </a:graphicData>
              </a:graphic>
            </wp:anchor>
          </w:drawing>
        </mc:Choice>
        <mc:Fallback>
          <w:pict>
            <v:shape style="position:absolute;margin-left:292.303131pt;margin-top:697.317505pt;width:18.05pt;height:14.75pt;mso-position-horizontal-relative:page;mso-position-vertical-relative:page;z-index:-17337344" type="#_x0000_t202" id="docshape9" filled="false" stroked="false">
              <v:textbox inset="0,0,0,0">
                <w:txbxContent>
                  <w:p>
                    <w:pPr>
                      <w:pStyle w:val="BodyText"/>
                      <w:spacing w:line="278" w:lineRule="exact"/>
                      <w:ind w:left="20"/>
                      <w:rPr>
                        <w:rFonts w:ascii="Calibri"/>
                      </w:rPr>
                    </w:pPr>
                    <w:r>
                      <w:rPr>
                        <w:rFonts w:ascii="Calibri"/>
                        <w:spacing w:val="-5"/>
                      </w:rPr>
                      <w:t>3</w:t>
                    </w:r>
                    <w:r>
                      <w:rPr>
                        <w:rFonts w:ascii="Calibri"/>
                        <w:spacing w:val="-5"/>
                      </w:rPr>
                      <w:fldChar w:fldCharType="begin"/>
                    </w:r>
                    <w:r>
                      <w:rPr>
                        <w:rFonts w:ascii="Calibri"/>
                        <w:spacing w:val="-5"/>
                      </w:rPr>
                      <w:instrText> PAGE </w:instrText>
                    </w:r>
                    <w:r>
                      <w:rPr>
                        <w:rFonts w:ascii="Calibri"/>
                        <w:spacing w:val="-5"/>
                      </w:rPr>
                      <w:fldChar w:fldCharType="separate"/>
                    </w:r>
                    <w:r>
                      <w:rPr>
                        <w:rFonts w:ascii="Calibri"/>
                        <w:spacing w:val="-5"/>
                      </w:rPr>
                      <w:t>1</w:t>
                    </w:r>
                    <w:r>
                      <w:rPr>
                        <w:rFonts w:ascii="Calibri"/>
                        <w:spacing w:val="-5"/>
                      </w:rPr>
                      <w:fldChar w:fldCharType="end"/>
                    </w:r>
                  </w:p>
                </w:txbxContent>
              </v:textbox>
              <w10:wrap type="none"/>
            </v:shape>
          </w:pict>
        </mc:Fallback>
      </mc:AlternateContent>
    </w:r>
  </w:p>
</w:ftr>
</file>

<file path=word/footer1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979648">
              <wp:simplePos x="0" y="0"/>
              <wp:positionH relativeFrom="page">
                <wp:posOffset>3712249</wp:posOffset>
              </wp:positionH>
              <wp:positionV relativeFrom="page">
                <wp:posOffset>8855932</wp:posOffset>
              </wp:positionV>
              <wp:extent cx="191135" cy="187325"/>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191135" cy="187325"/>
                      </a:xfrm>
                      <a:prstGeom prst="rect">
                        <a:avLst/>
                      </a:prstGeom>
                    </wps:spPr>
                    <wps:txbx>
                      <w:txbxContent>
                        <w:p>
                          <w:pPr>
                            <w:pStyle w:val="BodyText"/>
                            <w:spacing w:line="278" w:lineRule="exact"/>
                            <w:ind w:left="20"/>
                            <w:rPr>
                              <w:rFonts w:ascii="Calibri"/>
                            </w:rPr>
                          </w:pPr>
                          <w:r>
                            <w:rPr>
                              <w:rFonts w:ascii="Calibri"/>
                              <w:spacing w:val="-5"/>
                            </w:rPr>
                            <w:t>40</w:t>
                          </w:r>
                        </w:p>
                      </w:txbxContent>
                    </wps:txbx>
                    <wps:bodyPr wrap="square" lIns="0" tIns="0" rIns="0" bIns="0" rtlCol="0">
                      <a:noAutofit/>
                    </wps:bodyPr>
                  </wps:wsp>
                </a:graphicData>
              </a:graphic>
            </wp:anchor>
          </w:drawing>
        </mc:Choice>
        <mc:Fallback>
          <w:pict>
            <v:shape style="position:absolute;margin-left:292.303131pt;margin-top:697.317505pt;width:15.05pt;height:14.75pt;mso-position-horizontal-relative:page;mso-position-vertical-relative:page;z-index:-17336832" type="#_x0000_t202" id="docshape10" filled="false" stroked="false">
              <v:textbox inset="0,0,0,0">
                <w:txbxContent>
                  <w:p>
                    <w:pPr>
                      <w:pStyle w:val="BodyText"/>
                      <w:spacing w:line="278" w:lineRule="exact"/>
                      <w:ind w:left="20"/>
                      <w:rPr>
                        <w:rFonts w:ascii="Calibri"/>
                      </w:rPr>
                    </w:pPr>
                    <w:r>
                      <w:rPr>
                        <w:rFonts w:ascii="Calibri"/>
                        <w:spacing w:val="-5"/>
                      </w:rPr>
                      <w:t>40</w:t>
                    </w:r>
                  </w:p>
                </w:txbxContent>
              </v:textbox>
              <w10:wrap type="none"/>
            </v:shape>
          </w:pict>
        </mc:Fallback>
      </mc:AlternateContent>
    </w:r>
  </w:p>
</w:ftr>
</file>

<file path=word/footer1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980160">
              <wp:simplePos x="0" y="0"/>
              <wp:positionH relativeFrom="page">
                <wp:posOffset>3712249</wp:posOffset>
              </wp:positionH>
              <wp:positionV relativeFrom="page">
                <wp:posOffset>8855932</wp:posOffset>
              </wp:positionV>
              <wp:extent cx="229235" cy="187325"/>
              <wp:effectExtent l="0" t="0" r="0" b="0"/>
              <wp:wrapNone/>
              <wp:docPr id="14" name="Textbox 14"/>
              <wp:cNvGraphicFramePr>
                <a:graphicFrameLocks/>
              </wp:cNvGraphicFramePr>
              <a:graphic>
                <a:graphicData uri="http://schemas.microsoft.com/office/word/2010/wordprocessingShape">
                  <wps:wsp>
                    <wps:cNvPr id="14" name="Textbox 14"/>
                    <wps:cNvSpPr txBox="1"/>
                    <wps:spPr>
                      <a:xfrm>
                        <a:off x="0" y="0"/>
                        <a:ext cx="229235" cy="187325"/>
                      </a:xfrm>
                      <a:prstGeom prst="rect">
                        <a:avLst/>
                      </a:prstGeom>
                    </wps:spPr>
                    <wps:txbx>
                      <w:txbxContent>
                        <w:p>
                          <w:pPr>
                            <w:pStyle w:val="BodyText"/>
                            <w:spacing w:line="278" w:lineRule="exact"/>
                            <w:ind w:left="20"/>
                            <w:rPr>
                              <w:rFonts w:ascii="Calibri"/>
                            </w:rPr>
                          </w:pPr>
                          <w:r>
                            <w:rPr>
                              <w:rFonts w:ascii="Calibri"/>
                              <w:spacing w:val="-5"/>
                            </w:rPr>
                            <w:t>4</w:t>
                          </w:r>
                          <w:r>
                            <w:rPr>
                              <w:rFonts w:ascii="Calibri"/>
                              <w:spacing w:val="-5"/>
                            </w:rPr>
                            <w:fldChar w:fldCharType="begin"/>
                          </w:r>
                          <w:r>
                            <w:rPr>
                              <w:rFonts w:ascii="Calibri"/>
                              <w:spacing w:val="-5"/>
                            </w:rPr>
                            <w:instrText> PAGE </w:instrText>
                          </w:r>
                          <w:r>
                            <w:rPr>
                              <w:rFonts w:ascii="Calibri"/>
                              <w:spacing w:val="-5"/>
                            </w:rPr>
                            <w:fldChar w:fldCharType="separate"/>
                          </w:r>
                          <w:r>
                            <w:rPr>
                              <w:rFonts w:ascii="Calibri"/>
                              <w:spacing w:val="-5"/>
                            </w:rPr>
                            <w:t>1</w:t>
                          </w:r>
                          <w:r>
                            <w:rPr>
                              <w:rFonts w:ascii="Calibri"/>
                              <w:spacing w:val="-5"/>
                            </w:rPr>
                            <w:fldChar w:fldCharType="end"/>
                          </w:r>
                        </w:p>
                      </w:txbxContent>
                    </wps:txbx>
                    <wps:bodyPr wrap="square" lIns="0" tIns="0" rIns="0" bIns="0" rtlCol="0">
                      <a:noAutofit/>
                    </wps:bodyPr>
                  </wps:wsp>
                </a:graphicData>
              </a:graphic>
            </wp:anchor>
          </w:drawing>
        </mc:Choice>
        <mc:Fallback>
          <w:pict>
            <v:shape style="position:absolute;margin-left:292.303131pt;margin-top:697.317505pt;width:18.05pt;height:14.75pt;mso-position-horizontal-relative:page;mso-position-vertical-relative:page;z-index:-17336320" type="#_x0000_t202" id="docshape12" filled="false" stroked="false">
              <v:textbox inset="0,0,0,0">
                <w:txbxContent>
                  <w:p>
                    <w:pPr>
                      <w:pStyle w:val="BodyText"/>
                      <w:spacing w:line="278" w:lineRule="exact"/>
                      <w:ind w:left="20"/>
                      <w:rPr>
                        <w:rFonts w:ascii="Calibri"/>
                      </w:rPr>
                    </w:pPr>
                    <w:r>
                      <w:rPr>
                        <w:rFonts w:ascii="Calibri"/>
                        <w:spacing w:val="-5"/>
                      </w:rPr>
                      <w:t>4</w:t>
                    </w:r>
                    <w:r>
                      <w:rPr>
                        <w:rFonts w:ascii="Calibri"/>
                        <w:spacing w:val="-5"/>
                      </w:rPr>
                      <w:fldChar w:fldCharType="begin"/>
                    </w:r>
                    <w:r>
                      <w:rPr>
                        <w:rFonts w:ascii="Calibri"/>
                        <w:spacing w:val="-5"/>
                      </w:rPr>
                      <w:instrText> PAGE </w:instrText>
                    </w:r>
                    <w:r>
                      <w:rPr>
                        <w:rFonts w:ascii="Calibri"/>
                        <w:spacing w:val="-5"/>
                      </w:rPr>
                      <w:fldChar w:fldCharType="separate"/>
                    </w:r>
                    <w:r>
                      <w:rPr>
                        <w:rFonts w:ascii="Calibri"/>
                        <w:spacing w:val="-5"/>
                      </w:rPr>
                      <w:t>1</w:t>
                    </w:r>
                    <w:r>
                      <w:rPr>
                        <w:rFonts w:ascii="Calibri"/>
                        <w:spacing w:val="-5"/>
                      </w:rPr>
                      <w:fldChar w:fldCharType="end"/>
                    </w:r>
                  </w:p>
                </w:txbxContent>
              </v:textbox>
              <w10:wrap type="none"/>
            </v:shape>
          </w:pict>
        </mc:Fallback>
      </mc:AlternateContent>
    </w:r>
  </w:p>
</w:ftr>
</file>

<file path=word/footer1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980672">
              <wp:simplePos x="0" y="0"/>
              <wp:positionH relativeFrom="page">
                <wp:posOffset>3712249</wp:posOffset>
              </wp:positionH>
              <wp:positionV relativeFrom="page">
                <wp:posOffset>8855932</wp:posOffset>
              </wp:positionV>
              <wp:extent cx="191135" cy="187325"/>
              <wp:effectExtent l="0" t="0" r="0" b="0"/>
              <wp:wrapNone/>
              <wp:docPr id="16" name="Textbox 16"/>
              <wp:cNvGraphicFramePr>
                <a:graphicFrameLocks/>
              </wp:cNvGraphicFramePr>
              <a:graphic>
                <a:graphicData uri="http://schemas.microsoft.com/office/word/2010/wordprocessingShape">
                  <wps:wsp>
                    <wps:cNvPr id="16" name="Textbox 16"/>
                    <wps:cNvSpPr txBox="1"/>
                    <wps:spPr>
                      <a:xfrm>
                        <a:off x="0" y="0"/>
                        <a:ext cx="191135" cy="187325"/>
                      </a:xfrm>
                      <a:prstGeom prst="rect">
                        <a:avLst/>
                      </a:prstGeom>
                    </wps:spPr>
                    <wps:txbx>
                      <w:txbxContent>
                        <w:p>
                          <w:pPr>
                            <w:pStyle w:val="BodyText"/>
                            <w:spacing w:line="278" w:lineRule="exact"/>
                            <w:ind w:left="20"/>
                            <w:rPr>
                              <w:rFonts w:ascii="Calibri"/>
                            </w:rPr>
                          </w:pPr>
                          <w:r>
                            <w:rPr>
                              <w:rFonts w:ascii="Calibri"/>
                              <w:spacing w:val="-5"/>
                            </w:rPr>
                            <w:t>50</w:t>
                          </w:r>
                        </w:p>
                      </w:txbxContent>
                    </wps:txbx>
                    <wps:bodyPr wrap="square" lIns="0" tIns="0" rIns="0" bIns="0" rtlCol="0">
                      <a:noAutofit/>
                    </wps:bodyPr>
                  </wps:wsp>
                </a:graphicData>
              </a:graphic>
            </wp:anchor>
          </w:drawing>
        </mc:Choice>
        <mc:Fallback>
          <w:pict>
            <v:shape style="position:absolute;margin-left:292.303131pt;margin-top:697.317505pt;width:15.05pt;height:14.75pt;mso-position-horizontal-relative:page;mso-position-vertical-relative:page;z-index:-17335808" type="#_x0000_t202" id="docshape13" filled="false" stroked="false">
              <v:textbox inset="0,0,0,0">
                <w:txbxContent>
                  <w:p>
                    <w:pPr>
                      <w:pStyle w:val="BodyText"/>
                      <w:spacing w:line="278" w:lineRule="exact"/>
                      <w:ind w:left="20"/>
                      <w:rPr>
                        <w:rFonts w:ascii="Calibri"/>
                      </w:rPr>
                    </w:pPr>
                    <w:r>
                      <w:rPr>
                        <w:rFonts w:ascii="Calibri"/>
                        <w:spacing w:val="-5"/>
                      </w:rPr>
                      <w:t>50</w:t>
                    </w:r>
                  </w:p>
                </w:txbxContent>
              </v:textbox>
              <w10:wrap type="none"/>
            </v:shape>
          </w:pict>
        </mc:Fallback>
      </mc:AlternateContent>
    </w:r>
  </w:p>
</w:ftr>
</file>

<file path=word/footer1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981184">
              <wp:simplePos x="0" y="0"/>
              <wp:positionH relativeFrom="page">
                <wp:posOffset>3712249</wp:posOffset>
              </wp:positionH>
              <wp:positionV relativeFrom="page">
                <wp:posOffset>8855932</wp:posOffset>
              </wp:positionV>
              <wp:extent cx="229235" cy="187325"/>
              <wp:effectExtent l="0" t="0" r="0" b="0"/>
              <wp:wrapNone/>
              <wp:docPr id="17" name="Textbox 17"/>
              <wp:cNvGraphicFramePr>
                <a:graphicFrameLocks/>
              </wp:cNvGraphicFramePr>
              <a:graphic>
                <a:graphicData uri="http://schemas.microsoft.com/office/word/2010/wordprocessingShape">
                  <wps:wsp>
                    <wps:cNvPr id="17" name="Textbox 17"/>
                    <wps:cNvSpPr txBox="1"/>
                    <wps:spPr>
                      <a:xfrm>
                        <a:off x="0" y="0"/>
                        <a:ext cx="229235" cy="187325"/>
                      </a:xfrm>
                      <a:prstGeom prst="rect">
                        <a:avLst/>
                      </a:prstGeom>
                    </wps:spPr>
                    <wps:txbx>
                      <w:txbxContent>
                        <w:p>
                          <w:pPr>
                            <w:pStyle w:val="BodyText"/>
                            <w:spacing w:line="278" w:lineRule="exact"/>
                            <w:ind w:left="20"/>
                            <w:rPr>
                              <w:rFonts w:ascii="Calibri"/>
                            </w:rPr>
                          </w:pPr>
                          <w:r>
                            <w:rPr>
                              <w:rFonts w:ascii="Calibri"/>
                              <w:spacing w:val="-5"/>
                            </w:rPr>
                            <w:t>5</w:t>
                          </w:r>
                          <w:r>
                            <w:rPr>
                              <w:rFonts w:ascii="Calibri"/>
                              <w:spacing w:val="-5"/>
                            </w:rPr>
                            <w:fldChar w:fldCharType="begin"/>
                          </w:r>
                          <w:r>
                            <w:rPr>
                              <w:rFonts w:ascii="Calibri"/>
                              <w:spacing w:val="-5"/>
                            </w:rPr>
                            <w:instrText> PAGE </w:instrText>
                          </w:r>
                          <w:r>
                            <w:rPr>
                              <w:rFonts w:ascii="Calibri"/>
                              <w:spacing w:val="-5"/>
                            </w:rPr>
                            <w:fldChar w:fldCharType="separate"/>
                          </w:r>
                          <w:r>
                            <w:rPr>
                              <w:rFonts w:ascii="Calibri"/>
                              <w:spacing w:val="-5"/>
                            </w:rPr>
                            <w:t>1</w:t>
                          </w:r>
                          <w:r>
                            <w:rPr>
                              <w:rFonts w:ascii="Calibri"/>
                              <w:spacing w:val="-5"/>
                            </w:rPr>
                            <w:fldChar w:fldCharType="end"/>
                          </w:r>
                        </w:p>
                      </w:txbxContent>
                    </wps:txbx>
                    <wps:bodyPr wrap="square" lIns="0" tIns="0" rIns="0" bIns="0" rtlCol="0">
                      <a:noAutofit/>
                    </wps:bodyPr>
                  </wps:wsp>
                </a:graphicData>
              </a:graphic>
            </wp:anchor>
          </w:drawing>
        </mc:Choice>
        <mc:Fallback>
          <w:pict>
            <v:shape style="position:absolute;margin-left:292.303131pt;margin-top:697.317505pt;width:18.05pt;height:14.75pt;mso-position-horizontal-relative:page;mso-position-vertical-relative:page;z-index:-17335296" type="#_x0000_t202" id="docshape14" filled="false" stroked="false">
              <v:textbox inset="0,0,0,0">
                <w:txbxContent>
                  <w:p>
                    <w:pPr>
                      <w:pStyle w:val="BodyText"/>
                      <w:spacing w:line="278" w:lineRule="exact"/>
                      <w:ind w:left="20"/>
                      <w:rPr>
                        <w:rFonts w:ascii="Calibri"/>
                      </w:rPr>
                    </w:pPr>
                    <w:r>
                      <w:rPr>
                        <w:rFonts w:ascii="Calibri"/>
                        <w:spacing w:val="-5"/>
                      </w:rPr>
                      <w:t>5</w:t>
                    </w:r>
                    <w:r>
                      <w:rPr>
                        <w:rFonts w:ascii="Calibri"/>
                        <w:spacing w:val="-5"/>
                      </w:rPr>
                      <w:fldChar w:fldCharType="begin"/>
                    </w:r>
                    <w:r>
                      <w:rPr>
                        <w:rFonts w:ascii="Calibri"/>
                        <w:spacing w:val="-5"/>
                      </w:rPr>
                      <w:instrText> PAGE </w:instrText>
                    </w:r>
                    <w:r>
                      <w:rPr>
                        <w:rFonts w:ascii="Calibri"/>
                        <w:spacing w:val="-5"/>
                      </w:rPr>
                      <w:fldChar w:fldCharType="separate"/>
                    </w:r>
                    <w:r>
                      <w:rPr>
                        <w:rFonts w:ascii="Calibri"/>
                        <w:spacing w:val="-5"/>
                      </w:rPr>
                      <w:t>1</w:t>
                    </w:r>
                    <w:r>
                      <w:rPr>
                        <w:rFonts w:ascii="Calibri"/>
                        <w:spacing w:val="-5"/>
                      </w:rPr>
                      <w:fldChar w:fldCharType="end"/>
                    </w:r>
                  </w:p>
                </w:txbxContent>
              </v:textbox>
              <w10:wrap type="none"/>
            </v:shape>
          </w:pict>
        </mc:Fallback>
      </mc:AlternateContent>
    </w:r>
  </w:p>
</w:ftr>
</file>

<file path=word/footer1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981696">
              <wp:simplePos x="0" y="0"/>
              <wp:positionH relativeFrom="page">
                <wp:posOffset>3712249</wp:posOffset>
              </wp:positionH>
              <wp:positionV relativeFrom="page">
                <wp:posOffset>8855932</wp:posOffset>
              </wp:positionV>
              <wp:extent cx="191135" cy="187325"/>
              <wp:effectExtent l="0" t="0" r="0" b="0"/>
              <wp:wrapNone/>
              <wp:docPr id="18" name="Textbox 18"/>
              <wp:cNvGraphicFramePr>
                <a:graphicFrameLocks/>
              </wp:cNvGraphicFramePr>
              <a:graphic>
                <a:graphicData uri="http://schemas.microsoft.com/office/word/2010/wordprocessingShape">
                  <wps:wsp>
                    <wps:cNvPr id="18" name="Textbox 18"/>
                    <wps:cNvSpPr txBox="1"/>
                    <wps:spPr>
                      <a:xfrm>
                        <a:off x="0" y="0"/>
                        <a:ext cx="191135" cy="187325"/>
                      </a:xfrm>
                      <a:prstGeom prst="rect">
                        <a:avLst/>
                      </a:prstGeom>
                    </wps:spPr>
                    <wps:txbx>
                      <w:txbxContent>
                        <w:p>
                          <w:pPr>
                            <w:pStyle w:val="BodyText"/>
                            <w:spacing w:line="278" w:lineRule="exact"/>
                            <w:ind w:left="20"/>
                            <w:rPr>
                              <w:rFonts w:ascii="Calibri"/>
                            </w:rPr>
                          </w:pPr>
                          <w:r>
                            <w:rPr>
                              <w:rFonts w:ascii="Calibri"/>
                              <w:spacing w:val="-5"/>
                            </w:rPr>
                            <w:t>60</w:t>
                          </w:r>
                        </w:p>
                      </w:txbxContent>
                    </wps:txbx>
                    <wps:bodyPr wrap="square" lIns="0" tIns="0" rIns="0" bIns="0" rtlCol="0">
                      <a:noAutofit/>
                    </wps:bodyPr>
                  </wps:wsp>
                </a:graphicData>
              </a:graphic>
            </wp:anchor>
          </w:drawing>
        </mc:Choice>
        <mc:Fallback>
          <w:pict>
            <v:shape style="position:absolute;margin-left:292.303131pt;margin-top:697.317505pt;width:15.05pt;height:14.75pt;mso-position-horizontal-relative:page;mso-position-vertical-relative:page;z-index:-17334784" type="#_x0000_t202" id="docshape15" filled="false" stroked="false">
              <v:textbox inset="0,0,0,0">
                <w:txbxContent>
                  <w:p>
                    <w:pPr>
                      <w:pStyle w:val="BodyText"/>
                      <w:spacing w:line="278" w:lineRule="exact"/>
                      <w:ind w:left="20"/>
                      <w:rPr>
                        <w:rFonts w:ascii="Calibri"/>
                      </w:rPr>
                    </w:pPr>
                    <w:r>
                      <w:rPr>
                        <w:rFonts w:ascii="Calibri"/>
                        <w:spacing w:val="-5"/>
                      </w:rPr>
                      <w:t>60</w:t>
                    </w:r>
                  </w:p>
                </w:txbxContent>
              </v:textbox>
              <w10:wrap type="none"/>
            </v:shape>
          </w:pict>
        </mc:Fallback>
      </mc:AlternateContent>
    </w:r>
  </w:p>
</w:ftr>
</file>

<file path=word/footer1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982208">
              <wp:simplePos x="0" y="0"/>
              <wp:positionH relativeFrom="page">
                <wp:posOffset>3712249</wp:posOffset>
              </wp:positionH>
              <wp:positionV relativeFrom="page">
                <wp:posOffset>8855932</wp:posOffset>
              </wp:positionV>
              <wp:extent cx="229235" cy="187325"/>
              <wp:effectExtent l="0" t="0" r="0" b="0"/>
              <wp:wrapNone/>
              <wp:docPr id="19" name="Textbox 19"/>
              <wp:cNvGraphicFramePr>
                <a:graphicFrameLocks/>
              </wp:cNvGraphicFramePr>
              <a:graphic>
                <a:graphicData uri="http://schemas.microsoft.com/office/word/2010/wordprocessingShape">
                  <wps:wsp>
                    <wps:cNvPr id="19" name="Textbox 19"/>
                    <wps:cNvSpPr txBox="1"/>
                    <wps:spPr>
                      <a:xfrm>
                        <a:off x="0" y="0"/>
                        <a:ext cx="229235" cy="187325"/>
                      </a:xfrm>
                      <a:prstGeom prst="rect">
                        <a:avLst/>
                      </a:prstGeom>
                    </wps:spPr>
                    <wps:txbx>
                      <w:txbxContent>
                        <w:p>
                          <w:pPr>
                            <w:pStyle w:val="BodyText"/>
                            <w:spacing w:line="278" w:lineRule="exact"/>
                            <w:ind w:left="20"/>
                            <w:rPr>
                              <w:rFonts w:ascii="Calibri"/>
                            </w:rPr>
                          </w:pPr>
                          <w:r>
                            <w:rPr>
                              <w:rFonts w:ascii="Calibri"/>
                              <w:spacing w:val="-5"/>
                            </w:rPr>
                            <w:t>6</w:t>
                          </w:r>
                          <w:r>
                            <w:rPr>
                              <w:rFonts w:ascii="Calibri"/>
                              <w:spacing w:val="-5"/>
                            </w:rPr>
                            <w:fldChar w:fldCharType="begin"/>
                          </w:r>
                          <w:r>
                            <w:rPr>
                              <w:rFonts w:ascii="Calibri"/>
                              <w:spacing w:val="-5"/>
                            </w:rPr>
                            <w:instrText> PAGE </w:instrText>
                          </w:r>
                          <w:r>
                            <w:rPr>
                              <w:rFonts w:ascii="Calibri"/>
                              <w:spacing w:val="-5"/>
                            </w:rPr>
                            <w:fldChar w:fldCharType="separate"/>
                          </w:r>
                          <w:r>
                            <w:rPr>
                              <w:rFonts w:ascii="Calibri"/>
                              <w:spacing w:val="-5"/>
                            </w:rPr>
                            <w:t>1</w:t>
                          </w:r>
                          <w:r>
                            <w:rPr>
                              <w:rFonts w:ascii="Calibri"/>
                              <w:spacing w:val="-5"/>
                            </w:rPr>
                            <w:fldChar w:fldCharType="end"/>
                          </w:r>
                        </w:p>
                      </w:txbxContent>
                    </wps:txbx>
                    <wps:bodyPr wrap="square" lIns="0" tIns="0" rIns="0" bIns="0" rtlCol="0">
                      <a:noAutofit/>
                    </wps:bodyPr>
                  </wps:wsp>
                </a:graphicData>
              </a:graphic>
            </wp:anchor>
          </w:drawing>
        </mc:Choice>
        <mc:Fallback>
          <w:pict>
            <v:shape style="position:absolute;margin-left:292.303131pt;margin-top:697.317505pt;width:18.05pt;height:14.75pt;mso-position-horizontal-relative:page;mso-position-vertical-relative:page;z-index:-17334272" type="#_x0000_t202" id="docshape16" filled="false" stroked="false">
              <v:textbox inset="0,0,0,0">
                <w:txbxContent>
                  <w:p>
                    <w:pPr>
                      <w:pStyle w:val="BodyText"/>
                      <w:spacing w:line="278" w:lineRule="exact"/>
                      <w:ind w:left="20"/>
                      <w:rPr>
                        <w:rFonts w:ascii="Calibri"/>
                      </w:rPr>
                    </w:pPr>
                    <w:r>
                      <w:rPr>
                        <w:rFonts w:ascii="Calibri"/>
                        <w:spacing w:val="-5"/>
                      </w:rPr>
                      <w:t>6</w:t>
                    </w:r>
                    <w:r>
                      <w:rPr>
                        <w:rFonts w:ascii="Calibri"/>
                        <w:spacing w:val="-5"/>
                      </w:rPr>
                      <w:fldChar w:fldCharType="begin"/>
                    </w:r>
                    <w:r>
                      <w:rPr>
                        <w:rFonts w:ascii="Calibri"/>
                        <w:spacing w:val="-5"/>
                      </w:rPr>
                      <w:instrText> PAGE </w:instrText>
                    </w:r>
                    <w:r>
                      <w:rPr>
                        <w:rFonts w:ascii="Calibri"/>
                        <w:spacing w:val="-5"/>
                      </w:rPr>
                      <w:fldChar w:fldCharType="separate"/>
                    </w:r>
                    <w:r>
                      <w:rPr>
                        <w:rFonts w:ascii="Calibri"/>
                        <w:spacing w:val="-5"/>
                      </w:rPr>
                      <w:t>1</w:t>
                    </w:r>
                    <w:r>
                      <w:rPr>
                        <w:rFonts w:ascii="Calibri"/>
                        <w:spacing w:val="-5"/>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975552">
              <wp:simplePos x="0" y="0"/>
              <wp:positionH relativeFrom="page">
                <wp:posOffset>6555105</wp:posOffset>
              </wp:positionH>
              <wp:positionV relativeFrom="page">
                <wp:posOffset>9678111</wp:posOffset>
              </wp:positionV>
              <wp:extent cx="88900" cy="16573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88900" cy="165735"/>
                      </a:xfrm>
                      <a:prstGeom prst="rect">
                        <a:avLst/>
                      </a:prstGeom>
                    </wps:spPr>
                    <wps:txbx>
                      <w:txbxContent>
                        <w:p>
                          <w:pPr>
                            <w:spacing w:line="245" w:lineRule="exact" w:before="0"/>
                            <w:ind w:left="20" w:right="0" w:firstLine="0"/>
                            <w:jc w:val="left"/>
                            <w:rPr>
                              <w:rFonts w:ascii="Calibri"/>
                              <w:sz w:val="22"/>
                            </w:rPr>
                          </w:pPr>
                          <w:r>
                            <w:rPr>
                              <w:rFonts w:ascii="Calibri"/>
                              <w:spacing w:val="-10"/>
                              <w:sz w:val="22"/>
                            </w:rPr>
                            <w:t>v</w:t>
                          </w:r>
                        </w:p>
                      </w:txbxContent>
                    </wps:txbx>
                    <wps:bodyPr wrap="square" lIns="0" tIns="0" rIns="0" bIns="0" rtlCol="0">
                      <a:noAutofit/>
                    </wps:bodyPr>
                  </wps:wsp>
                </a:graphicData>
              </a:graphic>
            </wp:anchor>
          </w:drawing>
        </mc:Choice>
        <mc:Fallback>
          <w:pict>
            <v:shape style="position:absolute;margin-left:516.150024pt;margin-top:762.05603pt;width:7pt;height:13.05pt;mso-position-horizontal-relative:page;mso-position-vertical-relative:page;z-index:-17340928" type="#_x0000_t202" id="docshape2" filled="false" stroked="false">
              <v:textbox inset="0,0,0,0">
                <w:txbxContent>
                  <w:p>
                    <w:pPr>
                      <w:spacing w:line="245" w:lineRule="exact" w:before="0"/>
                      <w:ind w:left="20" w:right="0" w:firstLine="0"/>
                      <w:jc w:val="left"/>
                      <w:rPr>
                        <w:rFonts w:ascii="Calibri"/>
                        <w:sz w:val="22"/>
                      </w:rPr>
                    </w:pPr>
                    <w:r>
                      <w:rPr>
                        <w:rFonts w:ascii="Calibri"/>
                        <w:spacing w:val="-10"/>
                        <w:sz w:val="22"/>
                      </w:rPr>
                      <w:t>v</w:t>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976064">
              <wp:simplePos x="0" y="0"/>
              <wp:positionH relativeFrom="page">
                <wp:posOffset>3728950</wp:posOffset>
              </wp:positionH>
              <wp:positionV relativeFrom="page">
                <wp:posOffset>8855932</wp:posOffset>
              </wp:positionV>
              <wp:extent cx="171450" cy="18732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71450" cy="187325"/>
                      </a:xfrm>
                      <a:prstGeom prst="rect">
                        <a:avLst/>
                      </a:prstGeom>
                    </wps:spPr>
                    <wps:txbx>
                      <w:txbxContent>
                        <w:p>
                          <w:pPr>
                            <w:pStyle w:val="BodyText"/>
                            <w:spacing w:line="278" w:lineRule="exact"/>
                            <w:ind w:left="60"/>
                            <w:rPr>
                              <w:rFonts w:ascii="Calibri"/>
                            </w:rPr>
                          </w:pPr>
                          <w:r>
                            <w:rPr>
                              <w:rFonts w:ascii="Calibri"/>
                              <w:spacing w:val="-10"/>
                            </w:rPr>
                            <w:fldChar w:fldCharType="begin"/>
                          </w:r>
                          <w:r>
                            <w:rPr>
                              <w:rFonts w:ascii="Calibri"/>
                              <w:spacing w:val="-10"/>
                            </w:rPr>
                            <w:instrText>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 style="position:absolute;margin-left:293.618134pt;margin-top:697.317505pt;width:13.5pt;height:14.75pt;mso-position-horizontal-relative:page;mso-position-vertical-relative:page;z-index:-17340416" type="#_x0000_t202" id="docshape3" filled="false" stroked="false">
              <v:textbox inset="0,0,0,0">
                <w:txbxContent>
                  <w:p>
                    <w:pPr>
                      <w:pStyle w:val="BodyText"/>
                      <w:spacing w:line="278" w:lineRule="exact"/>
                      <w:ind w:left="60"/>
                      <w:rPr>
                        <w:rFonts w:ascii="Calibri"/>
                      </w:rPr>
                    </w:pPr>
                    <w:r>
                      <w:rPr>
                        <w:rFonts w:ascii="Calibri"/>
                        <w:spacing w:val="-10"/>
                      </w:rPr>
                      <w:fldChar w:fldCharType="begin"/>
                    </w:r>
                    <w:r>
                      <w:rPr>
                        <w:rFonts w:ascii="Calibri"/>
                        <w:spacing w:val="-10"/>
                      </w:rPr>
                      <w:instrText> PAGE </w:instrText>
                    </w:r>
                    <w:r>
                      <w:rPr>
                        <w:rFonts w:ascii="Calibri"/>
                        <w:spacing w:val="-10"/>
                      </w:rPr>
                      <w:fldChar w:fldCharType="separate"/>
                    </w:r>
                    <w:r>
                      <w:rPr>
                        <w:rFonts w:ascii="Calibri"/>
                        <w:spacing w:val="-10"/>
                      </w:rPr>
                      <w:t>1</w:t>
                    </w:r>
                    <w:r>
                      <w:rPr>
                        <w:rFonts w:ascii="Calibri"/>
                        <w:spacing w:val="-10"/>
                      </w:rPr>
                      <w:fldChar w:fldCharType="end"/>
                    </w: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976576">
              <wp:simplePos x="0" y="0"/>
              <wp:positionH relativeFrom="page">
                <wp:posOffset>3712249</wp:posOffset>
              </wp:positionH>
              <wp:positionV relativeFrom="page">
                <wp:posOffset>8855932</wp:posOffset>
              </wp:positionV>
              <wp:extent cx="191135" cy="18732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191135" cy="187325"/>
                      </a:xfrm>
                      <a:prstGeom prst="rect">
                        <a:avLst/>
                      </a:prstGeom>
                    </wps:spPr>
                    <wps:txbx>
                      <w:txbxContent>
                        <w:p>
                          <w:pPr>
                            <w:pStyle w:val="BodyText"/>
                            <w:spacing w:line="278" w:lineRule="exact"/>
                            <w:ind w:left="20"/>
                            <w:rPr>
                              <w:rFonts w:ascii="Calibri"/>
                            </w:rPr>
                          </w:pPr>
                          <w:r>
                            <w:rPr>
                              <w:rFonts w:ascii="Calibri"/>
                              <w:spacing w:val="-5"/>
                            </w:rPr>
                            <w:t>10</w:t>
                          </w:r>
                        </w:p>
                      </w:txbxContent>
                    </wps:txbx>
                    <wps:bodyPr wrap="square" lIns="0" tIns="0" rIns="0" bIns="0" rtlCol="0">
                      <a:noAutofit/>
                    </wps:bodyPr>
                  </wps:wsp>
                </a:graphicData>
              </a:graphic>
            </wp:anchor>
          </w:drawing>
        </mc:Choice>
        <mc:Fallback>
          <w:pict>
            <v:shape style="position:absolute;margin-left:292.303131pt;margin-top:697.317505pt;width:15.05pt;height:14.75pt;mso-position-horizontal-relative:page;mso-position-vertical-relative:page;z-index:-17339904" type="#_x0000_t202" id="docshape4" filled="false" stroked="false">
              <v:textbox inset="0,0,0,0">
                <w:txbxContent>
                  <w:p>
                    <w:pPr>
                      <w:pStyle w:val="BodyText"/>
                      <w:spacing w:line="278" w:lineRule="exact"/>
                      <w:ind w:left="20"/>
                      <w:rPr>
                        <w:rFonts w:ascii="Calibri"/>
                      </w:rPr>
                    </w:pPr>
                    <w:r>
                      <w:rPr>
                        <w:rFonts w:ascii="Calibri"/>
                        <w:spacing w:val="-5"/>
                      </w:rPr>
                      <w:t>10</w:t>
                    </w:r>
                  </w:p>
                </w:txbxContent>
              </v:textbox>
              <w10:wrap type="none"/>
            </v:shape>
          </w:pict>
        </mc:Fallback>
      </mc:AlternateContent>
    </w: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977088">
              <wp:simplePos x="0" y="0"/>
              <wp:positionH relativeFrom="page">
                <wp:posOffset>3712249</wp:posOffset>
              </wp:positionH>
              <wp:positionV relativeFrom="page">
                <wp:posOffset>8855932</wp:posOffset>
              </wp:positionV>
              <wp:extent cx="229235" cy="187325"/>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229235" cy="187325"/>
                      </a:xfrm>
                      <a:prstGeom prst="rect">
                        <a:avLst/>
                      </a:prstGeom>
                    </wps:spPr>
                    <wps:txbx>
                      <w:txbxContent>
                        <w:p>
                          <w:pPr>
                            <w:pStyle w:val="BodyText"/>
                            <w:spacing w:line="278" w:lineRule="exact"/>
                            <w:ind w:left="20"/>
                            <w:rPr>
                              <w:rFonts w:ascii="Calibri"/>
                            </w:rPr>
                          </w:pPr>
                          <w:r>
                            <w:rPr>
                              <w:rFonts w:ascii="Calibri"/>
                              <w:spacing w:val="-5"/>
                            </w:rPr>
                            <w:t>1</w:t>
                          </w:r>
                          <w:r>
                            <w:rPr>
                              <w:rFonts w:ascii="Calibri"/>
                              <w:spacing w:val="-5"/>
                            </w:rPr>
                            <w:fldChar w:fldCharType="begin"/>
                          </w:r>
                          <w:r>
                            <w:rPr>
                              <w:rFonts w:ascii="Calibri"/>
                              <w:spacing w:val="-5"/>
                            </w:rPr>
                            <w:instrText> PAGE </w:instrText>
                          </w:r>
                          <w:r>
                            <w:rPr>
                              <w:rFonts w:ascii="Calibri"/>
                              <w:spacing w:val="-5"/>
                            </w:rPr>
                            <w:fldChar w:fldCharType="separate"/>
                          </w:r>
                          <w:r>
                            <w:rPr>
                              <w:rFonts w:ascii="Calibri"/>
                              <w:spacing w:val="-5"/>
                            </w:rPr>
                            <w:t>1</w:t>
                          </w:r>
                          <w:r>
                            <w:rPr>
                              <w:rFonts w:ascii="Calibri"/>
                              <w:spacing w:val="-5"/>
                            </w:rPr>
                            <w:fldChar w:fldCharType="end"/>
                          </w:r>
                        </w:p>
                      </w:txbxContent>
                    </wps:txbx>
                    <wps:bodyPr wrap="square" lIns="0" tIns="0" rIns="0" bIns="0" rtlCol="0">
                      <a:noAutofit/>
                    </wps:bodyPr>
                  </wps:wsp>
                </a:graphicData>
              </a:graphic>
            </wp:anchor>
          </w:drawing>
        </mc:Choice>
        <mc:Fallback>
          <w:pict>
            <v:shape style="position:absolute;margin-left:292.303131pt;margin-top:697.317505pt;width:18.05pt;height:14.75pt;mso-position-horizontal-relative:page;mso-position-vertical-relative:page;z-index:-17339392" type="#_x0000_t202" id="docshape5" filled="false" stroked="false">
              <v:textbox inset="0,0,0,0">
                <w:txbxContent>
                  <w:p>
                    <w:pPr>
                      <w:pStyle w:val="BodyText"/>
                      <w:spacing w:line="278" w:lineRule="exact"/>
                      <w:ind w:left="20"/>
                      <w:rPr>
                        <w:rFonts w:ascii="Calibri"/>
                      </w:rPr>
                    </w:pPr>
                    <w:r>
                      <w:rPr>
                        <w:rFonts w:ascii="Calibri"/>
                        <w:spacing w:val="-5"/>
                      </w:rPr>
                      <w:t>1</w:t>
                    </w:r>
                    <w:r>
                      <w:rPr>
                        <w:rFonts w:ascii="Calibri"/>
                        <w:spacing w:val="-5"/>
                      </w:rPr>
                      <w:fldChar w:fldCharType="begin"/>
                    </w:r>
                    <w:r>
                      <w:rPr>
                        <w:rFonts w:ascii="Calibri"/>
                        <w:spacing w:val="-5"/>
                      </w:rPr>
                      <w:instrText> PAGE </w:instrText>
                    </w:r>
                    <w:r>
                      <w:rPr>
                        <w:rFonts w:ascii="Calibri"/>
                        <w:spacing w:val="-5"/>
                      </w:rPr>
                      <w:fldChar w:fldCharType="separate"/>
                    </w:r>
                    <w:r>
                      <w:rPr>
                        <w:rFonts w:ascii="Calibri"/>
                        <w:spacing w:val="-5"/>
                      </w:rPr>
                      <w:t>1</w:t>
                    </w:r>
                    <w:r>
                      <w:rPr>
                        <w:rFonts w:ascii="Calibri"/>
                        <w:spacing w:val="-5"/>
                      </w:rPr>
                      <w:fldChar w:fldCharType="end"/>
                    </w:r>
                  </w:p>
                </w:txbxContent>
              </v:textbox>
              <w10:wrap type="none"/>
            </v:shape>
          </w:pict>
        </mc:Fallback>
      </mc:AlternateContent>
    </w:r>
  </w:p>
</w:ftr>
</file>

<file path=word/footer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977600">
              <wp:simplePos x="0" y="0"/>
              <wp:positionH relativeFrom="page">
                <wp:posOffset>3712249</wp:posOffset>
              </wp:positionH>
              <wp:positionV relativeFrom="page">
                <wp:posOffset>8855932</wp:posOffset>
              </wp:positionV>
              <wp:extent cx="191135" cy="187325"/>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191135" cy="187325"/>
                      </a:xfrm>
                      <a:prstGeom prst="rect">
                        <a:avLst/>
                      </a:prstGeom>
                    </wps:spPr>
                    <wps:txbx>
                      <w:txbxContent>
                        <w:p>
                          <w:pPr>
                            <w:pStyle w:val="BodyText"/>
                            <w:spacing w:line="278" w:lineRule="exact"/>
                            <w:ind w:left="20"/>
                            <w:rPr>
                              <w:rFonts w:ascii="Calibri"/>
                            </w:rPr>
                          </w:pPr>
                          <w:r>
                            <w:rPr>
                              <w:rFonts w:ascii="Calibri"/>
                              <w:spacing w:val="-5"/>
                            </w:rPr>
                            <w:t>20</w:t>
                          </w:r>
                        </w:p>
                      </w:txbxContent>
                    </wps:txbx>
                    <wps:bodyPr wrap="square" lIns="0" tIns="0" rIns="0" bIns="0" rtlCol="0">
                      <a:noAutofit/>
                    </wps:bodyPr>
                  </wps:wsp>
                </a:graphicData>
              </a:graphic>
            </wp:anchor>
          </w:drawing>
        </mc:Choice>
        <mc:Fallback>
          <w:pict>
            <v:shape style="position:absolute;margin-left:292.303131pt;margin-top:697.317505pt;width:15.05pt;height:14.75pt;mso-position-horizontal-relative:page;mso-position-vertical-relative:page;z-index:-17338880" type="#_x0000_t202" id="docshape6" filled="false" stroked="false">
              <v:textbox inset="0,0,0,0">
                <w:txbxContent>
                  <w:p>
                    <w:pPr>
                      <w:pStyle w:val="BodyText"/>
                      <w:spacing w:line="278" w:lineRule="exact"/>
                      <w:ind w:left="20"/>
                      <w:rPr>
                        <w:rFonts w:ascii="Calibri"/>
                      </w:rPr>
                    </w:pPr>
                    <w:r>
                      <w:rPr>
                        <w:rFonts w:ascii="Calibri"/>
                        <w:spacing w:val="-5"/>
                      </w:rPr>
                      <w:t>20</w:t>
                    </w:r>
                  </w:p>
                </w:txbxContent>
              </v:textbox>
              <w10:wrap type="none"/>
            </v:shape>
          </w:pict>
        </mc:Fallback>
      </mc:AlternateContent>
    </w:r>
  </w:p>
</w:ftr>
</file>

<file path=word/footer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978112">
              <wp:simplePos x="0" y="0"/>
              <wp:positionH relativeFrom="page">
                <wp:posOffset>3712249</wp:posOffset>
              </wp:positionH>
              <wp:positionV relativeFrom="page">
                <wp:posOffset>8855932</wp:posOffset>
              </wp:positionV>
              <wp:extent cx="229235" cy="187325"/>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229235" cy="187325"/>
                      </a:xfrm>
                      <a:prstGeom prst="rect">
                        <a:avLst/>
                      </a:prstGeom>
                    </wps:spPr>
                    <wps:txbx>
                      <w:txbxContent>
                        <w:p>
                          <w:pPr>
                            <w:pStyle w:val="BodyText"/>
                            <w:spacing w:line="278" w:lineRule="exact"/>
                            <w:ind w:left="20"/>
                            <w:rPr>
                              <w:rFonts w:ascii="Calibri"/>
                            </w:rPr>
                          </w:pPr>
                          <w:r>
                            <w:rPr>
                              <w:rFonts w:ascii="Calibri"/>
                              <w:spacing w:val="-5"/>
                            </w:rPr>
                            <w:t>2</w:t>
                          </w:r>
                          <w:r>
                            <w:rPr>
                              <w:rFonts w:ascii="Calibri"/>
                              <w:spacing w:val="-5"/>
                            </w:rPr>
                            <w:fldChar w:fldCharType="begin"/>
                          </w:r>
                          <w:r>
                            <w:rPr>
                              <w:rFonts w:ascii="Calibri"/>
                              <w:spacing w:val="-5"/>
                            </w:rPr>
                            <w:instrText> PAGE </w:instrText>
                          </w:r>
                          <w:r>
                            <w:rPr>
                              <w:rFonts w:ascii="Calibri"/>
                              <w:spacing w:val="-5"/>
                            </w:rPr>
                            <w:fldChar w:fldCharType="separate"/>
                          </w:r>
                          <w:r>
                            <w:rPr>
                              <w:rFonts w:ascii="Calibri"/>
                              <w:spacing w:val="-5"/>
                            </w:rPr>
                            <w:t>1</w:t>
                          </w:r>
                          <w:r>
                            <w:rPr>
                              <w:rFonts w:ascii="Calibri"/>
                              <w:spacing w:val="-5"/>
                            </w:rPr>
                            <w:fldChar w:fldCharType="end"/>
                          </w:r>
                        </w:p>
                      </w:txbxContent>
                    </wps:txbx>
                    <wps:bodyPr wrap="square" lIns="0" tIns="0" rIns="0" bIns="0" rtlCol="0">
                      <a:noAutofit/>
                    </wps:bodyPr>
                  </wps:wsp>
                </a:graphicData>
              </a:graphic>
            </wp:anchor>
          </w:drawing>
        </mc:Choice>
        <mc:Fallback>
          <w:pict>
            <v:shape style="position:absolute;margin-left:292.303131pt;margin-top:697.317505pt;width:18.05pt;height:14.75pt;mso-position-horizontal-relative:page;mso-position-vertical-relative:page;z-index:-17338368" type="#_x0000_t202" id="docshape7" filled="false" stroked="false">
              <v:textbox inset="0,0,0,0">
                <w:txbxContent>
                  <w:p>
                    <w:pPr>
                      <w:pStyle w:val="BodyText"/>
                      <w:spacing w:line="278" w:lineRule="exact"/>
                      <w:ind w:left="20"/>
                      <w:rPr>
                        <w:rFonts w:ascii="Calibri"/>
                      </w:rPr>
                    </w:pPr>
                    <w:r>
                      <w:rPr>
                        <w:rFonts w:ascii="Calibri"/>
                        <w:spacing w:val="-5"/>
                      </w:rPr>
                      <w:t>2</w:t>
                    </w:r>
                    <w:r>
                      <w:rPr>
                        <w:rFonts w:ascii="Calibri"/>
                        <w:spacing w:val="-5"/>
                      </w:rPr>
                      <w:fldChar w:fldCharType="begin"/>
                    </w:r>
                    <w:r>
                      <w:rPr>
                        <w:rFonts w:ascii="Calibri"/>
                        <w:spacing w:val="-5"/>
                      </w:rPr>
                      <w:instrText> PAGE </w:instrText>
                    </w:r>
                    <w:r>
                      <w:rPr>
                        <w:rFonts w:ascii="Calibri"/>
                        <w:spacing w:val="-5"/>
                      </w:rPr>
                      <w:fldChar w:fldCharType="separate"/>
                    </w:r>
                    <w:r>
                      <w:rPr>
                        <w:rFonts w:ascii="Calibri"/>
                        <w:spacing w:val="-5"/>
                      </w:rPr>
                      <w:t>1</w:t>
                    </w:r>
                    <w:r>
                      <w:rPr>
                        <w:rFonts w:ascii="Calibri"/>
                        <w:spacing w:val="-5"/>
                      </w:rPr>
                      <w:fldChar w:fldCharType="end"/>
                    </w:r>
                  </w:p>
                </w:txbxContent>
              </v:textbox>
              <w10:wrap type="none"/>
            </v:shape>
          </w:pict>
        </mc:Fallback>
      </mc:AlternateContent>
    </w:r>
  </w:p>
</w:ftr>
</file>

<file path=word/footer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978624">
              <wp:simplePos x="0" y="0"/>
              <wp:positionH relativeFrom="page">
                <wp:posOffset>3712249</wp:posOffset>
              </wp:positionH>
              <wp:positionV relativeFrom="page">
                <wp:posOffset>8855932</wp:posOffset>
              </wp:positionV>
              <wp:extent cx="191135" cy="187325"/>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191135" cy="187325"/>
                      </a:xfrm>
                      <a:prstGeom prst="rect">
                        <a:avLst/>
                      </a:prstGeom>
                    </wps:spPr>
                    <wps:txbx>
                      <w:txbxContent>
                        <w:p>
                          <w:pPr>
                            <w:pStyle w:val="BodyText"/>
                            <w:spacing w:line="278" w:lineRule="exact"/>
                            <w:ind w:left="20"/>
                            <w:rPr>
                              <w:rFonts w:ascii="Calibri"/>
                            </w:rPr>
                          </w:pPr>
                          <w:r>
                            <w:rPr>
                              <w:rFonts w:ascii="Calibri"/>
                              <w:spacing w:val="-5"/>
                            </w:rPr>
                            <w:t>30</w:t>
                          </w:r>
                        </w:p>
                      </w:txbxContent>
                    </wps:txbx>
                    <wps:bodyPr wrap="square" lIns="0" tIns="0" rIns="0" bIns="0" rtlCol="0">
                      <a:noAutofit/>
                    </wps:bodyPr>
                  </wps:wsp>
                </a:graphicData>
              </a:graphic>
            </wp:anchor>
          </w:drawing>
        </mc:Choice>
        <mc:Fallback>
          <w:pict>
            <v:shape style="position:absolute;margin-left:292.303131pt;margin-top:697.317505pt;width:15.05pt;height:14.75pt;mso-position-horizontal-relative:page;mso-position-vertical-relative:page;z-index:-17337856" type="#_x0000_t202" id="docshape8" filled="false" stroked="false">
              <v:textbox inset="0,0,0,0">
                <w:txbxContent>
                  <w:p>
                    <w:pPr>
                      <w:pStyle w:val="BodyText"/>
                      <w:spacing w:line="278" w:lineRule="exact"/>
                      <w:ind w:left="20"/>
                      <w:rPr>
                        <w:rFonts w:ascii="Calibri"/>
                      </w:rPr>
                    </w:pPr>
                    <w:r>
                      <w:rPr>
                        <w:rFonts w:ascii="Calibri"/>
                        <w:spacing w:val="-5"/>
                      </w:rPr>
                      <w:t>30</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5"/>
      <w:numFmt w:val="decimal"/>
      <w:lvlText w:val="%1"/>
      <w:lvlJc w:val="left"/>
      <w:pPr>
        <w:ind w:left="1537" w:hanging="383"/>
        <w:jc w:val="left"/>
      </w:pPr>
      <w:rPr>
        <w:rFonts w:hint="default"/>
        <w:lang w:val="en-US" w:eastAsia="en-US" w:bidi="ar-SA"/>
      </w:rPr>
    </w:lvl>
    <w:lvl w:ilvl="1">
      <w:start w:val="1"/>
      <w:numFmt w:val="decimal"/>
      <w:lvlText w:val="%1.%2"/>
      <w:lvlJc w:val="left"/>
      <w:pPr>
        <w:ind w:left="1537" w:hanging="383"/>
        <w:jc w:val="left"/>
      </w:pPr>
      <w:rPr>
        <w:rFonts w:hint="default" w:ascii="Times New Roman" w:hAnsi="Times New Roman" w:eastAsia="Times New Roman" w:cs="Times New Roman"/>
        <w:b/>
        <w:bCs/>
        <w:i w:val="0"/>
        <w:iCs w:val="0"/>
        <w:spacing w:val="0"/>
        <w:w w:val="102"/>
        <w:sz w:val="25"/>
        <w:szCs w:val="25"/>
        <w:lang w:val="en-US" w:eastAsia="en-US" w:bidi="ar-SA"/>
      </w:rPr>
    </w:lvl>
    <w:lvl w:ilvl="2">
      <w:start w:val="1"/>
      <w:numFmt w:val="decimal"/>
      <w:lvlText w:val="%3."/>
      <w:lvlJc w:val="left"/>
      <w:pPr>
        <w:ind w:left="1937" w:hanging="383"/>
        <w:jc w:val="left"/>
      </w:pPr>
      <w:rPr>
        <w:rFonts w:hint="default" w:ascii="Times New Roman" w:hAnsi="Times New Roman" w:eastAsia="Times New Roman" w:cs="Times New Roman"/>
        <w:b w:val="0"/>
        <w:bCs w:val="0"/>
        <w:i w:val="0"/>
        <w:iCs w:val="0"/>
        <w:spacing w:val="0"/>
        <w:w w:val="102"/>
        <w:sz w:val="25"/>
        <w:szCs w:val="25"/>
        <w:lang w:val="en-US" w:eastAsia="en-US" w:bidi="ar-SA"/>
      </w:rPr>
    </w:lvl>
    <w:lvl w:ilvl="3">
      <w:start w:val="0"/>
      <w:numFmt w:val="bullet"/>
      <w:lvlText w:val="•"/>
      <w:lvlJc w:val="left"/>
      <w:pPr>
        <w:ind w:left="4148" w:hanging="383"/>
      </w:pPr>
      <w:rPr>
        <w:rFonts w:hint="default"/>
        <w:lang w:val="en-US" w:eastAsia="en-US" w:bidi="ar-SA"/>
      </w:rPr>
    </w:lvl>
    <w:lvl w:ilvl="4">
      <w:start w:val="0"/>
      <w:numFmt w:val="bullet"/>
      <w:lvlText w:val="•"/>
      <w:lvlJc w:val="left"/>
      <w:pPr>
        <w:ind w:left="5253" w:hanging="383"/>
      </w:pPr>
      <w:rPr>
        <w:rFonts w:hint="default"/>
        <w:lang w:val="en-US" w:eastAsia="en-US" w:bidi="ar-SA"/>
      </w:rPr>
    </w:lvl>
    <w:lvl w:ilvl="5">
      <w:start w:val="0"/>
      <w:numFmt w:val="bullet"/>
      <w:lvlText w:val="•"/>
      <w:lvlJc w:val="left"/>
      <w:pPr>
        <w:ind w:left="6357" w:hanging="383"/>
      </w:pPr>
      <w:rPr>
        <w:rFonts w:hint="default"/>
        <w:lang w:val="en-US" w:eastAsia="en-US" w:bidi="ar-SA"/>
      </w:rPr>
    </w:lvl>
    <w:lvl w:ilvl="6">
      <w:start w:val="0"/>
      <w:numFmt w:val="bullet"/>
      <w:lvlText w:val="•"/>
      <w:lvlJc w:val="left"/>
      <w:pPr>
        <w:ind w:left="7462" w:hanging="383"/>
      </w:pPr>
      <w:rPr>
        <w:rFonts w:hint="default"/>
        <w:lang w:val="en-US" w:eastAsia="en-US" w:bidi="ar-SA"/>
      </w:rPr>
    </w:lvl>
    <w:lvl w:ilvl="7">
      <w:start w:val="0"/>
      <w:numFmt w:val="bullet"/>
      <w:lvlText w:val="•"/>
      <w:lvlJc w:val="left"/>
      <w:pPr>
        <w:ind w:left="8566" w:hanging="383"/>
      </w:pPr>
      <w:rPr>
        <w:rFonts w:hint="default"/>
        <w:lang w:val="en-US" w:eastAsia="en-US" w:bidi="ar-SA"/>
      </w:rPr>
    </w:lvl>
    <w:lvl w:ilvl="8">
      <w:start w:val="0"/>
      <w:numFmt w:val="bullet"/>
      <w:lvlText w:val="•"/>
      <w:lvlJc w:val="left"/>
      <w:pPr>
        <w:ind w:left="9671" w:hanging="383"/>
      </w:pPr>
      <w:rPr>
        <w:rFonts w:hint="default"/>
        <w:lang w:val="en-US" w:eastAsia="en-US" w:bidi="ar-SA"/>
      </w:rPr>
    </w:lvl>
  </w:abstractNum>
  <w:abstractNum w:abstractNumId="6">
    <w:multiLevelType w:val="hybridMultilevel"/>
    <w:lvl w:ilvl="0">
      <w:start w:val="4"/>
      <w:numFmt w:val="decimal"/>
      <w:lvlText w:val="%1"/>
      <w:lvlJc w:val="left"/>
      <w:pPr>
        <w:ind w:left="1932" w:hanging="931"/>
        <w:jc w:val="left"/>
      </w:pPr>
      <w:rPr>
        <w:rFonts w:hint="default"/>
        <w:lang w:val="en-US" w:eastAsia="en-US" w:bidi="ar-SA"/>
      </w:rPr>
    </w:lvl>
    <w:lvl w:ilvl="1">
      <w:start w:val="1"/>
      <w:numFmt w:val="decimal"/>
      <w:lvlText w:val="%1.%2"/>
      <w:lvlJc w:val="left"/>
      <w:pPr>
        <w:ind w:left="1932" w:hanging="931"/>
        <w:jc w:val="right"/>
      </w:pPr>
      <w:rPr>
        <w:rFonts w:hint="default" w:ascii="Times New Roman" w:hAnsi="Times New Roman" w:eastAsia="Times New Roman" w:cs="Times New Roman"/>
        <w:b/>
        <w:bCs/>
        <w:i w:val="0"/>
        <w:iCs w:val="0"/>
        <w:spacing w:val="0"/>
        <w:w w:val="102"/>
        <w:sz w:val="25"/>
        <w:szCs w:val="25"/>
        <w:lang w:val="en-US" w:eastAsia="en-US" w:bidi="ar-SA"/>
      </w:rPr>
    </w:lvl>
    <w:lvl w:ilvl="2">
      <w:start w:val="1"/>
      <w:numFmt w:val="decimal"/>
      <w:lvlText w:val="%1.%2.%3"/>
      <w:lvlJc w:val="left"/>
      <w:pPr>
        <w:ind w:left="1792" w:hanging="638"/>
        <w:jc w:val="right"/>
      </w:pPr>
      <w:rPr>
        <w:rFonts w:hint="default" w:ascii="Times New Roman" w:hAnsi="Times New Roman" w:eastAsia="Times New Roman" w:cs="Times New Roman"/>
        <w:b/>
        <w:bCs/>
        <w:i w:val="0"/>
        <w:iCs w:val="0"/>
        <w:spacing w:val="0"/>
        <w:w w:val="102"/>
        <w:sz w:val="25"/>
        <w:szCs w:val="25"/>
        <w:lang w:val="en-US" w:eastAsia="en-US" w:bidi="ar-SA"/>
      </w:rPr>
    </w:lvl>
    <w:lvl w:ilvl="3">
      <w:start w:val="0"/>
      <w:numFmt w:val="bullet"/>
      <w:lvlText w:val="•"/>
      <w:lvlJc w:val="left"/>
      <w:pPr>
        <w:ind w:left="3182" w:hanging="638"/>
      </w:pPr>
      <w:rPr>
        <w:rFonts w:hint="default"/>
        <w:lang w:val="en-US" w:eastAsia="en-US" w:bidi="ar-SA"/>
      </w:rPr>
    </w:lvl>
    <w:lvl w:ilvl="4">
      <w:start w:val="0"/>
      <w:numFmt w:val="bullet"/>
      <w:lvlText w:val="•"/>
      <w:lvlJc w:val="left"/>
      <w:pPr>
        <w:ind w:left="4425" w:hanging="638"/>
      </w:pPr>
      <w:rPr>
        <w:rFonts w:hint="default"/>
        <w:lang w:val="en-US" w:eastAsia="en-US" w:bidi="ar-SA"/>
      </w:rPr>
    </w:lvl>
    <w:lvl w:ilvl="5">
      <w:start w:val="0"/>
      <w:numFmt w:val="bullet"/>
      <w:lvlText w:val="•"/>
      <w:lvlJc w:val="left"/>
      <w:pPr>
        <w:ind w:left="5667" w:hanging="638"/>
      </w:pPr>
      <w:rPr>
        <w:rFonts w:hint="default"/>
        <w:lang w:val="en-US" w:eastAsia="en-US" w:bidi="ar-SA"/>
      </w:rPr>
    </w:lvl>
    <w:lvl w:ilvl="6">
      <w:start w:val="0"/>
      <w:numFmt w:val="bullet"/>
      <w:lvlText w:val="•"/>
      <w:lvlJc w:val="left"/>
      <w:pPr>
        <w:ind w:left="6910" w:hanging="638"/>
      </w:pPr>
      <w:rPr>
        <w:rFonts w:hint="default"/>
        <w:lang w:val="en-US" w:eastAsia="en-US" w:bidi="ar-SA"/>
      </w:rPr>
    </w:lvl>
    <w:lvl w:ilvl="7">
      <w:start w:val="0"/>
      <w:numFmt w:val="bullet"/>
      <w:lvlText w:val="•"/>
      <w:lvlJc w:val="left"/>
      <w:pPr>
        <w:ind w:left="8152" w:hanging="638"/>
      </w:pPr>
      <w:rPr>
        <w:rFonts w:hint="default"/>
        <w:lang w:val="en-US" w:eastAsia="en-US" w:bidi="ar-SA"/>
      </w:rPr>
    </w:lvl>
    <w:lvl w:ilvl="8">
      <w:start w:val="0"/>
      <w:numFmt w:val="bullet"/>
      <w:lvlText w:val="•"/>
      <w:lvlJc w:val="left"/>
      <w:pPr>
        <w:ind w:left="9395" w:hanging="638"/>
      </w:pPr>
      <w:rPr>
        <w:rFonts w:hint="default"/>
        <w:lang w:val="en-US" w:eastAsia="en-US" w:bidi="ar-SA"/>
      </w:rPr>
    </w:lvl>
  </w:abstractNum>
  <w:abstractNum w:abstractNumId="5">
    <w:multiLevelType w:val="hybridMultilevel"/>
    <w:lvl w:ilvl="0">
      <w:start w:val="3"/>
      <w:numFmt w:val="decimal"/>
      <w:lvlText w:val="%1"/>
      <w:lvlJc w:val="left"/>
      <w:pPr>
        <w:ind w:left="1537" w:hanging="383"/>
        <w:jc w:val="left"/>
      </w:pPr>
      <w:rPr>
        <w:rFonts w:hint="default"/>
        <w:lang w:val="en-US" w:eastAsia="en-US" w:bidi="ar-SA"/>
      </w:rPr>
    </w:lvl>
    <w:lvl w:ilvl="1">
      <w:start w:val="1"/>
      <w:numFmt w:val="decimal"/>
      <w:lvlText w:val="%1.%2"/>
      <w:lvlJc w:val="left"/>
      <w:pPr>
        <w:ind w:left="1537" w:hanging="383"/>
        <w:jc w:val="left"/>
      </w:pPr>
      <w:rPr>
        <w:rFonts w:hint="default" w:ascii="Times New Roman" w:hAnsi="Times New Roman" w:eastAsia="Times New Roman" w:cs="Times New Roman"/>
        <w:b/>
        <w:bCs/>
        <w:i w:val="0"/>
        <w:iCs w:val="0"/>
        <w:spacing w:val="0"/>
        <w:w w:val="102"/>
        <w:sz w:val="25"/>
        <w:szCs w:val="25"/>
        <w:lang w:val="en-US" w:eastAsia="en-US" w:bidi="ar-SA"/>
      </w:rPr>
    </w:lvl>
    <w:lvl w:ilvl="2">
      <w:start w:val="1"/>
      <w:numFmt w:val="decimal"/>
      <w:lvlText w:val="%1.%2.%3"/>
      <w:lvlJc w:val="left"/>
      <w:pPr>
        <w:ind w:left="1723" w:hanging="569"/>
        <w:jc w:val="left"/>
      </w:pPr>
      <w:rPr>
        <w:rFonts w:hint="default" w:ascii="Times New Roman" w:hAnsi="Times New Roman" w:eastAsia="Times New Roman" w:cs="Times New Roman"/>
        <w:b/>
        <w:bCs/>
        <w:i w:val="0"/>
        <w:iCs w:val="0"/>
        <w:spacing w:val="0"/>
        <w:w w:val="102"/>
        <w:sz w:val="25"/>
        <w:szCs w:val="25"/>
        <w:lang w:val="en-US" w:eastAsia="en-US" w:bidi="ar-SA"/>
      </w:rPr>
    </w:lvl>
    <w:lvl w:ilvl="3">
      <w:start w:val="0"/>
      <w:numFmt w:val="bullet"/>
      <w:lvlText w:val="-"/>
      <w:lvlJc w:val="left"/>
      <w:pPr>
        <w:ind w:left="1167" w:hanging="612"/>
      </w:pPr>
      <w:rPr>
        <w:rFonts w:hint="default" w:ascii="Times New Roman" w:hAnsi="Times New Roman" w:eastAsia="Times New Roman" w:cs="Times New Roman"/>
        <w:b w:val="0"/>
        <w:bCs w:val="0"/>
        <w:i w:val="0"/>
        <w:iCs w:val="0"/>
        <w:spacing w:val="0"/>
        <w:w w:val="102"/>
        <w:sz w:val="25"/>
        <w:szCs w:val="25"/>
        <w:lang w:val="en-US" w:eastAsia="en-US" w:bidi="ar-SA"/>
      </w:rPr>
    </w:lvl>
    <w:lvl w:ilvl="4">
      <w:start w:val="0"/>
      <w:numFmt w:val="bullet"/>
      <w:lvlText w:val="•"/>
      <w:lvlJc w:val="left"/>
      <w:pPr>
        <w:ind w:left="4260" w:hanging="612"/>
      </w:pPr>
      <w:rPr>
        <w:rFonts w:hint="default"/>
        <w:lang w:val="en-US" w:eastAsia="en-US" w:bidi="ar-SA"/>
      </w:rPr>
    </w:lvl>
    <w:lvl w:ilvl="5">
      <w:start w:val="0"/>
      <w:numFmt w:val="bullet"/>
      <w:lvlText w:val="•"/>
      <w:lvlJc w:val="left"/>
      <w:pPr>
        <w:ind w:left="5530" w:hanging="612"/>
      </w:pPr>
      <w:rPr>
        <w:rFonts w:hint="default"/>
        <w:lang w:val="en-US" w:eastAsia="en-US" w:bidi="ar-SA"/>
      </w:rPr>
    </w:lvl>
    <w:lvl w:ilvl="6">
      <w:start w:val="0"/>
      <w:numFmt w:val="bullet"/>
      <w:lvlText w:val="•"/>
      <w:lvlJc w:val="left"/>
      <w:pPr>
        <w:ind w:left="6800" w:hanging="612"/>
      </w:pPr>
      <w:rPr>
        <w:rFonts w:hint="default"/>
        <w:lang w:val="en-US" w:eastAsia="en-US" w:bidi="ar-SA"/>
      </w:rPr>
    </w:lvl>
    <w:lvl w:ilvl="7">
      <w:start w:val="0"/>
      <w:numFmt w:val="bullet"/>
      <w:lvlText w:val="•"/>
      <w:lvlJc w:val="left"/>
      <w:pPr>
        <w:ind w:left="8070" w:hanging="612"/>
      </w:pPr>
      <w:rPr>
        <w:rFonts w:hint="default"/>
        <w:lang w:val="en-US" w:eastAsia="en-US" w:bidi="ar-SA"/>
      </w:rPr>
    </w:lvl>
    <w:lvl w:ilvl="8">
      <w:start w:val="0"/>
      <w:numFmt w:val="bullet"/>
      <w:lvlText w:val="•"/>
      <w:lvlJc w:val="left"/>
      <w:pPr>
        <w:ind w:left="9340" w:hanging="612"/>
      </w:pPr>
      <w:rPr>
        <w:rFonts w:hint="default"/>
        <w:lang w:val="en-US" w:eastAsia="en-US" w:bidi="ar-SA"/>
      </w:rPr>
    </w:lvl>
  </w:abstractNum>
  <w:abstractNum w:abstractNumId="4">
    <w:multiLevelType w:val="hybridMultilevel"/>
    <w:lvl w:ilvl="0">
      <w:start w:val="2"/>
      <w:numFmt w:val="decimal"/>
      <w:lvlText w:val="%1"/>
      <w:lvlJc w:val="left"/>
      <w:pPr>
        <w:ind w:left="1537" w:hanging="383"/>
        <w:jc w:val="left"/>
      </w:pPr>
      <w:rPr>
        <w:rFonts w:hint="default"/>
        <w:lang w:val="en-US" w:eastAsia="en-US" w:bidi="ar-SA"/>
      </w:rPr>
    </w:lvl>
    <w:lvl w:ilvl="1">
      <w:start w:val="1"/>
      <w:numFmt w:val="decimal"/>
      <w:lvlText w:val="%1.%2"/>
      <w:lvlJc w:val="left"/>
      <w:pPr>
        <w:ind w:left="1537" w:hanging="383"/>
        <w:jc w:val="left"/>
      </w:pPr>
      <w:rPr>
        <w:rFonts w:hint="default" w:ascii="Times New Roman" w:hAnsi="Times New Roman" w:eastAsia="Times New Roman" w:cs="Times New Roman"/>
        <w:b/>
        <w:bCs/>
        <w:i w:val="0"/>
        <w:iCs w:val="0"/>
        <w:spacing w:val="0"/>
        <w:w w:val="102"/>
        <w:sz w:val="25"/>
        <w:szCs w:val="25"/>
        <w:lang w:val="en-US" w:eastAsia="en-US" w:bidi="ar-SA"/>
      </w:rPr>
    </w:lvl>
    <w:lvl w:ilvl="2">
      <w:start w:val="0"/>
      <w:numFmt w:val="bullet"/>
      <w:lvlText w:val="•"/>
      <w:lvlJc w:val="left"/>
      <w:pPr>
        <w:ind w:left="3608" w:hanging="383"/>
      </w:pPr>
      <w:rPr>
        <w:rFonts w:hint="default"/>
        <w:lang w:val="en-US" w:eastAsia="en-US" w:bidi="ar-SA"/>
      </w:rPr>
    </w:lvl>
    <w:lvl w:ilvl="3">
      <w:start w:val="0"/>
      <w:numFmt w:val="bullet"/>
      <w:lvlText w:val="•"/>
      <w:lvlJc w:val="left"/>
      <w:pPr>
        <w:ind w:left="4642" w:hanging="383"/>
      </w:pPr>
      <w:rPr>
        <w:rFonts w:hint="default"/>
        <w:lang w:val="en-US" w:eastAsia="en-US" w:bidi="ar-SA"/>
      </w:rPr>
    </w:lvl>
    <w:lvl w:ilvl="4">
      <w:start w:val="0"/>
      <w:numFmt w:val="bullet"/>
      <w:lvlText w:val="•"/>
      <w:lvlJc w:val="left"/>
      <w:pPr>
        <w:ind w:left="5676" w:hanging="383"/>
      </w:pPr>
      <w:rPr>
        <w:rFonts w:hint="default"/>
        <w:lang w:val="en-US" w:eastAsia="en-US" w:bidi="ar-SA"/>
      </w:rPr>
    </w:lvl>
    <w:lvl w:ilvl="5">
      <w:start w:val="0"/>
      <w:numFmt w:val="bullet"/>
      <w:lvlText w:val="•"/>
      <w:lvlJc w:val="left"/>
      <w:pPr>
        <w:ind w:left="6710" w:hanging="383"/>
      </w:pPr>
      <w:rPr>
        <w:rFonts w:hint="default"/>
        <w:lang w:val="en-US" w:eastAsia="en-US" w:bidi="ar-SA"/>
      </w:rPr>
    </w:lvl>
    <w:lvl w:ilvl="6">
      <w:start w:val="0"/>
      <w:numFmt w:val="bullet"/>
      <w:lvlText w:val="•"/>
      <w:lvlJc w:val="left"/>
      <w:pPr>
        <w:ind w:left="7744" w:hanging="383"/>
      </w:pPr>
      <w:rPr>
        <w:rFonts w:hint="default"/>
        <w:lang w:val="en-US" w:eastAsia="en-US" w:bidi="ar-SA"/>
      </w:rPr>
    </w:lvl>
    <w:lvl w:ilvl="7">
      <w:start w:val="0"/>
      <w:numFmt w:val="bullet"/>
      <w:lvlText w:val="•"/>
      <w:lvlJc w:val="left"/>
      <w:pPr>
        <w:ind w:left="8778" w:hanging="383"/>
      </w:pPr>
      <w:rPr>
        <w:rFonts w:hint="default"/>
        <w:lang w:val="en-US" w:eastAsia="en-US" w:bidi="ar-SA"/>
      </w:rPr>
    </w:lvl>
    <w:lvl w:ilvl="8">
      <w:start w:val="0"/>
      <w:numFmt w:val="bullet"/>
      <w:lvlText w:val="•"/>
      <w:lvlJc w:val="left"/>
      <w:pPr>
        <w:ind w:left="9812" w:hanging="383"/>
      </w:pPr>
      <w:rPr>
        <w:rFonts w:hint="default"/>
        <w:lang w:val="en-US" w:eastAsia="en-US" w:bidi="ar-SA"/>
      </w:rPr>
    </w:lvl>
  </w:abstractNum>
  <w:abstractNum w:abstractNumId="3">
    <w:multiLevelType w:val="hybridMultilevel"/>
    <w:lvl w:ilvl="0">
      <w:start w:val="1"/>
      <w:numFmt w:val="decimal"/>
      <w:lvlText w:val="%1"/>
      <w:lvlJc w:val="left"/>
      <w:pPr>
        <w:ind w:left="1537" w:hanging="383"/>
        <w:jc w:val="left"/>
      </w:pPr>
      <w:rPr>
        <w:rFonts w:hint="default"/>
        <w:lang w:val="en-US" w:eastAsia="en-US" w:bidi="ar-SA"/>
      </w:rPr>
    </w:lvl>
    <w:lvl w:ilvl="1">
      <w:start w:val="4"/>
      <w:numFmt w:val="decimal"/>
      <w:lvlText w:val="%1.%2"/>
      <w:lvlJc w:val="left"/>
      <w:pPr>
        <w:ind w:left="1537" w:hanging="383"/>
        <w:jc w:val="left"/>
      </w:pPr>
      <w:rPr>
        <w:rFonts w:hint="default" w:ascii="Times New Roman" w:hAnsi="Times New Roman" w:eastAsia="Times New Roman" w:cs="Times New Roman"/>
        <w:b/>
        <w:bCs/>
        <w:i w:val="0"/>
        <w:iCs w:val="0"/>
        <w:spacing w:val="0"/>
        <w:w w:val="102"/>
        <w:sz w:val="25"/>
        <w:szCs w:val="25"/>
        <w:lang w:val="en-US" w:eastAsia="en-US" w:bidi="ar-SA"/>
      </w:rPr>
    </w:lvl>
    <w:lvl w:ilvl="2">
      <w:start w:val="0"/>
      <w:numFmt w:val="bullet"/>
      <w:lvlText w:val="•"/>
      <w:lvlJc w:val="left"/>
      <w:pPr>
        <w:ind w:left="3608" w:hanging="383"/>
      </w:pPr>
      <w:rPr>
        <w:rFonts w:hint="default"/>
        <w:lang w:val="en-US" w:eastAsia="en-US" w:bidi="ar-SA"/>
      </w:rPr>
    </w:lvl>
    <w:lvl w:ilvl="3">
      <w:start w:val="0"/>
      <w:numFmt w:val="bullet"/>
      <w:lvlText w:val="•"/>
      <w:lvlJc w:val="left"/>
      <w:pPr>
        <w:ind w:left="4642" w:hanging="383"/>
      </w:pPr>
      <w:rPr>
        <w:rFonts w:hint="default"/>
        <w:lang w:val="en-US" w:eastAsia="en-US" w:bidi="ar-SA"/>
      </w:rPr>
    </w:lvl>
    <w:lvl w:ilvl="4">
      <w:start w:val="0"/>
      <w:numFmt w:val="bullet"/>
      <w:lvlText w:val="•"/>
      <w:lvlJc w:val="left"/>
      <w:pPr>
        <w:ind w:left="5676" w:hanging="383"/>
      </w:pPr>
      <w:rPr>
        <w:rFonts w:hint="default"/>
        <w:lang w:val="en-US" w:eastAsia="en-US" w:bidi="ar-SA"/>
      </w:rPr>
    </w:lvl>
    <w:lvl w:ilvl="5">
      <w:start w:val="0"/>
      <w:numFmt w:val="bullet"/>
      <w:lvlText w:val="•"/>
      <w:lvlJc w:val="left"/>
      <w:pPr>
        <w:ind w:left="6710" w:hanging="383"/>
      </w:pPr>
      <w:rPr>
        <w:rFonts w:hint="default"/>
        <w:lang w:val="en-US" w:eastAsia="en-US" w:bidi="ar-SA"/>
      </w:rPr>
    </w:lvl>
    <w:lvl w:ilvl="6">
      <w:start w:val="0"/>
      <w:numFmt w:val="bullet"/>
      <w:lvlText w:val="•"/>
      <w:lvlJc w:val="left"/>
      <w:pPr>
        <w:ind w:left="7744" w:hanging="383"/>
      </w:pPr>
      <w:rPr>
        <w:rFonts w:hint="default"/>
        <w:lang w:val="en-US" w:eastAsia="en-US" w:bidi="ar-SA"/>
      </w:rPr>
    </w:lvl>
    <w:lvl w:ilvl="7">
      <w:start w:val="0"/>
      <w:numFmt w:val="bullet"/>
      <w:lvlText w:val="•"/>
      <w:lvlJc w:val="left"/>
      <w:pPr>
        <w:ind w:left="8778" w:hanging="383"/>
      </w:pPr>
      <w:rPr>
        <w:rFonts w:hint="default"/>
        <w:lang w:val="en-US" w:eastAsia="en-US" w:bidi="ar-SA"/>
      </w:rPr>
    </w:lvl>
    <w:lvl w:ilvl="8">
      <w:start w:val="0"/>
      <w:numFmt w:val="bullet"/>
      <w:lvlText w:val="•"/>
      <w:lvlJc w:val="left"/>
      <w:pPr>
        <w:ind w:left="9812" w:hanging="383"/>
      </w:pPr>
      <w:rPr>
        <w:rFonts w:hint="default"/>
        <w:lang w:val="en-US" w:eastAsia="en-US" w:bidi="ar-SA"/>
      </w:rPr>
    </w:lvl>
  </w:abstractNum>
  <w:abstractNum w:abstractNumId="2">
    <w:multiLevelType w:val="hybridMultilevel"/>
    <w:lvl w:ilvl="0">
      <w:start w:val="1"/>
      <w:numFmt w:val="lowerRoman"/>
      <w:lvlText w:val="%1."/>
      <w:lvlJc w:val="left"/>
      <w:pPr>
        <w:ind w:left="1167" w:hanging="612"/>
        <w:jc w:val="left"/>
      </w:pPr>
      <w:rPr>
        <w:rFonts w:hint="default" w:ascii="Times New Roman" w:hAnsi="Times New Roman" w:eastAsia="Times New Roman" w:cs="Times New Roman"/>
        <w:b w:val="0"/>
        <w:bCs w:val="0"/>
        <w:i w:val="0"/>
        <w:iCs w:val="0"/>
        <w:spacing w:val="0"/>
        <w:w w:val="102"/>
        <w:sz w:val="25"/>
        <w:szCs w:val="25"/>
        <w:lang w:val="en-US" w:eastAsia="en-US" w:bidi="ar-SA"/>
      </w:rPr>
    </w:lvl>
    <w:lvl w:ilvl="1">
      <w:start w:val="0"/>
      <w:numFmt w:val="bullet"/>
      <w:lvlText w:val="•"/>
      <w:lvlJc w:val="left"/>
      <w:pPr>
        <w:ind w:left="2232" w:hanging="612"/>
      </w:pPr>
      <w:rPr>
        <w:rFonts w:hint="default"/>
        <w:lang w:val="en-US" w:eastAsia="en-US" w:bidi="ar-SA"/>
      </w:rPr>
    </w:lvl>
    <w:lvl w:ilvl="2">
      <w:start w:val="0"/>
      <w:numFmt w:val="bullet"/>
      <w:lvlText w:val="•"/>
      <w:lvlJc w:val="left"/>
      <w:pPr>
        <w:ind w:left="3304" w:hanging="612"/>
      </w:pPr>
      <w:rPr>
        <w:rFonts w:hint="default"/>
        <w:lang w:val="en-US" w:eastAsia="en-US" w:bidi="ar-SA"/>
      </w:rPr>
    </w:lvl>
    <w:lvl w:ilvl="3">
      <w:start w:val="0"/>
      <w:numFmt w:val="bullet"/>
      <w:lvlText w:val="•"/>
      <w:lvlJc w:val="left"/>
      <w:pPr>
        <w:ind w:left="4376" w:hanging="612"/>
      </w:pPr>
      <w:rPr>
        <w:rFonts w:hint="default"/>
        <w:lang w:val="en-US" w:eastAsia="en-US" w:bidi="ar-SA"/>
      </w:rPr>
    </w:lvl>
    <w:lvl w:ilvl="4">
      <w:start w:val="0"/>
      <w:numFmt w:val="bullet"/>
      <w:lvlText w:val="•"/>
      <w:lvlJc w:val="left"/>
      <w:pPr>
        <w:ind w:left="5448" w:hanging="612"/>
      </w:pPr>
      <w:rPr>
        <w:rFonts w:hint="default"/>
        <w:lang w:val="en-US" w:eastAsia="en-US" w:bidi="ar-SA"/>
      </w:rPr>
    </w:lvl>
    <w:lvl w:ilvl="5">
      <w:start w:val="0"/>
      <w:numFmt w:val="bullet"/>
      <w:lvlText w:val="•"/>
      <w:lvlJc w:val="left"/>
      <w:pPr>
        <w:ind w:left="6520" w:hanging="612"/>
      </w:pPr>
      <w:rPr>
        <w:rFonts w:hint="default"/>
        <w:lang w:val="en-US" w:eastAsia="en-US" w:bidi="ar-SA"/>
      </w:rPr>
    </w:lvl>
    <w:lvl w:ilvl="6">
      <w:start w:val="0"/>
      <w:numFmt w:val="bullet"/>
      <w:lvlText w:val="•"/>
      <w:lvlJc w:val="left"/>
      <w:pPr>
        <w:ind w:left="7592" w:hanging="612"/>
      </w:pPr>
      <w:rPr>
        <w:rFonts w:hint="default"/>
        <w:lang w:val="en-US" w:eastAsia="en-US" w:bidi="ar-SA"/>
      </w:rPr>
    </w:lvl>
    <w:lvl w:ilvl="7">
      <w:start w:val="0"/>
      <w:numFmt w:val="bullet"/>
      <w:lvlText w:val="•"/>
      <w:lvlJc w:val="left"/>
      <w:pPr>
        <w:ind w:left="8664" w:hanging="612"/>
      </w:pPr>
      <w:rPr>
        <w:rFonts w:hint="default"/>
        <w:lang w:val="en-US" w:eastAsia="en-US" w:bidi="ar-SA"/>
      </w:rPr>
    </w:lvl>
    <w:lvl w:ilvl="8">
      <w:start w:val="0"/>
      <w:numFmt w:val="bullet"/>
      <w:lvlText w:val="•"/>
      <w:lvlJc w:val="left"/>
      <w:pPr>
        <w:ind w:left="9736" w:hanging="612"/>
      </w:pPr>
      <w:rPr>
        <w:rFonts w:hint="default"/>
        <w:lang w:val="en-US" w:eastAsia="en-US" w:bidi="ar-SA"/>
      </w:rPr>
    </w:lvl>
  </w:abstractNum>
  <w:abstractNum w:abstractNumId="1">
    <w:multiLevelType w:val="hybridMultilevel"/>
    <w:lvl w:ilvl="0">
      <w:start w:val="1"/>
      <w:numFmt w:val="decimal"/>
      <w:lvlText w:val="%1"/>
      <w:lvlJc w:val="left"/>
      <w:pPr>
        <w:ind w:left="1728" w:hanging="574"/>
        <w:jc w:val="left"/>
      </w:pPr>
      <w:rPr>
        <w:rFonts w:hint="default"/>
        <w:lang w:val="en-US" w:eastAsia="en-US" w:bidi="ar-SA"/>
      </w:rPr>
    </w:lvl>
    <w:lvl w:ilvl="1">
      <w:start w:val="3"/>
      <w:numFmt w:val="decimal"/>
      <w:lvlText w:val="%1.%2"/>
      <w:lvlJc w:val="left"/>
      <w:pPr>
        <w:ind w:left="1728" w:hanging="574"/>
        <w:jc w:val="left"/>
      </w:pPr>
      <w:rPr>
        <w:rFonts w:hint="default"/>
        <w:lang w:val="en-US" w:eastAsia="en-US" w:bidi="ar-SA"/>
      </w:rPr>
    </w:lvl>
    <w:lvl w:ilvl="2">
      <w:start w:val="1"/>
      <w:numFmt w:val="decimal"/>
      <w:lvlText w:val="%1.%2.%3"/>
      <w:lvlJc w:val="left"/>
      <w:pPr>
        <w:ind w:left="1728" w:hanging="574"/>
        <w:jc w:val="left"/>
      </w:pPr>
      <w:rPr>
        <w:rFonts w:hint="default" w:ascii="Times New Roman" w:hAnsi="Times New Roman" w:eastAsia="Times New Roman" w:cs="Times New Roman"/>
        <w:b/>
        <w:bCs/>
        <w:i w:val="0"/>
        <w:iCs w:val="0"/>
        <w:spacing w:val="0"/>
        <w:w w:val="102"/>
        <w:sz w:val="25"/>
        <w:szCs w:val="25"/>
        <w:lang w:val="en-US" w:eastAsia="en-US" w:bidi="ar-SA"/>
      </w:rPr>
    </w:lvl>
    <w:lvl w:ilvl="3">
      <w:start w:val="0"/>
      <w:numFmt w:val="bullet"/>
      <w:lvlText w:val="•"/>
      <w:lvlJc w:val="left"/>
      <w:pPr>
        <w:ind w:left="4768" w:hanging="574"/>
      </w:pPr>
      <w:rPr>
        <w:rFonts w:hint="default"/>
        <w:lang w:val="en-US" w:eastAsia="en-US" w:bidi="ar-SA"/>
      </w:rPr>
    </w:lvl>
    <w:lvl w:ilvl="4">
      <w:start w:val="0"/>
      <w:numFmt w:val="bullet"/>
      <w:lvlText w:val="•"/>
      <w:lvlJc w:val="left"/>
      <w:pPr>
        <w:ind w:left="5784" w:hanging="574"/>
      </w:pPr>
      <w:rPr>
        <w:rFonts w:hint="default"/>
        <w:lang w:val="en-US" w:eastAsia="en-US" w:bidi="ar-SA"/>
      </w:rPr>
    </w:lvl>
    <w:lvl w:ilvl="5">
      <w:start w:val="0"/>
      <w:numFmt w:val="bullet"/>
      <w:lvlText w:val="•"/>
      <w:lvlJc w:val="left"/>
      <w:pPr>
        <w:ind w:left="6800" w:hanging="574"/>
      </w:pPr>
      <w:rPr>
        <w:rFonts w:hint="default"/>
        <w:lang w:val="en-US" w:eastAsia="en-US" w:bidi="ar-SA"/>
      </w:rPr>
    </w:lvl>
    <w:lvl w:ilvl="6">
      <w:start w:val="0"/>
      <w:numFmt w:val="bullet"/>
      <w:lvlText w:val="•"/>
      <w:lvlJc w:val="left"/>
      <w:pPr>
        <w:ind w:left="7816" w:hanging="574"/>
      </w:pPr>
      <w:rPr>
        <w:rFonts w:hint="default"/>
        <w:lang w:val="en-US" w:eastAsia="en-US" w:bidi="ar-SA"/>
      </w:rPr>
    </w:lvl>
    <w:lvl w:ilvl="7">
      <w:start w:val="0"/>
      <w:numFmt w:val="bullet"/>
      <w:lvlText w:val="•"/>
      <w:lvlJc w:val="left"/>
      <w:pPr>
        <w:ind w:left="8832" w:hanging="574"/>
      </w:pPr>
      <w:rPr>
        <w:rFonts w:hint="default"/>
        <w:lang w:val="en-US" w:eastAsia="en-US" w:bidi="ar-SA"/>
      </w:rPr>
    </w:lvl>
    <w:lvl w:ilvl="8">
      <w:start w:val="0"/>
      <w:numFmt w:val="bullet"/>
      <w:lvlText w:val="•"/>
      <w:lvlJc w:val="left"/>
      <w:pPr>
        <w:ind w:left="9848" w:hanging="574"/>
      </w:pPr>
      <w:rPr>
        <w:rFonts w:hint="default"/>
        <w:lang w:val="en-US" w:eastAsia="en-US" w:bidi="ar-SA"/>
      </w:rPr>
    </w:lvl>
  </w:abstractNum>
  <w:abstractNum w:abstractNumId="0">
    <w:multiLevelType w:val="hybridMultilevel"/>
    <w:lvl w:ilvl="0">
      <w:start w:val="1"/>
      <w:numFmt w:val="decimal"/>
      <w:lvlText w:val="%1"/>
      <w:lvlJc w:val="left"/>
      <w:pPr>
        <w:ind w:left="1537" w:hanging="383"/>
        <w:jc w:val="left"/>
      </w:pPr>
      <w:rPr>
        <w:rFonts w:hint="default"/>
        <w:lang w:val="en-US" w:eastAsia="en-US" w:bidi="ar-SA"/>
      </w:rPr>
    </w:lvl>
    <w:lvl w:ilvl="1">
      <w:start w:val="0"/>
      <w:numFmt w:val="decimal"/>
      <w:lvlText w:val="%1.%2"/>
      <w:lvlJc w:val="left"/>
      <w:pPr>
        <w:ind w:left="1537" w:hanging="383"/>
        <w:jc w:val="left"/>
      </w:pPr>
      <w:rPr>
        <w:rFonts w:hint="default" w:ascii="Times New Roman" w:hAnsi="Times New Roman" w:eastAsia="Times New Roman" w:cs="Times New Roman"/>
        <w:b/>
        <w:bCs/>
        <w:i w:val="0"/>
        <w:iCs w:val="0"/>
        <w:spacing w:val="0"/>
        <w:w w:val="102"/>
        <w:sz w:val="25"/>
        <w:szCs w:val="25"/>
        <w:lang w:val="en-US" w:eastAsia="en-US" w:bidi="ar-SA"/>
      </w:rPr>
    </w:lvl>
    <w:lvl w:ilvl="2">
      <w:start w:val="0"/>
      <w:numFmt w:val="bullet"/>
      <w:lvlText w:val="•"/>
      <w:lvlJc w:val="left"/>
      <w:pPr>
        <w:ind w:left="3608" w:hanging="383"/>
      </w:pPr>
      <w:rPr>
        <w:rFonts w:hint="default"/>
        <w:lang w:val="en-US" w:eastAsia="en-US" w:bidi="ar-SA"/>
      </w:rPr>
    </w:lvl>
    <w:lvl w:ilvl="3">
      <w:start w:val="0"/>
      <w:numFmt w:val="bullet"/>
      <w:lvlText w:val="•"/>
      <w:lvlJc w:val="left"/>
      <w:pPr>
        <w:ind w:left="4642" w:hanging="383"/>
      </w:pPr>
      <w:rPr>
        <w:rFonts w:hint="default"/>
        <w:lang w:val="en-US" w:eastAsia="en-US" w:bidi="ar-SA"/>
      </w:rPr>
    </w:lvl>
    <w:lvl w:ilvl="4">
      <w:start w:val="0"/>
      <w:numFmt w:val="bullet"/>
      <w:lvlText w:val="•"/>
      <w:lvlJc w:val="left"/>
      <w:pPr>
        <w:ind w:left="5676" w:hanging="383"/>
      </w:pPr>
      <w:rPr>
        <w:rFonts w:hint="default"/>
        <w:lang w:val="en-US" w:eastAsia="en-US" w:bidi="ar-SA"/>
      </w:rPr>
    </w:lvl>
    <w:lvl w:ilvl="5">
      <w:start w:val="0"/>
      <w:numFmt w:val="bullet"/>
      <w:lvlText w:val="•"/>
      <w:lvlJc w:val="left"/>
      <w:pPr>
        <w:ind w:left="6710" w:hanging="383"/>
      </w:pPr>
      <w:rPr>
        <w:rFonts w:hint="default"/>
        <w:lang w:val="en-US" w:eastAsia="en-US" w:bidi="ar-SA"/>
      </w:rPr>
    </w:lvl>
    <w:lvl w:ilvl="6">
      <w:start w:val="0"/>
      <w:numFmt w:val="bullet"/>
      <w:lvlText w:val="•"/>
      <w:lvlJc w:val="left"/>
      <w:pPr>
        <w:ind w:left="7744" w:hanging="383"/>
      </w:pPr>
      <w:rPr>
        <w:rFonts w:hint="default"/>
        <w:lang w:val="en-US" w:eastAsia="en-US" w:bidi="ar-SA"/>
      </w:rPr>
    </w:lvl>
    <w:lvl w:ilvl="7">
      <w:start w:val="0"/>
      <w:numFmt w:val="bullet"/>
      <w:lvlText w:val="•"/>
      <w:lvlJc w:val="left"/>
      <w:pPr>
        <w:ind w:left="8778" w:hanging="383"/>
      </w:pPr>
      <w:rPr>
        <w:rFonts w:hint="default"/>
        <w:lang w:val="en-US" w:eastAsia="en-US" w:bidi="ar-SA"/>
      </w:rPr>
    </w:lvl>
    <w:lvl w:ilvl="8">
      <w:start w:val="0"/>
      <w:numFmt w:val="bullet"/>
      <w:lvlText w:val="•"/>
      <w:lvlJc w:val="left"/>
      <w:pPr>
        <w:ind w:left="9812" w:hanging="383"/>
      </w:pPr>
      <w:rPr>
        <w:rFonts w:hint="default"/>
        <w:lang w:val="en-US"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5"/>
      <w:szCs w:val="25"/>
      <w:lang w:val="en-US" w:eastAsia="en-US" w:bidi="ar-SA"/>
    </w:rPr>
  </w:style>
  <w:style w:styleId="Heading1" w:type="paragraph">
    <w:name w:val="Heading 1"/>
    <w:basedOn w:val="Normal"/>
    <w:uiPriority w:val="1"/>
    <w:qFormat/>
    <w:pPr>
      <w:spacing w:before="74"/>
      <w:ind w:left="1537" w:hanging="382"/>
      <w:outlineLvl w:val="1"/>
    </w:pPr>
    <w:rPr>
      <w:rFonts w:ascii="Times New Roman" w:hAnsi="Times New Roman" w:eastAsia="Times New Roman" w:cs="Times New Roman"/>
      <w:b/>
      <w:bCs/>
      <w:sz w:val="25"/>
      <w:szCs w:val="25"/>
      <w:lang w:val="en-US" w:eastAsia="en-US" w:bidi="ar-SA"/>
    </w:rPr>
  </w:style>
  <w:style w:styleId="Heading2" w:type="paragraph">
    <w:name w:val="Heading 2"/>
    <w:basedOn w:val="Normal"/>
    <w:uiPriority w:val="1"/>
    <w:qFormat/>
    <w:pPr>
      <w:spacing w:before="74"/>
      <w:ind w:left="1155"/>
      <w:outlineLvl w:val="2"/>
    </w:pPr>
    <w:rPr>
      <w:rFonts w:ascii="Times New Roman" w:hAnsi="Times New Roman" w:eastAsia="Times New Roman" w:cs="Times New Roman"/>
      <w:b/>
      <w:bCs/>
      <w:sz w:val="25"/>
      <w:szCs w:val="25"/>
      <w:lang w:val="en-US" w:eastAsia="en-US" w:bidi="ar-SA"/>
    </w:rPr>
  </w:style>
  <w:style w:styleId="ListParagraph" w:type="paragraph">
    <w:name w:val="List Paragraph"/>
    <w:basedOn w:val="Normal"/>
    <w:uiPriority w:val="1"/>
    <w:qFormat/>
    <w:pPr>
      <w:spacing w:before="74"/>
      <w:ind w:left="1537" w:hanging="382"/>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oter" Target="footer5.xml"/><Relationship Id="rId11" Type="http://schemas.openxmlformats.org/officeDocument/2006/relationships/footer" Target="footer6.xml"/><Relationship Id="rId12" Type="http://schemas.openxmlformats.org/officeDocument/2006/relationships/footer" Target="footer7.xml"/><Relationship Id="rId13" Type="http://schemas.openxmlformats.org/officeDocument/2006/relationships/footer" Target="footer8.xml"/><Relationship Id="rId14" Type="http://schemas.openxmlformats.org/officeDocument/2006/relationships/footer" Target="footer9.xml"/><Relationship Id="rId15" Type="http://schemas.openxmlformats.org/officeDocument/2006/relationships/footer" Target="footer10.xml"/><Relationship Id="rId16" Type="http://schemas.openxmlformats.org/officeDocument/2006/relationships/image" Target="media/image2.jpeg"/><Relationship Id="rId17" Type="http://schemas.openxmlformats.org/officeDocument/2006/relationships/footer" Target="footer11.xml"/><Relationship Id="rId18" Type="http://schemas.openxmlformats.org/officeDocument/2006/relationships/footer" Target="footer12.xml"/><Relationship Id="rId19" Type="http://schemas.openxmlformats.org/officeDocument/2006/relationships/image" Target="media/image3.png"/><Relationship Id="rId20" Type="http://schemas.openxmlformats.org/officeDocument/2006/relationships/footer" Target="footer13.xml"/><Relationship Id="rId21" Type="http://schemas.openxmlformats.org/officeDocument/2006/relationships/footer" Target="footer14.xml"/><Relationship Id="rId22" Type="http://schemas.openxmlformats.org/officeDocument/2006/relationships/hyperlink" Target="http://www.eea.europa.eu/publications/soil-" TargetMode="External"/><Relationship Id="rId23" Type="http://schemas.openxmlformats.org/officeDocument/2006/relationships/hyperlink" Target="https://doi.org/10.1016/j.jhazmat.2021.125262" TargetMode="External"/><Relationship Id="rId24" Type="http://schemas.openxmlformats.org/officeDocument/2006/relationships/hyperlink" Target="http://www.iaea.org/publications" TargetMode="External"/><Relationship Id="rId25" Type="http://schemas.openxmlformats.org/officeDocument/2006/relationships/footer" Target="footer15.xml"/><Relationship Id="rId26" Type="http://schemas.openxmlformats.org/officeDocument/2006/relationships/footer" Target="footer16.xml"/><Relationship Id="rId27" Type="http://schemas.openxmlformats.org/officeDocument/2006/relationships/hyperlink" Target="https://doi.org/10.1080/26896557.2022.2078583" TargetMode="External"/><Relationship Id="rId28" Type="http://schemas.openxmlformats.org/officeDocument/2006/relationships/hyperlink" Target="https://doi.org/10.1007/s42452-020-1985-1" TargetMode="External"/><Relationship Id="rId29" Type="http://schemas.openxmlformats.org/officeDocument/2006/relationships/hyperlink" Target="https://doi.org/10.1088/2515-7620/ab636a" TargetMode="External"/><Relationship Id="rId30" Type="http://schemas.openxmlformats.org/officeDocument/2006/relationships/hyperlink" Target="http://www.who.int/publications/i/item/9789240045064" TargetMode="External"/><Relationship Id="rId31" Type="http://schemas.openxmlformats.org/officeDocument/2006/relationships/hyperlink" Target="http://www.who.int/publications/i/item/9789240039833" TargetMode="External"/><Relationship Id="rId3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2025-09-10T16:04:07Z</dcterms:created>
  <dcterms:modified xsi:type="dcterms:W3CDTF">2025-09-10T16:04:07Z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2025-09-10T00:00:00Z</vt:filetime>
  </property>
  <property fmtid="{D5CDD505-2E9C-101B-9397-08002B2CF9AE}" pid="3" name="LastSaved">
    <vt:filetime>2025-09-10T00:00:00Z</vt:filetime>
  </property>
  <property fmtid="{D5CDD505-2E9C-101B-9397-08002B2CF9AE}" pid="4" name="Producer">
    <vt:lpwstr>iLovePDF</vt:lpwstr>
  </property>
</Properties>
</file>