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INTERPRETATION OF GROUND MAGNETIC DATA TO ADDRESS BOREHOLE FAILURE IN BASEMENT COMPLEX OF CENTRAL NIGERIA</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YEKINNI HAMMED DESTINY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ND/23/SLT/PT/0071</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DEDICATION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This project is dedicated to Almighty Allah, the provider and sustainer of life, Whose grace has made this journey of my National Diploma (ND) possible, and also to my parents Mr and Mrs YEKINNI,and most especially to my brother BABATUNDE,my pillar of support. May Allah continue to bless and protect you.</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ACKNOWLEDGEMENTS</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I am indeed thankful and grateful to Almighty Allah for giving me the opportunity, courage, energy, grace, and assistance needed to successfully achieve one of my desired academic heights in life.</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I extend my heartfelt gratitude to all my lecturers in the Department of Science laboratory technology, Kwara State Polytechnic, Ilorin, may Allah bless you all abundantly. </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I would like to express my sincere appreciation to my parents, Mr and Mrs YEKINNI, for their constant support and prayers, I pray you live long to eat the fruits of your labour (Amin).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My appreciation also goes to my beloved brother, YEKINNI BABATUNDE,whose unwavering support, encouragement, and sacrifices have played a significant role in the successful completion of this journey. Your kindness, motivation, and constant belief in me kept me going during challenging moments. I am truly blessed to have you in my life ,thank you for everything.  may Allah perfect all that concerns you. And to my sister and my best friend,whose love, support and encouragement have been a constant source of inspiration, may almighty Allah bless you all.</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Lastly, I extend my heartfelt thanks and blessings to my fellow students for their camaraderie and support, I am deeply grateful. May Allah bless us abundantly on our individual journeys.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Ameen.</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ONE: INTRODUCTION</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Preamble</w:t>
      </w:r>
    </w:p>
    <w:p>
      <w:pPr>
        <w:pStyle w:val="style0"/>
        <w:spacing w:lineRule="auto" w:line="480"/>
        <w:ind w:firstLine="720"/>
        <w:rPr>
          <w:rFonts w:ascii="Times New Roman" w:cs="Times New Roman" w:hAnsi="Times New Roman"/>
          <w:bCs/>
          <w:sz w:val="24"/>
          <w:szCs w:val="24"/>
        </w:rPr>
      </w:pPr>
      <w:r>
        <w:rPr>
          <w:rFonts w:ascii="Times New Roman" w:cs="Times New Roman" w:hAnsi="Times New Roman"/>
          <w:bCs/>
          <w:sz w:val="24"/>
          <w:szCs w:val="24"/>
        </w:rPr>
        <w:t>Geophysics is the application of physics to study the Earth, oceans, atmosphere and near-Earth space. It is a broad subject that encompasses many of the major sciences (</w:t>
      </w:r>
      <w:r>
        <w:rPr>
          <w:rFonts w:ascii="Times New Roman" w:cs="Times New Roman" w:hAnsi="Times New Roman"/>
          <w:bCs/>
          <w:sz w:val="24"/>
          <w:szCs w:val="24"/>
        </w:rPr>
        <w:t>Gadallah</w:t>
      </w:r>
      <w:r>
        <w:rPr>
          <w:rFonts w:ascii="Times New Roman" w:cs="Times New Roman" w:hAnsi="Times New Roman"/>
          <w:bCs/>
          <w:sz w:val="24"/>
          <w:szCs w:val="24"/>
        </w:rPr>
        <w:t xml:space="preserve">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Pr>
          <w:rFonts w:ascii="Times New Roman" w:cs="Times New Roman" w:hAnsi="Times New Roman"/>
          <w:bCs/>
          <w:i/>
          <w:iCs/>
          <w:sz w:val="24"/>
          <w:szCs w:val="24"/>
        </w:rPr>
        <w:t>et al.</w:t>
      </w:r>
      <w:r>
        <w:rPr>
          <w:rFonts w:ascii="Times New Roman" w:cs="Times New Roman" w:hAnsi="Times New Roman"/>
          <w:bCs/>
          <w:sz w:val="24"/>
          <w:szCs w:val="24"/>
        </w:rPr>
        <w:t>, 1976). Analysis of these measurements can reveal how the physical properties of the Earth’s interior vary vertically and laterally (</w:t>
      </w:r>
      <w:r>
        <w:rPr>
          <w:rFonts w:ascii="Times New Roman" w:cs="Times New Roman" w:hAnsi="Times New Roman"/>
          <w:bCs/>
          <w:sz w:val="24"/>
          <w:szCs w:val="24"/>
        </w:rPr>
        <w:t>Kearey</w:t>
      </w:r>
      <w:r>
        <w:rPr>
          <w:rFonts w:ascii="Times New Roman" w:cs="Times New Roman" w:hAnsi="Times New Roman"/>
          <w:bCs/>
          <w:sz w:val="24"/>
          <w:szCs w:val="24"/>
        </w:rPr>
        <w:t xml:space="preserve"> </w:t>
      </w:r>
      <w:r>
        <w:rPr>
          <w:rFonts w:ascii="Times New Roman" w:cs="Times New Roman" w:hAnsi="Times New Roman"/>
          <w:bCs/>
          <w:i/>
          <w:iCs/>
          <w:sz w:val="24"/>
          <w:szCs w:val="24"/>
        </w:rPr>
        <w:t>et al</w:t>
      </w:r>
      <w:r>
        <w:rPr>
          <w:rFonts w:ascii="Times New Roman" w:cs="Times New Roman" w:hAnsi="Times New Roman"/>
          <w:bCs/>
          <w:sz w:val="24"/>
          <w:szCs w:val="24"/>
        </w:rPr>
        <w:t>., 2002).</w:t>
      </w:r>
      <w:r>
        <w:rPr>
          <w:rFonts w:ascii="Times New Roman" w:cs="Times New Roman" w:hAnsi="Times New Roman"/>
          <w:bCs/>
          <w:sz w:val="24"/>
          <w:szCs w:val="24"/>
        </w:rPr>
        <w:t xml:space="preserve"> A</w:t>
      </w:r>
      <w:r>
        <w:rPr>
          <w:rFonts w:ascii="Times New Roman" w:cs="Times New Roman" w:hAnsi="Times New Roman"/>
          <w:bCs/>
          <w:sz w:val="24"/>
          <w:szCs w:val="24"/>
        </w:rPr>
        <w:t>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r>
        <w:rPr>
          <w:rFonts w:ascii="Times New Roman" w:cs="Times New Roman" w:hAnsi="Times New Roman"/>
          <w:bCs/>
          <w:sz w:val="24"/>
          <w:szCs w:val="24"/>
        </w:rPr>
        <w:t>.</w:t>
      </w:r>
    </w:p>
    <w:p>
      <w:pPr>
        <w:pStyle w:val="style0"/>
        <w:spacing w:lineRule="auto" w:line="480"/>
        <w:ind w:left="14" w:right="14" w:firstLine="706"/>
        <w:rPr>
          <w:rFonts w:ascii="Times New Roman" w:cs="Times New Roman" w:hAnsi="Times New Roman"/>
          <w:sz w:val="24"/>
          <w:szCs w:val="24"/>
        </w:rPr>
      </w:pPr>
      <w:r>
        <w:rPr>
          <w:rFonts w:ascii="Times New Roman" w:cs="Times New Roman" w:hAnsi="Times New Roman"/>
          <w:bCs/>
          <w:sz w:val="24"/>
          <w:szCs w:val="24"/>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w:t>
      </w:r>
      <w:r>
        <w:rPr>
          <w:rFonts w:ascii="Times New Roman" w:cs="Times New Roman" w:hAnsi="Times New Roman"/>
          <w:bCs/>
          <w:sz w:val="24"/>
          <w:szCs w:val="24"/>
        </w:rPr>
        <w:t xml:space="preserve"> (</w:t>
      </w:r>
      <w:r>
        <w:rPr>
          <w:rFonts w:ascii="Times New Roman" w:cs="Times New Roman" w:hAnsi="Times New Roman"/>
          <w:sz w:val="24"/>
          <w:szCs w:val="24"/>
        </w:rPr>
        <w:t xml:space="preserve">Amarachi, and </w:t>
      </w:r>
      <w:r>
        <w:rPr>
          <w:rFonts w:ascii="Times New Roman" w:cs="Times New Roman" w:hAnsi="Times New Roman"/>
          <w:sz w:val="24"/>
          <w:szCs w:val="24"/>
        </w:rPr>
        <w:t>Ako</w:t>
      </w:r>
      <w:r>
        <w:rPr>
          <w:rFonts w:ascii="Times New Roman" w:cs="Times New Roman" w:hAnsi="Times New Roman"/>
          <w:sz w:val="24"/>
          <w:szCs w:val="24"/>
        </w:rPr>
        <w:t>, 2012</w:t>
      </w:r>
      <w:r>
        <w:rPr>
          <w:rFonts w:ascii="Times New Roman" w:cs="Times New Roman" w:hAnsi="Times New Roman"/>
          <w:sz w:val="24"/>
          <w:szCs w:val="24"/>
        </w:rPr>
        <w:t>)</w:t>
      </w:r>
      <w:r>
        <w:rPr>
          <w:rFonts w:ascii="Times New Roman" w:cs="Times New Roman" w:hAnsi="Times New Roman"/>
          <w:bCs/>
          <w:sz w:val="24"/>
          <w:szCs w:val="24"/>
        </w:rPr>
        <w:t>.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pPr>
        <w:pStyle w:val="style0"/>
        <w:spacing w:lineRule="auto" w:line="480"/>
        <w:ind w:left="14" w:right="14" w:firstLine="706"/>
        <w:rPr>
          <w:rFonts w:ascii="Times New Roman" w:cs="Times New Roman" w:hAnsi="Times New Roman"/>
          <w:sz w:val="24"/>
          <w:szCs w:val="24"/>
        </w:rPr>
      </w:pPr>
      <w:r>
        <w:rPr>
          <w:rFonts w:ascii="Times New Roman" w:cs="Times New Roman" w:hAnsi="Times New Roman"/>
          <w:sz w:val="24"/>
          <w:szCs w:val="24"/>
        </w:rPr>
        <w:t xml:space="preserve">Groundwater forms a significant part of the water resources all over the World, particularly in the arid areas and </w:t>
      </w:r>
      <w:r>
        <w:rPr>
          <w:rFonts w:ascii="Times New Roman" w:cs="Times New Roman" w:hAnsi="Times New Roman"/>
          <w:sz w:val="24"/>
          <w:szCs w:val="24"/>
        </w:rPr>
        <w:t>favored</w:t>
      </w:r>
      <w:r>
        <w:rPr>
          <w:rFonts w:ascii="Times New Roman" w:cs="Times New Roman" w:hAnsi="Times New Roman"/>
          <w:sz w:val="24"/>
          <w:szCs w:val="24"/>
        </w:rPr>
        <w:t xml:space="preserve"> for domestic purposes partly because groundwater is of high treatment before use since, according to</w:t>
      </w:r>
      <w:r>
        <w:rPr>
          <w:rFonts w:ascii="Times New Roman" w:cs="Times New Roman" w:hAnsi="Times New Roman"/>
          <w:sz w:val="24"/>
          <w:szCs w:val="24"/>
        </w:rPr>
        <w:t xml:space="preserve"> </w:t>
      </w:r>
      <w:r>
        <w:rPr>
          <w:rFonts w:ascii="Times New Roman" w:cs="Times New Roman" w:hAnsi="Times New Roman"/>
          <w:sz w:val="24"/>
          <w:szCs w:val="24"/>
        </w:rPr>
        <w:t>(Sampat,2001)</w:t>
      </w:r>
      <w:r>
        <w:rPr>
          <w:rFonts w:ascii="Times New Roman" w:cs="Times New Roman" w:hAnsi="Times New Roman"/>
          <w:sz w:val="24"/>
          <w:szCs w:val="24"/>
        </w:rPr>
        <w:t xml:space="preserve"> </w:t>
      </w:r>
      <w:r>
        <w:rPr>
          <w:rFonts w:ascii="Times New Roman" w:cs="Times New Roman" w:hAnsi="Times New Roman"/>
          <w:sz w:val="24"/>
          <w:szCs w:val="24"/>
        </w:rPr>
        <w:t>fungi,</w:t>
      </w:r>
      <w:r>
        <w:rPr>
          <w:rFonts w:ascii="Times New Roman" w:cs="Times New Roman" w:hAnsi="Times New Roman"/>
          <w:sz w:val="24"/>
          <w:szCs w:val="24"/>
        </w:rPr>
        <w:t xml:space="preserve"> </w:t>
      </w:r>
      <w:r>
        <w:rPr>
          <w:rFonts w:ascii="Times New Roman" w:cs="Times New Roman" w:hAnsi="Times New Roman"/>
          <w:sz w:val="24"/>
          <w:szCs w:val="24"/>
        </w:rPr>
        <w:t>bacteria</w:t>
      </w:r>
      <w:r>
        <w:rPr>
          <w:rFonts w:ascii="Times New Roman" w:cs="Times New Roman" w:hAnsi="Times New Roman"/>
          <w:sz w:val="24"/>
          <w:szCs w:val="24"/>
        </w:rPr>
        <w:t xml:space="preserve"> and other biological pollutants are naturally filtered and diluted as the water percolates through the soil and partly because the provision of portable water via the water supply scheme is grossly inadequate for the needs of the people. But as a result of careless management and/or disposal of hazardous materials, </w:t>
      </w:r>
      <w:r>
        <w:rPr>
          <w:rFonts w:ascii="Times New Roman" w:cs="Times New Roman" w:hAnsi="Times New Roman"/>
          <w:sz w:val="24"/>
          <w:szCs w:val="24"/>
        </w:rPr>
        <w:t>esh</w:t>
      </w:r>
      <w:r>
        <w:rPr>
          <w:rFonts w:ascii="Times New Roman" w:cs="Times New Roman" w:hAnsi="Times New Roman"/>
          <w:sz w:val="24"/>
          <w:szCs w:val="24"/>
        </w:rPr>
        <w:t xml:space="preserve"> groundwater supplies would be </w:t>
      </w:r>
      <w:r>
        <w:rPr>
          <w:rFonts w:ascii="Times New Roman" w:cs="Times New Roman" w:hAnsi="Times New Roman"/>
          <w:sz w:val="24"/>
          <w:szCs w:val="24"/>
        </w:rPr>
        <w:t>greatly</w:t>
      </w:r>
      <w:r>
        <w:rPr>
          <w:rFonts w:ascii="Times New Roman" w:cs="Times New Roman" w:hAnsi="Times New Roman"/>
          <w:sz w:val="24"/>
          <w:szCs w:val="24"/>
        </w:rPr>
        <w:t xml:space="preserve"> decreased. The problem of environmental contaminations, today, is one of the concerns of earth scientists and researchers from </w:t>
      </w:r>
      <w:r>
        <w:rPr>
          <w:rFonts w:ascii="Times New Roman" w:cs="Times New Roman" w:hAnsi="Times New Roman"/>
          <w:sz w:val="24"/>
          <w:szCs w:val="24"/>
        </w:rPr>
        <w:t>other</w:t>
      </w:r>
      <w:r>
        <w:rPr>
          <w:rFonts w:ascii="Times New Roman" w:cs="Times New Roman" w:hAnsi="Times New Roman"/>
          <w:sz w:val="24"/>
          <w:szCs w:val="24"/>
        </w:rPr>
        <w:t xml:space="preserve"> related fields of science around the world. Fast industrial development and the uncontrolled growth of the urban population quality and requires little result in the production </w:t>
      </w:r>
      <w:r>
        <w:rPr>
          <w:rFonts w:ascii="Times New Roman" w:cs="Times New Roman" w:hAnsi="Times New Roman"/>
          <w:sz w:val="24"/>
          <w:szCs w:val="24"/>
        </w:rPr>
        <w:t>oft</w:t>
      </w:r>
      <w:r>
        <w:rPr>
          <w:rFonts w:ascii="Times New Roman" w:cs="Times New Roman" w:hAnsi="Times New Roman"/>
          <w:sz w:val="24"/>
          <w:szCs w:val="24"/>
        </w:rPr>
        <w:t xml:space="preserve"> </w:t>
      </w:r>
      <w:r>
        <w:rPr>
          <w:rFonts w:ascii="Times New Roman" w:cs="Times New Roman" w:hAnsi="Times New Roman"/>
          <w:sz w:val="24"/>
          <w:szCs w:val="24"/>
        </w:rPr>
        <w:t>xic</w:t>
      </w:r>
      <w:r>
        <w:rPr>
          <w:rFonts w:ascii="Times New Roman" w:cs="Times New Roman" w:hAnsi="Times New Roman"/>
          <w:sz w:val="24"/>
          <w:szCs w:val="24"/>
        </w:rPr>
        <w:t xml:space="preserve"> solid residues. Urban waste materials, mainly domestic garbage, are usually disposed </w:t>
      </w:r>
      <w:r>
        <w:rPr>
          <w:rFonts w:ascii="Times New Roman" w:cs="Times New Roman" w:hAnsi="Times New Roman"/>
          <w:sz w:val="24"/>
          <w:szCs w:val="24"/>
        </w:rPr>
        <w:t>off</w:t>
      </w:r>
      <w:r>
        <w:rPr>
          <w:rFonts w:ascii="Times New Roman" w:cs="Times New Roman" w:hAnsi="Times New Roman"/>
          <w:sz w:val="24"/>
          <w:szCs w:val="24"/>
        </w:rPr>
        <w:t xml:space="preserve"> inadequately in land surface, shallow excavation, river and stream channels which place the under groundwater at high risk of being polluted. Pollution of groundwater happens mostly due to percolation of water and the infiltration of contaminants through the soil under </w:t>
      </w:r>
      <w:r>
        <w:rPr>
          <w:rFonts w:ascii="Times New Roman" w:cs="Times New Roman" w:hAnsi="Times New Roman"/>
          <w:sz w:val="24"/>
          <w:szCs w:val="24"/>
        </w:rPr>
        <w:t>waste</w:t>
      </w:r>
      <w:r>
        <w:rPr>
          <w:rFonts w:ascii="Times New Roman" w:cs="Times New Roman" w:hAnsi="Times New Roman"/>
          <w:sz w:val="24"/>
          <w:szCs w:val="24"/>
        </w:rPr>
        <w:t xml:space="preserve"> disposal sites. '{The contaminant is a fluid that results from the decomposition of municipal solid wastes. Contamination takes place when this leaking </w:t>
      </w:r>
      <w:r>
        <w:rPr>
          <w:rFonts w:ascii="Times New Roman" w:cs="Times New Roman" w:hAnsi="Times New Roman"/>
          <w:sz w:val="24"/>
          <w:szCs w:val="24"/>
        </w:rPr>
        <w:t>aqueous</w:t>
      </w:r>
      <w:r>
        <w:rPr>
          <w:rFonts w:ascii="Times New Roman" w:cs="Times New Roman" w:hAnsi="Times New Roman"/>
          <w:sz w:val="24"/>
          <w:szCs w:val="24"/>
        </w:rPr>
        <w:t xml:space="preserve"> liquid, called leachate reaches the groundwater table, thus affecting the quality of</w:t>
      </w:r>
      <w:r>
        <w:rPr>
          <w:rFonts w:ascii="Times New Roman" w:cs="Times New Roman" w:hAnsi="Times New Roman"/>
          <w:sz w:val="24"/>
          <w:szCs w:val="24"/>
        </w:rPr>
        <w:t xml:space="preserve"> </w:t>
      </w:r>
      <w:r>
        <w:rPr>
          <w:rFonts w:ascii="Times New Roman" w:cs="Times New Roman" w:hAnsi="Times New Roman"/>
          <w:sz w:val="24"/>
          <w:szCs w:val="24"/>
        </w:rPr>
        <w:t>the groundwater.</w:t>
      </w:r>
    </w:p>
    <w:p>
      <w:pPr>
        <w:pStyle w:val="style0"/>
        <w:spacing w:after="3" w:lineRule="auto" w:line="480"/>
        <w:ind w:left="5" w:hanging="10"/>
        <w:rPr>
          <w:rFonts w:ascii="Times New Roman" w:cs="Times New Roman" w:hAnsi="Times New Roman"/>
          <w:b/>
          <w:bCs/>
          <w:sz w:val="24"/>
          <w:szCs w:val="24"/>
        </w:rPr>
      </w:pPr>
      <w:r>
        <w:rPr>
          <w:rFonts w:ascii="Times New Roman" w:cs="Times New Roman" w:hAnsi="Times New Roman"/>
          <w:b/>
          <w:bCs/>
          <w:sz w:val="24"/>
          <w:szCs w:val="24"/>
        </w:rPr>
        <w:t>Factors that Determine Groundwater</w:t>
      </w:r>
      <w:r>
        <w:rPr>
          <w:rFonts w:ascii="Times New Roman" w:cs="Times New Roman" w:hAnsi="Times New Roman"/>
          <w:b/>
          <w:bCs/>
          <w:sz w:val="24"/>
          <w:szCs w:val="24"/>
        </w:rPr>
        <w:t xml:space="preserve"> </w:t>
      </w:r>
      <w:r>
        <w:rPr>
          <w:rFonts w:ascii="Times New Roman" w:cs="Times New Roman" w:hAnsi="Times New Roman"/>
          <w:b/>
          <w:bCs/>
          <w:sz w:val="24"/>
          <w:szCs w:val="24"/>
        </w:rPr>
        <w:t>Contamination</w:t>
      </w:r>
      <w:r>
        <w:rPr>
          <w:rFonts w:ascii="Times New Roman" w:cs="Times New Roman" w:hAnsi="Times New Roman"/>
          <w:b/>
          <w:bCs/>
          <w:sz w:val="24"/>
          <w:szCs w:val="24"/>
        </w:rPr>
        <w:t xml:space="preserve"> </w:t>
      </w:r>
      <w:r>
        <w:rPr>
          <w:rFonts w:ascii="Times New Roman" w:cs="Times New Roman" w:hAnsi="Times New Roman"/>
          <w:b/>
          <w:bCs/>
          <w:sz w:val="24"/>
          <w:szCs w:val="24"/>
        </w:rPr>
        <w:t>leachate</w:t>
      </w:r>
    </w:p>
    <w:p>
      <w:pPr>
        <w:pStyle w:val="style0"/>
        <w:spacing w:after="3" w:lineRule="auto" w:line="480"/>
        <w:ind w:left="5" w:hanging="10"/>
        <w:rPr>
          <w:rFonts w:ascii="Times New Roman" w:cs="Times New Roman" w:hAnsi="Times New Roman"/>
          <w:sz w:val="24"/>
          <w:szCs w:val="24"/>
        </w:rPr>
      </w:pPr>
      <w:r>
        <w:rPr>
          <w:rFonts w:ascii="Times New Roman" w:cs="Times New Roman" w:hAnsi="Times New Roman"/>
          <w:sz w:val="24"/>
          <w:szCs w:val="24"/>
        </w:rPr>
        <w:t>1. Depth to water table</w:t>
      </w:r>
      <w:r>
        <w:rPr>
          <w:rFonts w:ascii="Times New Roman" w:cs="Times New Roman" w:hAnsi="Times New Roman"/>
          <w:sz w:val="24"/>
          <w:szCs w:val="24"/>
        </w:rPr>
        <w:t xml:space="preserve">: </w:t>
      </w:r>
      <w:r>
        <w:rPr>
          <w:rFonts w:ascii="Times New Roman" w:cs="Times New Roman" w:hAnsi="Times New Roman"/>
          <w:sz w:val="24"/>
          <w:szCs w:val="24"/>
        </w:rPr>
        <w:t xml:space="preserve">If the water table is low (far below the ground surface), the leachate will be partially filtered as it percolates downward through the soil. If the water table is </w:t>
      </w:r>
      <w:r>
        <w:rPr>
          <w:rFonts w:ascii="Times New Roman" w:cs="Times New Roman" w:hAnsi="Times New Roman"/>
          <w:sz w:val="24"/>
          <w:szCs w:val="24"/>
        </w:rPr>
        <w:t>high( close</w:t>
      </w:r>
      <w:r>
        <w:rPr>
          <w:rFonts w:ascii="Times New Roman" w:cs="Times New Roman" w:hAnsi="Times New Roman"/>
          <w:sz w:val="24"/>
          <w:szCs w:val="24"/>
        </w:rPr>
        <w:t xml:space="preserve"> to the ground surface ), the groundwater stands the risk of being contaminated by the leachate which has not been fully filtered by the time it gets in contact with the groundwater as shown in Figure I.</w:t>
      </w:r>
    </w:p>
    <w:p>
      <w:pPr>
        <w:pStyle w:val="style0"/>
        <w:spacing w:after="3" w:lineRule="auto" w:line="480"/>
        <w:ind w:left="5" w:hanging="10"/>
        <w:rPr>
          <w:rFonts w:ascii="Times New Roman" w:cs="Times New Roman" w:hAnsi="Times New Roman"/>
          <w:sz w:val="24"/>
          <w:szCs w:val="24"/>
        </w:rPr>
      </w:pPr>
    </w:p>
    <w:p>
      <w:pPr>
        <w:pStyle w:val="style0"/>
        <w:spacing w:after="3" w:lineRule="auto" w:line="480"/>
        <w:ind w:left="5" w:hanging="10"/>
        <w:rPr>
          <w:rFonts w:ascii="Times New Roman" w:cs="Times New Roman" w:hAnsi="Times New Roman"/>
          <w:sz w:val="24"/>
          <w:szCs w:val="24"/>
        </w:rPr>
      </w:pPr>
      <w:r>
        <w:rPr>
          <w:noProof/>
        </w:rPr>
        <w:drawing>
          <wp:inline distL="0" distT="0" distB="0" distR="0">
            <wp:extent cx="5286427" cy="2499973"/>
            <wp:effectExtent l="0" t="0" r="0" b="0"/>
            <wp:docPr id="1026" name="Picture 10629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06298"/>
                    <pic:cNvPicPr/>
                  </pic:nvPicPr>
                  <pic:blipFill>
                    <a:blip r:embed="rId2" cstate="print"/>
                    <a:srcRect l="0" t="0" r="0" b="0"/>
                    <a:stretch/>
                  </pic:blipFill>
                  <pic:spPr>
                    <a:xfrm rot="0">
                      <a:off x="0" y="0"/>
                      <a:ext cx="5286427" cy="2499973"/>
                    </a:xfrm>
                    <a:prstGeom prst="rect"/>
                  </pic:spPr>
                </pic:pic>
              </a:graphicData>
            </a:graphic>
          </wp:inline>
        </w:drawing>
      </w:r>
    </w:p>
    <w:p>
      <w:pPr>
        <w:pStyle w:val="style0"/>
        <w:spacing w:after="3" w:lineRule="auto" w:line="480"/>
        <w:ind w:left="5" w:hanging="10"/>
        <w:rPr>
          <w:rFonts w:ascii="Times New Roman" w:cs="Times New Roman" w:hAnsi="Times New Roman"/>
          <w:sz w:val="24"/>
          <w:szCs w:val="24"/>
        </w:rPr>
      </w:pPr>
      <w:r>
        <w:rPr>
          <w:rFonts w:ascii="Times New Roman" w:cs="Times New Roman" w:hAnsi="Times New Roman"/>
          <w:sz w:val="24"/>
          <w:szCs w:val="24"/>
        </w:rPr>
        <w:t>Fig. 1: water table intersect landfill (</w:t>
      </w:r>
      <w:r>
        <w:rPr>
          <w:rFonts w:ascii="Times New Roman" w:cs="Times New Roman" w:hAnsi="Times New Roman"/>
          <w:sz w:val="24"/>
          <w:szCs w:val="24"/>
        </w:rPr>
        <w:t>Montgpmery</w:t>
      </w:r>
      <w:r>
        <w:rPr>
          <w:rFonts w:ascii="Times New Roman" w:cs="Times New Roman" w:hAnsi="Times New Roman"/>
          <w:sz w:val="24"/>
          <w:szCs w:val="24"/>
        </w:rPr>
        <w:t xml:space="preserve">, </w:t>
      </w:r>
      <w:r>
        <w:rPr>
          <w:rFonts w:ascii="Times New Roman" w:cs="Times New Roman" w:hAnsi="Times New Roman"/>
          <w:sz w:val="24"/>
          <w:szCs w:val="24"/>
        </w:rPr>
        <w:t>2</w:t>
      </w:r>
      <w:r>
        <w:rPr>
          <w:rFonts w:ascii="Times New Roman" w:cs="Times New Roman" w:hAnsi="Times New Roman"/>
          <w:sz w:val="24"/>
          <w:szCs w:val="24"/>
        </w:rPr>
        <w:t>000)</w:t>
      </w:r>
    </w:p>
    <w:p>
      <w:pPr>
        <w:pStyle w:val="style0"/>
        <w:spacing w:after="219" w:lineRule="auto" w:line="480"/>
        <w:ind w:left="14" w:right="77"/>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 xml:space="preserve"> </w:t>
      </w:r>
      <w:r>
        <w:rPr>
          <w:rFonts w:ascii="Times New Roman" w:cs="Times New Roman" w:hAnsi="Times New Roman"/>
          <w:sz w:val="24"/>
          <w:szCs w:val="24"/>
        </w:rPr>
        <w:t>Concentration of contaminants</w:t>
      </w:r>
      <w:r>
        <w:rPr>
          <w:rFonts w:ascii="Times New Roman" w:cs="Times New Roman" w:hAnsi="Times New Roman"/>
          <w:sz w:val="24"/>
          <w:szCs w:val="24"/>
        </w:rPr>
        <w:t>:</w:t>
      </w:r>
      <w:r>
        <w:rPr>
          <w:rFonts w:ascii="Times New Roman" w:cs="Times New Roman" w:hAnsi="Times New Roman"/>
          <w:sz w:val="24"/>
          <w:szCs w:val="24"/>
        </w:rPr>
        <w:t xml:space="preserve"> A high concentration of contaminants in </w:t>
      </w:r>
      <w:bookmarkStart w:id="0" w:name="_Hlk132742035"/>
      <w:r>
        <w:rPr>
          <w:rFonts w:ascii="Times New Roman" w:cs="Times New Roman" w:hAnsi="Times New Roman"/>
          <w:sz w:val="24"/>
          <w:szCs w:val="24"/>
        </w:rPr>
        <w:t>leachate</w:t>
      </w:r>
      <w:bookmarkEnd w:id="0"/>
      <w:r>
        <w:rPr>
          <w:rFonts w:ascii="Times New Roman" w:cs="Times New Roman" w:hAnsi="Times New Roman"/>
          <w:sz w:val="24"/>
          <w:szCs w:val="24"/>
        </w:rPr>
        <w:t xml:space="preserve"> will make groundwater pollution more likely.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 Permeability of geologic strata</w:t>
      </w:r>
      <w:r>
        <w:rPr>
          <w:rFonts w:ascii="Times New Roman" w:cs="Times New Roman" w:hAnsi="Times New Roman"/>
          <w:sz w:val="24"/>
          <w:szCs w:val="24"/>
        </w:rPr>
        <w:t>:</w:t>
      </w:r>
      <w:r>
        <w:rPr>
          <w:rFonts w:ascii="Times New Roman" w:cs="Times New Roman" w:hAnsi="Times New Roman"/>
          <w:sz w:val="24"/>
          <w:szCs w:val="24"/>
        </w:rPr>
        <w:t xml:space="preserve"> Highly permeable geologic strata allow leachate to quickly percolate through, receiving little filtration along the way as shown in Figure 2</w:t>
      </w:r>
    </w:p>
    <w:p>
      <w:pPr>
        <w:pStyle w:val="style0"/>
        <w:spacing w:lineRule="auto" w:line="480"/>
        <w:rPr>
          <w:rFonts w:ascii="Times New Roman" w:cs="Times New Roman" w:hAnsi="Times New Roman"/>
          <w:sz w:val="24"/>
          <w:szCs w:val="24"/>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4914487" cy="2064003"/>
                <wp:effectExtent l="0" t="0" r="0" b="0"/>
                <wp:docPr id="1027" name="Group 1035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14487" cy="2064003"/>
                          <a:chOff x="0" y="0"/>
                          <a:chExt cx="4914487" cy="2064003"/>
                        </a:xfrm>
                      </wpg:grpSpPr>
                      <pic:pic xmlns:pic="http://schemas.openxmlformats.org/drawingml/2006/picture">
                        <pic:nvPicPr>
                          <pic:cNvPr id="1" name="Image"/>
                          <pic:cNvPicPr/>
                        </pic:nvPicPr>
                        <pic:blipFill>
                          <a:blip r:embed="rId3" cstate="print"/>
                          <a:srcRect l="0" t="0" r="0" b="0"/>
                          <a:stretch/>
                        </pic:blipFill>
                        <pic:spPr>
                          <a:xfrm rot="0">
                            <a:off x="0" y="0"/>
                            <a:ext cx="4914487" cy="2039613"/>
                          </a:xfrm>
                          <a:prstGeom prst="rect"/>
                        </pic:spPr>
                      </pic:pic>
                      <wps:wsp>
                        <wps:cNvSpPr/>
                        <wps:spPr>
                          <a:xfrm rot="0">
                            <a:off x="478644" y="1951199"/>
                            <a:ext cx="190574" cy="150029"/>
                          </a:xfrm>
                          <a:prstGeom prst="rect"/>
                          <a:ln>
                            <a:noFill/>
                          </a:ln>
                        </wps:spPr>
                        <wps:txbx id="1029">
                          <w:txbxContent>
                            <w:p>
                              <w:pPr>
                                <w:pStyle w:val="style0"/>
                                <w:spacing w:after="160" w:lineRule="auto" w:line="259"/>
                                <w:rPr/>
                              </w:pPr>
                              <w:r>
                                <w:rPr>
                                  <w:rFonts w:ascii="Times New Roman" w:cs="Times New Roman" w:eastAsia="Times New Roman" w:hAnsi="Times New Roman"/>
                                  <w:sz w:val="18"/>
                                </w:rPr>
                                <w:t xml:space="preserve">ig. </w:t>
                              </w:r>
                            </w:p>
                          </w:txbxContent>
                        </wps:txbx>
                        <wps:bodyPr lIns="0" rIns="0" tIns="0" bIns="0" vert="horz">
                          <a:prstTxWarp prst="textNoShape"/>
                          <a:noAutofit/>
                        </wps:bodyPr>
                      </wps:wsp>
                      <wps:wsp>
                        <wps:cNvSpPr/>
                        <wps:spPr>
                          <a:xfrm rot="0">
                            <a:off x="740831" y="1951199"/>
                            <a:ext cx="543337" cy="150029"/>
                          </a:xfrm>
                          <a:prstGeom prst="rect"/>
                          <a:ln>
                            <a:noFill/>
                          </a:ln>
                        </wps:spPr>
                        <wps:txbx id="1030">
                          <w:txbxContent>
                            <w:p>
                              <w:pPr>
                                <w:pStyle w:val="style0"/>
                                <w:spacing w:after="160" w:lineRule="auto" w:line="259"/>
                                <w:rPr/>
                              </w:pPr>
                              <w:r>
                                <w:rPr>
                                  <w:rFonts w:ascii="Times New Roman" w:cs="Times New Roman" w:eastAsia="Times New Roman" w:hAnsi="Times New Roman"/>
                                  <w:sz w:val="18"/>
                                </w:rPr>
                                <w:t xml:space="preserve">leachate </w:t>
                              </w:r>
                            </w:p>
                          </w:txbxContent>
                        </wps:txbx>
                        <wps:bodyPr lIns="0" rIns="0" tIns="0" bIns="0" vert="horz">
                          <a:prstTxWarp prst="textNoShape"/>
                          <a:noAutofit/>
                        </wps:bodyPr>
                      </wps:wsp>
                      <wps:wsp>
                        <wps:cNvSpPr/>
                        <wps:spPr>
                          <a:xfrm rot="0">
                            <a:off x="1149356" y="1951199"/>
                            <a:ext cx="608213" cy="150029"/>
                          </a:xfrm>
                          <a:prstGeom prst="rect"/>
                          <a:ln>
                            <a:noFill/>
                          </a:ln>
                        </wps:spPr>
                        <wps:txbx id="1031">
                          <w:txbxContent>
                            <w:p>
                              <w:pPr>
                                <w:pStyle w:val="style0"/>
                                <w:spacing w:after="160" w:lineRule="auto" w:line="259"/>
                                <w:rPr/>
                              </w:pPr>
                              <w:r>
                                <w:rPr>
                                  <w:rFonts w:ascii="Times New Roman" w:cs="Times New Roman" w:eastAsia="Times New Roman" w:hAnsi="Times New Roman"/>
                                  <w:sz w:val="18"/>
                                </w:rPr>
                                <w:t xml:space="preserve">infiltrates </w:t>
                              </w:r>
                            </w:p>
                          </w:txbxContent>
                        </wps:txbx>
                        <wps:bodyPr lIns="0" rIns="0" tIns="0" bIns="0" vert="horz">
                          <a:prstTxWarp prst="textNoShape"/>
                          <a:noAutofit/>
                        </wps:bodyPr>
                      </wps:wsp>
                      <wps:wsp>
                        <wps:cNvSpPr/>
                        <wps:spPr>
                          <a:xfrm rot="0">
                            <a:off x="1606659" y="1951199"/>
                            <a:ext cx="158136" cy="150029"/>
                          </a:xfrm>
                          <a:prstGeom prst="rect"/>
                          <a:ln>
                            <a:noFill/>
                          </a:ln>
                        </wps:spPr>
                        <wps:txbx id="1032">
                          <w:txbxContent>
                            <w:p>
                              <w:pPr>
                                <w:pStyle w:val="style0"/>
                                <w:spacing w:after="160" w:lineRule="auto" w:line="259"/>
                                <w:rPr/>
                              </w:pPr>
                              <w:r>
                                <w:rPr>
                                  <w:rFonts w:ascii="Times New Roman" w:cs="Times New Roman" w:eastAsia="Times New Roman" w:hAnsi="Times New Roman"/>
                                  <w:sz w:val="18"/>
                                </w:rPr>
                                <w:t xml:space="preserve">to </w:t>
                              </w:r>
                            </w:p>
                          </w:txbxContent>
                        </wps:txbx>
                        <wps:bodyPr lIns="0" rIns="0" tIns="0" bIns="0" vert="horz">
                          <a:prstTxWarp prst="textNoShape"/>
                          <a:noAutofit/>
                        </wps:bodyPr>
                      </wps:wsp>
                      <wps:wsp>
                        <wps:cNvSpPr/>
                        <wps:spPr>
                          <a:xfrm rot="0">
                            <a:off x="1725558" y="1951199"/>
                            <a:ext cx="373038" cy="150029"/>
                          </a:xfrm>
                          <a:prstGeom prst="rect"/>
                          <a:ln>
                            <a:noFill/>
                          </a:ln>
                        </wps:spPr>
                        <wps:txbx id="1033">
                          <w:txbxContent>
                            <w:p>
                              <w:pPr>
                                <w:pStyle w:val="style0"/>
                                <w:spacing w:after="160" w:lineRule="auto" w:line="259"/>
                                <w:rPr/>
                              </w:pPr>
                              <w:r>
                                <w:rPr>
                                  <w:rFonts w:ascii="Times New Roman" w:cs="Times New Roman" w:eastAsia="Times New Roman" w:hAnsi="Times New Roman"/>
                                  <w:sz w:val="18"/>
                                </w:rPr>
                                <w:t xml:space="preserve">water </w:t>
                              </w:r>
                            </w:p>
                          </w:txbxContent>
                        </wps:txbx>
                        <wps:bodyPr lIns="0" rIns="0" tIns="0" bIns="0" vert="horz">
                          <a:prstTxWarp prst="textNoShape"/>
                          <a:noAutofit/>
                        </wps:bodyPr>
                      </wps:wsp>
                      <wps:wsp>
                        <wps:cNvSpPr/>
                        <wps:spPr>
                          <a:xfrm rot="0">
                            <a:off x="2006037" y="1951199"/>
                            <a:ext cx="332490" cy="150029"/>
                          </a:xfrm>
                          <a:prstGeom prst="rect"/>
                          <a:ln>
                            <a:noFill/>
                          </a:ln>
                        </wps:spPr>
                        <wps:txbx id="1034">
                          <w:txbxContent>
                            <w:p>
                              <w:pPr>
                                <w:pStyle w:val="style0"/>
                                <w:spacing w:after="160" w:lineRule="auto" w:line="259"/>
                                <w:rPr/>
                              </w:pPr>
                              <w:r>
                                <w:rPr>
                                  <w:rFonts w:ascii="Times New Roman" w:cs="Times New Roman" w:eastAsia="Times New Roman" w:hAnsi="Times New Roman"/>
                                  <w:sz w:val="18"/>
                                </w:rPr>
                                <w:t xml:space="preserve">table </w:t>
                              </w:r>
                            </w:p>
                          </w:txbxContent>
                        </wps:txbx>
                        <wps:bodyPr lIns="0" rIns="0" tIns="0" bIns="0" vert="horz">
                          <a:prstTxWarp prst="textNoShape"/>
                          <a:noAutofit/>
                        </wps:bodyPr>
                      </wps:wsp>
                      <wps:wsp>
                        <wps:cNvSpPr/>
                        <wps:spPr>
                          <a:xfrm rot="0">
                            <a:off x="2256030" y="1951199"/>
                            <a:ext cx="519009" cy="150029"/>
                          </a:xfrm>
                          <a:prstGeom prst="rect"/>
                          <a:ln>
                            <a:noFill/>
                          </a:ln>
                        </wps:spPr>
                        <wps:txbx id="1035">
                          <w:txbxContent>
                            <w:p>
                              <w:pPr>
                                <w:pStyle w:val="style0"/>
                                <w:spacing w:after="160" w:lineRule="auto" w:line="259"/>
                                <w:rPr/>
                              </w:pPr>
                              <w:r>
                                <w:rPr>
                                  <w:rFonts w:ascii="Times New Roman" w:cs="Times New Roman" w:eastAsia="Times New Roman" w:hAnsi="Times New Roman"/>
                                  <w:sz w:val="18"/>
                                </w:rPr>
                                <w:t xml:space="preserve">through </w:t>
                              </w:r>
                            </w:p>
                          </w:txbxContent>
                        </wps:txbx>
                        <wps:bodyPr lIns="0" rIns="0" tIns="0" bIns="0" vert="horz">
                          <a:prstTxWarp prst="textNoShape"/>
                          <a:noAutofit/>
                        </wps:bodyPr>
                      </wps:wsp>
                      <wps:wsp>
                        <wps:cNvSpPr/>
                        <wps:spPr>
                          <a:xfrm rot="0">
                            <a:off x="2646262" y="1951199"/>
                            <a:ext cx="673090" cy="150029"/>
                          </a:xfrm>
                          <a:prstGeom prst="rect"/>
                          <a:ln>
                            <a:noFill/>
                          </a:ln>
                        </wps:spPr>
                        <wps:txbx id="1036">
                          <w:txbxContent>
                            <w:p>
                              <w:pPr>
                                <w:pStyle w:val="style0"/>
                                <w:spacing w:after="160" w:lineRule="auto" w:line="259"/>
                                <w:rPr/>
                              </w:pPr>
                              <w:r>
                                <w:rPr>
                                  <w:rFonts w:ascii="Times New Roman" w:cs="Times New Roman" w:eastAsia="Times New Roman" w:hAnsi="Times New Roman"/>
                                  <w:sz w:val="18"/>
                                </w:rPr>
                                <w:t xml:space="preserve">permeable </w:t>
                              </w:r>
                            </w:p>
                          </w:txbxContent>
                        </wps:txbx>
                        <wps:bodyPr lIns="0" rIns="0" tIns="0" bIns="0" vert="horz">
                          <a:prstTxWarp prst="textNoShape"/>
                          <a:noAutofit/>
                        </wps:bodyPr>
                      </wps:wsp>
                      <wps:wsp>
                        <wps:cNvSpPr/>
                        <wps:spPr>
                          <a:xfrm rot="0">
                            <a:off x="3152345" y="1948150"/>
                            <a:ext cx="1463767" cy="150029"/>
                          </a:xfrm>
                          <a:prstGeom prst="rect"/>
                          <a:ln>
                            <a:noFill/>
                          </a:ln>
                        </wps:spPr>
                        <wps:txbx id="1037">
                          <w:txbxContent>
                            <w:p>
                              <w:pPr>
                                <w:pStyle w:val="style0"/>
                                <w:spacing w:after="160" w:lineRule="auto" w:line="259"/>
                                <w:rPr/>
                              </w:pPr>
                              <w:r>
                                <w:rPr>
                                  <w:rFonts w:ascii="Times New Roman" w:cs="Times New Roman" w:eastAsia="Times New Roman" w:hAnsi="Times New Roman"/>
                                  <w:sz w:val="18"/>
                                </w:rPr>
                                <w:t xml:space="preserve">materials(Montgomery, </w:t>
                              </w:r>
                            </w:p>
                          </w:txbxContent>
                        </wps:txbx>
                        <wps:bodyPr lIns="0" rIns="0" tIns="0" bIns="0" vert="horz">
                          <a:prstTxWarp prst="textNoShape"/>
                          <a:noAutofit/>
                        </wps:bodyPr>
                      </wps:wsp>
                      <wps:wsp>
                        <wps:cNvSpPr/>
                        <wps:spPr>
                          <a:xfrm rot="0">
                            <a:off x="4252921" y="1948150"/>
                            <a:ext cx="352764" cy="150029"/>
                          </a:xfrm>
                          <a:prstGeom prst="rect"/>
                          <a:ln>
                            <a:noFill/>
                          </a:ln>
                        </wps:spPr>
                        <wps:txbx id="1038">
                          <w:txbxContent>
                            <w:p>
                              <w:pPr>
                                <w:pStyle w:val="style0"/>
                                <w:spacing w:after="160" w:lineRule="auto" w:line="259"/>
                                <w:rPr/>
                              </w:pPr>
                              <w:r>
                                <w:rPr>
                                  <w:rFonts w:ascii="Times New Roman" w:cs="Times New Roman" w:eastAsia="Times New Roman" w:hAnsi="Times New Roman"/>
                                  <w:sz w:val="18"/>
                                </w:rPr>
                                <w:t>2000)</w:t>
                              </w:r>
                            </w:p>
                          </w:txbxContent>
                        </wps:txbx>
                        <wps:bodyPr lIns="0" rIns="0" tIns="0" bIns="0" vert="horz">
                          <a:prstTxWarp prst="textNoShape"/>
                          <a:noAutofit/>
                        </wps:bodyPr>
                      </wps:wsp>
                    </wpg:wgp>
                  </a:graphicData>
                </a:graphic>
              </wp:inline>
            </w:drawing>
          </mc:Choice>
          <mc:Fallback>
            <w:pict>
              <v:group id="1027" filled="f" stroked="f" style="margin-left:0.0pt;margin-top:0.0pt;width:386.97pt;height:162.52pt;mso-wrap-distance-left:0.0pt;mso-wrap-distance-right:0.0pt;visibility:visible;" coordsize="4914487,2064003">
                <v:shape id="1028" type="#_x0000_t75" filled="f" stroked="f" style="position:absolute;left:0;top:0;width:4914487;height:2039613;z-index:2;mso-position-horizontal-relative:page;mso-position-vertical-relative:page;mso-width-relative:page;mso-height-relative:page;visibility:visible;">
                  <v:imagedata r:id="rId3" embosscolor="white" o:title=""/>
                  <v:fill/>
                </v:shape>
                <v:rect id="1029" filled="f" stroked="f" style="position:absolute;left:478644;top:1951199;width:190574;height:150029;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ig. </w:t>
                        </w:r>
                      </w:p>
                    </w:txbxContent>
                  </v:textbox>
                </v:rect>
                <v:rect id="1030" filled="f" stroked="f" style="position:absolute;left:740831;top:1951199;width:543337;height:150029;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leachate </w:t>
                        </w:r>
                      </w:p>
                    </w:txbxContent>
                  </v:textbox>
                </v:rect>
                <v:rect id="1031" filled="f" stroked="f" style="position:absolute;left:1149356;top:1951199;width:608213;height:150029;z-index: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infiltrates </w:t>
                        </w:r>
                      </w:p>
                    </w:txbxContent>
                  </v:textbox>
                </v:rect>
                <v:rect id="1032" filled="f" stroked="f" style="position:absolute;left:1606659;top:1951199;width:158136;height:150029;z-index: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to </w:t>
                        </w:r>
                      </w:p>
                    </w:txbxContent>
                  </v:textbox>
                </v:rect>
                <v:rect id="1033" filled="f" stroked="f" style="position:absolute;left:1725558;top:1951199;width:373038;height:150029;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water </w:t>
                        </w:r>
                      </w:p>
                    </w:txbxContent>
                  </v:textbox>
                </v:rect>
                <v:rect id="1034" filled="f" stroked="f" style="position:absolute;left:2006037;top:1951199;width:332490;height:150029;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table </w:t>
                        </w:r>
                      </w:p>
                    </w:txbxContent>
                  </v:textbox>
                </v:rect>
                <v:rect id="1035" filled="f" stroked="f" style="position:absolute;left:2256030;top:1951199;width:519009;height:150029;z-index: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through </w:t>
                        </w:r>
                      </w:p>
                    </w:txbxContent>
                  </v:textbox>
                </v:rect>
                <v:rect id="1036" filled="f" stroked="f" style="position:absolute;left:2646262;top:1951199;width:673090;height:150029;z-index:1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permeable </w:t>
                        </w:r>
                      </w:p>
                    </w:txbxContent>
                  </v:textbox>
                </v:rect>
                <v:rect id="1037" filled="f" stroked="f" style="position:absolute;left:3152345;top:1948150;width:1463767;height:150029;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materials(Montgomery, </w:t>
                        </w:r>
                      </w:p>
                    </w:txbxContent>
                  </v:textbox>
                </v:rect>
                <v:rect id="1038" filled="f" stroked="f" style="position:absolute;left:4252921;top:1948150;width:352764;height:150029;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2000)</w:t>
                        </w:r>
                      </w:p>
                    </w:txbxContent>
                  </v:textbox>
                </v:rect>
                <w10:anchorlock/>
                <v:fill rotate="true"/>
              </v:group>
            </w:pict>
          </mc:Fallback>
        </mc:AlternateContent>
      </w:r>
      <w:r>
        <w:rPr>
          <w:rFonts w:ascii="Calibri" w:cs="Calibri" w:eastAsia="Calibri" w:hAnsi="Calibri"/>
          <w:noProof/>
        </w:rPr>
      </w:r>
      <w:r>
        <w:rPr>
          <w:rFonts w:ascii="Calibri" w:cs="Calibri" w:eastAsia="Calibri" w:hAnsi="Calibri"/>
          <w:noProof/>
        </w:rPr>
      </w:r>
    </w:p>
    <w:p>
      <w:pPr>
        <w:pStyle w:val="style0"/>
        <w:spacing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 Hydrologic setting</w:t>
      </w:r>
      <w:r>
        <w:rPr>
          <w:rFonts w:ascii="Times New Roman" w:cs="Times New Roman" w:hAnsi="Times New Roman"/>
          <w:sz w:val="24"/>
          <w:szCs w:val="24"/>
        </w:rPr>
        <w:t xml:space="preserve">: </w:t>
      </w:r>
      <w:r>
        <w:rPr>
          <w:rFonts w:ascii="Times New Roman" w:cs="Times New Roman" w:hAnsi="Times New Roman"/>
          <w:sz w:val="24"/>
          <w:szCs w:val="24"/>
        </w:rPr>
        <w:t>Relative vulnerability to pollution by hydrologic setting becomes: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I. Extreme if (a) Bedrock aquifers crop out (especially in </w:t>
      </w:r>
      <w:r>
        <w:rPr>
          <w:rFonts w:ascii="Times New Roman" w:cs="Times New Roman" w:hAnsi="Times New Roman"/>
          <w:sz w:val="24"/>
          <w:szCs w:val="24"/>
        </w:rPr>
        <w:t>Karsts</w:t>
      </w:r>
      <w:r>
        <w:rPr>
          <w:rFonts w:ascii="Times New Roman" w:cs="Times New Roman" w:hAnsi="Times New Roman"/>
          <w:sz w:val="24"/>
          <w:szCs w:val="24"/>
        </w:rPr>
        <w:t xml:space="preserve"> area); or bedrock aquifers are overlain by less than 3m of soil (b) Unconfined and gravel aquifers with unsaturated zone less than 3m thick Il. High if Bedrock aquifers are overlain by 3m sand and gravel, 3-10m sandy till, or 3-5m clay or </w:t>
      </w:r>
      <w:r>
        <w:rPr>
          <w:rFonts w:ascii="Times New Roman" w:cs="Times New Roman" w:hAnsi="Times New Roman"/>
          <w:sz w:val="24"/>
          <w:szCs w:val="24"/>
        </w:rPr>
        <w:t>clav</w:t>
      </w:r>
      <w:r>
        <w:rPr>
          <w:rFonts w:ascii="Times New Roman" w:cs="Times New Roman" w:hAnsi="Times New Roman"/>
          <w:sz w:val="24"/>
          <w:szCs w:val="24"/>
        </w:rPr>
        <w:t>-rich till.</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Ill. Moderate if unconfined aquifers are overlain by 10m sandy clay till, or 5-10m clay rich till, clay or peat</w:t>
      </w:r>
      <w:r>
        <w:rPr>
          <w:rFonts w:ascii="Times New Roman" w:cs="Times New Roman" w:hAnsi="Times New Roman"/>
          <w:sz w:val="24"/>
          <w:szCs w:val="24"/>
        </w:rPr>
        <w:t>.</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IV. Low if confined aquifers low permeable rock such as shale are overlain by 10m clay-rich till or (George, 1992).</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Justification</w:t>
      </w:r>
    </w:p>
    <w:p>
      <w:pPr>
        <w:pStyle w:val="style0"/>
        <w:spacing w:after="0" w:lineRule="auto" w:line="480"/>
        <w:ind w:firstLine="360"/>
        <w:rPr>
          <w:rFonts w:ascii="Times New Roman" w:cs="Times New Roman" w:hAnsi="Times New Roman"/>
          <w:sz w:val="24"/>
          <w:szCs w:val="24"/>
        </w:rPr>
      </w:pPr>
      <w:r>
        <w:rPr>
          <w:rFonts w:ascii="Times New Roman" w:cs="Times New Roman" w:hAnsi="Times New Roman"/>
          <w:sz w:val="24"/>
          <w:szCs w:val="24"/>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pPr>
        <w:pStyle w:val="style0"/>
        <w:spacing w:after="0" w:lineRule="auto" w:line="480"/>
        <w:ind w:firstLine="360"/>
        <w:rPr>
          <w:rFonts w:ascii="Times New Roman" w:cs="Times New Roman" w:hAnsi="Times New Roman"/>
          <w:sz w:val="24"/>
          <w:szCs w:val="24"/>
        </w:rPr>
      </w:pPr>
      <w:r>
        <w:rPr>
          <w:rFonts w:ascii="Times New Roman" w:cs="Times New Roman" w:hAnsi="Times New Roman"/>
          <w:sz w:val="24"/>
          <w:szCs w:val="24"/>
        </w:rPr>
        <w:t xml:space="preserve">Furthermore, rapid industrialization recently witnessed by the Ilorin metropolis has resulted in population increase and has led to the urbanization of satellite villages and settlements of which the ancient </w:t>
      </w:r>
      <w:r>
        <w:rPr>
          <w:rFonts w:ascii="Times New Roman" w:cs="Times New Roman" w:hAnsi="Times New Roman"/>
          <w:sz w:val="24"/>
          <w:szCs w:val="24"/>
        </w:rPr>
        <w:t>Eleko</w:t>
      </w:r>
      <w:r>
        <w:rPr>
          <w:rFonts w:ascii="Times New Roman" w:cs="Times New Roman" w:hAnsi="Times New Roman"/>
          <w:sz w:val="24"/>
          <w:szCs w:val="24"/>
        </w:rPr>
        <w:t xml:space="preserve">, Kwara Poly. (Permanent site), Ara and </w:t>
      </w:r>
      <w:r>
        <w:rPr>
          <w:rFonts w:ascii="Times New Roman" w:cs="Times New Roman" w:hAnsi="Times New Roman"/>
          <w:sz w:val="24"/>
          <w:szCs w:val="24"/>
        </w:rPr>
        <w:t>Akuo</w:t>
      </w:r>
      <w:r>
        <w:rPr>
          <w:rFonts w:ascii="Times New Roman" w:cs="Times New Roman" w:hAnsi="Times New Roman"/>
          <w:sz w:val="24"/>
          <w:szCs w:val="24"/>
        </w:rPr>
        <w:t xml:space="preserve"> settlements, all of which fall in the study area. The people of these settlements depend solely on surface water from streams and hand dug wells for their domestic use. However, these sources of water are highly </w:t>
      </w:r>
      <w:r>
        <w:rPr>
          <w:rFonts w:ascii="Times New Roman" w:cs="Times New Roman" w:hAnsi="Times New Roman"/>
          <w:sz w:val="24"/>
          <w:szCs w:val="24"/>
        </w:rPr>
        <w:t xml:space="preserve">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Pr>
          <w:rFonts w:ascii="Times New Roman" w:cs="Times New Roman" w:hAnsi="Times New Roman"/>
          <w:i/>
          <w:iCs/>
          <w:sz w:val="24"/>
          <w:szCs w:val="24"/>
        </w:rPr>
        <w:t>et al.</w:t>
      </w:r>
      <w:r>
        <w:rPr>
          <w:rFonts w:ascii="Times New Roman" w:cs="Times New Roman" w:hAnsi="Times New Roman"/>
          <w:sz w:val="24"/>
          <w:szCs w:val="24"/>
        </w:rPr>
        <w:t>, 2019).</w:t>
      </w:r>
    </w:p>
    <w:p>
      <w:pPr>
        <w:pStyle w:val="style0"/>
        <w:rPr>
          <w:rFonts w:ascii="Times New Roman" w:cs="Times New Roman" w:hAnsi="Times New Roman"/>
          <w:b/>
          <w:sz w:val="24"/>
          <w:szCs w:val="24"/>
        </w:rPr>
      </w:pPr>
      <w:r>
        <w:rPr>
          <w:rFonts w:ascii="Times New Roman" w:cs="Times New Roman" w:hAnsi="Times New Roman"/>
          <w:b/>
          <w:sz w:val="24"/>
          <w:szCs w:val="24"/>
        </w:rPr>
        <w:t>The Study Area</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Kwara State in its entirety is located in the North-Central part of Nigeria. It lies between the Longitude 3</w:t>
      </w:r>
      <w:r>
        <w:rPr>
          <w:rFonts w:ascii="Times New Roman" w:cs="Times New Roman" w:hAnsi="Times New Roman"/>
          <w:sz w:val="24"/>
          <w:szCs w:val="24"/>
          <w:vertAlign w:val="superscript"/>
        </w:rPr>
        <w:t>0</w:t>
      </w:r>
      <w:r>
        <w:rPr>
          <w:rFonts w:ascii="Times New Roman" w:cs="Times New Roman" w:hAnsi="Times New Roman"/>
          <w:sz w:val="24"/>
          <w:szCs w:val="24"/>
        </w:rPr>
        <w:t xml:space="preserve"> and 6</w:t>
      </w:r>
      <w:r>
        <w:rPr>
          <w:rFonts w:ascii="Times New Roman" w:cs="Times New Roman" w:hAnsi="Times New Roman"/>
          <w:sz w:val="24"/>
          <w:szCs w:val="24"/>
          <w:vertAlign w:val="superscript"/>
        </w:rPr>
        <w:t>0</w:t>
      </w:r>
      <w:r>
        <w:rPr>
          <w:rFonts w:ascii="Times New Roman" w:cs="Times New Roman" w:hAnsi="Times New Roman"/>
          <w:sz w:val="24"/>
          <w:szCs w:val="24"/>
        </w:rPr>
        <w:t xml:space="preserve"> E and Latitude 8</w:t>
      </w:r>
      <w:r>
        <w:rPr>
          <w:rFonts w:ascii="Times New Roman" w:cs="Times New Roman" w:hAnsi="Times New Roman"/>
          <w:sz w:val="24"/>
          <w:szCs w:val="24"/>
          <w:vertAlign w:val="superscript"/>
        </w:rPr>
        <w:t>0</w:t>
      </w:r>
      <w:r>
        <w:rPr>
          <w:rFonts w:ascii="Times New Roman" w:cs="Times New Roman" w:hAnsi="Times New Roman"/>
          <w:sz w:val="24"/>
          <w:szCs w:val="24"/>
        </w:rPr>
        <w:t xml:space="preserve"> and 10</w:t>
      </w:r>
      <w:r>
        <w:rPr>
          <w:rFonts w:ascii="Times New Roman" w:cs="Times New Roman" w:hAnsi="Times New Roman"/>
          <w:sz w:val="24"/>
          <w:szCs w:val="24"/>
          <w:vertAlign w:val="superscript"/>
        </w:rPr>
        <w:t>0</w:t>
      </w:r>
      <w:r>
        <w:rPr>
          <w:rFonts w:ascii="Times New Roman" w:cs="Times New Roman" w:hAnsi="Times New Roman"/>
          <w:sz w:val="24"/>
          <w:szCs w:val="24"/>
        </w:rPr>
        <w:t xml:space="preserve"> N respectively (Fig</w:t>
      </w:r>
      <w:r>
        <w:rPr>
          <w:rFonts w:ascii="Times New Roman" w:cs="Times New Roman" w:hAnsi="Times New Roman"/>
          <w:sz w:val="24"/>
          <w:szCs w:val="24"/>
        </w:rPr>
        <w:t>ure</w:t>
      </w:r>
      <w:r>
        <w:rPr>
          <w:rFonts w:ascii="Times New Roman" w:cs="Times New Roman" w:hAnsi="Times New Roman"/>
          <w:sz w:val="24"/>
          <w:szCs w:val="24"/>
        </w:rPr>
        <w:t xml:space="preserve"> 1). It covers an area of over 32,500 square kilometer and bounded by an international boundary with Benin Republic in the West, in the North by Niger, in the East by Kogi and to the south by Oyo, Ekiti and Osun.</w:t>
      </w:r>
    </w:p>
    <w:p>
      <w:pPr>
        <w:pStyle w:val="style0"/>
        <w:rPr>
          <w:rFonts w:ascii="Times New Roman" w:cs="Times New Roman" w:hAnsi="Times New Roman"/>
          <w:b/>
          <w:sz w:val="24"/>
          <w:szCs w:val="24"/>
        </w:rPr>
      </w:pPr>
      <w:r>
        <w:rPr>
          <w:noProof/>
          <w:lang w:eastAsia="en-GB"/>
        </w:rPr>
        <w:drawing>
          <wp:inline distL="0" distT="0" distB="0" distR="0">
            <wp:extent cx="5047615" cy="3903489"/>
            <wp:effectExtent l="0" t="0" r="635" b="1905"/>
            <wp:docPr id="1040"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4" cstate="print"/>
                    <a:srcRect l="15690" t="2236" r="15672" b="8145"/>
                    <a:stretch/>
                  </pic:blipFill>
                  <pic:spPr>
                    <a:xfrm rot="0">
                      <a:off x="0" y="0"/>
                      <a:ext cx="5047615" cy="3903489"/>
                    </a:xfrm>
                    <a:prstGeom prst="rect"/>
                    <a:ln>
                      <a:noFill/>
                    </a:ln>
                  </pic:spPr>
                </pic:pic>
              </a:graphicData>
            </a:graphic>
          </wp:inline>
        </w:drawing>
      </w:r>
    </w:p>
    <w:p>
      <w:pPr>
        <w:pStyle w:val="style0"/>
        <w:spacing w:after="0" w:lineRule="auto" w:line="360"/>
        <w:ind w:left="360" w:firstLine="360"/>
        <w:rPr>
          <w:rFonts w:ascii="Times New Roman" w:cs="Times New Roman" w:hAnsi="Times New Roman"/>
          <w:bCs/>
          <w:sz w:val="24"/>
          <w:szCs w:val="24"/>
        </w:rPr>
      </w:pPr>
      <w:r>
        <w:rPr>
          <w:rFonts w:ascii="Times New Roman" w:cs="Times New Roman" w:hAnsi="Times New Roman"/>
          <w:b/>
          <w:sz w:val="24"/>
          <w:szCs w:val="24"/>
        </w:rPr>
        <w:t>Figure 1</w:t>
      </w:r>
      <w:r>
        <w:rPr>
          <w:rFonts w:ascii="Times New Roman" w:cs="Times New Roman" w:hAnsi="Times New Roman"/>
          <w:bCs/>
          <w:sz w:val="24"/>
          <w:szCs w:val="24"/>
        </w:rPr>
        <w:t>: Merged geographical map of Nigeria, Kwara State and the study area, herein referred to as Kwara Polytechnic (source: Kwara State Bureau of Lands, Ilorin, 2012)</w:t>
      </w:r>
    </w:p>
    <w:p>
      <w:pPr>
        <w:pStyle w:val="style0"/>
        <w:rPr>
          <w:bCs/>
          <w:sz w:val="24"/>
          <w:szCs w:val="24"/>
        </w:rPr>
      </w:pPr>
    </w:p>
    <w:p>
      <w:pPr>
        <w:pStyle w:val="style0"/>
        <w:spacing w:lineRule="auto" w:line="480"/>
        <w:ind w:firstLine="360"/>
        <w:rPr>
          <w:rFonts w:ascii="Times New Roman" w:cs="Times New Roman" w:hAnsi="Times New Roman"/>
          <w:sz w:val="24"/>
          <w:szCs w:val="24"/>
        </w:rPr>
      </w:pPr>
      <w:r>
        <w:rPr>
          <w:rFonts w:ascii="Times New Roman" w:cs="Times New Roman" w:hAnsi="Times New Roman"/>
          <w:sz w:val="24"/>
          <w:szCs w:val="24"/>
        </w:rPr>
        <w:t>The area of study, falls in Ilorin, the capital city of Kwara State, with Kwara State Polytechnic (Fig</w:t>
      </w:r>
      <w:r>
        <w:rPr>
          <w:rFonts w:ascii="Times New Roman" w:cs="Times New Roman" w:hAnsi="Times New Roman"/>
          <w:sz w:val="24"/>
          <w:szCs w:val="24"/>
        </w:rPr>
        <w:t>ure</w:t>
      </w:r>
      <w:r>
        <w:rPr>
          <w:rFonts w:ascii="Times New Roman" w:cs="Times New Roman" w:hAnsi="Times New Roman"/>
          <w:sz w:val="24"/>
          <w:szCs w:val="24"/>
        </w:rPr>
        <w:t xml:space="preserv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w:t>
      </w:r>
      <w:r>
        <w:rPr>
          <w:rFonts w:ascii="Times New Roman" w:cs="Times New Roman" w:hAnsi="Times New Roman"/>
          <w:sz w:val="24"/>
          <w:szCs w:val="24"/>
        </w:rPr>
        <w:t>Apa</w:t>
      </w:r>
      <w:r>
        <w:rPr>
          <w:rFonts w:ascii="Times New Roman" w:cs="Times New Roman" w:hAnsi="Times New Roman"/>
          <w:sz w:val="24"/>
          <w:szCs w:val="24"/>
        </w:rPr>
        <w:t xml:space="preserve"> as a tributary of river Niger (Nwankwo</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2004).</w:t>
      </w:r>
    </w:p>
    <w:p>
      <w:pPr>
        <w:pStyle w:val="style0"/>
        <w:rPr/>
      </w:pPr>
    </w:p>
    <w:p>
      <w:pPr>
        <w:pStyle w:val="style0"/>
        <w:rPr>
          <w:rFonts w:ascii="Times New Roman" w:cs="Times New Roman" w:hAnsi="Times New Roman"/>
          <w:b/>
          <w:sz w:val="24"/>
          <w:szCs w:val="24"/>
        </w:rPr>
      </w:pPr>
      <w:r>
        <w:rPr>
          <w:noProof/>
          <w:lang w:eastAsia="en-GB"/>
        </w:rPr>
        <w:drawing>
          <wp:inline distL="0" distT="0" distB="0" distR="0">
            <wp:extent cx="5415280" cy="4595052"/>
            <wp:effectExtent l="0" t="0" r="0" b="0"/>
            <wp:docPr id="104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11532" t="0" r="12053" b="796"/>
                    <a:stretch/>
                  </pic:blipFill>
                  <pic:spPr>
                    <a:xfrm rot="0">
                      <a:off x="0" y="0"/>
                      <a:ext cx="5415280" cy="4595052"/>
                    </a:xfrm>
                    <a:prstGeom prst="rect"/>
                    <a:ln>
                      <a:noFill/>
                    </a:ln>
                  </pic:spPr>
                </pic:pic>
              </a:graphicData>
            </a:graphic>
          </wp:inline>
        </w:drawing>
      </w:r>
    </w:p>
    <w:p>
      <w:pPr>
        <w:pStyle w:val="style0"/>
        <w:spacing w:after="0"/>
        <w:rPr>
          <w:rFonts w:ascii="Times New Roman" w:cs="Times New Roman" w:hAnsi="Times New Roman"/>
          <w:sz w:val="24"/>
          <w:szCs w:val="24"/>
        </w:rPr>
      </w:pPr>
      <w:r>
        <w:rPr>
          <w:rFonts w:ascii="Times New Roman" w:cs="Times New Roman" w:hAnsi="Times New Roman"/>
          <w:b/>
          <w:bCs/>
          <w:sz w:val="24"/>
          <w:szCs w:val="24"/>
        </w:rPr>
        <w:t>Figure 2</w:t>
      </w:r>
      <w:r>
        <w:rPr>
          <w:rFonts w:ascii="Times New Roman" w:cs="Times New Roman" w:hAnsi="Times New Roman"/>
          <w:sz w:val="24"/>
          <w:szCs w:val="24"/>
        </w:rPr>
        <w:t xml:space="preserve">: Guide map of the central point of the study area (Source: Sunday </w:t>
      </w:r>
      <w:r>
        <w:rPr>
          <w:rFonts w:ascii="Times New Roman" w:cs="Times New Roman" w:hAnsi="Times New Roman"/>
          <w:i/>
          <w:iCs/>
          <w:sz w:val="24"/>
          <w:szCs w:val="24"/>
        </w:rPr>
        <w:t>et al.</w:t>
      </w:r>
      <w:r>
        <w:rPr>
          <w:rFonts w:ascii="Times New Roman" w:cs="Times New Roman" w:hAnsi="Times New Roman"/>
          <w:sz w:val="24"/>
          <w:szCs w:val="24"/>
        </w:rPr>
        <w:t>, 2019)</w:t>
      </w:r>
    </w:p>
    <w:p>
      <w:pPr>
        <w:pStyle w:val="style0"/>
        <w:spacing w:after="0" w:lineRule="auto" w:line="480"/>
        <w:ind w:firstLine="720"/>
        <w:rPr>
          <w:rFonts w:ascii="Times New Roman" w:cs="Times New Roman" w:hAnsi="Times New Roman"/>
          <w:sz w:val="24"/>
          <w:szCs w:val="24"/>
        </w:rPr>
      </w:pPr>
    </w:p>
    <w:p>
      <w:pPr>
        <w:pStyle w:val="style0"/>
        <w:spacing w:after="0" w:lineRule="auto" w:line="480"/>
        <w:ind w:firstLine="720"/>
        <w:rPr>
          <w:rFonts w:ascii="Times New Roman" w:cs="Times New Roman" w:hAnsi="Times New Roman"/>
          <w:sz w:val="24"/>
          <w:szCs w:val="24"/>
        </w:rPr>
      </w:pPr>
      <w:r>
        <w:rPr>
          <w:rFonts w:ascii="Times New Roman" w:cs="Times New Roman" w:hAnsi="Times New Roman"/>
          <w:sz w:val="24"/>
          <w:szCs w:val="24"/>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cs="Times New Roman" w:hAnsi="Times New Roman"/>
          <w:sz w:val="24"/>
          <w:szCs w:val="24"/>
        </w:rPr>
        <w:t xml:space="preserve"> </w:t>
      </w:r>
      <w:r>
        <w:rPr>
          <w:rFonts w:ascii="Times New Roman" w:cs="Times New Roman" w:hAnsi="Times New Roman"/>
          <w:sz w:val="24"/>
          <w:szCs w:val="24"/>
        </w:rPr>
        <w:t xml:space="preserve">A high population of the rural dwellers in the study area and neighboring villages depends on groundwater for day-to-day domestic, industrial and commercial water supply. The successful exploitation of basement terrain groundwater requires a proper understanding of its hydro-geophysical characteristics (Choudhury </w:t>
      </w:r>
      <w:r>
        <w:rPr>
          <w:rFonts w:ascii="Times New Roman" w:cs="Times New Roman" w:hAnsi="Times New Roman"/>
          <w:i/>
          <w:iCs/>
          <w:sz w:val="24"/>
          <w:szCs w:val="24"/>
        </w:rPr>
        <w:t>et al</w:t>
      </w:r>
      <w:r>
        <w:rPr>
          <w:rFonts w:ascii="Times New Roman" w:cs="Times New Roman" w:hAnsi="Times New Roman"/>
          <w:sz w:val="24"/>
          <w:szCs w:val="24"/>
        </w:rPr>
        <w:t>., 2001). This is particularly important in view of the discontinuous nature of basement aquifers (</w:t>
      </w:r>
      <w:r>
        <w:rPr>
          <w:rFonts w:ascii="Times New Roman" w:cs="Times New Roman" w:hAnsi="Times New Roman"/>
          <w:sz w:val="24"/>
          <w:szCs w:val="24"/>
        </w:rPr>
        <w:t>Satpathy</w:t>
      </w:r>
      <w:r>
        <w:rPr>
          <w:rFonts w:ascii="Times New Roman" w:cs="Times New Roman" w:hAnsi="Times New Roman"/>
          <w:sz w:val="24"/>
          <w:szCs w:val="24"/>
        </w:rPr>
        <w:t xml:space="preserve"> and Kanungo, 1976).</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Furthermore, rapid industrialization recently witnessed by the Ilorin metropolis has resulted in population increase and has led to the urbanization of satellite villages and settlements of which the ancient </w:t>
      </w:r>
      <w:r>
        <w:rPr>
          <w:rFonts w:ascii="Times New Roman" w:cs="Times New Roman" w:hAnsi="Times New Roman"/>
          <w:sz w:val="24"/>
          <w:szCs w:val="24"/>
        </w:rPr>
        <w:t>Eleko</w:t>
      </w:r>
      <w:r>
        <w:rPr>
          <w:rFonts w:ascii="Times New Roman" w:cs="Times New Roman" w:hAnsi="Times New Roman"/>
          <w:sz w:val="24"/>
          <w:szCs w:val="24"/>
        </w:rPr>
        <w:t xml:space="preserve">, Kwara Poly. (Permanent site), Ara and </w:t>
      </w:r>
      <w:r>
        <w:rPr>
          <w:rFonts w:ascii="Times New Roman" w:cs="Times New Roman" w:hAnsi="Times New Roman"/>
          <w:sz w:val="24"/>
          <w:szCs w:val="24"/>
        </w:rPr>
        <w:t>Akuo</w:t>
      </w:r>
      <w:r>
        <w:rPr>
          <w:rFonts w:ascii="Times New Roman" w:cs="Times New Roman" w:hAnsi="Times New Roman"/>
          <w:sz w:val="24"/>
          <w:szCs w:val="24"/>
        </w:rPr>
        <w:t xml:space="preserve">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w:t>
      </w:r>
      <w:r>
        <w:rPr>
          <w:rFonts w:ascii="Times New Roman" w:cs="Times New Roman" w:hAnsi="Times New Roman"/>
          <w:sz w:val="24"/>
          <w:szCs w:val="24"/>
        </w:rPr>
        <w:t xml:space="preserve">of water inadequate for its dwellers, and the need for good quality and readily available portable groundwater in this area forms the basis for this research (Sunday </w:t>
      </w:r>
      <w:r>
        <w:rPr>
          <w:rFonts w:ascii="Times New Roman" w:cs="Times New Roman" w:hAnsi="Times New Roman"/>
          <w:i/>
          <w:iCs/>
          <w:sz w:val="24"/>
          <w:szCs w:val="24"/>
        </w:rPr>
        <w:t>et al.</w:t>
      </w:r>
      <w:r>
        <w:rPr>
          <w:rFonts w:ascii="Times New Roman" w:cs="Times New Roman" w:hAnsi="Times New Roman"/>
          <w:sz w:val="24"/>
          <w:szCs w:val="24"/>
        </w:rPr>
        <w:t>, 2019).</w:t>
      </w:r>
    </w:p>
    <w:p>
      <w:pPr>
        <w:pStyle w:val="style0"/>
        <w:spacing w:lineRule="auto" w:line="480"/>
        <w:rPr>
          <w:rFonts w:ascii="Times New Roman" w:cs="Times New Roman" w:hAnsi="Times New Roman"/>
          <w:sz w:val="24"/>
          <w:szCs w:val="24"/>
        </w:rPr>
      </w:pPr>
      <w:r>
        <w:rPr>
          <w:rFonts w:ascii="Times New Roman" w:cs="Times New Roman" w:hAnsi="Times New Roman"/>
          <w:b/>
          <w:bCs/>
          <w:i/>
          <w:iCs/>
          <w:sz w:val="24"/>
          <w:szCs w:val="24"/>
        </w:rPr>
        <w:t>Regional</w:t>
      </w:r>
      <w:r>
        <w:rPr>
          <w:rFonts w:ascii="Times New Roman" w:cs="Times New Roman" w:hAnsi="Times New Roman"/>
          <w:b/>
          <w:bCs/>
          <w:i/>
          <w:iCs/>
          <w:sz w:val="24"/>
          <w:szCs w:val="24"/>
        </w:rPr>
        <w:t xml:space="preserve"> and </w:t>
      </w:r>
      <w:r>
        <w:rPr>
          <w:rFonts w:ascii="Times New Roman" w:cs="Times New Roman" w:hAnsi="Times New Roman"/>
          <w:b/>
          <w:bCs/>
          <w:i/>
          <w:iCs/>
          <w:sz w:val="24"/>
          <w:szCs w:val="24"/>
        </w:rPr>
        <w:t>Geological Setting</w:t>
      </w:r>
      <w:r>
        <w:rPr>
          <w:rFonts w:ascii="Times New Roman" w:cs="Times New Roman" w:hAnsi="Times New Roman"/>
          <w:b/>
          <w:bCs/>
          <w:i/>
          <w:iCs/>
          <w:sz w:val="24"/>
          <w:szCs w:val="24"/>
        </w:rPr>
        <w:t xml:space="preserve"> of t</w:t>
      </w:r>
      <w:r>
        <w:rPr>
          <w:rFonts w:ascii="Times New Roman" w:cs="Times New Roman" w:hAnsi="Times New Roman"/>
          <w:b/>
          <w:bCs/>
          <w:i/>
          <w:iCs/>
          <w:sz w:val="24"/>
          <w:szCs w:val="24"/>
        </w:rPr>
        <w:t>he Study Area</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The dominant lithologic units of the study area are gneisses of migmatite, biotite and granite which are regionally emplaced; the ferruginous quartzite is the source of the iron ore mineralization in the area (</w:t>
      </w:r>
      <w:r>
        <w:rPr>
          <w:rFonts w:ascii="Times New Roman" w:cs="Times New Roman" w:hAnsi="Times New Roman"/>
          <w:sz w:val="24"/>
          <w:szCs w:val="24"/>
        </w:rPr>
        <w:t>Olade</w:t>
      </w:r>
      <w:r>
        <w:rPr>
          <w:rFonts w:ascii="Times New Roman" w:cs="Times New Roman" w:hAnsi="Times New Roman"/>
          <w:sz w:val="24"/>
          <w:szCs w:val="24"/>
        </w:rPr>
        <w:t>, 1975</w:t>
      </w:r>
      <w:r>
        <w:rPr>
          <w:rFonts w:ascii="Times New Roman" w:cs="Times New Roman" w:hAnsi="Times New Roman"/>
          <w:sz w:val="24"/>
          <w:szCs w:val="24"/>
        </w:rPr>
        <w:t xml:space="preserve">). The </w:t>
      </w:r>
      <w:r>
        <w:rPr>
          <w:rFonts w:ascii="Times New Roman" w:cs="Times New Roman" w:hAnsi="Times New Roman"/>
          <w:sz w:val="24"/>
          <w:szCs w:val="24"/>
        </w:rPr>
        <w:t>area fall</w:t>
      </w:r>
      <w:r>
        <w:rPr>
          <w:rFonts w:ascii="Times New Roman" w:cs="Times New Roman" w:hAnsi="Times New Roman"/>
          <w:sz w:val="24"/>
          <w:szCs w:val="24"/>
        </w:rPr>
        <w:t>s</w:t>
      </w:r>
      <w:r>
        <w:rPr>
          <w:rFonts w:ascii="Times New Roman" w:cs="Times New Roman" w:hAnsi="Times New Roman"/>
          <w:sz w:val="24"/>
          <w:szCs w:val="24"/>
        </w:rPr>
        <w:t xml:space="preserve"> under the banded iron Formation of Nigeria, generally they occur in metamorphosed folded bands, associated with </w:t>
      </w:r>
      <w:r>
        <w:rPr>
          <w:rFonts w:ascii="Times New Roman" w:cs="Times New Roman" w:hAnsi="Times New Roman"/>
          <w:sz w:val="24"/>
          <w:szCs w:val="24"/>
        </w:rPr>
        <w:t>Precambrain</w:t>
      </w:r>
      <w:r>
        <w:rPr>
          <w:rFonts w:ascii="Times New Roman" w:cs="Times New Roman" w:hAnsi="Times New Roman"/>
          <w:sz w:val="24"/>
          <w:szCs w:val="24"/>
        </w:rPr>
        <w:t xml:space="preserve"> basement complex rocks which included low metasediments, high grade schist, gneisses and migmatites</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color w:val="000000"/>
          <w:sz w:val="24"/>
          <w:szCs w:val="24"/>
        </w:rPr>
        <w:t>Chinwuko</w:t>
      </w:r>
      <w:r>
        <w:rPr>
          <w:rFonts w:ascii="Times New Roman" w:cs="Times New Roman" w:hAnsi="Times New Roman"/>
          <w:color w:val="000000"/>
          <w:sz w:val="24"/>
          <w:szCs w:val="24"/>
        </w:rPr>
        <w:t xml:space="preserve">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2014</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The dominated lithologic units in the area are gneisses of migmatite, biotite and granite. </w:t>
      </w:r>
      <w:r>
        <w:rPr>
          <w:rFonts w:ascii="Times New Roman" w:cs="Times New Roman" w:hAnsi="Times New Roman"/>
          <w:sz w:val="24"/>
          <w:szCs w:val="24"/>
        </w:rPr>
        <w:t>Olade</w:t>
      </w:r>
      <w:r>
        <w:rPr>
          <w:rFonts w:ascii="Times New Roman" w:cs="Times New Roman" w:hAnsi="Times New Roman"/>
          <w:sz w:val="24"/>
          <w:szCs w:val="24"/>
        </w:rPr>
        <w:t>, (1975) pointed that the ferruginous</w:t>
      </w:r>
      <w:r>
        <w:rPr>
          <w:rFonts w:ascii="Times New Roman" w:cs="Times New Roman" w:hAnsi="Times New Roman"/>
          <w:sz w:val="24"/>
          <w:szCs w:val="24"/>
        </w:rPr>
        <w:t xml:space="preserve"> </w:t>
      </w:r>
      <w:r>
        <w:rPr>
          <w:rFonts w:ascii="Times New Roman" w:cs="Times New Roman" w:hAnsi="Times New Roman"/>
          <w:sz w:val="24"/>
          <w:szCs w:val="24"/>
        </w:rPr>
        <w:t>quartzite is the source of the iron ore mineralization. The south eastern part of the study area is more sedimentary</w:t>
      </w:r>
      <w:r>
        <w:rPr>
          <w:rFonts w:ascii="Times New Roman" w:cs="Times New Roman" w:hAnsi="Times New Roman"/>
          <w:sz w:val="24"/>
          <w:szCs w:val="24"/>
        </w:rPr>
        <w:t>.</w:t>
      </w:r>
    </w:p>
    <w:p>
      <w:pPr>
        <w:pStyle w:val="style0"/>
        <w:spacing w:after="0" w:lineRule="auto" w:line="480"/>
        <w:rPr>
          <w:rFonts w:ascii="Times New Roman" w:cs="Times New Roman" w:hAnsi="Times New Roman"/>
          <w:sz w:val="24"/>
          <w:szCs w:val="24"/>
        </w:rPr>
      </w:pPr>
      <w:r>
        <w:rPr>
          <w:rFonts w:ascii="Cambria" w:hAnsi="Cambria"/>
          <w:noProof/>
          <w:sz w:val="24"/>
          <w:szCs w:val="24"/>
        </w:rPr>
        <w:drawing>
          <wp:inline distL="0" distT="0" distB="0" distR="0">
            <wp:extent cx="5943600" cy="3645169"/>
            <wp:effectExtent l="0" t="0" r="0" b="0"/>
            <wp:docPr id="104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26923" t="42189" r="38942" b="13056"/>
                    <a:stretch/>
                  </pic:blipFill>
                  <pic:spPr>
                    <a:xfrm rot="0">
                      <a:off x="0" y="0"/>
                      <a:ext cx="5943600" cy="3645169"/>
                    </a:xfrm>
                    <a:prstGeom prst="rect"/>
                    <a:ln>
                      <a:noFill/>
                    </a:ln>
                  </pic:spPr>
                </pic:pic>
              </a:graphicData>
            </a:graphic>
          </wp:inline>
        </w:drawing>
      </w:r>
    </w:p>
    <w:p>
      <w:pPr>
        <w:pStyle w:val="style0"/>
        <w:spacing w:after="0" w:lineRule="auto" w:line="480"/>
        <w:rPr>
          <w:rFonts w:ascii="Times New Roman" w:cs="Times New Roman" w:hAnsi="Times New Roman"/>
          <w:sz w:val="24"/>
          <w:szCs w:val="24"/>
        </w:rPr>
      </w:pPr>
      <w:r>
        <w:rPr>
          <w:rFonts w:ascii="Cambria" w:cs="Times New Roman" w:hAnsi="Cambria"/>
          <w:b/>
          <w:bCs/>
          <w:sz w:val="24"/>
          <w:szCs w:val="24"/>
        </w:rPr>
        <w:t>Figure 3</w:t>
      </w:r>
      <w:r>
        <w:rPr>
          <w:rFonts w:ascii="Cambria" w:cs="Times New Roman" w:hAnsi="Cambria"/>
          <w:sz w:val="24"/>
          <w:szCs w:val="24"/>
        </w:rPr>
        <w:t xml:space="preserve">: Geological Map of Ilorin (after </w:t>
      </w:r>
      <w:r>
        <w:rPr>
          <w:rFonts w:ascii="Cambria" w:cs="Times New Roman" w:hAnsi="Cambria"/>
          <w:sz w:val="24"/>
          <w:szCs w:val="24"/>
        </w:rPr>
        <w:t>Fatoye</w:t>
      </w:r>
      <w:r>
        <w:rPr>
          <w:rFonts w:ascii="Cambria" w:cs="Times New Roman" w:hAnsi="Cambria"/>
          <w:sz w:val="24"/>
          <w:szCs w:val="24"/>
        </w:rPr>
        <w:t xml:space="preserve"> </w:t>
      </w:r>
      <w:r>
        <w:rPr>
          <w:rFonts w:ascii="Cambria" w:cs="Times New Roman" w:hAnsi="Cambria"/>
          <w:i/>
          <w:iCs/>
          <w:sz w:val="24"/>
          <w:szCs w:val="24"/>
        </w:rPr>
        <w:t>et al</w:t>
      </w:r>
      <w:r>
        <w:rPr>
          <w:rFonts w:ascii="Cambria" w:cs="Times New Roman" w:hAnsi="Cambria"/>
          <w:sz w:val="24"/>
          <w:szCs w:val="24"/>
        </w:rPr>
        <w:t>., 2022).</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Aim and Objectives</w:t>
      </w:r>
    </w:p>
    <w:p>
      <w:pPr>
        <w:pStyle w:val="style0"/>
        <w:spacing w:after="0" w:lineRule="auto" w:line="480"/>
        <w:ind w:firstLine="720"/>
        <w:rPr>
          <w:rFonts w:ascii="Times New Roman" w:cs="Times New Roman" w:hAnsi="Times New Roman"/>
          <w:bCs/>
          <w:sz w:val="24"/>
          <w:szCs w:val="24"/>
        </w:rPr>
      </w:pPr>
      <w:r>
        <w:rPr>
          <w:rFonts w:ascii="Times New Roman" w:cs="Times New Roman" w:hAnsi="Times New Roman"/>
          <w:bCs/>
          <w:sz w:val="24"/>
          <w:szCs w:val="24"/>
        </w:rPr>
        <w:t>Th</w:t>
      </w:r>
      <w:r>
        <w:rPr>
          <w:rFonts w:ascii="Times New Roman" w:cs="Times New Roman" w:hAnsi="Times New Roman"/>
          <w:bCs/>
          <w:sz w:val="24"/>
          <w:szCs w:val="24"/>
        </w:rPr>
        <w:t>is</w:t>
      </w:r>
      <w:r>
        <w:rPr>
          <w:rFonts w:ascii="Times New Roman" w:cs="Times New Roman" w:hAnsi="Times New Roman"/>
          <w:bCs/>
          <w:sz w:val="24"/>
          <w:szCs w:val="24"/>
        </w:rPr>
        <w:t xml:space="preserve"> </w:t>
      </w:r>
      <w:r>
        <w:rPr>
          <w:rFonts w:ascii="Times New Roman" w:cs="Times New Roman" w:hAnsi="Times New Roman"/>
          <w:bCs/>
          <w:sz w:val="24"/>
          <w:szCs w:val="24"/>
        </w:rPr>
        <w:t>study</w:t>
      </w:r>
      <w:r>
        <w:rPr>
          <w:rFonts w:ascii="Times New Roman" w:cs="Times New Roman" w:hAnsi="Times New Roman"/>
          <w:bCs/>
          <w:sz w:val="24"/>
          <w:szCs w:val="24"/>
        </w:rPr>
        <w:t xml:space="preserve"> was carried out to have an insight into the subsurface geology of the study area with the following objectives:</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detect subsurface layers, their thicknesses, and their resistivities;</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investigate the hydrological conditions of the area with the view of delineating the potential area for groundwater development;</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map geological structures e.g., faults and fractures, which are conductive bodies, thus may accommodate groundwater, and</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locate possible and suitable site for productive boreholes in the study area</w:t>
      </w:r>
      <w:r>
        <w:rPr>
          <w:rFonts w:ascii="Times New Roman" w:cs="Times New Roman" w:hAnsi="Times New Roman"/>
          <w:bCs/>
          <w:sz w:val="24"/>
          <w:szCs w:val="24"/>
        </w:rPr>
        <w:t>.</w:t>
      </w: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w:t>
      </w:r>
      <w:r>
        <w:rPr>
          <w:rFonts w:ascii="Times New Roman" w:cs="Times New Roman" w:hAnsi="Times New Roman"/>
          <w:b/>
          <w:sz w:val="24"/>
          <w:szCs w:val="24"/>
        </w:rPr>
        <w:t>HAPTER TWO: LITERATURE REVIEW</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Introduction</w:t>
      </w:r>
    </w:p>
    <w:p>
      <w:pPr>
        <w:pStyle w:val="style0"/>
        <w:spacing w:after="0" w:lineRule="auto" w:line="480"/>
        <w:ind w:firstLine="720"/>
        <w:rPr>
          <w:rFonts w:ascii="Times New Roman" w:cs="Times New Roman" w:hAnsi="Times New Roman"/>
          <w:bCs/>
          <w:sz w:val="24"/>
          <w:szCs w:val="24"/>
        </w:rPr>
      </w:pPr>
      <w:r>
        <w:rPr>
          <w:rFonts w:ascii="Times New Roman" w:cs="Times New Roman" w:hAnsi="Times New Roman"/>
          <w:bCs/>
          <w:sz w:val="24"/>
          <w:szCs w:val="24"/>
        </w:rPr>
        <w:t>A quick look at magnetic field maps talks much about the location and shape of buried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complicated features. However, a careful study of a map can provide extra details about the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depth and edges of magnetic materials that are underground.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 magnetic surveying, by delineating lateral changes in magnetic susceptibilities,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information about structural trends and lithological changes are provided. To distinguish</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between different sizes and different depths of the geological structures, edge detection</w:t>
      </w:r>
      <w:r>
        <w:rPr>
          <w:rFonts w:ascii="Times New Roman" w:cs="Times New Roman" w:hAnsi="Times New Roman"/>
          <w:bCs/>
          <w:sz w:val="24"/>
          <w:szCs w:val="24"/>
        </w:rPr>
        <w:t xml:space="preserve"> </w:t>
      </w:r>
      <w:r>
        <w:rPr>
          <w:rFonts w:ascii="Times New Roman" w:cs="Times New Roman" w:hAnsi="Times New Roman"/>
          <w:bCs/>
          <w:sz w:val="24"/>
          <w:szCs w:val="24"/>
        </w:rPr>
        <w:t>techniques are used. To delineate structural features from magnetic data, many techniques have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been developed. Also, estimation of the depth of magnetic sources using different methods can</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be applied to gridded magnetic data sets.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Nabighian (1972) used the concept of the analytic signal for magnetic interpretation, and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showed that the analytic signal amplitude yields a Gaussian-shaped function over each corner</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of a 2D body with polygonal cross section. Roest </w:t>
      </w:r>
      <w:r>
        <w:rPr>
          <w:rFonts w:ascii="Times New Roman" w:cs="Times New Roman" w:hAnsi="Times New Roman"/>
          <w:bCs/>
          <w:i/>
          <w:iCs/>
          <w:sz w:val="24"/>
          <w:szCs w:val="24"/>
        </w:rPr>
        <w:t>et al</w:t>
      </w:r>
      <w:r>
        <w:rPr>
          <w:rFonts w:ascii="Times New Roman" w:cs="Times New Roman" w:hAnsi="Times New Roman"/>
          <w:bCs/>
          <w:sz w:val="24"/>
          <w:szCs w:val="24"/>
        </w:rPr>
        <w:t>. (1992) used the total magnetic intensity,</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which required the 3D analytic signal to approximately estimate the positions of magnetic</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contact corners and obtain depth estimates from gridded data. Reid </w:t>
      </w:r>
      <w:r>
        <w:rPr>
          <w:rFonts w:ascii="Times New Roman" w:cs="Times New Roman" w:hAnsi="Times New Roman"/>
          <w:bCs/>
          <w:i/>
          <w:iCs/>
          <w:sz w:val="24"/>
          <w:szCs w:val="24"/>
        </w:rPr>
        <w:t>et al</w:t>
      </w:r>
      <w:r>
        <w:rPr>
          <w:rFonts w:ascii="Times New Roman" w:cs="Times New Roman" w:hAnsi="Times New Roman"/>
          <w:bCs/>
          <w:sz w:val="24"/>
          <w:szCs w:val="24"/>
        </w:rPr>
        <w:t>. (1990) ushered in the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Euler deconvolution as an interpretive tool in the magnetic potential field for locating magnetic</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anomalies and the determination of their depths by deconvolution using Euler’s homogeneity</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relation. Cordell and </w:t>
      </w:r>
      <w:r>
        <w:rPr>
          <w:rFonts w:ascii="Times New Roman" w:cs="Times New Roman" w:hAnsi="Times New Roman"/>
          <w:bCs/>
          <w:sz w:val="24"/>
          <w:szCs w:val="24"/>
        </w:rPr>
        <w:t>Grauch</w:t>
      </w:r>
      <w:r>
        <w:rPr>
          <w:rFonts w:ascii="Times New Roman" w:cs="Times New Roman" w:hAnsi="Times New Roman"/>
          <w:bCs/>
          <w:sz w:val="24"/>
          <w:szCs w:val="24"/>
        </w:rPr>
        <w:t xml:space="preserve"> (1985) proposed a method for locating the horizontal extents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of the anomalous sources from the maxima of the horizontal gradient of the </w:t>
      </w:r>
      <w:r>
        <w:rPr>
          <w:rFonts w:ascii="Times New Roman" w:cs="Times New Roman" w:hAnsi="Times New Roman"/>
          <w:bCs/>
          <w:sz w:val="24"/>
          <w:szCs w:val="24"/>
        </w:rPr>
        <w:t>pseudogravity</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computed from the gridded magnetic data. Verduzco </w:t>
      </w:r>
      <w:r>
        <w:rPr>
          <w:rFonts w:ascii="Times New Roman" w:cs="Times New Roman" w:hAnsi="Times New Roman"/>
          <w:bCs/>
          <w:i/>
          <w:iCs/>
          <w:sz w:val="24"/>
          <w:szCs w:val="24"/>
        </w:rPr>
        <w:t>et al</w:t>
      </w:r>
      <w:r>
        <w:rPr>
          <w:rFonts w:ascii="Times New Roman" w:cs="Times New Roman" w:hAnsi="Times New Roman"/>
          <w:bCs/>
          <w:sz w:val="24"/>
          <w:szCs w:val="24"/>
        </w:rPr>
        <w:t>. (2004) developed tilt derivative from</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the potential magnetic field anomaly map and used the horizontal gradient of the tilt derivative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as an edge detector for magnetic anomaly. Salem </w:t>
      </w:r>
      <w:r>
        <w:rPr>
          <w:rFonts w:ascii="Times New Roman" w:cs="Times New Roman" w:hAnsi="Times New Roman"/>
          <w:bCs/>
          <w:i/>
          <w:iCs/>
          <w:sz w:val="24"/>
          <w:szCs w:val="24"/>
        </w:rPr>
        <w:t>et al</w:t>
      </w:r>
      <w:r>
        <w:rPr>
          <w:rFonts w:ascii="Times New Roman" w:cs="Times New Roman" w:hAnsi="Times New Roman"/>
          <w:bCs/>
          <w:sz w:val="24"/>
          <w:szCs w:val="24"/>
        </w:rPr>
        <w:t>. (2007) have applied a new method for</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interpretation of gridded magnetic data based on the tilt derivative. The tilt derivative method,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by providing a means for estimating the depth to the basement, is a useful technique for</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interpreting magnetic data.</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w:t>
      </w:r>
      <w:r>
        <w:rPr>
          <w:rFonts w:ascii="Times New Roman" w:cs="Times New Roman" w:hAnsi="Times New Roman"/>
          <w:b/>
          <w:sz w:val="24"/>
          <w:szCs w:val="24"/>
        </w:rPr>
        <w:tab/>
      </w:r>
      <w:r>
        <w:rPr>
          <w:rFonts w:ascii="Times New Roman" w:cs="Times New Roman" w:hAnsi="Times New Roman"/>
          <w:b/>
          <w:sz w:val="24"/>
          <w:szCs w:val="24"/>
        </w:rPr>
        <w:t>OVERVIEW OF GEOPHYSICAL METHODS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Various geophysical survey methods have been and are being used on land and offshore. Each of these methods measures something that is related to subsurface rocks and their geologic configurations. Rocks and minerals in the earth vary in several ways.  According to (</w:t>
      </w:r>
      <w:r>
        <w:rPr>
          <w:rFonts w:ascii="Times New Roman" w:cs="Times New Roman" w:hAnsi="Times New Roman"/>
          <w:sz w:val="24"/>
          <w:szCs w:val="24"/>
        </w:rPr>
        <w:t>Gadallah</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2009) these include: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Density – mass per unit volume. The gravity method detects lateral variations in density. Both lateral and vertical density variations are important in the gravity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Magnetic susceptibility – the amount of magnetization in a substance exposed to a magnetic field. The magnetic method detects horizontal variations in susceptibility.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Propagation velocity – the rate at which sound or seismic waves are transmitted in the earth. It is these variations, horizontal and vertical, that make the seismic method applicable to petroleum exploration.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Resistivity and Induced Polarization – Resistivity is a measure of the ability to conduct electricity and induced polarization is frequency-dependent variation in resistivity. Electrical methods detect variations of these over a surface area</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Self-Potential - ability to generate an electrical voltage. Electrical methods also measure this over a surface area.</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Electromagnetic wave reflectivity and transmissivity: reflection and transmission of electromagnetic radiation, such as radar, radio waves and infrared radiation, is the basis of electromagnetic methods etc.</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2.1.1</w:t>
      </w:r>
      <w:r>
        <w:rPr>
          <w:rFonts w:ascii="Times New Roman" w:cs="Times New Roman" w:hAnsi="Times New Roman"/>
          <w:b/>
          <w:sz w:val="24"/>
          <w:szCs w:val="24"/>
        </w:rPr>
        <w:tab/>
      </w:r>
      <w:r>
        <w:rPr>
          <w:rFonts w:ascii="Times New Roman" w:cs="Times New Roman" w:hAnsi="Times New Roman"/>
          <w:b/>
          <w:sz w:val="24"/>
          <w:szCs w:val="24"/>
        </w:rPr>
        <w:t>Gravity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w:t>
      </w:r>
      <w:r>
        <w:rPr>
          <w:rFonts w:ascii="Times New Roman" w:cs="Times New Roman" w:hAnsi="Times New Roman"/>
          <w:sz w:val="24"/>
          <w:szCs w:val="24"/>
        </w:rPr>
        <w:t>anomalies. On a larger scale, small negative anomalies are associated with salt domes. Modern instruments capable of rapid gravity measurements are known as gravity meters or gravimeters (Al-Chalabi, 1972).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2.1.2</w:t>
      </w:r>
      <w:r>
        <w:rPr>
          <w:rFonts w:ascii="Times New Roman" w:cs="Times New Roman" w:hAnsi="Times New Roman"/>
          <w:b/>
          <w:sz w:val="24"/>
          <w:szCs w:val="24"/>
        </w:rPr>
        <w:tab/>
      </w:r>
      <w:r>
        <w:rPr>
          <w:rFonts w:ascii="Times New Roman" w:cs="Times New Roman" w:hAnsi="Times New Roman"/>
          <w:b/>
          <w:sz w:val="24"/>
          <w:szCs w:val="24"/>
        </w:rPr>
        <w:t>Electrical Methods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There are many methods of electrical surveying. Some makes use of fields within the Earth while others require the introduction of artificially-generated currents into the ground. These methods include;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Direct current resistivity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Electromagnetic</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Mise-a-la-masse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Induced polarization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Self-potential</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Pr>
          <w:rFonts w:ascii="Times New Roman" w:cs="Times New Roman" w:hAnsi="Times New Roman"/>
          <w:i/>
          <w:sz w:val="24"/>
          <w:szCs w:val="24"/>
        </w:rPr>
        <w:t>et al.,</w:t>
      </w:r>
      <w:r>
        <w:rPr>
          <w:rFonts w:ascii="Times New Roman" w:cs="Times New Roman" w:hAnsi="Times New Roman"/>
          <w:sz w:val="24"/>
          <w:szCs w:val="24"/>
        </w:rPr>
        <w:t xml:space="preserve"> 1975). </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w:t>
      </w:r>
      <w:r>
        <w:rPr>
          <w:rFonts w:ascii="Times New Roman" w:cs="Times New Roman" w:hAnsi="Times New Roman"/>
          <w:sz w:val="24"/>
          <w:szCs w:val="24"/>
        </w:rPr>
        <w:t>decrease,</w:t>
      </w:r>
      <w:r>
        <w:rPr>
          <w:rFonts w:ascii="Times New Roman" w:cs="Times New Roman" w:hAnsi="Times New Roman"/>
          <w:sz w:val="24"/>
          <w:szCs w:val="24"/>
        </w:rPr>
        <w:t xml:space="preserve"> the voltage suffers a gradual decay and can take many seconds to reach a zero value (Aspinall </w:t>
      </w:r>
      <w:r>
        <w:rPr>
          <w:rFonts w:ascii="Times New Roman" w:cs="Times New Roman" w:hAnsi="Times New Roman"/>
          <w:i/>
          <w:sz w:val="24"/>
          <w:szCs w:val="24"/>
        </w:rPr>
        <w:t>et al.,</w:t>
      </w:r>
      <w:r>
        <w:rPr>
          <w:rFonts w:ascii="Times New Roman" w:cs="Times New Roman" w:hAnsi="Times New Roman"/>
          <w:sz w:val="24"/>
          <w:szCs w:val="24"/>
        </w:rPr>
        <w:t xml:space="preserve"> 1975).</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w:t>
      </w:r>
      <w:r>
        <w:rPr>
          <w:rFonts w:ascii="Times New Roman" w:cs="Times New Roman" w:hAnsi="Times New Roman"/>
          <w:sz w:val="24"/>
          <w:szCs w:val="24"/>
        </w:rPr>
        <w:t xml:space="preserve">invariably exhibit a central negative anomaly and are stable over long periods of time. They are usually associated with deposits of metallic </w:t>
      </w:r>
      <w:r>
        <w:rPr>
          <w:rFonts w:ascii="Times New Roman" w:cs="Times New Roman" w:hAnsi="Times New Roman"/>
          <w:sz w:val="24"/>
          <w:szCs w:val="24"/>
        </w:rPr>
        <w:t>sulphides</w:t>
      </w:r>
      <w:r>
        <w:rPr>
          <w:rFonts w:ascii="Times New Roman" w:cs="Times New Roman" w:hAnsi="Times New Roman"/>
          <w:sz w:val="24"/>
          <w:szCs w:val="24"/>
        </w:rPr>
        <w:t>, magnetite or graphite (Corry, 1985).</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Pr>
          <w:rFonts w:ascii="Times New Roman" w:cs="Times New Roman" w:hAnsi="Times New Roman"/>
          <w:i/>
          <w:sz w:val="24"/>
          <w:szCs w:val="24"/>
        </w:rPr>
        <w:t>et al.,</w:t>
      </w:r>
      <w:r>
        <w:rPr>
          <w:rFonts w:ascii="Times New Roman" w:cs="Times New Roman" w:hAnsi="Times New Roman"/>
          <w:sz w:val="24"/>
          <w:szCs w:val="24"/>
        </w:rPr>
        <w:t xml:space="preserve"> 1984).</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2.1.3</w:t>
      </w:r>
      <w:r>
        <w:rPr>
          <w:rFonts w:ascii="Times New Roman" w:cs="Times New Roman" w:hAnsi="Times New Roman"/>
          <w:b/>
          <w:sz w:val="24"/>
          <w:szCs w:val="24"/>
        </w:rPr>
        <w:tab/>
      </w:r>
      <w:r>
        <w:rPr>
          <w:rFonts w:ascii="Times New Roman" w:cs="Times New Roman" w:hAnsi="Times New Roman"/>
          <w:b/>
          <w:sz w:val="24"/>
          <w:szCs w:val="24"/>
        </w:rPr>
        <w:t>Radiometric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w:t>
      </w:r>
      <w:r>
        <w:rPr>
          <w:rFonts w:ascii="Times New Roman" w:cs="Times New Roman" w:hAnsi="Times New Roman"/>
          <w:sz w:val="24"/>
          <w:szCs w:val="24"/>
        </w:rPr>
        <w:t>Gadallah</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2009).</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2.1.4</w:t>
      </w:r>
      <w:r>
        <w:rPr>
          <w:rFonts w:ascii="Times New Roman" w:cs="Times New Roman" w:hAnsi="Times New Roman"/>
          <w:b/>
          <w:sz w:val="24"/>
          <w:szCs w:val="24"/>
        </w:rPr>
        <w:tab/>
      </w:r>
      <w:r>
        <w:rPr>
          <w:rFonts w:ascii="Times New Roman" w:cs="Times New Roman" w:hAnsi="Times New Roman"/>
          <w:b/>
          <w:sz w:val="24"/>
          <w:szCs w:val="24"/>
        </w:rPr>
        <w:t>Seismic Method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Reflection seismology (or seismic reflection) is a method of exploration geophysics that uses the principles of seismology to estimate the properties of the Earth's subsurface from reflected seismic waves (https://en.wikipedia.org/wiki/waste_management).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Pr>
          <w:rFonts w:ascii="Times New Roman" w:cs="Times New Roman" w:hAnsi="Times New Roman"/>
          <w:i/>
          <w:sz w:val="24"/>
          <w:szCs w:val="24"/>
        </w:rPr>
        <w:t>et al.,</w:t>
      </w:r>
      <w:r>
        <w:rPr>
          <w:rFonts w:ascii="Times New Roman" w:cs="Times New Roman" w:hAnsi="Times New Roman"/>
          <w:sz w:val="24"/>
          <w:szCs w:val="24"/>
        </w:rPr>
        <w:t xml:space="preserve"> 1995).</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w:t>
      </w:r>
      <w:r>
        <w:rPr>
          <w:rFonts w:ascii="Times New Roman" w:cs="Times New Roman" w:hAnsi="Times New Roman"/>
          <w:b/>
          <w:sz w:val="24"/>
          <w:szCs w:val="24"/>
        </w:rPr>
        <w:tab/>
      </w:r>
      <w:r>
        <w:rPr>
          <w:rFonts w:ascii="Times New Roman" w:cs="Times New Roman" w:hAnsi="Times New Roman"/>
          <w:b/>
          <w:sz w:val="24"/>
          <w:szCs w:val="24"/>
        </w:rPr>
        <w:t>MAGNETIC METHOD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aim of a magnetic survey is to investigate subsurface geology on the basis of anomalies in the Earth’s magnetic field resulting from the magnetic properties of the underlying </w:t>
      </w:r>
      <w:r>
        <w:rPr>
          <w:rFonts w:ascii="Times New Roman" w:cs="Times New Roman" w:hAnsi="Times New Roman"/>
          <w:sz w:val="24"/>
          <w:szCs w:val="24"/>
        </w:rPr>
        <w:t>rocks. Although most rock-forming minerals are effectively non-magnetic, certain rock types contain sufficient magnetic minerals to produce significant magnetic anomalies (Horsfall, 1997).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2.2.1</w:t>
      </w:r>
      <w:r>
        <w:rPr>
          <w:rFonts w:ascii="Times New Roman" w:cs="Times New Roman" w:hAnsi="Times New Roman"/>
          <w:b/>
          <w:sz w:val="24"/>
          <w:szCs w:val="24"/>
        </w:rPr>
        <w:tab/>
      </w:r>
      <w:r>
        <w:rPr>
          <w:rFonts w:ascii="Times New Roman" w:cs="Times New Roman" w:hAnsi="Times New Roman"/>
          <w:b/>
          <w:sz w:val="24"/>
          <w:szCs w:val="24"/>
        </w:rPr>
        <w:t>The Earth’s Main Field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Pr>
          <w:rFonts w:ascii="Times New Roman" w:cs="Times New Roman" w:hAnsi="Times New Roman"/>
          <w:i/>
          <w:sz w:val="24"/>
          <w:szCs w:val="24"/>
        </w:rPr>
        <w:t>et al.</w:t>
      </w:r>
      <w:r>
        <w:rPr>
          <w:rFonts w:ascii="Times New Roman" w:cs="Times New Roman" w:hAnsi="Times New Roman"/>
          <w:sz w:val="24"/>
          <w:szCs w:val="24"/>
        </w:rPr>
        <w:t>, 2011).</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2.2.2</w:t>
      </w:r>
      <w:r>
        <w:rPr>
          <w:rFonts w:ascii="Times New Roman" w:cs="Times New Roman" w:hAnsi="Times New Roman"/>
          <w:b/>
          <w:sz w:val="24"/>
          <w:szCs w:val="24"/>
        </w:rPr>
        <w:tab/>
      </w:r>
      <w:r>
        <w:rPr>
          <w:rFonts w:ascii="Times New Roman" w:cs="Times New Roman" w:hAnsi="Times New Roman"/>
          <w:b/>
          <w:sz w:val="24"/>
          <w:szCs w:val="24"/>
        </w:rPr>
        <w:t>Magnetic Properties of Rocks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pPr>
        <w:pStyle w:val="style0"/>
        <w:spacing w:after="0" w:lineRule="auto" w:line="360"/>
        <w:ind w:firstLine="720"/>
        <w:rPr>
          <w:rFonts w:ascii="Times New Roman" w:cs="Times New Roman" w:hAnsi="Times New Roman"/>
          <w:sz w:val="24"/>
          <w:szCs w:val="24"/>
        </w:rPr>
      </w:pPr>
    </w:p>
    <w:p>
      <w:pPr>
        <w:pStyle w:val="style0"/>
        <w:spacing w:after="0" w:lineRule="auto" w:line="360"/>
        <w:ind w:firstLine="720"/>
        <w:rPr>
          <w:rFonts w:ascii="Times New Roman" w:cs="Times New Roman" w:hAnsi="Times New Roman"/>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2.2.2.1</w:t>
      </w:r>
      <w:r>
        <w:rPr>
          <w:rFonts w:ascii="Times New Roman" w:cs="Times New Roman" w:hAnsi="Times New Roman"/>
          <w:b/>
          <w:sz w:val="24"/>
          <w:szCs w:val="24"/>
        </w:rPr>
        <w:tab/>
      </w:r>
      <w:r>
        <w:rPr>
          <w:rFonts w:ascii="Times New Roman" w:cs="Times New Roman" w:hAnsi="Times New Roman"/>
          <w:b/>
          <w:sz w:val="24"/>
          <w:szCs w:val="24"/>
        </w:rPr>
        <w:t>Susceptibilities of Rocks and Minerals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susceptibility of a rock usually depends on its magnetite content. Sediments and acid igneous rocks have small susceptibilities whereas basalts, dolerites, </w:t>
      </w:r>
      <w:r>
        <w:rPr>
          <w:rFonts w:ascii="Times New Roman" w:cs="Times New Roman" w:hAnsi="Times New Roman"/>
          <w:sz w:val="24"/>
          <w:szCs w:val="24"/>
        </w:rPr>
        <w:t>gabbros</w:t>
      </w:r>
      <w:r>
        <w:rPr>
          <w:rFonts w:ascii="Times New Roman" w:cs="Times New Roman" w:hAnsi="Times New Roman"/>
          <w:sz w:val="24"/>
          <w:szCs w:val="24"/>
        </w:rPr>
        <w:t xml:space="preserve"> and serpentines are usually strongly magnetic. Weathering generally reduces susceptibility because magnetite is oxidized to hematite, but some laterites are magnetic because of the presence of maghemite and </w:t>
      </w:r>
      <w:r>
        <w:rPr>
          <w:rFonts w:ascii="Times New Roman" w:cs="Times New Roman" w:hAnsi="Times New Roman"/>
          <w:sz w:val="24"/>
          <w:szCs w:val="24"/>
        </w:rPr>
        <w:t>remanently</w:t>
      </w:r>
      <w:r>
        <w:rPr>
          <w:rFonts w:ascii="Times New Roman" w:cs="Times New Roman" w:hAnsi="Times New Roman"/>
          <w:sz w:val="24"/>
          <w:szCs w:val="24"/>
        </w:rPr>
        <w:t xml:space="preserve"> magnetized hematite (Milsom </w:t>
      </w:r>
      <w:r>
        <w:rPr>
          <w:rFonts w:ascii="Times New Roman" w:cs="Times New Roman" w:hAnsi="Times New Roman"/>
          <w:i/>
          <w:sz w:val="24"/>
          <w:szCs w:val="24"/>
        </w:rPr>
        <w:t>et al.,</w:t>
      </w:r>
      <w:r>
        <w:rPr>
          <w:rFonts w:ascii="Times New Roman" w:cs="Times New Roman" w:hAnsi="Times New Roman"/>
          <w:sz w:val="24"/>
          <w:szCs w:val="24"/>
        </w:rPr>
        <w:t xml:space="preserve"> 2011).</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susceptibility, k, is small for most natural materials, and may be either negative (diamagnetism) or positive (</w:t>
      </w:r>
      <w:r>
        <w:rPr>
          <w:rFonts w:ascii="Times New Roman" w:cs="Times New Roman" w:hAnsi="Times New Roman"/>
          <w:sz w:val="24"/>
          <w:szCs w:val="24"/>
        </w:rPr>
        <w:t>paramagnetism</w:t>
      </w:r>
      <w:r>
        <w:rPr>
          <w:rFonts w:ascii="Times New Roman" w:cs="Times New Roman" w:hAnsi="Times New Roman"/>
          <w:sz w:val="24"/>
          <w:szCs w:val="24"/>
        </w:rPr>
        <w:t>). The fields produced by such materials are usually considered too small to affect survey magnetometers.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Modern high-sensitivity magnetometers are creating exceptions to this rule, but most useful magnetic anomalies are still due to the small number of ferro- or </w:t>
      </w:r>
      <w:r>
        <w:rPr>
          <w:rFonts w:ascii="Times New Roman" w:cs="Times New Roman" w:hAnsi="Times New Roman"/>
          <w:sz w:val="24"/>
          <w:szCs w:val="24"/>
        </w:rPr>
        <w:t>ferri</w:t>
      </w:r>
      <w:r>
        <w:rPr>
          <w:rFonts w:ascii="Times New Roman" w:cs="Times New Roman" w:hAnsi="Times New Roman"/>
          <w:sz w:val="24"/>
          <w:szCs w:val="24"/>
        </w:rPr>
        <w:t xml:space="preserve">-magnetic substances in which the molecular magnets are held parallel by intermolecular exchange forces. Below the </w:t>
      </w:r>
      <w:r>
        <w:rPr>
          <w:rFonts w:ascii="Times New Roman" w:cs="Times New Roman" w:hAnsi="Times New Roman"/>
          <w:sz w:val="24"/>
          <w:szCs w:val="24"/>
        </w:rPr>
        <w:t>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w:t>
      </w:r>
      <w:r>
        <w:rPr>
          <w:rFonts w:ascii="Times New Roman" w:cs="Times New Roman" w:hAnsi="Times New Roman"/>
          <w:b/>
          <w:sz w:val="24"/>
          <w:szCs w:val="24"/>
        </w:rPr>
        <w:tab/>
      </w:r>
      <w:r>
        <w:rPr>
          <w:rFonts w:ascii="Times New Roman" w:cs="Times New Roman" w:hAnsi="Times New Roman"/>
          <w:b/>
          <w:sz w:val="24"/>
          <w:szCs w:val="24"/>
        </w:rPr>
        <w:t>Magnetic Survey Methods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2.2.3.1</w:t>
      </w:r>
      <w:r>
        <w:rPr>
          <w:rFonts w:ascii="Times New Roman" w:cs="Times New Roman" w:hAnsi="Times New Roman"/>
          <w:b/>
          <w:sz w:val="24"/>
          <w:szCs w:val="24"/>
        </w:rPr>
        <w:tab/>
      </w:r>
      <w:r>
        <w:rPr>
          <w:rFonts w:ascii="Times New Roman" w:cs="Times New Roman" w:hAnsi="Times New Roman"/>
          <w:b/>
          <w:sz w:val="24"/>
          <w:szCs w:val="24"/>
        </w:rPr>
        <w:t>Ground Magnetic Survey</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2.2.3.2</w:t>
      </w:r>
      <w:r>
        <w:rPr>
          <w:rFonts w:ascii="Times New Roman" w:cs="Times New Roman" w:hAnsi="Times New Roman"/>
          <w:b/>
          <w:sz w:val="24"/>
          <w:szCs w:val="24"/>
        </w:rPr>
        <w:tab/>
      </w:r>
      <w:r>
        <w:rPr>
          <w:rFonts w:ascii="Times New Roman" w:cs="Times New Roman" w:hAnsi="Times New Roman"/>
          <w:b/>
          <w:sz w:val="24"/>
          <w:szCs w:val="24"/>
        </w:rPr>
        <w:t>Marine (sea-borne) Magnetic survey</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2.2.3.3</w:t>
      </w:r>
      <w:r>
        <w:rPr>
          <w:rFonts w:ascii="Times New Roman" w:cs="Times New Roman" w:hAnsi="Times New Roman"/>
          <w:b/>
          <w:sz w:val="24"/>
          <w:szCs w:val="24"/>
        </w:rPr>
        <w:tab/>
      </w:r>
      <w:r>
        <w:rPr>
          <w:rFonts w:ascii="Times New Roman" w:cs="Times New Roman" w:hAnsi="Times New Roman"/>
          <w:b/>
          <w:sz w:val="24"/>
          <w:szCs w:val="24"/>
        </w:rPr>
        <w:t>Aeromagnetic survey</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w:t>
      </w:r>
      <w:r>
        <w:rPr>
          <w:rFonts w:ascii="Times New Roman" w:cs="Times New Roman" w:hAnsi="Times New Roman"/>
          <w:sz w:val="24"/>
          <w:szCs w:val="24"/>
        </w:rPr>
        <w:t>caesium-vapour</w:t>
      </w:r>
      <w:r>
        <w:rPr>
          <w:rFonts w:ascii="Times New Roman" w:cs="Times New Roman" w:hAnsi="Times New Roman"/>
          <w:sz w:val="24"/>
          <w:szCs w:val="24"/>
        </w:rPr>
        <w:t xml:space="preserve"> magnetometer.</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Observations are made at regular intervals along a series of flight lines of constant azimuth and spacing. Observations are similarly made along </w:t>
      </w:r>
      <w:r>
        <w:rPr>
          <w:rFonts w:ascii="Times New Roman" w:cs="Times New Roman" w:hAnsi="Times New Roman"/>
          <w:sz w:val="24"/>
          <w:szCs w:val="24"/>
        </w:rPr>
        <w:t>tie</w:t>
      </w:r>
      <w:r>
        <w:rPr>
          <w:rFonts w:ascii="Times New Roman" w:cs="Times New Roman" w:hAnsi="Times New Roman"/>
          <w:sz w:val="24"/>
          <w:szCs w:val="24"/>
        </w:rPr>
        <w:t xml:space="preserve"> </w:t>
      </w:r>
      <w:r>
        <w:rPr>
          <w:rFonts w:ascii="Times New Roman" w:cs="Times New Roman" w:hAnsi="Times New Roman"/>
          <w:sz w:val="24"/>
          <w:szCs w:val="24"/>
        </w:rPr>
        <w:t>lines oriented</w:t>
      </w:r>
      <w:r>
        <w:rPr>
          <w:rFonts w:ascii="Times New Roman" w:cs="Times New Roman" w:hAnsi="Times New Roman"/>
          <w:sz w:val="24"/>
          <w:szCs w:val="24"/>
        </w:rPr>
        <w:t xml:space="preserve"> perpendicular to the traverse lines. Tie lines are necessary to assist in the removal of temporal variations in the main field. Tie lines are usually spaced about ten times further apart than traverse lines (Ross, 2002).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Various corrections are necessary to be done on the acquired data for accurate geophysical extrapolations to be made, these corrections are discussed below.</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w:t>
      </w:r>
      <w:r>
        <w:rPr>
          <w:rFonts w:ascii="Times New Roman" w:cs="Times New Roman" w:hAnsi="Times New Roman"/>
          <w:b/>
          <w:sz w:val="24"/>
          <w:szCs w:val="24"/>
        </w:rPr>
        <w:tab/>
      </w:r>
      <w:r>
        <w:rPr>
          <w:rFonts w:ascii="Times New Roman" w:cs="Times New Roman" w:hAnsi="Times New Roman"/>
          <w:b/>
          <w:sz w:val="24"/>
          <w:szCs w:val="24"/>
        </w:rPr>
        <w:t>Reduction/Correction of Magnetic Observations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reduction of magnetic data is necessary to remove all causes of magnetic variation from the observations other than those arising from the magnetic effects of the subsurface.</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2.2.4.1</w:t>
      </w:r>
      <w:r>
        <w:rPr>
          <w:rFonts w:ascii="Times New Roman" w:cs="Times New Roman" w:hAnsi="Times New Roman"/>
          <w:b/>
          <w:sz w:val="24"/>
          <w:szCs w:val="24"/>
        </w:rPr>
        <w:tab/>
      </w:r>
      <w:r>
        <w:rPr>
          <w:rFonts w:ascii="Times New Roman" w:cs="Times New Roman" w:hAnsi="Times New Roman"/>
          <w:b/>
          <w:sz w:val="24"/>
          <w:szCs w:val="24"/>
        </w:rPr>
        <w:t>The International Geomagnetic Reference Field (IGRF)</w:t>
      </w:r>
      <w:r>
        <w:rPr>
          <w:rFonts w:ascii="Times New Roman" w:cs="Times New Roman" w:hAnsi="Times New Roman"/>
          <w:b/>
          <w:sz w:val="24"/>
          <w:szCs w:val="24"/>
        </w:rPr>
        <w:tab/>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w:t>
      </w:r>
      <w:r>
        <w:rPr>
          <w:rFonts w:ascii="Times New Roman" w:cs="Times New Roman" w:hAnsi="Times New Roman"/>
          <w:sz w:val="24"/>
          <w:szCs w:val="24"/>
        </w:rPr>
        <w:t>nT</w:t>
      </w:r>
      <w:r>
        <w:rPr>
          <w:rFonts w:ascii="Times New Roman" w:cs="Times New Roman" w:hAnsi="Times New Roman"/>
          <w:sz w:val="24"/>
          <w:szCs w:val="24"/>
        </w:rPr>
        <w:t xml:space="preserve"> can occur in areas from which little information was available at the time of formulation. Since 2000, the accuracies of the IGRFs have been greatly improved by </w:t>
      </w:r>
      <w:r>
        <w:rPr>
          <w:rFonts w:ascii="Times New Roman" w:cs="Times New Roman" w:hAnsi="Times New Roman"/>
          <w:sz w:val="24"/>
          <w:szCs w:val="24"/>
        </w:rPr>
        <w:t>incorporating data from the Danish Oersted and German CHAMP satellites (Milsom</w:t>
      </w:r>
      <w:r>
        <w:rPr>
          <w:rFonts w:ascii="Times New Roman" w:cs="Times New Roman" w:hAnsi="Times New Roman"/>
          <w:i/>
          <w:sz w:val="24"/>
          <w:szCs w:val="24"/>
        </w:rPr>
        <w:t xml:space="preserve"> et al.,</w:t>
      </w:r>
      <w:r>
        <w:rPr>
          <w:rFonts w:ascii="Times New Roman" w:cs="Times New Roman" w:hAnsi="Times New Roman"/>
          <w:sz w:val="24"/>
          <w:szCs w:val="24"/>
        </w:rPr>
        <w:t xml:space="preserve"> 2011).</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Pr>
          <w:rFonts w:ascii="Times New Roman" w:cs="Times New Roman" w:hAnsi="Times New Roman"/>
          <w:i/>
          <w:sz w:val="24"/>
          <w:szCs w:val="24"/>
        </w:rPr>
        <w:t>et al.,</w:t>
      </w:r>
      <w:r>
        <w:rPr>
          <w:rFonts w:ascii="Times New Roman" w:cs="Times New Roman" w:hAnsi="Times New Roman"/>
          <w:sz w:val="24"/>
          <w:szCs w:val="24"/>
        </w:rPr>
        <w:t xml:space="preserve"> 2011).</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2.2.4.2</w:t>
      </w:r>
      <w:r>
        <w:rPr>
          <w:rFonts w:ascii="Times New Roman" w:cs="Times New Roman" w:hAnsi="Times New Roman"/>
          <w:b/>
          <w:sz w:val="24"/>
          <w:szCs w:val="24"/>
        </w:rPr>
        <w:tab/>
      </w:r>
      <w:r>
        <w:rPr>
          <w:rFonts w:ascii="Times New Roman" w:cs="Times New Roman" w:hAnsi="Times New Roman"/>
          <w:b/>
          <w:sz w:val="24"/>
          <w:szCs w:val="24"/>
        </w:rPr>
        <w:t xml:space="preserve">Correction of Diurnal Variation </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Pr>
          <w:rFonts w:ascii="Times New Roman" w:cs="Times New Roman" w:hAnsi="Times New Roman"/>
          <w:i/>
          <w:sz w:val="24"/>
          <w:szCs w:val="24"/>
        </w:rPr>
        <w:t>et al.</w:t>
      </w:r>
      <w:r>
        <w:rPr>
          <w:rFonts w:ascii="Times New Roman" w:cs="Times New Roman" w:hAnsi="Times New Roman"/>
          <w:sz w:val="24"/>
          <w:szCs w:val="24"/>
        </w:rPr>
        <w:t>, 2011).</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w:t>
      </w:r>
      <w:r>
        <w:rPr>
          <w:rFonts w:ascii="Times New Roman" w:cs="Times New Roman" w:hAnsi="Times New Roman"/>
          <w:sz w:val="24"/>
          <w:szCs w:val="24"/>
        </w:rPr>
        <w:t>subsequently subtracted from the observed data to leave the local anomalies as positive and negative residuals (Lowrie, 2007).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2.2.4.3</w:t>
      </w:r>
      <w:r>
        <w:rPr>
          <w:rFonts w:ascii="Times New Roman" w:cs="Times New Roman" w:hAnsi="Times New Roman"/>
          <w:b/>
          <w:sz w:val="24"/>
          <w:szCs w:val="24"/>
        </w:rPr>
        <w:tab/>
      </w:r>
      <w:r>
        <w:rPr>
          <w:rFonts w:ascii="Times New Roman" w:cs="Times New Roman" w:hAnsi="Times New Roman"/>
          <w:b/>
          <w:sz w:val="24"/>
          <w:szCs w:val="24"/>
        </w:rPr>
        <w:t>Reduction to the Pole</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2.2.4.4</w:t>
      </w:r>
      <w:r>
        <w:rPr>
          <w:rFonts w:ascii="Times New Roman" w:cs="Times New Roman" w:hAnsi="Times New Roman"/>
          <w:b/>
          <w:sz w:val="24"/>
          <w:szCs w:val="24"/>
        </w:rPr>
        <w:tab/>
      </w:r>
      <w:r>
        <w:rPr>
          <w:rFonts w:ascii="Times New Roman" w:cs="Times New Roman" w:hAnsi="Times New Roman"/>
          <w:b/>
          <w:sz w:val="24"/>
          <w:szCs w:val="24"/>
        </w:rPr>
        <w:t>Upward and Downward Continuation</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2.2.4.5</w:t>
      </w:r>
      <w:r>
        <w:rPr>
          <w:rFonts w:ascii="Times New Roman" w:cs="Times New Roman" w:hAnsi="Times New Roman"/>
          <w:b/>
          <w:sz w:val="24"/>
          <w:szCs w:val="24"/>
        </w:rPr>
        <w:tab/>
      </w:r>
      <w:r>
        <w:rPr>
          <w:rFonts w:ascii="Times New Roman" w:cs="Times New Roman" w:hAnsi="Times New Roman"/>
          <w:b/>
          <w:sz w:val="24"/>
          <w:szCs w:val="24"/>
        </w:rPr>
        <w:t>Elevation and Terrain Corrections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 vertical gradient of the geomagnetic field is only some 0.03nTm-1 at the poles and -0.015nTm-1 at the equator, so an elevation correction is not usually applied. 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Having applied diurnal and geomagnetic corrections, all remaining magnetic field variations should be caused solely by spatial variations in the magnetic properties of the subsurface and are referred to as magnetic anomalies.</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2.2.5</w:t>
      </w:r>
      <w:r>
        <w:rPr>
          <w:rFonts w:ascii="Times New Roman" w:cs="Times New Roman" w:hAnsi="Times New Roman"/>
          <w:b/>
          <w:sz w:val="24"/>
          <w:szCs w:val="24"/>
        </w:rPr>
        <w:tab/>
      </w:r>
      <w:r>
        <w:rPr>
          <w:rFonts w:ascii="Times New Roman" w:cs="Times New Roman" w:hAnsi="Times New Roman"/>
          <w:b/>
          <w:sz w:val="24"/>
          <w:szCs w:val="24"/>
        </w:rPr>
        <w:t>Methods of Interpreting Magnetic Data</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There are basically two main methods of data interpretation in magnetic survey;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Qualitative Interpretation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Quantitative Interpretation</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2.2.5.1</w:t>
      </w:r>
      <w:r>
        <w:rPr>
          <w:rFonts w:ascii="Times New Roman" w:cs="Times New Roman" w:hAnsi="Times New Roman"/>
          <w:b/>
          <w:sz w:val="24"/>
          <w:szCs w:val="24"/>
        </w:rPr>
        <w:tab/>
      </w:r>
      <w:r>
        <w:rPr>
          <w:rFonts w:ascii="Times New Roman" w:cs="Times New Roman" w:hAnsi="Times New Roman"/>
          <w:b/>
          <w:sz w:val="24"/>
          <w:szCs w:val="24"/>
        </w:rPr>
        <w:t>Qualitative Analysis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Much qualitative information may be derived from a magnetic contour map. This applies especially to aeromagnetic maps which often provide major clues as to the geology and structure of a broad region from an assessment of the shapes and trends of anomalies. Sediment covered </w:t>
      </w:r>
      <w:r>
        <w:rPr>
          <w:rFonts w:ascii="Times New Roman" w:cs="Times New Roman" w:hAnsi="Times New Roman"/>
          <w:sz w:val="24"/>
          <w:szCs w:val="24"/>
        </w:rPr>
        <w:t>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Pr>
          <w:rFonts w:ascii="Times New Roman" w:cs="Times New Roman" w:hAnsi="Times New Roman"/>
          <w:i/>
          <w:sz w:val="24"/>
          <w:szCs w:val="24"/>
        </w:rPr>
        <w:t xml:space="preserve"> et al.,</w:t>
      </w:r>
      <w:r>
        <w:rPr>
          <w:rFonts w:ascii="Times New Roman" w:cs="Times New Roman" w:hAnsi="Times New Roman"/>
          <w:sz w:val="24"/>
          <w:szCs w:val="24"/>
        </w:rPr>
        <w:t xml:space="preserve"> 2002).</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Qualitative interpretation could be done by visual inspection of the anomaly map to locate points of high or low intensity which may be interpreted as dyke or infiltration of material with different magnetic properties. Map of magnetic intensity in nanotesla (</w:t>
      </w:r>
      <w:r>
        <w:rPr>
          <w:rFonts w:ascii="Times New Roman" w:cs="Times New Roman" w:hAnsi="Times New Roman"/>
          <w:sz w:val="24"/>
          <w:szCs w:val="24"/>
        </w:rPr>
        <w:t>nT</w:t>
      </w:r>
      <w:r>
        <w:rPr>
          <w:rFonts w:ascii="Times New Roman" w:cs="Times New Roman" w:hAnsi="Times New Roman"/>
          <w:sz w:val="24"/>
          <w:szCs w:val="24"/>
        </w:rPr>
        <w:t>) could also be plot against distance (m) along selected profiles to visualize some structural trend.</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2.2.5.2</w:t>
      </w:r>
      <w:r>
        <w:rPr>
          <w:rFonts w:ascii="Times New Roman" w:cs="Times New Roman" w:hAnsi="Times New Roman"/>
          <w:b/>
          <w:sz w:val="24"/>
          <w:szCs w:val="24"/>
        </w:rPr>
        <w:tab/>
      </w:r>
      <w:r>
        <w:rPr>
          <w:rFonts w:ascii="Times New Roman" w:cs="Times New Roman" w:hAnsi="Times New Roman"/>
          <w:b/>
          <w:sz w:val="24"/>
          <w:szCs w:val="24"/>
        </w:rPr>
        <w:t>Quantitative Analysis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There are various methods of interpreting magnetic data quantitatively amongst these methods are;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Euler deconvolution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Wavelet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Spectral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Pal’s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Centroid method and so 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Spectral Analysis Method of Interpretation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Pr>
          <w:rFonts w:ascii="Times New Roman" w:cs="Times New Roman" w:hAnsi="Times New Roman"/>
          <w:i/>
          <w:iCs/>
          <w:sz w:val="24"/>
          <w:szCs w:val="24"/>
        </w:rPr>
        <w:t>et al</w:t>
      </w:r>
      <w:r>
        <w:rPr>
          <w:rFonts w:ascii="Times New Roman" w:cs="Times New Roman" w:hAnsi="Times New Roman"/>
          <w:sz w:val="24"/>
          <w:szCs w:val="24"/>
        </w:rPr>
        <w:t>., 1970).</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Pr>
          <w:rFonts w:ascii="Times New Roman" w:cs="Times New Roman" w:hAnsi="Times New Roman"/>
          <w:i/>
          <w:sz w:val="24"/>
          <w:szCs w:val="24"/>
        </w:rPr>
        <w:t>et al</w:t>
      </w:r>
      <w:r>
        <w:rPr>
          <w:rFonts w:ascii="Times New Roman" w:cs="Times New Roman" w:hAnsi="Times New Roman"/>
          <w:sz w:val="24"/>
          <w:szCs w:val="24"/>
        </w:rPr>
        <w:t>., 1970).</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w:t>
      </w:r>
      <w:r>
        <w:rPr>
          <w:rFonts w:ascii="Times New Roman" w:cs="Times New Roman" w:hAnsi="Times New Roman"/>
          <w:sz w:val="24"/>
          <w:szCs w:val="24"/>
        </w:rPr>
        <w:t xml:space="preserve">quantified by computing the power spectrum of the anomaly as it can be shown, for certain types of source body, that the log-power spectrum has a linear gradient whose magnitude is dependent upon the depth of the source (Spector </w:t>
      </w:r>
      <w:r>
        <w:rPr>
          <w:rFonts w:ascii="Times New Roman" w:cs="Times New Roman" w:hAnsi="Times New Roman"/>
          <w:i/>
          <w:sz w:val="24"/>
          <w:szCs w:val="24"/>
        </w:rPr>
        <w:t>et al.</w:t>
      </w:r>
      <w:r>
        <w:rPr>
          <w:rFonts w:ascii="Times New Roman" w:cs="Times New Roman" w:hAnsi="Times New Roman"/>
          <w:sz w:val="24"/>
          <w:szCs w:val="24"/>
        </w:rPr>
        <w:t xml:space="preserve">, 1970). </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w:t>
      </w:r>
      <w:r>
        <w:rPr>
          <w:rFonts w:ascii="Times New Roman" w:cs="Times New Roman" w:hAnsi="Times New Roman"/>
          <w:b/>
          <w:sz w:val="24"/>
          <w:szCs w:val="24"/>
        </w:rPr>
        <w:tab/>
      </w:r>
      <w:r>
        <w:rPr>
          <w:rFonts w:ascii="Times New Roman" w:cs="Times New Roman" w:hAnsi="Times New Roman"/>
          <w:b/>
          <w:sz w:val="24"/>
          <w:szCs w:val="24"/>
        </w:rPr>
        <w:t>Magnetic Surveying Instruments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Pr>
          <w:rFonts w:ascii="Times New Roman" w:cs="Times New Roman" w:hAnsi="Times New Roman"/>
          <w:i/>
          <w:sz w:val="24"/>
          <w:szCs w:val="24"/>
        </w:rPr>
        <w:t>et al</w:t>
      </w:r>
      <w:r>
        <w:rPr>
          <w:rFonts w:ascii="Times New Roman" w:cs="Times New Roman" w:hAnsi="Times New Roman"/>
          <w:sz w:val="24"/>
          <w:szCs w:val="24"/>
        </w:rPr>
        <w:t>.,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2.2.6.1</w:t>
      </w:r>
      <w:r>
        <w:rPr>
          <w:rFonts w:ascii="Times New Roman" w:cs="Times New Roman" w:hAnsi="Times New Roman"/>
          <w:b/>
          <w:sz w:val="24"/>
          <w:szCs w:val="24"/>
        </w:rPr>
        <w:tab/>
      </w:r>
      <w:r>
        <w:rPr>
          <w:rFonts w:ascii="Times New Roman" w:cs="Times New Roman" w:hAnsi="Times New Roman"/>
          <w:b/>
          <w:sz w:val="24"/>
          <w:szCs w:val="24"/>
        </w:rPr>
        <w:t>The Fluxgate Magnetometer</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w:t>
      </w:r>
      <w:r>
        <w:rPr>
          <w:rFonts w:ascii="Times New Roman" w:cs="Times New Roman" w:hAnsi="Times New Roman"/>
          <w:sz w:val="24"/>
          <w:szCs w:val="24"/>
        </w:rPr>
        <w:t>s mobile (Lowrie</w:t>
      </w:r>
      <w:r>
        <w:rPr>
          <w:rFonts w:ascii="Times New Roman" w:cs="Times New Roman" w:hAnsi="Times New Roman"/>
          <w:sz w:val="24"/>
          <w:szCs w:val="24"/>
        </w:rPr>
        <w:t>, 2007).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2.2.6.2</w:t>
      </w:r>
      <w:r>
        <w:rPr>
          <w:rFonts w:ascii="Times New Roman" w:cs="Times New Roman" w:hAnsi="Times New Roman"/>
          <w:b/>
          <w:sz w:val="24"/>
          <w:szCs w:val="24"/>
        </w:rPr>
        <w:tab/>
      </w:r>
      <w:r>
        <w:rPr>
          <w:rFonts w:ascii="Times New Roman" w:cs="Times New Roman" w:hAnsi="Times New Roman"/>
          <w:b/>
          <w:sz w:val="24"/>
          <w:szCs w:val="24"/>
        </w:rPr>
        <w:t>Proton Magnetometer</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most commonly used magnetometer for both survey work and observatory monitoring </w:t>
      </w:r>
      <w:r>
        <w:rPr>
          <w:rFonts w:ascii="Times New Roman" w:cs="Times New Roman" w:hAnsi="Times New Roman"/>
          <w:sz w:val="24"/>
          <w:szCs w:val="24"/>
        </w:rPr>
        <w:t>is</w:t>
      </w:r>
      <w:r>
        <w:rPr>
          <w:rFonts w:ascii="Times New Roman" w:cs="Times New Roman" w:hAnsi="Times New Roman"/>
          <w:sz w:val="24"/>
          <w:szCs w:val="24"/>
        </w:rPr>
        <w:t xml:space="preserve"> currently the nuclear precession or proton magnetometer. The sensing device of the proton magnetometer is a container filled with </w:t>
      </w:r>
      <w:r>
        <w:rPr>
          <w:rFonts w:ascii="Times New Roman" w:cs="Times New Roman" w:hAnsi="Times New Roman"/>
          <w:sz w:val="24"/>
          <w:szCs w:val="24"/>
        </w:rPr>
        <w:t>liquid rich</w:t>
      </w:r>
      <w:r>
        <w:rPr>
          <w:rFonts w:ascii="Times New Roman" w:cs="Times New Roman" w:hAnsi="Times New Roman"/>
          <w:sz w:val="24"/>
          <w:szCs w:val="24"/>
        </w:rPr>
        <w:t xml:space="preserve">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w:t>
      </w:r>
      <w:r>
        <w:rPr>
          <w:rFonts w:ascii="Times New Roman" w:cs="Times New Roman" w:hAnsi="Times New Roman"/>
          <w:sz w:val="24"/>
          <w:szCs w:val="24"/>
        </w:rPr>
        <w:t xml:space="preserve">causing the protons to realign in this new direction. The current to the coil is then switched off so that the polarizing field is rapidly removed. The protons return to their original alignment by spiraling, or </w:t>
      </w:r>
      <w:r>
        <w:rPr>
          <w:rFonts w:ascii="Times New Roman" w:cs="Times New Roman" w:hAnsi="Times New Roman"/>
          <w:sz w:val="24"/>
          <w:szCs w:val="24"/>
        </w:rPr>
        <w:t>precessing</w:t>
      </w:r>
      <w:r>
        <w:rPr>
          <w:rFonts w:ascii="Times New Roman" w:cs="Times New Roman" w:hAnsi="Times New Roman"/>
          <w:sz w:val="24"/>
          <w:szCs w:val="24"/>
        </w:rPr>
        <w:t xml:space="preserve">, in phase around this direction with a period of about 0.5 </w:t>
      </w:r>
      <w:r>
        <w:rPr>
          <w:rFonts w:ascii="Times New Roman" w:cs="Times New Roman" w:hAnsi="Times New Roman"/>
          <w:sz w:val="24"/>
          <w:szCs w:val="24"/>
        </w:rPr>
        <w:t>ms</w:t>
      </w:r>
      <w:r>
        <w:rPr>
          <w:rFonts w:ascii="Times New Roman" w:cs="Times New Roman" w:hAnsi="Times New Roman"/>
          <w:sz w:val="24"/>
          <w:szCs w:val="24"/>
        </w:rPr>
        <w:t xml:space="preserve">, taking some 1–3 s to achieve their original orientation. </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Field instruments provide absolute readings of the total magnetic field accurate to 0.1 </w:t>
      </w:r>
      <w:r>
        <w:rPr>
          <w:rFonts w:ascii="Times New Roman" w:cs="Times New Roman" w:hAnsi="Times New Roman"/>
          <w:sz w:val="24"/>
          <w:szCs w:val="24"/>
        </w:rPr>
        <w:t>nT</w:t>
      </w:r>
      <w:r>
        <w:rPr>
          <w:rFonts w:ascii="Times New Roman" w:cs="Times New Roman" w:hAnsi="Times New Roman"/>
          <w:sz w:val="24"/>
          <w:szCs w:val="24"/>
        </w:rPr>
        <w:t xml:space="preserve">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w:t>
      </w:r>
      <w:r>
        <w:rPr>
          <w:rFonts w:ascii="Times New Roman" w:cs="Times New Roman" w:hAnsi="Times New Roman"/>
          <w:sz w:val="24"/>
          <w:szCs w:val="24"/>
        </w:rPr>
        <w:t>Overhauser</w:t>
      </w:r>
      <w:r>
        <w:rPr>
          <w:rFonts w:ascii="Times New Roman" w:cs="Times New Roman" w:hAnsi="Times New Roman"/>
          <w:sz w:val="24"/>
          <w:szCs w:val="24"/>
        </w:rPr>
        <w:t xml:space="preserve"> Effect (Lowrie, 2007).</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2.2.6.3</w:t>
      </w:r>
      <w:r>
        <w:rPr>
          <w:rFonts w:ascii="Times New Roman" w:cs="Times New Roman" w:hAnsi="Times New Roman"/>
          <w:b/>
          <w:sz w:val="24"/>
          <w:szCs w:val="24"/>
        </w:rPr>
        <w:tab/>
      </w:r>
      <w:r>
        <w:rPr>
          <w:rFonts w:ascii="Times New Roman" w:cs="Times New Roman" w:hAnsi="Times New Roman"/>
          <w:b/>
          <w:sz w:val="24"/>
          <w:szCs w:val="24"/>
        </w:rPr>
        <w:t>Magnetic Gradiometers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w:t>
      </w:r>
      <w:r>
        <w:rPr>
          <w:rFonts w:ascii="Times New Roman" w:cs="Times New Roman" w:hAnsi="Times New Roman"/>
          <w:sz w:val="24"/>
          <w:szCs w:val="24"/>
        </w:rPr>
        <w:t xml:space="preserve">discussed by </w:t>
      </w:r>
      <w:r>
        <w:rPr>
          <w:rFonts w:ascii="Times New Roman" w:cs="Times New Roman" w:hAnsi="Times New Roman"/>
          <w:sz w:val="24"/>
          <w:szCs w:val="24"/>
        </w:rPr>
        <w:t>Woldand</w:t>
      </w:r>
      <w:r>
        <w:rPr>
          <w:rFonts w:ascii="Times New Roman" w:cs="Times New Roman" w:hAnsi="Times New Roman"/>
          <w:sz w:val="24"/>
          <w:szCs w:val="24"/>
        </w:rPr>
        <w:t xml:space="preserve"> Cooper (1989) and Hood and Teskey (1989), respectively (Keary </w:t>
      </w:r>
      <w:r>
        <w:rPr>
          <w:rFonts w:ascii="Times New Roman" w:cs="Times New Roman" w:hAnsi="Times New Roman"/>
          <w:i/>
          <w:sz w:val="24"/>
          <w:szCs w:val="24"/>
        </w:rPr>
        <w:t>et al</w:t>
      </w:r>
      <w:r>
        <w:rPr>
          <w:rFonts w:ascii="Times New Roman" w:cs="Times New Roman" w:hAnsi="Times New Roman"/>
          <w:sz w:val="24"/>
          <w:szCs w:val="24"/>
        </w:rPr>
        <w:t>.,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2.2.7</w:t>
      </w:r>
      <w:r>
        <w:rPr>
          <w:rFonts w:ascii="Times New Roman" w:cs="Times New Roman" w:hAnsi="Times New Roman"/>
          <w:b/>
          <w:sz w:val="24"/>
          <w:szCs w:val="24"/>
        </w:rPr>
        <w:tab/>
      </w:r>
      <w:r>
        <w:rPr>
          <w:rFonts w:ascii="Times New Roman" w:cs="Times New Roman" w:hAnsi="Times New Roman"/>
          <w:b/>
          <w:sz w:val="24"/>
          <w:szCs w:val="24"/>
        </w:rPr>
        <w:t>Advantages of Aeromagnetic Method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Pr>
          <w:rFonts w:ascii="Times New Roman" w:cs="Times New Roman" w:hAnsi="Times New Roman"/>
          <w:i/>
          <w:sz w:val="24"/>
          <w:szCs w:val="24"/>
        </w:rPr>
        <w:t xml:space="preserve"> et al.</w:t>
      </w:r>
      <w:r>
        <w:rPr>
          <w:rFonts w:ascii="Times New Roman" w:cs="Times New Roman" w:hAnsi="Times New Roman"/>
          <w:sz w:val="24"/>
          <w:szCs w:val="24"/>
        </w:rPr>
        <w:t>, 2012).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Some of its other advantages are highlighted below;</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It covers large region in little time compared to land and sea borne surveys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Airborne geophysics also contribute to tectonic reconstruction, groundwater resource management, petroleum and mineral exploration, mining and environmental protection application (Churchill </w:t>
      </w:r>
      <w:r>
        <w:rPr>
          <w:rFonts w:ascii="Times New Roman" w:cs="Times New Roman" w:hAnsi="Times New Roman"/>
          <w:i/>
          <w:sz w:val="24"/>
          <w:szCs w:val="24"/>
        </w:rPr>
        <w:t>et al</w:t>
      </w:r>
      <w:r>
        <w:rPr>
          <w:rFonts w:ascii="Times New Roman" w:cs="Times New Roman" w:hAnsi="Times New Roman"/>
          <w:sz w:val="24"/>
          <w:szCs w:val="24"/>
        </w:rPr>
        <w:t>., 2012)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It covers areas of barrier that would not have been possible in land and sea borne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Modern high-resolution magnetometers are able to collect data with an accuracy of 0.001nT (Rajaram </w:t>
      </w:r>
      <w:r>
        <w:rPr>
          <w:rFonts w:ascii="Times New Roman" w:cs="Times New Roman" w:hAnsi="Times New Roman"/>
          <w:i/>
          <w:sz w:val="24"/>
          <w:szCs w:val="24"/>
        </w:rPr>
        <w:t>et al</w:t>
      </w:r>
      <w:r>
        <w:rPr>
          <w:rFonts w:ascii="Times New Roman" w:cs="Times New Roman" w:hAnsi="Times New Roman"/>
          <w:sz w:val="24"/>
          <w:szCs w:val="24"/>
        </w:rPr>
        <w:t>., 2009)</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Data obtained could be interpreted in diverse ways like hydrocarbon prospecting, determination of curie depth, depth of magnetic basement, fractures amongst others.</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2.3</w:t>
      </w:r>
      <w:r>
        <w:rPr>
          <w:rFonts w:ascii="Times New Roman" w:cs="Times New Roman" w:hAnsi="Times New Roman"/>
          <w:b/>
          <w:sz w:val="24"/>
          <w:szCs w:val="24"/>
        </w:rPr>
        <w:tab/>
      </w:r>
      <w:r>
        <w:rPr>
          <w:rFonts w:ascii="Times New Roman" w:cs="Times New Roman" w:hAnsi="Times New Roman"/>
          <w:b/>
          <w:sz w:val="24"/>
          <w:szCs w:val="24"/>
        </w:rPr>
        <w:t>PREVIOUS WORKS ON INTERPRETATION OF AEROMAGNETIC DATA</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Numerous geophysical </w:t>
      </w:r>
      <w:r>
        <w:rPr>
          <w:rFonts w:ascii="Times New Roman" w:cs="Times New Roman" w:hAnsi="Times New Roman"/>
          <w:sz w:val="24"/>
          <w:szCs w:val="24"/>
        </w:rPr>
        <w:t>works</w:t>
      </w:r>
      <w:r>
        <w:rPr>
          <w:rFonts w:ascii="Times New Roman" w:cs="Times New Roman" w:hAnsi="Times New Roman"/>
          <w:sz w:val="24"/>
          <w:szCs w:val="24"/>
        </w:rPr>
        <w:t xml:space="preserve"> have been and are being done around the globe using the various geophysical methods, some of the previous work that employed magnetic methods are reviewed here. (Olawuyi, 2015) Evaluated the fault and lineament structures within the </w:t>
      </w:r>
      <w:r>
        <w:rPr>
          <w:rFonts w:ascii="Times New Roman" w:cs="Times New Roman" w:hAnsi="Times New Roman"/>
          <w:sz w:val="24"/>
          <w:szCs w:val="24"/>
        </w:rPr>
        <w:t>Lafiagi</w:t>
      </w:r>
      <w:r>
        <w:rPr>
          <w:rFonts w:ascii="Times New Roman" w:cs="Times New Roman" w:hAnsi="Times New Roman"/>
          <w:sz w:val="24"/>
          <w:szCs w:val="24"/>
        </w:rPr>
        <w:t xml:space="preserve"> Study area using geological, aeromagnetic and gravity </w:t>
      </w:r>
      <w:r>
        <w:rPr>
          <w:rFonts w:ascii="Times New Roman" w:cs="Times New Roman" w:hAnsi="Times New Roman"/>
          <w:sz w:val="24"/>
          <w:szCs w:val="24"/>
        </w:rPr>
        <w:t>data. (</w:t>
      </w:r>
      <w:r>
        <w:rPr>
          <w:rFonts w:ascii="Times New Roman" w:cs="Times New Roman" w:hAnsi="Times New Roman"/>
          <w:sz w:val="24"/>
          <w:szCs w:val="24"/>
        </w:rPr>
        <w:t>Anakwuba</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2011) Interpreted the aeromagnetic data over Maiduguri-</w:t>
      </w:r>
      <w:r>
        <w:rPr>
          <w:rFonts w:ascii="Times New Roman" w:cs="Times New Roman" w:hAnsi="Times New Roman"/>
          <w:sz w:val="24"/>
          <w:szCs w:val="24"/>
        </w:rPr>
        <w:t>Dikwa</w:t>
      </w:r>
      <w:r>
        <w:rPr>
          <w:rFonts w:ascii="Times New Roman" w:cs="Times New Roman" w:hAnsi="Times New Roman"/>
          <w:sz w:val="24"/>
          <w:szCs w:val="24"/>
        </w:rPr>
        <w:t xml:space="preserve"> Depression using Fourier transform to deduce the magnetic source depth (both shallower and deeper) and also to delineate the fracture condition of the study area.</w:t>
      </w:r>
    </w:p>
    <w:p>
      <w:pPr>
        <w:pStyle w:val="style0"/>
        <w:spacing w:after="0" w:lineRule="auto" w:line="480"/>
        <w:rPr>
          <w:rFonts w:ascii="Times New Roman" w:cs="Times New Roman" w:hAnsi="Times New Roman"/>
          <w:bCs/>
          <w:sz w:val="24"/>
          <w:szCs w:val="24"/>
        </w:rPr>
      </w:pPr>
      <w:r>
        <w:rPr>
          <w:rFonts w:ascii="Times New Roman" w:cs="Times New Roman" w:hAnsi="Times New Roman"/>
          <w:sz w:val="24"/>
          <w:szCs w:val="24"/>
        </w:rPr>
        <w:t xml:space="preserve">David and </w:t>
      </w:r>
      <w:r>
        <w:rPr>
          <w:rFonts w:ascii="Times New Roman" w:cs="Times New Roman" w:hAnsi="Times New Roman"/>
          <w:sz w:val="24"/>
          <w:szCs w:val="24"/>
        </w:rPr>
        <w:t>Mauritus</w:t>
      </w:r>
      <w:r>
        <w:rPr>
          <w:rFonts w:ascii="Times New Roman" w:cs="Times New Roman" w:hAnsi="Times New Roman"/>
          <w:sz w:val="24"/>
          <w:szCs w:val="24"/>
        </w:rPr>
        <w:t xml:space="preserve"> concluded from the spectral analysis result obtained from aeromagnetic data of some part of Lower Benue Trough, that the area holds enough thickness for the accumulation </w:t>
      </w:r>
      <w:r>
        <w:rPr>
          <w:rFonts w:ascii="Times New Roman" w:cs="Times New Roman" w:hAnsi="Times New Roman"/>
          <w:sz w:val="24"/>
          <w:szCs w:val="24"/>
        </w:rPr>
        <w:t xml:space="preserve">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Pr>
          <w:rFonts w:ascii="Times New Roman" w:cs="Times New Roman" w:hAnsi="Times New Roman"/>
          <w:i/>
          <w:sz w:val="24"/>
          <w:szCs w:val="24"/>
        </w:rPr>
        <w:t>et al</w:t>
      </w:r>
      <w:r>
        <w:rPr>
          <w:rFonts w:ascii="Times New Roman" w:cs="Times New Roman" w:hAnsi="Times New Roman"/>
          <w:sz w:val="24"/>
          <w:szCs w:val="24"/>
        </w:rPr>
        <w:t>., 2013).</w:t>
      </w: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CHAPTER THREE: METHODOLOGY</w:t>
      </w:r>
    </w:p>
    <w:p>
      <w:pPr>
        <w:pStyle w:val="style0"/>
        <w:spacing w:after="0" w:lineRule="auto" w:line="480"/>
        <w:rPr>
          <w:rFonts w:ascii="Times New Roman" w:cs="Times New Roman" w:hAnsi="Times New Roman"/>
          <w:bCs/>
          <w:sz w:val="24"/>
          <w:szCs w:val="24"/>
        </w:rPr>
      </w:pP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r>
      <w:r>
        <w:rPr>
          <w:rFonts w:ascii="Times New Roman" w:cs="Times New Roman" w:hAnsi="Times New Roman"/>
          <w:b/>
          <w:sz w:val="24"/>
          <w:szCs w:val="24"/>
        </w:rPr>
        <w:t>Methods</w:t>
      </w:r>
    </w:p>
    <w:p>
      <w:pPr>
        <w:pStyle w:val="style0"/>
        <w:spacing w:lineRule="auto" w:line="480"/>
        <w:ind w:firstLine="720"/>
        <w:jc w:val="both"/>
        <w:rPr>
          <w:rFonts w:ascii="Cambria" w:cs="Times New Roman" w:hAnsi="Cambria"/>
          <w:sz w:val="24"/>
          <w:szCs w:val="24"/>
        </w:rPr>
      </w:pPr>
      <w:r>
        <w:rPr>
          <w:rFonts w:ascii="Times New Roman" w:cs="Times New Roman" w:hAnsi="Times New Roman"/>
          <w:sz w:val="24"/>
          <w:szCs w:val="24"/>
        </w:rPr>
        <w:t xml:space="preserve">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w:t>
      </w:r>
      <w:r>
        <w:rPr>
          <w:rFonts w:ascii="Times New Roman" w:cs="Times New Roman" w:hAnsi="Times New Roman"/>
          <w:sz w:val="24"/>
          <w:szCs w:val="24"/>
        </w:rPr>
        <w:t xml:space="preserve">and declination of the body magnetization, the inclination and declination of the local Earth’s magnetic field (Baranov, 1957) and total field are calculated. Baranov and </w:t>
      </w:r>
      <w:r>
        <w:rPr>
          <w:rFonts w:ascii="Times New Roman" w:cs="Times New Roman" w:hAnsi="Times New Roman"/>
          <w:sz w:val="24"/>
          <w:szCs w:val="24"/>
        </w:rPr>
        <w:t>Naudy</w:t>
      </w:r>
      <w:r>
        <w:rPr>
          <w:rFonts w:ascii="Times New Roman" w:cs="Times New Roman" w:hAnsi="Times New Roman"/>
          <w:sz w:val="24"/>
          <w:szCs w:val="24"/>
        </w:rPr>
        <w:t xml:space="preserve"> (1964) proposed a mathematical approach called “reduction to pole” for simplifying anomaly shape estimates</w:t>
      </w:r>
      <w:r>
        <w:rPr>
          <w:rFonts w:ascii="Times New Roman" w:cs="Times New Roman" w:hAnsi="Times New Roman"/>
          <w:sz w:val="24"/>
          <w:szCs w:val="24"/>
        </w:rPr>
        <w:t>.</w:t>
      </w:r>
    </w:p>
    <w:p>
      <w:pPr>
        <w:pStyle w:val="style0"/>
        <w:spacing w:lineRule="auto" w:line="480"/>
        <w:ind w:firstLine="720"/>
        <w:jc w:val="both"/>
        <w:rPr>
          <w:rFonts w:ascii="Cambria" w:cs="Times New Roman" w:hAnsi="Cambria"/>
          <w:sz w:val="24"/>
          <w:szCs w:val="24"/>
        </w:rPr>
      </w:pPr>
      <w:r>
        <w:rPr>
          <w:rFonts w:ascii="Cambria" w:cs="Times New Roman" w:hAnsi="Cambria"/>
          <w:sz w:val="24"/>
          <w:szCs w:val="24"/>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pPr>
        <w:pStyle w:val="style0"/>
        <w:spacing w:lineRule="auto" w:line="480"/>
        <w:ind w:firstLine="720"/>
        <w:jc w:val="both"/>
        <w:rPr>
          <w:rFonts w:ascii="Cambria" w:cs="Times New Roman" w:hAnsi="Cambria"/>
          <w:sz w:val="24"/>
          <w:szCs w:val="24"/>
        </w:rPr>
      </w:pPr>
      <w:r>
        <w:rPr>
          <w:rFonts w:ascii="Times New Roman" w:cs="Times New Roman" w:hAnsi="Times New Roman"/>
          <w:sz w:val="24"/>
          <w:szCs w:val="24"/>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pPr>
        <w:pStyle w:val="style0"/>
        <w:autoSpaceDE w:val="false"/>
        <w:autoSpaceDN w:val="false"/>
        <w:adjustRightInd w:val="false"/>
        <w:spacing w:after="0" w:lineRule="auto" w:line="480"/>
        <w:rPr>
          <w:rFonts w:ascii="Cambria" w:cs="Corbel-Bold" w:eastAsia="Corbel-Bold" w:hAnsi="Cambria"/>
          <w:b/>
          <w:bCs/>
          <w:color w:val="000000"/>
          <w:sz w:val="24"/>
          <w:szCs w:val="24"/>
          <w:lang w:val="en-CA"/>
        </w:rPr>
      </w:pPr>
      <w:r>
        <w:rPr>
          <w:rFonts w:ascii="Cambria" w:cs="Corbel-Bold" w:eastAsia="Corbel-Bold" w:hAnsi="Cambria"/>
          <w:b/>
          <w:bCs/>
          <w:color w:val="000000"/>
          <w:sz w:val="24"/>
          <w:szCs w:val="24"/>
          <w:lang w:val="en-CA"/>
        </w:rPr>
        <w:t>Horizontal</w:t>
      </w:r>
      <w:r>
        <w:rPr>
          <w:rFonts w:ascii="Cambria" w:cs="Corbel-Bold" w:eastAsia="Corbel-Bold" w:hAnsi="Cambria"/>
          <w:b/>
          <w:bCs/>
          <w:color w:val="000000"/>
          <w:sz w:val="24"/>
          <w:szCs w:val="24"/>
          <w:lang w:val="en-CA"/>
        </w:rPr>
        <w:t xml:space="preserve"> gradient </w:t>
      </w:r>
      <w:r>
        <w:rPr>
          <w:rFonts w:ascii="Cambria" w:cs="Corbel-Bold" w:eastAsia="Corbel-Bold" w:hAnsi="Cambria"/>
          <w:b/>
          <w:bCs/>
          <w:color w:val="000000"/>
          <w:sz w:val="24"/>
          <w:szCs w:val="24"/>
          <w:lang w:val="en-CA"/>
        </w:rPr>
        <w:t>amplitude</w:t>
      </w:r>
    </w:p>
    <w:p>
      <w:pPr>
        <w:pStyle w:val="style0"/>
        <w:spacing w:lineRule="auto" w:line="480"/>
        <w:jc w:val="both"/>
        <w:rPr>
          <w:rFonts w:ascii="Cambria" w:cs="Times New Roman" w:hAnsi="Cambria"/>
          <w:sz w:val="24"/>
          <w:szCs w:val="24"/>
          <w:lang w:val="en-CA"/>
        </w:rPr>
      </w:pPr>
      <w:r>
        <w:rPr>
          <w:rFonts w:ascii="Cambria" w:cs="Times New Roman" w:hAnsi="Cambria"/>
          <w:sz w:val="24"/>
          <w:szCs w:val="24"/>
          <w:lang w:val="en-CA"/>
        </w:rPr>
        <w:t xml:space="preserve">The </w:t>
      </w:r>
      <w:r>
        <w:rPr>
          <w:rFonts w:ascii="Cambria" w:cs="Times New Roman" w:hAnsi="Cambria"/>
          <w:sz w:val="24"/>
          <w:szCs w:val="24"/>
          <w:lang w:val="en-CA"/>
        </w:rPr>
        <w:t>horizontal gradient amplitude</w:t>
      </w:r>
      <w:r>
        <w:rPr>
          <w:rFonts w:ascii="Cambria" w:cs="Times New Roman" w:hAnsi="Cambria"/>
          <w:sz w:val="24"/>
          <w:szCs w:val="24"/>
          <w:lang w:val="en-CA"/>
        </w:rPr>
        <w:t xml:space="preserve"> (</w:t>
      </w:r>
      <w:r>
        <w:rPr>
          <w:rFonts w:ascii="Cambria" w:cs="Times New Roman" w:hAnsi="Cambria"/>
          <w:sz w:val="24"/>
          <w:szCs w:val="24"/>
          <w:lang w:val="en-CA"/>
        </w:rPr>
        <w:t>HGA</w:t>
      </w:r>
      <w:r>
        <w:rPr>
          <w:rFonts w:ascii="Cambria" w:cs="Times New Roman" w:hAnsi="Cambria"/>
          <w:sz w:val="24"/>
          <w:szCs w:val="24"/>
          <w:lang w:val="en-CA"/>
        </w:rPr>
        <w:t xml:space="preserve">) </w:t>
      </w:r>
      <w:r>
        <w:rPr>
          <w:rFonts w:ascii="Cambria" w:cs="Times New Roman" w:hAnsi="Cambria"/>
          <w:sz w:val="24"/>
          <w:szCs w:val="24"/>
          <w:lang w:val="en-CA"/>
        </w:rPr>
        <w:t xml:space="preserve">filter is used in computing the </w:t>
      </w:r>
      <w:r>
        <w:rPr>
          <w:rFonts w:ascii="Cambria" w:cs="Times New Roman" w:hAnsi="Cambria"/>
          <w:sz w:val="24"/>
          <w:szCs w:val="24"/>
          <w:lang w:val="en-CA"/>
        </w:rPr>
        <w:t>potential field data.</w:t>
      </w:r>
      <w:r>
        <w:rPr>
          <w:rFonts w:ascii="Cambria" w:cs="Times New Roman" w:hAnsi="Cambria"/>
          <w:sz w:val="24"/>
          <w:szCs w:val="24"/>
          <w:lang w:val="en-CA"/>
        </w:rPr>
        <w:t xml:space="preserve"> It provides information on the lateral extent of magnetic bodies (Salawu et al., 2019). Unlike TGA technique, it is dependent on the magnetization direction i.e., it requires source magnetization direction. </w:t>
      </w:r>
      <w:r>
        <w:rPr>
          <w:rFonts w:ascii="Cambria" w:cs="Times New Roman" w:hAnsi="Cambria"/>
          <w:sz w:val="24"/>
          <w:szCs w:val="24"/>
          <w:lang w:val="en-CA"/>
        </w:rPr>
        <w:t>Th</w:t>
      </w:r>
      <w:r>
        <w:rPr>
          <w:rFonts w:ascii="Cambria" w:cs="Times New Roman" w:hAnsi="Cambria"/>
          <w:sz w:val="24"/>
          <w:szCs w:val="24"/>
          <w:lang w:val="en-CA"/>
        </w:rPr>
        <w:t xml:space="preserve">is enhancement </w:t>
      </w:r>
      <w:r>
        <w:rPr>
          <w:rFonts w:ascii="Cambria" w:cs="Times New Roman" w:hAnsi="Cambria"/>
          <w:sz w:val="24"/>
          <w:szCs w:val="24"/>
          <w:lang w:val="en-CA"/>
        </w:rPr>
        <w:t>tool</w:t>
      </w:r>
      <w:r>
        <w:rPr>
          <w:rFonts w:ascii="Cambria" w:cs="Times New Roman" w:hAnsi="Cambria"/>
          <w:sz w:val="24"/>
          <w:szCs w:val="24"/>
          <w:lang w:val="en-CA"/>
        </w:rPr>
        <w:t xml:space="preserve"> improves the visibility shallow magnetic bodies (igneous intrusions, contacts, and sheet like features) that were covered by the</w:t>
      </w:r>
      <w:r>
        <w:rPr>
          <w:rFonts w:ascii="Cambria" w:cs="Times New Roman" w:hAnsi="Cambria"/>
          <w:sz w:val="24"/>
          <w:szCs w:val="24"/>
          <w:lang w:val="en-CA"/>
        </w:rPr>
        <w:t xml:space="preserve"> </w:t>
      </w:r>
      <w:r>
        <w:rPr>
          <w:rFonts w:ascii="Cambria" w:cs="Times New Roman" w:hAnsi="Cambria"/>
          <w:sz w:val="24"/>
          <w:szCs w:val="24"/>
          <w:lang w:val="en-CA"/>
        </w:rPr>
        <w:t>deeper ones. It is mathematically express in the equation below.</w:t>
      </w:r>
    </w:p>
    <w:p>
      <w:pPr>
        <w:pStyle w:val="style0"/>
        <w:autoSpaceDE w:val="false"/>
        <w:autoSpaceDN w:val="false"/>
        <w:adjustRightInd w:val="false"/>
        <w:spacing w:after="0" w:lineRule="auto" w:line="240"/>
        <w:jc w:val="both"/>
        <w:rPr>
          <w:rFonts w:ascii="Cambria" w:cs="MinionPro-Regular" w:eastAsia="Corbel-Bold" w:hAnsi="Cambria"/>
          <w:color w:val="000000"/>
          <w:sz w:val="24"/>
          <w:szCs w:val="24"/>
          <w:lang w:val="en-CA"/>
        </w:rPr>
      </w:pPr>
      <m:oMathPara>
        <m:oMath>
          <m:r>
            <w:rPr>
              <w:rFonts w:ascii="Cambria Math" w:cs="MinionPro-Regular" w:eastAsia="Corbel-Bold" w:hAnsi="Cambria Math"/>
              <w:color w:val="000000"/>
              <w:sz w:val="24"/>
              <w:szCs w:val="24"/>
              <w:lang w:val="en-CA"/>
            </w:rPr>
            <m:t>HGA =</m:t>
          </m:r>
          <m:rad>
            <m:radPr>
              <m:degHide m:val="1"/>
              <m:ctrlPr>
                <w:rPr>
                  <w:rFonts w:ascii="Cambria Math" w:cs="MinionPro-Regular" w:eastAsia="Corbel-Bold" w:hAnsi="Cambria Math"/>
                  <w:i/>
                  <w:color w:val="000000"/>
                  <w:sz w:val="24"/>
                  <w:szCs w:val="24"/>
                  <w:lang w:val="en-CA"/>
                </w:rPr>
              </m:ctrlPr>
            </m:radPr>
            <m:deg/>
            <m:e>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e>
                  </m:d>
                </m:e>
                <m:sup>
                  <m:r>
                    <w:rPr>
                      <w:rFonts w:ascii="Cambria Math" w:cs="MinionPro-Regular" w:eastAsia="Corbel-Bold" w:hAnsi="Cambria Math"/>
                      <w:color w:val="000000"/>
                      <w:sz w:val="24"/>
                      <w:szCs w:val="24"/>
                      <w:lang w:val="en-CA"/>
                    </w:rPr>
                    <m:t>2</m:t>
                  </m:r>
                </m:sup>
              </m:sSup>
              <m:r>
                <w:rPr>
                  <w:rFonts w:ascii="Cambria Math" w:cs="MinionPro-Regular" w:eastAsia="Corbel-Bold" w:hAnsi="Cambria Math"/>
                  <w:color w:val="000000"/>
                  <w:sz w:val="24"/>
                  <w:szCs w:val="24"/>
                  <w:lang w:val="en-CA"/>
                </w:rPr>
                <m:t>+</m:t>
              </m:r>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e>
                  </m:d>
                </m:e>
                <m:sup>
                  <m:r>
                    <w:rPr>
                      <w:rFonts w:ascii="Cambria Math" w:cs="MinionPro-Regular" w:eastAsia="Corbel-Bold" w:hAnsi="Cambria Math"/>
                      <w:color w:val="000000"/>
                      <w:sz w:val="24"/>
                      <w:szCs w:val="24"/>
                      <w:lang w:val="en-CA"/>
                    </w:rPr>
                    <m:t>2</m:t>
                  </m:r>
                </m:sup>
              </m:sSup>
            </m:e>
          </m:rad>
        </m:oMath>
      </m:oMathPara>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r>
        <w:rPr>
          <w:rFonts w:ascii="Cambria" w:cs="MinionPro-Regular" w:eastAsia="Corbel-Bold" w:hAnsi="Cambria"/>
          <w:i/>
          <w:iCs/>
          <w:color w:val="000000"/>
          <w:sz w:val="24"/>
          <w:szCs w:val="24"/>
          <w:lang w:val="en-CA"/>
        </w:rPr>
        <w:t xml:space="preserve">F </w:t>
      </w:r>
      <w:r>
        <w:rPr>
          <w:rFonts w:ascii="Cambria" w:cs="MinionPro-Regular" w:eastAsia="Corbel-Bold" w:hAnsi="Cambria"/>
          <w:color w:val="000000"/>
          <w:sz w:val="24"/>
          <w:szCs w:val="24"/>
          <w:lang w:val="en-CA"/>
        </w:rPr>
        <w:t>is</w:t>
      </w:r>
      <w:r>
        <w:rPr>
          <w:rFonts w:ascii="Cambria" w:cs="MinionPro-Regular" w:eastAsia="Corbel-Bold" w:hAnsi="Cambria"/>
          <w:color w:val="000000"/>
          <w:sz w:val="24"/>
          <w:szCs w:val="24"/>
          <w:lang w:val="en-CA"/>
        </w:rPr>
        <w:t xml:space="preserve"> the observed</w:t>
      </w:r>
      <w:r>
        <w:rPr>
          <w:rFonts w:ascii="Cambria" w:cs="MinionPro-Regular" w:eastAsia="Corbel-Bold" w:hAnsi="Cambria"/>
          <w:color w:val="000000"/>
          <w:sz w:val="24"/>
          <w:szCs w:val="24"/>
          <w:lang w:val="en-CA"/>
        </w:rPr>
        <w:t xml:space="preserve"> total field anomaly</w:t>
      </w:r>
      <w:r>
        <w:rPr>
          <w:rFonts w:ascii="Cambria" w:cs="MinionPro-Regular" w:eastAsia="Corbel-Bold" w:hAnsi="Cambria"/>
          <w:color w:val="000000"/>
          <w:sz w:val="24"/>
          <w:szCs w:val="24"/>
          <w:lang w:val="en-CA"/>
        </w:rPr>
        <w:t xml:space="preserve">, </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oMath>
      <w:r>
        <w:rPr>
          <w:rFonts w:ascii="Cambria" w:cs="MinionPro-Regular" w:eastAsia="Corbel-Bold" w:hAnsi="Cambria"/>
          <w:color w:val="000000"/>
          <w:sz w:val="24"/>
          <w:szCs w:val="24"/>
          <w:lang w:val="en-CA"/>
        </w:rPr>
        <w:t>and</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r>
          <w:rPr>
            <w:rFonts w:ascii="Cambria Math" w:cs="MinionPro-Regular" w:eastAsia="Corbel-Bold" w:hAnsi="Cambria Math"/>
            <w:color w:val="000000"/>
            <w:sz w:val="24"/>
            <w:szCs w:val="24"/>
            <w:lang w:val="en-CA"/>
          </w:rPr>
          <m:t xml:space="preserve"> </m:t>
        </m:r>
      </m:oMath>
      <w:r>
        <w:rPr>
          <w:rFonts w:ascii="Cambria" w:cs="MinionPro-Regular" w:eastAsia="Corbel-Bold" w:hAnsi="Cambria"/>
          <w:color w:val="000000"/>
          <w:sz w:val="24"/>
          <w:szCs w:val="24"/>
          <w:lang w:val="en-CA"/>
        </w:rPr>
        <w:t xml:space="preserve">are the first-order partial derivatives of the </w:t>
      </w:r>
      <w:r>
        <w:rPr>
          <w:rFonts w:ascii="Cambria" w:cs="MinionPro-Regular" w:eastAsia="Corbel-Bold" w:hAnsi="Cambria"/>
          <w:color w:val="000000"/>
          <w:sz w:val="24"/>
          <w:szCs w:val="24"/>
          <w:lang w:val="en-CA"/>
        </w:rPr>
        <w:t>potential f</w:t>
      </w:r>
      <w:r>
        <w:rPr>
          <w:rFonts w:ascii="Cambria" w:cs="MinionPro-Regular" w:eastAsia="Corbel-Bold" w:hAnsi="Cambria"/>
          <w:color w:val="000000"/>
          <w:sz w:val="24"/>
          <w:szCs w:val="24"/>
          <w:lang w:val="en-CA"/>
        </w:rPr>
        <w:t>ield</w:t>
      </w:r>
      <w:r>
        <w:rPr>
          <w:rFonts w:ascii="Cambria" w:cs="MinionPro-Regular" w:eastAsia="Corbel-Bold" w:hAnsi="Cambria"/>
          <w:i/>
          <w:iCs/>
          <w:color w:val="000000"/>
          <w:sz w:val="24"/>
          <w:szCs w:val="24"/>
          <w:lang w:val="en-CA"/>
        </w:rPr>
        <w:t xml:space="preserve"> F</w:t>
      </w:r>
      <w:r>
        <w:rPr>
          <w:rFonts w:ascii="Cambria" w:cs="MinionPro-Regular" w:eastAsia="Corbel-Bold" w:hAnsi="Cambria"/>
          <w:color w:val="000000"/>
          <w:sz w:val="24"/>
          <w:szCs w:val="24"/>
          <w:lang w:val="en-CA"/>
        </w:rPr>
        <w:t xml:space="preserve"> in</w:t>
      </w:r>
      <w:r>
        <w:rPr>
          <w:rFonts w:ascii="Cambria" w:cs="MinionPro-Regular" w:eastAsia="Corbel-Bold" w:hAnsi="Cambria"/>
          <w:color w:val="000000"/>
          <w:sz w:val="24"/>
          <w:szCs w:val="24"/>
          <w:lang w:val="en-CA"/>
        </w:rPr>
        <w:t xml:space="preserve"> horizontal (</w:t>
      </w:r>
      <w:r>
        <w:rPr>
          <w:rFonts w:ascii="Cambria" w:cs="MinionPro-Regular" w:eastAsia="Corbel-Bold" w:hAnsi="Cambria"/>
          <w:i/>
          <w:iCs/>
          <w:color w:val="000000"/>
          <w:sz w:val="24"/>
          <w:szCs w:val="24"/>
          <w:lang w:val="en-CA"/>
        </w:rPr>
        <w:t>y</w:t>
      </w:r>
      <w:r>
        <w:rPr>
          <w:rFonts w:ascii="Cambria" w:cs="MinionPro-Regular" w:eastAsia="Corbel-Bold" w:hAnsi="Cambria"/>
          <w:color w:val="000000"/>
          <w:sz w:val="24"/>
          <w:szCs w:val="24"/>
          <w:lang w:val="en-CA"/>
        </w:rPr>
        <w:t>)</w:t>
      </w:r>
      <w:r>
        <w:rPr>
          <w:rFonts w:ascii="Cambria" w:cs="MinionPro-Regular" w:eastAsia="Corbel-Bold" w:hAnsi="Cambria"/>
          <w:color w:val="000000"/>
          <w:sz w:val="24"/>
          <w:szCs w:val="24"/>
          <w:lang w:val="en-CA"/>
        </w:rPr>
        <w:t xml:space="preserve"> and </w:t>
      </w:r>
      <w:r>
        <w:rPr>
          <w:rFonts w:ascii="Cambria" w:cs="MinionPro-Regular" w:eastAsia="Corbel-Bold" w:hAnsi="Cambria"/>
          <w:color w:val="000000"/>
          <w:sz w:val="24"/>
          <w:szCs w:val="24"/>
          <w:lang w:val="en-CA"/>
        </w:rPr>
        <w:t xml:space="preserve">(x) </w:t>
      </w:r>
      <w:r>
        <w:rPr>
          <w:rFonts w:ascii="Cambria" w:cs="MinionPro-Regular" w:eastAsia="Corbel-Bold" w:hAnsi="Cambria"/>
          <w:color w:val="000000"/>
          <w:sz w:val="24"/>
          <w:szCs w:val="24"/>
          <w:lang w:val="en-CA"/>
        </w:rPr>
        <w:t>directions respectively</w:t>
      </w:r>
      <w:r>
        <w:rPr>
          <w:rFonts w:ascii="Cambria" w:cs="MinionPro-Regular" w:eastAsia="Corbel-Bold" w:hAnsi="Cambria"/>
          <w:color w:val="000000"/>
          <w:sz w:val="24"/>
          <w:szCs w:val="24"/>
          <w:lang w:val="en-CA"/>
        </w:rPr>
        <w:t xml:space="preserve">. </w:t>
      </w:r>
    </w:p>
    <w:p>
      <w:pPr>
        <w:pStyle w:val="style0"/>
        <w:autoSpaceDE w:val="false"/>
        <w:autoSpaceDN w:val="false"/>
        <w:adjustRightInd w:val="false"/>
        <w:spacing w:after="0" w:lineRule="auto" w:line="480"/>
        <w:rPr>
          <w:rFonts w:ascii="Cambria" w:cs="Corbel-Bold" w:eastAsia="Corbel-Bold" w:hAnsi="Cambria"/>
          <w:b/>
          <w:bCs/>
          <w:color w:val="000000"/>
          <w:sz w:val="24"/>
          <w:szCs w:val="24"/>
          <w:lang w:val="en-CA"/>
        </w:rPr>
      </w:pPr>
      <w:r>
        <w:rPr>
          <w:rFonts w:ascii="Cambria" w:cs="Corbel-Bold" w:eastAsia="Corbel-Bold" w:hAnsi="Cambria"/>
          <w:b/>
          <w:bCs/>
          <w:color w:val="000000"/>
          <w:sz w:val="24"/>
          <w:szCs w:val="24"/>
          <w:lang w:val="en-CA"/>
        </w:rPr>
        <w:t>Total gradient magnitude</w:t>
      </w:r>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r>
        <w:rPr>
          <w:rFonts w:ascii="Cambria" w:cs="MinionPro-Regular" w:eastAsia="Corbel-Bold" w:hAnsi="Cambria"/>
          <w:color w:val="000000"/>
          <w:sz w:val="24"/>
          <w:szCs w:val="24"/>
          <w:lang w:val="en-CA"/>
        </w:rPr>
        <w:t>The total gradient amplitude (TGA) is among the edge detection and enhancement method</w:t>
      </w:r>
      <w:r>
        <w:rPr>
          <w:rFonts w:ascii="Cambria" w:cs="MinionPro-Regular" w:eastAsia="Corbel-Bold" w:hAnsi="Cambria"/>
          <w:color w:val="000000"/>
          <w:sz w:val="24"/>
          <w:szCs w:val="24"/>
          <w:lang w:val="en-CA"/>
        </w:rPr>
        <w:t xml:space="preserve"> used</w:t>
      </w:r>
      <w:r>
        <w:rPr>
          <w:rFonts w:ascii="Cambria" w:cs="MinionPro-Regular" w:eastAsia="Corbel-Bold" w:hAnsi="Cambria"/>
          <w:color w:val="000000"/>
          <w:sz w:val="24"/>
          <w:szCs w:val="24"/>
          <w:lang w:val="en-CA"/>
        </w:rPr>
        <w:t xml:space="preserve"> in the interpretation potential field data</w:t>
      </w:r>
      <w:r>
        <w:rPr>
          <w:rFonts w:ascii="Cambria" w:cs="MinionPro-Regular" w:eastAsia="Corbel-Bold" w:hAnsi="Cambria"/>
          <w:color w:val="000000"/>
          <w:sz w:val="24"/>
          <w:szCs w:val="24"/>
          <w:lang w:val="en-CA"/>
        </w:rPr>
        <w:t xml:space="preserve">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w:t>
      </w:r>
      <w:r>
        <w:rPr>
          <w:rFonts w:ascii="Cambria" w:cs="MinionPro-Regular" w:eastAsia="Corbel-Bold" w:hAnsi="Cambria"/>
          <w:color w:val="000000"/>
          <w:sz w:val="24"/>
          <w:szCs w:val="24"/>
          <w:lang w:val="en-CA"/>
        </w:rPr>
        <w:t>subdue the effects of low latitude as the case of reduction to pole or equator (</w:t>
      </w:r>
      <w:r>
        <w:rPr>
          <w:rFonts w:ascii="Cambria" w:cs="MinionPro-Regular" w:eastAsia="Corbel-Bold" w:hAnsi="Cambria"/>
          <w:color w:val="000000"/>
          <w:sz w:val="24"/>
          <w:szCs w:val="24"/>
          <w:lang w:val="en-CA"/>
        </w:rPr>
        <w:t>Macleod et al.</w:t>
      </w:r>
      <w:r>
        <w:rPr>
          <w:rFonts w:ascii="Cambria" w:cs="MinionPro-Regular" w:eastAsia="Corbel-Bold" w:hAnsi="Cambria"/>
          <w:color w:val="000000"/>
          <w:sz w:val="24"/>
          <w:szCs w:val="24"/>
          <w:lang w:val="en-CA"/>
        </w:rPr>
        <w:t xml:space="preserve">, </w:t>
      </w:r>
      <w:r>
        <w:rPr>
          <w:rFonts w:ascii="Cambria" w:cs="MinionPro-Regular" w:eastAsia="Corbel-Bold" w:hAnsi="Cambria"/>
          <w:color w:val="000000"/>
          <w:sz w:val="24"/>
          <w:szCs w:val="24"/>
          <w:lang w:val="en-CA"/>
        </w:rPr>
        <w:t>1993</w:t>
      </w:r>
      <w:r>
        <w:rPr>
          <w:rFonts w:ascii="Cambria" w:cs="MinionPro-Regular" w:eastAsia="Corbel-Bold" w:hAnsi="Cambria"/>
          <w:color w:val="000000"/>
          <w:sz w:val="24"/>
          <w:szCs w:val="24"/>
          <w:lang w:val="en-CA"/>
        </w:rPr>
        <w:t>). The</w:t>
      </w:r>
      <w:r>
        <w:rPr>
          <w:rFonts w:ascii="Cambria" w:cs="MinionPro-Regular" w:eastAsia="Corbel-Bold" w:hAnsi="Cambria"/>
          <w:color w:val="000000"/>
          <w:sz w:val="24"/>
          <w:szCs w:val="24"/>
          <w:lang w:val="en-CA"/>
        </w:rPr>
        <w:t xml:space="preserve"> total gradient amplitude (TGA)</w:t>
      </w:r>
      <w:r>
        <w:rPr>
          <w:rFonts w:ascii="Cambria" w:cs="MinionPro-Regular" w:eastAsia="Corbel-Bold" w:hAnsi="Cambria"/>
          <w:color w:val="000000"/>
          <w:sz w:val="24"/>
          <w:szCs w:val="24"/>
          <w:lang w:val="en-CA"/>
        </w:rPr>
        <w:t xml:space="preserve"> is given in the equation below.</w:t>
      </w:r>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m:oMathPara>
        <m:oMath>
          <m:r>
            <w:rPr>
              <w:rFonts w:ascii="Cambria Math" w:cs="MinionPro-Regular" w:eastAsia="Corbel-Bold" w:hAnsi="Cambria Math"/>
              <w:color w:val="000000"/>
              <w:sz w:val="24"/>
              <w:szCs w:val="24"/>
              <w:lang w:val="en-CA"/>
            </w:rPr>
            <m:t>TGA =</m:t>
          </m:r>
          <m:rad>
            <m:radPr>
              <m:degHide m:val="1"/>
              <m:ctrlPr>
                <w:rPr>
                  <w:rFonts w:ascii="Cambria Math" w:cs="MinionPro-Regular" w:eastAsia="Corbel-Bold" w:hAnsi="Cambria Math"/>
                  <w:i/>
                  <w:color w:val="000000"/>
                  <w:sz w:val="24"/>
                  <w:szCs w:val="24"/>
                  <w:lang w:val="en-CA"/>
                </w:rPr>
              </m:ctrlPr>
            </m:radPr>
            <m:deg/>
            <m:e>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e>
                  </m:d>
                </m:e>
                <m:sup>
                  <m:r>
                    <w:rPr>
                      <w:rFonts w:ascii="Cambria Math" w:cs="MinionPro-Regular" w:eastAsia="Corbel-Bold" w:hAnsi="Cambria Math"/>
                      <w:color w:val="000000"/>
                      <w:sz w:val="24"/>
                      <w:szCs w:val="24"/>
                      <w:lang w:val="en-CA"/>
                    </w:rPr>
                    <m:t>2</m:t>
                  </m:r>
                </m:sup>
              </m:sSup>
              <m:r>
                <w:rPr>
                  <w:rFonts w:ascii="Cambria Math" w:cs="MinionPro-Regular" w:eastAsia="Corbel-Bold" w:hAnsi="Cambria Math"/>
                  <w:color w:val="000000"/>
                  <w:sz w:val="24"/>
                  <w:szCs w:val="24"/>
                  <w:lang w:val="en-CA"/>
                </w:rPr>
                <m:t>+</m:t>
              </m:r>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e>
                  </m:d>
                </m:e>
                <m:sup>
                  <m:r>
                    <w:rPr>
                      <w:rFonts w:ascii="Cambria Math" w:cs="MinionPro-Regular" w:eastAsia="Corbel-Bold" w:hAnsi="Cambria Math"/>
                      <w:color w:val="000000"/>
                      <w:sz w:val="24"/>
                      <w:szCs w:val="24"/>
                      <w:lang w:val="en-CA"/>
                    </w:rPr>
                    <m:t>2</m:t>
                  </m:r>
                </m:sup>
              </m:sSup>
              <m:r>
                <w:rPr>
                  <w:rFonts w:ascii="Cambria Math" w:cs="MinionPro-Regular" w:eastAsia="Corbel-Bold" w:hAnsi="Cambria Math"/>
                  <w:color w:val="000000"/>
                  <w:sz w:val="24"/>
                  <w:szCs w:val="24"/>
                  <w:lang w:val="en-CA"/>
                </w:rPr>
                <m:t>+</m:t>
              </m:r>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∂z</m:t>
                          </m:r>
                        </m:den>
                      </m:f>
                    </m:e>
                  </m:d>
                </m:e>
                <m:sup>
                  <m:r>
                    <w:rPr>
                      <w:rFonts w:ascii="Cambria Math" w:cs="MinionPro-Regular" w:eastAsia="Corbel-Bold" w:hAnsi="Cambria Math"/>
                      <w:color w:val="000000"/>
                      <w:sz w:val="24"/>
                      <w:szCs w:val="24"/>
                      <w:lang w:val="en-CA"/>
                    </w:rPr>
                    <m:t>2</m:t>
                  </m:r>
                </m:sup>
              </m:sSup>
            </m:e>
          </m:rad>
        </m:oMath>
      </m:oMathPara>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r>
        <w:rPr>
          <w:rFonts w:ascii="Cambria" w:cs="MinionPro-Regular" w:eastAsia="Corbel-Bold" w:hAnsi="Cambria"/>
          <w:color w:val="000000"/>
          <w:sz w:val="24"/>
          <w:szCs w:val="24"/>
          <w:lang w:val="en-CA"/>
        </w:rPr>
        <w:t xml:space="preserve"> </w:t>
      </w:r>
      <w:r>
        <w:rPr>
          <w:rFonts w:ascii="Cambria" w:cs="MinionPro-Regular" w:eastAsia="Corbel-Bold" w:hAnsi="Cambria"/>
          <w:i/>
          <w:iCs/>
          <w:color w:val="000000"/>
          <w:sz w:val="24"/>
          <w:szCs w:val="24"/>
          <w:lang w:val="en-CA"/>
        </w:rPr>
        <w:t xml:space="preserve">F </w:t>
      </w:r>
      <w:r>
        <w:rPr>
          <w:rFonts w:ascii="Cambria" w:cs="MinionPro-Regular" w:eastAsia="Corbel-Bold" w:hAnsi="Cambria"/>
          <w:color w:val="000000"/>
          <w:sz w:val="24"/>
          <w:szCs w:val="24"/>
          <w:lang w:val="en-CA"/>
        </w:rPr>
        <w:t>is</w:t>
      </w:r>
      <w:r>
        <w:rPr>
          <w:rFonts w:ascii="Cambria" w:cs="MinionPro-Regular" w:eastAsia="Corbel-Bold" w:hAnsi="Cambria"/>
          <w:color w:val="000000"/>
          <w:sz w:val="24"/>
          <w:szCs w:val="24"/>
          <w:lang w:val="en-CA"/>
        </w:rPr>
        <w:t xml:space="preserve"> the observed</w:t>
      </w:r>
      <w:r>
        <w:rPr>
          <w:rFonts w:ascii="Cambria" w:cs="MinionPro-Regular" w:eastAsia="Corbel-Bold" w:hAnsi="Cambria"/>
          <w:color w:val="000000"/>
          <w:sz w:val="24"/>
          <w:szCs w:val="24"/>
          <w:lang w:val="en-CA"/>
        </w:rPr>
        <w:t xml:space="preserve"> total field anomaly</w:t>
      </w:r>
      <w:r>
        <w:rPr>
          <w:rFonts w:ascii="Cambria" w:cs="MinionPro-Regular" w:eastAsia="Corbel-Bold" w:hAnsi="Cambria"/>
          <w:color w:val="000000"/>
          <w:sz w:val="24"/>
          <w:szCs w:val="24"/>
          <w:lang w:val="en-CA"/>
        </w:rPr>
        <w:t xml:space="preserve">, </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oMath>
      <w:r>
        <w:rPr>
          <w:rFonts w:ascii="Cambria" w:cs="MinionPro-Regular" w:eastAsia="Corbel-Bold" w:hAnsi="Cambria"/>
          <w:color w:val="000000"/>
          <w:sz w:val="24"/>
          <w:szCs w:val="24"/>
          <w:lang w:val="en-CA"/>
        </w:rPr>
        <w:t>and</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r>
          <w:rPr>
            <w:rFonts w:ascii="Cambria Math" w:cs="MinionPro-Regular" w:eastAsia="Corbel-Bold" w:hAnsi="Cambria Math"/>
            <w:color w:val="000000"/>
            <w:sz w:val="24"/>
            <w:szCs w:val="24"/>
            <w:lang w:val="en-CA"/>
          </w:rPr>
          <m:t xml:space="preserve"> </m:t>
        </m:r>
      </m:oMath>
      <w:r>
        <w:rPr>
          <w:rFonts w:ascii="Cambria" w:cs="MinionPro-Regular" w:eastAsia="Corbel-Bold" w:hAnsi="Cambria"/>
          <w:color w:val="000000"/>
          <w:sz w:val="24"/>
          <w:szCs w:val="24"/>
          <w:lang w:val="en-CA"/>
        </w:rPr>
        <w:t xml:space="preserve">are the first-order partial derivatives of the </w:t>
      </w:r>
      <w:r>
        <w:rPr>
          <w:rFonts w:ascii="Cambria" w:cs="MinionPro-Regular" w:eastAsia="Corbel-Bold" w:hAnsi="Cambria"/>
          <w:color w:val="000000"/>
          <w:sz w:val="24"/>
          <w:szCs w:val="24"/>
          <w:lang w:val="en-CA"/>
        </w:rPr>
        <w:t>potential f</w:t>
      </w:r>
      <w:r>
        <w:rPr>
          <w:rFonts w:ascii="Cambria" w:cs="MinionPro-Regular" w:eastAsia="Corbel-Bold" w:hAnsi="Cambria"/>
          <w:color w:val="000000"/>
          <w:sz w:val="24"/>
          <w:szCs w:val="24"/>
          <w:lang w:val="en-CA"/>
        </w:rPr>
        <w:t>ield</w:t>
      </w:r>
      <w:r>
        <w:rPr>
          <w:rFonts w:ascii="Cambria" w:cs="MinionPro-Regular" w:eastAsia="Corbel-Bold" w:hAnsi="Cambria"/>
          <w:i/>
          <w:iCs/>
          <w:color w:val="000000"/>
          <w:sz w:val="24"/>
          <w:szCs w:val="24"/>
          <w:lang w:val="en-CA"/>
        </w:rPr>
        <w:t xml:space="preserve"> F</w:t>
      </w:r>
      <w:r>
        <w:rPr>
          <w:rFonts w:ascii="Cambria" w:cs="MinionPro-Regular" w:eastAsia="Corbel-Bold" w:hAnsi="Cambria"/>
          <w:color w:val="000000"/>
          <w:sz w:val="24"/>
          <w:szCs w:val="24"/>
          <w:lang w:val="en-CA"/>
        </w:rPr>
        <w:t xml:space="preserve"> in</w:t>
      </w:r>
      <w:r>
        <w:rPr>
          <w:rFonts w:ascii="Cambria" w:cs="MinionPro-Regular" w:eastAsia="Corbel-Bold" w:hAnsi="Cambria"/>
          <w:color w:val="000000"/>
          <w:sz w:val="24"/>
          <w:szCs w:val="24"/>
          <w:lang w:val="en-CA"/>
        </w:rPr>
        <w:t xml:space="preserve"> horizontal (</w:t>
      </w:r>
      <w:r>
        <w:rPr>
          <w:rFonts w:ascii="Cambria" w:cs="MinionPro-Regular" w:eastAsia="Corbel-Bold" w:hAnsi="Cambria"/>
          <w:i/>
          <w:iCs/>
          <w:color w:val="000000"/>
          <w:sz w:val="24"/>
          <w:szCs w:val="24"/>
          <w:lang w:val="en-CA"/>
        </w:rPr>
        <w:t>y</w:t>
      </w:r>
      <w:r>
        <w:rPr>
          <w:rFonts w:ascii="Cambria" w:cs="MinionPro-Regular" w:eastAsia="Corbel-Bold" w:hAnsi="Cambria"/>
          <w:color w:val="000000"/>
          <w:sz w:val="24"/>
          <w:szCs w:val="24"/>
          <w:lang w:val="en-CA"/>
        </w:rPr>
        <w:t>)</w:t>
      </w:r>
      <w:r>
        <w:rPr>
          <w:rFonts w:ascii="Cambria" w:cs="MinionPro-Regular" w:eastAsia="Corbel-Bold" w:hAnsi="Cambria"/>
          <w:color w:val="000000"/>
          <w:sz w:val="24"/>
          <w:szCs w:val="24"/>
          <w:lang w:val="en-CA"/>
        </w:rPr>
        <w:t xml:space="preserve"> and </w:t>
      </w:r>
      <w:r>
        <w:rPr>
          <w:rFonts w:ascii="Cambria" w:cs="MinionPro-Regular" w:eastAsia="Corbel-Bold" w:hAnsi="Cambria"/>
          <w:color w:val="000000"/>
          <w:sz w:val="24"/>
          <w:szCs w:val="24"/>
          <w:lang w:val="en-CA"/>
        </w:rPr>
        <w:t xml:space="preserve">(x) </w:t>
      </w:r>
      <w:r>
        <w:rPr>
          <w:rFonts w:ascii="Cambria" w:cs="MinionPro-Regular" w:eastAsia="Corbel-Bold" w:hAnsi="Cambria"/>
          <w:color w:val="000000"/>
          <w:sz w:val="24"/>
          <w:szCs w:val="24"/>
          <w:lang w:val="en-CA"/>
        </w:rPr>
        <w:t>directions respectively</w:t>
      </w:r>
      <w:r>
        <w:rPr>
          <w:rFonts w:ascii="Cambria" w:cs="MinionPro-Regular" w:eastAsia="Corbel-Bold" w:hAnsi="Cambria"/>
          <w:color w:val="000000"/>
          <w:sz w:val="24"/>
          <w:szCs w:val="24"/>
          <w:lang w:val="en-CA"/>
        </w:rPr>
        <w:t>. W</w:t>
      </w:r>
      <w:r>
        <w:rPr>
          <w:rFonts w:ascii="Cambria" w:cs="MinionPro-Regular" w:eastAsia="Corbel-Bold" w:hAnsi="Cambria"/>
          <w:color w:val="000000"/>
          <w:sz w:val="24"/>
          <w:szCs w:val="24"/>
          <w:lang w:val="en-CA"/>
        </w:rPr>
        <w:t xml:space="preserve">hile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∂z</m:t>
            </m:r>
          </m:den>
        </m:f>
      </m:oMath>
      <w:r>
        <w:rPr>
          <w:rFonts w:ascii="Cambria" w:cs="MinionPro-Regular" w:eastAsia="Corbel-Bold" w:hAnsi="Cambria"/>
          <w:color w:val="000000"/>
          <w:sz w:val="24"/>
          <w:szCs w:val="24"/>
          <w:lang w:val="en-CA"/>
        </w:rPr>
        <w:t xml:space="preserve"> is the first-order partial derivative of the </w:t>
      </w:r>
      <w:r>
        <w:rPr>
          <w:rFonts w:ascii="Cambria" w:cs="MinionPro-Regular" w:eastAsia="Corbel-Bold" w:hAnsi="Cambria"/>
          <w:color w:val="000000"/>
          <w:sz w:val="24"/>
          <w:szCs w:val="24"/>
          <w:lang w:val="en-CA"/>
        </w:rPr>
        <w:t xml:space="preserve">potential </w:t>
      </w:r>
      <w:r>
        <w:rPr>
          <w:rFonts w:ascii="Cambria" w:cs="MinionPro-Regular" w:eastAsia="Corbel-Bold" w:hAnsi="Cambria"/>
          <w:color w:val="000000"/>
          <w:sz w:val="24"/>
          <w:szCs w:val="24"/>
          <w:lang w:val="en-CA"/>
        </w:rPr>
        <w:t>field</w:t>
      </w:r>
      <w:r>
        <w:rPr>
          <w:rFonts w:ascii="Cambria" w:cs="MinionPro-Regular" w:eastAsia="Corbel-Bold" w:hAnsi="Cambria"/>
          <w:color w:val="000000"/>
          <w:sz w:val="24"/>
          <w:szCs w:val="24"/>
          <w:lang w:val="en-CA"/>
        </w:rPr>
        <w:t xml:space="preserve"> </w:t>
      </w:r>
      <w:r>
        <w:rPr>
          <w:rFonts w:ascii="Cambria" w:cs="MinionPro-Regular" w:eastAsia="Corbel-Bold" w:hAnsi="Cambria"/>
          <w:i/>
          <w:iCs/>
          <w:color w:val="000000"/>
          <w:sz w:val="24"/>
          <w:szCs w:val="24"/>
          <w:lang w:val="en-CA"/>
        </w:rPr>
        <w:t xml:space="preserve">F </w:t>
      </w:r>
      <w:r>
        <w:rPr>
          <w:rFonts w:ascii="Cambria" w:cs="MinionPro-Regular" w:eastAsia="Corbel-Bold" w:hAnsi="Cambria"/>
          <w:color w:val="000000"/>
          <w:sz w:val="24"/>
          <w:szCs w:val="24"/>
          <w:lang w:val="en-CA"/>
        </w:rPr>
        <w:t>in vertical</w:t>
      </w:r>
      <w:r>
        <w:rPr>
          <w:rFonts w:ascii="Cambria" w:cs="MinionPro-Regular" w:eastAsia="Corbel-Bold" w:hAnsi="Cambria"/>
          <w:color w:val="000000"/>
          <w:sz w:val="24"/>
          <w:szCs w:val="24"/>
          <w:lang w:val="en-CA"/>
        </w:rPr>
        <w:t xml:space="preserve"> (</w:t>
      </w:r>
      <w:r>
        <w:rPr>
          <w:rFonts w:ascii="Cambria" w:cs="MinionPro-Regular" w:eastAsia="Corbel-Bold" w:hAnsi="Cambria"/>
          <w:i/>
          <w:iCs/>
          <w:color w:val="000000"/>
          <w:sz w:val="24"/>
          <w:szCs w:val="24"/>
          <w:lang w:val="en-CA"/>
        </w:rPr>
        <w:t>z</w:t>
      </w:r>
      <w:r>
        <w:rPr>
          <w:rFonts w:ascii="Cambria" w:cs="MinionPro-Regular" w:eastAsia="Corbel-Bold" w:hAnsi="Cambria"/>
          <w:color w:val="000000"/>
          <w:sz w:val="24"/>
          <w:szCs w:val="24"/>
          <w:lang w:val="en-CA"/>
        </w:rPr>
        <w:t>)</w:t>
      </w:r>
      <w:r>
        <w:rPr>
          <w:rFonts w:ascii="Cambria" w:cs="MinionPro-Regular" w:eastAsia="Corbel-Bold" w:hAnsi="Cambria"/>
          <w:color w:val="000000"/>
          <w:sz w:val="24"/>
          <w:szCs w:val="24"/>
          <w:lang w:val="en-CA"/>
        </w:rPr>
        <w:t xml:space="preserve"> direction.</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Analytic signal method</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Pr>
          <w:rFonts w:ascii="Times New Roman" w:cs="Times New Roman" w:hAnsi="Times New Roman"/>
          <w:i/>
          <w:iCs/>
          <w:sz w:val="24"/>
          <w:szCs w:val="24"/>
        </w:rPr>
        <w:t>et al</w:t>
      </w:r>
      <w:r>
        <w:rPr>
          <w:rFonts w:ascii="Times New Roman" w:cs="Times New Roman" w:hAnsi="Times New Roman"/>
          <w:sz w:val="24"/>
          <w:szCs w:val="24"/>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pPr>
        <w:pStyle w:val="style0"/>
        <w:spacing w:lineRule="auto" w:line="480"/>
        <w:jc w:val="both"/>
        <w:rPr>
          <w:rFonts w:ascii="Times New Roman" w:cs="Times New Roman" w:hAnsi="Times New Roman"/>
          <w:sz w:val="24"/>
          <w:szCs w:val="24"/>
        </w:rPr>
      </w:pPr>
      <m:oMathPara>
        <m:oMath>
          <m:r>
            <w:rPr>
              <w:rFonts w:ascii="Cambria Math" w:cs="Times New Roman" w:hAnsi="Cambria Math"/>
              <w:sz w:val="24"/>
              <w:szCs w:val="24"/>
            </w:rPr>
            <m:t>A</m:t>
          </m:r>
          <m:d>
            <m:dPr>
              <m:endChr m:val=")"/>
              <m:ctrlPr>
                <w:rPr>
                  <w:rFonts w:ascii="Cambria Math" w:cs="Times New Roman" w:hAnsi="Cambria Math"/>
                  <w:i/>
                  <w:sz w:val="24"/>
                  <w:szCs w:val="24"/>
                </w:rPr>
              </m:ctrlPr>
            </m:dPr>
            <m:e>
              <m:r>
                <w:rPr>
                  <w:rFonts w:ascii="Cambria Math" w:cs="Times New Roman" w:hAnsi="Cambria Math"/>
                  <w:sz w:val="24"/>
                  <w:szCs w:val="24"/>
                </w:rPr>
                <m:t>x, y</m:t>
              </m:r>
            </m:e>
          </m:d>
          <m:r>
            <w:rPr>
              <w:rFonts w:ascii="Cambria Math" w:cs="Times New Roman" w:hAnsi="Cambria Math"/>
              <w:sz w:val="24"/>
              <w:szCs w:val="24"/>
            </w:rPr>
            <m:t xml:space="preserve">= </m:t>
          </m:r>
          <m:rad>
            <m:radPr>
              <m:degHide m:val="1"/>
              <m:ctrlPr>
                <w:rPr>
                  <w:rFonts w:ascii="Cambria Math" w:cs="Times New Roman" w:hAnsi="Cambria Math"/>
                  <w:i/>
                  <w:sz w:val="24"/>
                  <w:szCs w:val="24"/>
                </w:rPr>
              </m:ctrlPr>
            </m:radPr>
            <m:deg/>
            <m:e>
              <m:sSup>
                <m:sSupPr>
                  <m:ctrlPr>
                    <w:rPr>
                      <w:rFonts w:ascii="Cambria Math" w:cs="Times New Roman" w:hAnsi="Cambria Math"/>
                      <w:i/>
                      <w:sz w:val="24"/>
                      <w:szCs w:val="24"/>
                    </w:rPr>
                  </m:ctrlPr>
                </m:sSupPr>
                <m:e>
                  <m:r>
                    <w:rPr>
                      <w:rFonts w:ascii="Cambria Math" w:cs="Times New Roman" w:hAnsi="Cambria Math"/>
                      <w:sz w:val="24"/>
                      <w:szCs w:val="24"/>
                    </w:rPr>
                    <m:t>(</m:t>
                  </m:r>
                  <m:f>
                    <m:fPr>
                      <m:type m:val="skw"/>
                      <m:ctrlPr>
                        <w:rPr>
                          <w:rFonts w:ascii="Cambria Math" w:cs="Times New Roman" w:hAnsi="Cambria Math"/>
                          <w:i/>
                          <w:sz w:val="24"/>
                          <w:szCs w:val="24"/>
                        </w:rPr>
                      </m:ctrlPr>
                    </m:fPr>
                    <m:num>
                      <m:r>
                        <w:rPr>
                          <w:rFonts w:ascii="Cambria Math" w:cs="Times New Roman" w:hAnsi="Cambria Math"/>
                          <w:sz w:val="24"/>
                          <w:szCs w:val="24"/>
                        </w:rPr>
                        <m:t>δM</m:t>
                      </m:r>
                    </m:num>
                    <m:den>
                      <m:r>
                        <w:rPr>
                          <w:rFonts w:ascii="Cambria Math" w:cs="Times New Roman" w:hAnsi="Cambria Math"/>
                          <w:sz w:val="24"/>
                          <w:szCs w:val="24"/>
                        </w:rPr>
                        <m:t>δx)</m:t>
                      </m:r>
                    </m:den>
                  </m:f>
                </m:e>
                <m:sup>
                  <m:r>
                    <w:rPr>
                      <w:rFonts w:ascii="Cambria Math" w:cs="Times New Roman" w:hAnsi="Cambria Math"/>
                      <w:sz w:val="24"/>
                      <w:szCs w:val="24"/>
                    </w:rPr>
                    <m:t>2</m:t>
                  </m:r>
                </m:sup>
              </m:sSup>
              <m:r>
                <w:rPr>
                  <w:rFonts w:ascii="Cambria Math" w:cs="Times New Roman" w:hAnsi="Cambria Math"/>
                  <w:sz w:val="24"/>
                  <w:szCs w:val="24"/>
                </w:rPr>
                <m:t xml:space="preserve">+ </m:t>
              </m:r>
              <m:sSup>
                <m:sSupPr>
                  <m:ctrlPr>
                    <w:rPr>
                      <w:rFonts w:ascii="Cambria Math" w:cs="Times New Roman" w:hAnsi="Cambria Math"/>
                      <w:i/>
                      <w:sz w:val="24"/>
                      <w:szCs w:val="24"/>
                    </w:rPr>
                  </m:ctrlPr>
                </m:sSupPr>
                <m:e>
                  <m:r>
                    <w:rPr>
                      <w:rFonts w:ascii="Cambria Math" w:cs="Times New Roman" w:hAnsi="Cambria Math"/>
                      <w:sz w:val="24"/>
                      <w:szCs w:val="24"/>
                    </w:rPr>
                    <m:t>(</m:t>
                  </m:r>
                  <m:f>
                    <m:fPr>
                      <m:type m:val="skw"/>
                      <m:ctrlPr>
                        <w:rPr>
                          <w:rFonts w:ascii="Cambria Math" w:cs="Times New Roman" w:hAnsi="Cambria Math"/>
                          <w:i/>
                          <w:sz w:val="24"/>
                          <w:szCs w:val="24"/>
                        </w:rPr>
                      </m:ctrlPr>
                    </m:fPr>
                    <m:num>
                      <m:r>
                        <w:rPr>
                          <w:rFonts w:ascii="Cambria Math" w:cs="Times New Roman" w:hAnsi="Cambria Math"/>
                          <w:sz w:val="24"/>
                          <w:szCs w:val="24"/>
                        </w:rPr>
                        <m:t>δM</m:t>
                      </m:r>
                    </m:num>
                    <m:den>
                      <m:r>
                        <w:rPr>
                          <w:rFonts w:ascii="Cambria Math" w:cs="Times New Roman" w:hAnsi="Cambria Math"/>
                          <w:sz w:val="24"/>
                          <w:szCs w:val="24"/>
                        </w:rPr>
                        <m:t>δy)</m:t>
                      </m:r>
                    </m:den>
                  </m:f>
                </m:e>
                <m:sup>
                  <m:r>
                    <w:rPr>
                      <w:rFonts w:ascii="Cambria Math" w:cs="Times New Roman" w:hAnsi="Cambria Math"/>
                      <w:sz w:val="24"/>
                      <w:szCs w:val="24"/>
                    </w:rPr>
                    <m:t>2</m:t>
                  </m:r>
                </m:sup>
              </m:sSup>
              <m:r>
                <w:rPr>
                  <w:rFonts w:ascii="Cambria Math" w:cs="Times New Roman" w:hAnsi="Cambria Math"/>
                  <w:sz w:val="24"/>
                  <w:szCs w:val="24"/>
                </w:rPr>
                <m:t xml:space="preserve">+ </m:t>
              </m:r>
              <m:sSup>
                <m:sSupPr>
                  <m:ctrlPr>
                    <w:rPr>
                      <w:rFonts w:ascii="Cambria Math" w:cs="Times New Roman" w:hAnsi="Cambria Math"/>
                      <w:i/>
                      <w:sz w:val="24"/>
                      <w:szCs w:val="24"/>
                    </w:rPr>
                  </m:ctrlPr>
                </m:sSupPr>
                <m:e>
                  <m:r>
                    <w:rPr>
                      <w:rFonts w:ascii="Cambria Math" w:cs="Times New Roman" w:hAnsi="Cambria Math"/>
                      <w:sz w:val="24"/>
                      <w:szCs w:val="24"/>
                    </w:rPr>
                    <m:t>(</m:t>
                  </m:r>
                  <m:f>
                    <m:fPr>
                      <m:type m:val="skw"/>
                      <m:ctrlPr>
                        <w:rPr>
                          <w:rFonts w:ascii="Cambria Math" w:cs="Times New Roman" w:hAnsi="Cambria Math"/>
                          <w:i/>
                          <w:sz w:val="24"/>
                          <w:szCs w:val="24"/>
                        </w:rPr>
                      </m:ctrlPr>
                    </m:fPr>
                    <m:num>
                      <m:r>
                        <w:rPr>
                          <w:rFonts w:ascii="Cambria Math" w:cs="Times New Roman" w:hAnsi="Cambria Math"/>
                          <w:sz w:val="24"/>
                          <w:szCs w:val="24"/>
                        </w:rPr>
                        <m:t>δM</m:t>
                      </m:r>
                    </m:num>
                    <m:den>
                      <m:r>
                        <w:rPr>
                          <w:rFonts w:ascii="Cambria Math" w:cs="Times New Roman" w:hAnsi="Cambria Math"/>
                          <w:sz w:val="24"/>
                          <w:szCs w:val="24"/>
                        </w:rPr>
                        <m:t>δz)</m:t>
                      </m:r>
                    </m:den>
                  </m:f>
                </m:e>
                <m:sup>
                  <m:r>
                    <w:rPr>
                      <w:rFonts w:ascii="Cambria Math" w:cs="Times New Roman" w:hAnsi="Cambria Math"/>
                      <w:sz w:val="24"/>
                      <w:szCs w:val="24"/>
                    </w:rPr>
                    <m:t>2</m:t>
                  </m:r>
                </m:sup>
              </m:sSup>
            </m:e>
          </m:rad>
        </m:oMath>
      </m:oMathPara>
    </w:p>
    <w:p>
      <w:pPr>
        <w:pStyle w:val="style0"/>
        <w:rPr>
          <w:rFonts w:ascii="Times New Roman" w:cs="Times New Roman" w:hAnsi="Times New Roman"/>
          <w:sz w:val="24"/>
          <w:szCs w:val="24"/>
        </w:rPr>
      </w:pPr>
      <w:r>
        <w:rPr>
          <w:rFonts w:ascii="Times New Roman" w:cs="Times New Roman" w:hAnsi="Times New Roman"/>
          <w:sz w:val="24"/>
          <w:szCs w:val="24"/>
        </w:rPr>
        <w:t>where A (x, y) is the amplitude of the analytic signal at (x, y), and M is the observed magnetic field at (x, y)</w:t>
      </w:r>
      <w:r>
        <w:rPr>
          <w:rFonts w:ascii="Times New Roman" w:cs="Times New Roman" w:hAnsi="Times New Roman"/>
          <w:sz w:val="24"/>
          <w:szCs w:val="24"/>
        </w:rPr>
        <w:t>.</w:t>
      </w:r>
    </w:p>
    <w:p>
      <w:pPr>
        <w:pStyle w:val="style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Depth estimates</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w:t>
      </w:r>
      <w:r>
        <w:rPr>
          <w:rFonts w:ascii="Times New Roman" w:cs="Times New Roman" w:hAnsi="Times New Roman"/>
          <w:sz w:val="24"/>
          <w:szCs w:val="24"/>
        </w:rPr>
        <w:t>Allaby</w:t>
      </w:r>
      <w:r>
        <w:rPr>
          <w:rFonts w:ascii="Times New Roman" w:cs="Times New Roman" w:hAnsi="Times New Roman"/>
          <w:sz w:val="24"/>
          <w:szCs w:val="24"/>
        </w:rPr>
        <w:t xml:space="preserve"> and </w:t>
      </w:r>
      <w:r>
        <w:rPr>
          <w:rFonts w:ascii="Times New Roman" w:cs="Times New Roman" w:hAnsi="Times New Roman"/>
          <w:sz w:val="24"/>
          <w:szCs w:val="24"/>
        </w:rPr>
        <w:t>Allaby</w:t>
      </w:r>
      <w:r>
        <w:rPr>
          <w:rFonts w:ascii="Times New Roman" w:cs="Times New Roman" w:hAnsi="Times New Roman"/>
          <w:sz w:val="24"/>
          <w:szCs w:val="24"/>
        </w:rPr>
        <w:t>,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w:t>
      </w:r>
      <w:r>
        <w:rPr>
          <w:rFonts w:ascii="Times New Roman" w:cs="Times New Roman" w:hAnsi="Times New Roman"/>
          <w:sz w:val="24"/>
          <w:szCs w:val="24"/>
        </w:rPr>
        <w:t xml:space="preserve"> the results, in Chapter Four</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CHAPTER FOUR: RESULTS, DISCUSSIONS AND CONCLUSSION </w:t>
      </w:r>
    </w:p>
    <w:p>
      <w:pPr>
        <w:pStyle w:val="style0"/>
        <w:spacing w:lineRule="auto" w:line="480"/>
        <w:jc w:val="both"/>
        <w:rPr>
          <w:rFonts w:ascii="Cambria" w:cs="Times New Roman" w:hAnsi="Cambria"/>
          <w:b/>
          <w:sz w:val="24"/>
          <w:szCs w:val="24"/>
        </w:rPr>
      </w:pPr>
      <w:r>
        <w:rPr>
          <w:rFonts w:ascii="Cambria" w:cs="Times New Roman" w:hAnsi="Cambria"/>
          <w:b/>
          <w:sz w:val="24"/>
          <w:szCs w:val="24"/>
        </w:rPr>
        <w:t xml:space="preserve">Interpretation of the elevation map </w:t>
      </w:r>
    </w:p>
    <w:p>
      <w:pPr>
        <w:pStyle w:val="style0"/>
        <w:spacing w:lineRule="auto" w:line="480"/>
        <w:jc w:val="both"/>
        <w:rPr>
          <w:rFonts w:ascii="Cambria" w:cs="Times New Roman" w:hAnsi="Cambria"/>
          <w:bCs/>
          <w:sz w:val="24"/>
          <w:szCs w:val="24"/>
        </w:rPr>
      </w:pPr>
      <w:r>
        <w:rPr>
          <w:rFonts w:ascii="Cambria" w:cs="Times New Roman" w:hAnsi="Cambria"/>
          <w:bCs/>
          <w:sz w:val="24"/>
          <w:szCs w:val="24"/>
        </w:rPr>
        <w:t>The visual inspection of Figure 4.1 reveals the low to high elevation with values varying between</w:t>
      </w:r>
      <w:r>
        <w:rPr>
          <w:rFonts w:ascii="Cambria" w:cs="Times New Roman" w:hAnsi="Cambria"/>
          <w:bCs/>
          <w:sz w:val="24"/>
          <w:szCs w:val="24"/>
        </w:rPr>
        <w:t xml:space="preserve">&lt; </w:t>
      </w:r>
      <w:r>
        <w:rPr>
          <w:rFonts w:ascii="Cambria" w:cs="Times New Roman" w:hAnsi="Cambria"/>
          <w:bCs/>
          <w:sz w:val="24"/>
          <w:szCs w:val="24"/>
        </w:rPr>
        <w:t xml:space="preserve">322 </w:t>
      </w:r>
      <w:r>
        <w:rPr>
          <w:rFonts w:ascii="Cambria" w:cs="Times New Roman" w:hAnsi="Cambria"/>
          <w:bCs/>
          <w:sz w:val="24"/>
          <w:szCs w:val="24"/>
        </w:rPr>
        <w:t>to</w:t>
      </w:r>
      <w:r>
        <w:rPr>
          <w:rFonts w:ascii="Cambria" w:cs="Times New Roman" w:hAnsi="Cambria"/>
          <w:bCs/>
          <w:sz w:val="24"/>
          <w:szCs w:val="24"/>
        </w:rPr>
        <w:t xml:space="preserve"> </w:t>
      </w:r>
      <w:r>
        <w:rPr>
          <w:rFonts w:ascii="Cambria" w:cs="Times New Roman" w:hAnsi="Cambria"/>
          <w:bCs/>
          <w:sz w:val="24"/>
          <w:szCs w:val="24"/>
        </w:rPr>
        <w:t xml:space="preserve">&gt; </w:t>
      </w:r>
      <w:r>
        <w:rPr>
          <w:rFonts w:ascii="Cambria" w:cs="Times New Roman" w:hAnsi="Cambria"/>
          <w:bCs/>
          <w:sz w:val="24"/>
          <w:szCs w:val="24"/>
        </w:rPr>
        <w:t xml:space="preserve">362 m respectively. The elevation increases eastward and decreases northward, southward, and westward. The failed borehole lies in the </w:t>
      </w:r>
      <w:r>
        <w:rPr>
          <w:rFonts w:ascii="Cambria" w:cs="Times New Roman" w:hAnsi="Cambria"/>
          <w:bCs/>
          <w:sz w:val="24"/>
          <w:szCs w:val="24"/>
        </w:rPr>
        <w:t xml:space="preserve">relatively </w:t>
      </w:r>
      <w:r>
        <w:rPr>
          <w:rFonts w:ascii="Cambria" w:cs="Times New Roman" w:hAnsi="Cambria"/>
          <w:bCs/>
          <w:sz w:val="24"/>
          <w:szCs w:val="24"/>
        </w:rPr>
        <w:t xml:space="preserve">high elevation, while the corresponding good borehole </w:t>
      </w:r>
      <w:r>
        <w:rPr>
          <w:rFonts w:ascii="Cambria" w:cs="Times New Roman" w:hAnsi="Cambria"/>
          <w:bCs/>
          <w:sz w:val="24"/>
          <w:szCs w:val="24"/>
        </w:rPr>
        <w:t>is located at</w:t>
      </w:r>
      <w:r>
        <w:rPr>
          <w:rFonts w:ascii="Cambria" w:cs="Times New Roman" w:hAnsi="Cambria"/>
          <w:bCs/>
          <w:sz w:val="24"/>
          <w:szCs w:val="24"/>
        </w:rPr>
        <w:t xml:space="preserve"> the</w:t>
      </w:r>
      <w:r>
        <w:rPr>
          <w:rFonts w:ascii="Cambria" w:cs="Times New Roman" w:hAnsi="Cambria"/>
          <w:bCs/>
          <w:sz w:val="24"/>
          <w:szCs w:val="24"/>
        </w:rPr>
        <w:t xml:space="preserve"> edge of</w:t>
      </w:r>
      <w:r>
        <w:rPr>
          <w:rFonts w:ascii="Cambria" w:cs="Times New Roman" w:hAnsi="Cambria"/>
          <w:bCs/>
          <w:sz w:val="24"/>
          <w:szCs w:val="24"/>
        </w:rPr>
        <w:t xml:space="preserve"> high elevation.</w:t>
      </w:r>
      <w:r>
        <w:rPr>
          <w:rFonts w:ascii="Cambria" w:cs="Times New Roman" w:hAnsi="Cambria"/>
          <w:bCs/>
          <w:sz w:val="24"/>
          <w:szCs w:val="24"/>
        </w:rPr>
        <w:t xml:space="preserve"> Elevation sometimes influences groundwater availability as it affects water table. The</w:t>
      </w:r>
      <w:r>
        <w:rPr>
          <w:rFonts w:ascii="Cambria" w:cs="Times New Roman" w:hAnsi="Cambria"/>
          <w:bCs/>
          <w:sz w:val="24"/>
          <w:szCs w:val="24"/>
        </w:rPr>
        <w:t xml:space="preserve"> </w:t>
      </w:r>
      <w:r>
        <w:rPr>
          <w:rFonts w:ascii="Cambria" w:cs="Times New Roman" w:hAnsi="Cambria"/>
          <w:bCs/>
          <w:sz w:val="24"/>
          <w:szCs w:val="24"/>
        </w:rPr>
        <w:t xml:space="preserv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pPr>
        <w:pStyle w:val="style0"/>
        <w:jc w:val="both"/>
        <w:rPr>
          <w:rFonts w:ascii="Cambria" w:cs="Times New Roman" w:hAnsi="Cambria"/>
          <w:sz w:val="24"/>
          <w:szCs w:val="24"/>
        </w:rPr>
      </w:pPr>
      <w:r>
        <w:rPr>
          <w:rFonts w:ascii="Cambria" w:cs="Times New Roman" w:hAnsi="Cambria"/>
          <w:noProof/>
          <w:sz w:val="24"/>
          <w:szCs w:val="24"/>
        </w:rPr>
        <w:drawing>
          <wp:inline distL="0" distT="0" distB="0" distR="0">
            <wp:extent cx="5943600" cy="3034664"/>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5943600" cy="3034664"/>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Fig. 1</w:t>
      </w:r>
      <w:r>
        <w:rPr>
          <w:rFonts w:ascii="Times New Roman" w:cs="Times New Roman" w:hAnsi="Times New Roman"/>
          <w:sz w:val="24"/>
          <w:szCs w:val="24"/>
        </w:rPr>
        <w:t>: Elevation map of the study area.</w:t>
      </w:r>
    </w:p>
    <w:bookmarkStart w:id="1" w:name="_Hlk147151019"/>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total magnetic intensity and reduced to pole anomaly maps.</w:t>
      </w:r>
    </w:p>
    <w:bookmarkEnd w:id="1"/>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color w:val="000000"/>
          <w:sz w:val="24"/>
          <w:szCs w:val="24"/>
        </w:rPr>
        <w:t xml:space="preserve">The direct interpretation of total magnetic intensity (TMI) data at low latitude regions (close to equator) like herein, requires a thorough understanding of the local geology and careful consideration of the unique magnetic field. </w:t>
      </w:r>
      <w:r>
        <w:rPr>
          <w:rFonts w:ascii="Times New Roman" w:cs="Times New Roman" w:eastAsia="Times New Roman" w:hAnsi="Times New Roman"/>
          <w:sz w:val="24"/>
          <w:szCs w:val="24"/>
        </w:rPr>
        <w:t xml:space="preserve">The magnetic field lines are approximately parallel to the Earth's surface, resulting to a trivial magnetic inclination angle (Beard and Goitom, 2000). </w:t>
      </w:r>
      <w:r>
        <w:rPr>
          <w:rFonts w:ascii="Times New Roman" w:cs="Times New Roman" w:hAnsi="Times New Roman"/>
          <w:color w:val="000000"/>
          <w:sz w:val="24"/>
          <w:szCs w:val="24"/>
        </w:rPr>
        <w:t xml:space="preserve">In a bid to mitigate these challenges and enhance the interpretation of the TMI anomaly data, the reduction to pole (RTP) and total gradient amplitude (TGA) techniques were employed to cautiously position the anomalies directly above their causative sources. </w:t>
      </w:r>
    </w:p>
    <w:p>
      <w:pPr>
        <w:pStyle w:val="style0"/>
        <w:jc w:val="both"/>
        <w:rPr>
          <w:rFonts w:ascii="Cambria" w:cs="Times New Roman" w:hAnsi="Cambria"/>
          <w:sz w:val="24"/>
          <w:szCs w:val="24"/>
        </w:rPr>
      </w:pPr>
      <w:r>
        <w:rPr>
          <w:rFonts w:ascii="Cambria" w:cs="Times New Roman" w:hAnsi="Cambria"/>
          <w:noProof/>
          <w:sz w:val="24"/>
          <w:szCs w:val="24"/>
        </w:rPr>
        <w:drawing>
          <wp:inline distL="0" distT="0" distB="0" distR="0">
            <wp:extent cx="5943600" cy="3092450"/>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5943600" cy="309245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Fig. 2</w:t>
      </w:r>
      <w:r>
        <w:rPr>
          <w:rFonts w:ascii="Times New Roman" w:cs="Times New Roman" w:hAnsi="Times New Roman"/>
          <w:sz w:val="24"/>
          <w:szCs w:val="24"/>
        </w:rPr>
        <w:t>: The total magnetic intensity anomaly data of the survey area.</w:t>
      </w:r>
    </w:p>
    <w:p>
      <w:pPr>
        <w:pStyle w:val="style0"/>
        <w:autoSpaceDE w:val="false"/>
        <w:autoSpaceDN w:val="false"/>
        <w:adjustRightInd w:val="false"/>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regions of high TMI anomalies (figure 2) correspond to low RTP anomalies (Figure 3) and vice versa. The locations of low to high RTP anomalies as shown in Figure 3, vary from &lt; -289 to &gt;325 </w:t>
      </w:r>
      <w:r>
        <w:rPr>
          <w:rFonts w:ascii="Times New Roman" w:cs="Times New Roman" w:hAnsi="Times New Roman"/>
          <w:color w:val="000000"/>
          <w:sz w:val="24"/>
          <w:szCs w:val="24"/>
        </w:rPr>
        <w:t>nT</w:t>
      </w:r>
      <w:r>
        <w:rPr>
          <w:rFonts w:ascii="Times New Roman" w:cs="Times New Roman" w:hAnsi="Times New Roman"/>
          <w:color w:val="000000"/>
          <w:sz w:val="24"/>
          <w:szCs w:val="24"/>
        </w:rPr>
        <w:t xml:space="preserve">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w:t>
      </w:r>
      <w:r>
        <w:rPr>
          <w:rFonts w:ascii="Times New Roman" w:cs="Times New Roman" w:hAnsi="Times New Roman"/>
          <w:color w:val="000000"/>
          <w:sz w:val="24"/>
          <w:szCs w:val="24"/>
        </w:rPr>
        <w:t>necessitate the need to subject the RTP anomaly data (Figure 3) to shallow features enhancement filters like horizontal gradient magnitude (HGM).</w:t>
      </w:r>
    </w:p>
    <w:p>
      <w:pPr>
        <w:pStyle w:val="style0"/>
        <w:autoSpaceDE w:val="false"/>
        <w:autoSpaceDN w:val="false"/>
        <w:adjustRightInd w:val="false"/>
        <w:spacing w:after="0" w:lineRule="auto" w:line="480"/>
        <w:jc w:val="both"/>
        <w:rPr>
          <w:rFonts w:ascii="Cambria" w:cs="Times New Roman" w:hAnsi="Cambria"/>
          <w:color w:val="000000"/>
          <w:sz w:val="24"/>
          <w:szCs w:val="24"/>
        </w:rPr>
      </w:pPr>
    </w:p>
    <w:p>
      <w:pPr>
        <w:pStyle w:val="style0"/>
        <w:spacing w:after="0"/>
        <w:jc w:val="both"/>
        <w:rPr>
          <w:rFonts w:ascii="Cambria" w:cs="Times New Roman" w:hAnsi="Cambria"/>
          <w:sz w:val="24"/>
          <w:szCs w:val="24"/>
        </w:rPr>
      </w:pPr>
      <w:r>
        <w:rPr>
          <w:rFonts w:ascii="Cambria" w:cs="Times New Roman" w:hAnsi="Cambria"/>
          <w:noProof/>
          <w:sz w:val="24"/>
          <w:szCs w:val="24"/>
        </w:rPr>
        <w:drawing>
          <wp:inline distL="0" distT="0" distB="0" distR="0">
            <wp:extent cx="5943600" cy="2982595"/>
            <wp:effectExtent l="0" t="0" r="0" b="8255"/>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5943600" cy="2982595"/>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Fig. 3</w:t>
      </w:r>
      <w:r>
        <w:rPr>
          <w:rFonts w:ascii="Times New Roman" w:cs="Times New Roman" w:hAnsi="Times New Roman"/>
          <w:sz w:val="24"/>
          <w:szCs w:val="24"/>
        </w:rPr>
        <w:t>: The reduced-to-pole total magnetic intensity anomaly data of the survey area.</w:t>
      </w:r>
    </w:p>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RTP horizontal gradient amplitude map</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w:t>
      </w:r>
      <w:r>
        <w:rPr>
          <w:rFonts w:ascii="Times New Roman" w:cs="Times New Roman" w:hAnsi="Times New Roman"/>
          <w:sz w:val="24"/>
          <w:szCs w:val="24"/>
        </w:rPr>
        <w:t>nT</w:t>
      </w:r>
      <w:r>
        <w:rPr>
          <w:rFonts w:ascii="Times New Roman" w:cs="Times New Roman" w:hAnsi="Times New Roman"/>
          <w:sz w:val="24"/>
          <w:szCs w:val="24"/>
        </w:rPr>
        <w:t xml:space="preserve">/m,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w:t>
      </w:r>
      <w:r>
        <w:rPr>
          <w:rFonts w:ascii="Times New Roman" w:cs="Times New Roman" w:hAnsi="Times New Roman"/>
          <w:sz w:val="24"/>
          <w:szCs w:val="24"/>
        </w:rPr>
        <w:t xml:space="preserve">borehole falls within the low HGA anomaly, depicting less magnetic materials of impermeable origin, thereby limiting aquifer’s connectivity or groundwater recharge.  </w:t>
      </w:r>
    </w:p>
    <w:p>
      <w:pPr>
        <w:pStyle w:val="style0"/>
        <w:jc w:val="both"/>
        <w:rPr>
          <w:rFonts w:ascii="Times New Roman" w:cs="Times New Roman" w:hAnsi="Times New Roman"/>
          <w:sz w:val="24"/>
          <w:szCs w:val="24"/>
        </w:rPr>
      </w:pPr>
    </w:p>
    <w:p>
      <w:pPr>
        <w:pStyle w:val="style0"/>
        <w:spacing w:after="0"/>
        <w:jc w:val="both"/>
        <w:rPr>
          <w:rFonts w:ascii="Cambria" w:cs="Times New Roman" w:hAnsi="Cambria"/>
          <w:sz w:val="24"/>
          <w:szCs w:val="24"/>
        </w:rPr>
      </w:pPr>
      <w:r>
        <w:rPr>
          <w:rFonts w:ascii="Cambria" w:cs="Times New Roman" w:hAnsi="Cambria"/>
          <w:noProof/>
          <w:sz w:val="24"/>
          <w:szCs w:val="24"/>
        </w:rPr>
        <w:drawing>
          <wp:inline distL="0" distT="0" distB="0" distR="0">
            <wp:extent cx="5943600" cy="3015615"/>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5943600" cy="3015615"/>
                    </a:xfrm>
                    <a:prstGeom prst="rect"/>
                  </pic:spPr>
                </pic:pic>
              </a:graphicData>
            </a:graphic>
          </wp:inline>
        </w:drawing>
      </w:r>
    </w:p>
    <w:p>
      <w:pPr>
        <w:pStyle w:val="style0"/>
        <w:jc w:val="both"/>
        <w:rPr>
          <w:rFonts w:ascii="Times New Roman" w:cs="Times New Roman" w:hAnsi="Times New Roman"/>
          <w:sz w:val="24"/>
          <w:szCs w:val="24"/>
        </w:rPr>
      </w:pPr>
      <w:r>
        <w:rPr>
          <w:rFonts w:ascii="Times New Roman" w:cs="Times New Roman" w:hAnsi="Times New Roman"/>
          <w:b/>
          <w:sz w:val="24"/>
          <w:szCs w:val="24"/>
        </w:rPr>
        <w:t>Fig. 4</w:t>
      </w:r>
      <w:r>
        <w:rPr>
          <w:rFonts w:ascii="Times New Roman" w:cs="Times New Roman" w:hAnsi="Times New Roman"/>
          <w:sz w:val="24"/>
          <w:szCs w:val="24"/>
        </w:rPr>
        <w:t>: The horizontal gradient amplitude map produced from the reduced-to-pole total magnetic intensity anomaly data of the survey area.</w:t>
      </w:r>
    </w:p>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TMI total gradient amplitude (TGA) map</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w:t>
      </w:r>
      <w:r>
        <w:rPr>
          <w:rFonts w:ascii="Times New Roman" w:cs="Times New Roman" w:hAnsi="Times New Roman"/>
          <w:sz w:val="24"/>
          <w:szCs w:val="24"/>
        </w:rPr>
        <w:t>nT</w:t>
      </w:r>
      <w:r>
        <w:rPr>
          <w:rFonts w:ascii="Times New Roman" w:cs="Times New Roman" w:hAnsi="Times New Roman"/>
          <w:sz w:val="24"/>
          <w:szCs w:val="24"/>
        </w:rPr>
        <w:t xml:space="preserve">/m.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w:t>
      </w:r>
      <w:r>
        <w:rPr>
          <w:rFonts w:ascii="Times New Roman" w:cs="Times New Roman" w:hAnsi="Times New Roman"/>
          <w:sz w:val="24"/>
          <w:szCs w:val="24"/>
        </w:rPr>
        <w:t xml:space="preserve">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pPr>
        <w:pStyle w:val="style0"/>
        <w:jc w:val="both"/>
        <w:rPr>
          <w:rFonts w:ascii="Cambria" w:cs="Times New Roman" w:hAnsi="Cambria"/>
          <w:sz w:val="24"/>
          <w:szCs w:val="24"/>
        </w:rPr>
      </w:pPr>
      <w:r>
        <w:rPr>
          <w:rFonts w:ascii="Cambria" w:cs="Times New Roman" w:hAnsi="Cambria"/>
          <w:noProof/>
          <w:sz w:val="24"/>
          <w:szCs w:val="24"/>
        </w:rPr>
        <w:drawing>
          <wp:inline distL="0" distT="0" distB="0" distR="0">
            <wp:extent cx="5943600" cy="3035299"/>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3035299"/>
                    </a:xfrm>
                    <a:prstGeom prst="rect"/>
                  </pic:spPr>
                </pic:pic>
              </a:graphicData>
            </a:graphic>
          </wp:inline>
        </w:drawing>
      </w:r>
    </w:p>
    <w:p>
      <w:pPr>
        <w:pStyle w:val="style0"/>
        <w:jc w:val="both"/>
        <w:rPr>
          <w:rFonts w:ascii="Times New Roman" w:cs="Times New Roman" w:hAnsi="Times New Roman"/>
          <w:sz w:val="24"/>
          <w:szCs w:val="24"/>
        </w:rPr>
      </w:pPr>
      <w:r>
        <w:rPr>
          <w:rFonts w:ascii="Times New Roman" w:cs="Times New Roman" w:hAnsi="Times New Roman"/>
          <w:b/>
          <w:sz w:val="24"/>
          <w:szCs w:val="24"/>
        </w:rPr>
        <w:t>Fig. 5</w:t>
      </w:r>
      <w:r>
        <w:rPr>
          <w:rFonts w:ascii="Times New Roman" w:cs="Times New Roman" w:hAnsi="Times New Roman"/>
          <w:sz w:val="24"/>
          <w:szCs w:val="24"/>
        </w:rPr>
        <w:t>: The total gradient amplitude map produced from the total magnetic intensity anomaly data of the survey area.</w:t>
      </w:r>
    </w:p>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local wavenumber (LW) map</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w:t>
      </w:r>
      <w:r>
        <w:rPr>
          <w:rFonts w:ascii="Times New Roman" w:cs="Times New Roman" w:hAnsi="Times New Roman"/>
          <w:sz w:val="24"/>
          <w:szCs w:val="24"/>
        </w:rPr>
        <w:t xml:space="preserve">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pPr>
        <w:pStyle w:val="style0"/>
        <w:jc w:val="both"/>
        <w:rPr>
          <w:rFonts w:ascii="Cambria" w:cs="Times New Roman" w:hAnsi="Cambria"/>
          <w:sz w:val="24"/>
          <w:szCs w:val="24"/>
        </w:rPr>
      </w:pPr>
      <w:r>
        <w:rPr>
          <w:rFonts w:ascii="Cambria" w:cs="Times New Roman" w:hAnsi="Cambria"/>
          <w:noProof/>
          <w:sz w:val="24"/>
          <w:szCs w:val="24"/>
        </w:rPr>
        <mc:AlternateContent>
          <mc:Choice Requires="wps">
            <w:drawing>
              <wp:anchor distT="0" distB="0" distL="0" distR="0" simplePos="false" relativeHeight="14" behindDoc="false" locked="false" layoutInCell="true" allowOverlap="true">
                <wp:simplePos x="0" y="0"/>
                <wp:positionH relativeFrom="column">
                  <wp:posOffset>4747260</wp:posOffset>
                </wp:positionH>
                <wp:positionV relativeFrom="paragraph">
                  <wp:posOffset>1958340</wp:posOffset>
                </wp:positionV>
                <wp:extent cx="22859" cy="274320"/>
                <wp:effectExtent l="0" t="0" r="34290" b="11430"/>
                <wp:wrapNone/>
                <wp:docPr id="1048"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2859" cy="27432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8" filled="f" stroked="t" from="373.8pt,154.2pt" to="375.5999pt,175.8pt" style="position:absolute;z-index:14;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3" behindDoc="false" locked="false" layoutInCell="true" allowOverlap="true">
                <wp:simplePos x="0" y="0"/>
                <wp:positionH relativeFrom="column">
                  <wp:posOffset>4602480</wp:posOffset>
                </wp:positionH>
                <wp:positionV relativeFrom="paragraph">
                  <wp:posOffset>1889760</wp:posOffset>
                </wp:positionV>
                <wp:extent cx="30479" cy="91438"/>
                <wp:effectExtent l="0" t="0" r="26669" b="22860"/>
                <wp:wrapNone/>
                <wp:docPr id="1049"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0479" cy="91438"/>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9" filled="f" stroked="t" from="362.4pt,148.79999pt" to="364.79993pt,155.99991pt" style="position:absolute;z-index:13;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2" behindDoc="false" locked="false" layoutInCell="true" allowOverlap="true">
                <wp:simplePos x="0" y="0"/>
                <wp:positionH relativeFrom="column">
                  <wp:posOffset>4602480</wp:posOffset>
                </wp:positionH>
                <wp:positionV relativeFrom="paragraph">
                  <wp:posOffset>1958340</wp:posOffset>
                </wp:positionV>
                <wp:extent cx="45720" cy="266700"/>
                <wp:effectExtent l="0" t="0" r="30480" b="19050"/>
                <wp:wrapNone/>
                <wp:docPr id="1050"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flipV="1">
                          <a:off x="0" y="0"/>
                          <a:ext cx="45720" cy="26670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0" filled="f" stroked="t" from="362.4pt,154.2pt" to="366.0pt,175.2pt" style="position:absolute;z-index:12;mso-position-horizontal-relative:text;mso-position-vertical-relative:text;mso-width-percent:0;mso-height-percent:0;mso-width-relative:margin;mso-height-relative:margin;mso-wrap-distance-left:0.0pt;mso-wrap-distance-right:0.0pt;visibility:visible;flip:x 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2" behindDoc="false" locked="false" layoutInCell="true" allowOverlap="true">
                <wp:simplePos x="0" y="0"/>
                <wp:positionH relativeFrom="column">
                  <wp:posOffset>4678680</wp:posOffset>
                </wp:positionH>
                <wp:positionV relativeFrom="paragraph">
                  <wp:posOffset>1455420</wp:posOffset>
                </wp:positionV>
                <wp:extent cx="144779" cy="251460"/>
                <wp:effectExtent l="0" t="0" r="26669" b="15240"/>
                <wp:wrapNone/>
                <wp:docPr id="1051"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44779" cy="25146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1" filled="f" stroked="t" from="368.40002pt,114.600006pt" to="379.79996pt,134.40001pt" style="position:absolute;z-index:2;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1" behindDoc="false" locked="false" layoutInCell="true" allowOverlap="true">
                <wp:simplePos x="0" y="0"/>
                <wp:positionH relativeFrom="column">
                  <wp:posOffset>4823460</wp:posOffset>
                </wp:positionH>
                <wp:positionV relativeFrom="paragraph">
                  <wp:posOffset>1356360</wp:posOffset>
                </wp:positionV>
                <wp:extent cx="129540" cy="121919"/>
                <wp:effectExtent l="0" t="0" r="22860" b="30480"/>
                <wp:wrapNone/>
                <wp:docPr id="1052"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29540" cy="12191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2" filled="f" stroked="t" from="379.80002pt,106.8pt" to="390.00003pt,116.399925pt" style="position:absolute;z-index:11;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0" behindDoc="false" locked="false" layoutInCell="true" allowOverlap="true">
                <wp:simplePos x="0" y="0"/>
                <wp:positionH relativeFrom="column">
                  <wp:posOffset>4930140</wp:posOffset>
                </wp:positionH>
                <wp:positionV relativeFrom="paragraph">
                  <wp:posOffset>1211580</wp:posOffset>
                </wp:positionV>
                <wp:extent cx="274320" cy="121919"/>
                <wp:effectExtent l="0" t="0" r="30480" b="30480"/>
                <wp:wrapNone/>
                <wp:docPr id="1053"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74320" cy="12191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3" filled="f" stroked="t" from="388.2pt,95.4pt" to="409.80002pt,104.99992pt" style="position:absolute;z-index:10;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9" behindDoc="false" locked="false" layoutInCell="true" allowOverlap="true">
                <wp:simplePos x="0" y="0"/>
                <wp:positionH relativeFrom="column">
                  <wp:posOffset>5189220</wp:posOffset>
                </wp:positionH>
                <wp:positionV relativeFrom="paragraph">
                  <wp:posOffset>1112520</wp:posOffset>
                </wp:positionV>
                <wp:extent cx="175259" cy="144780"/>
                <wp:effectExtent l="0" t="0" r="34290" b="26669"/>
                <wp:wrapNone/>
                <wp:docPr id="1054"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75259" cy="14478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4" filled="f" stroked="t" from="408.6pt,87.600006pt" to="422.39993pt,99.00001pt" style="position:absolute;z-index:9;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8" behindDoc="false" locked="false" layoutInCell="true" allowOverlap="true">
                <wp:simplePos x="0" y="0"/>
                <wp:positionH relativeFrom="column">
                  <wp:posOffset>5379720</wp:posOffset>
                </wp:positionH>
                <wp:positionV relativeFrom="paragraph">
                  <wp:posOffset>929640</wp:posOffset>
                </wp:positionV>
                <wp:extent cx="144779" cy="167639"/>
                <wp:effectExtent l="0" t="0" r="26669" b="22860"/>
                <wp:wrapNone/>
                <wp:docPr id="1055"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44779" cy="16763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5" filled="f" stroked="t" from="423.59998pt,73.2pt" to="434.9999pt,86.39992pt" style="position:absolute;z-index:8;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7" behindDoc="false" locked="false" layoutInCell="true" allowOverlap="true">
                <wp:simplePos x="0" y="0"/>
                <wp:positionH relativeFrom="column">
                  <wp:posOffset>5311140</wp:posOffset>
                </wp:positionH>
                <wp:positionV relativeFrom="paragraph">
                  <wp:posOffset>853438</wp:posOffset>
                </wp:positionV>
                <wp:extent cx="144779" cy="167639"/>
                <wp:effectExtent l="0" t="0" r="26669" b="22860"/>
                <wp:wrapNone/>
                <wp:docPr id="1056"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44779" cy="16763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6" filled="f" stroked="t" from="418.2pt,67.19992pt" to="429.59995pt,80.39984pt" style="position:absolute;z-index:7;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6" behindDoc="false" locked="false" layoutInCell="true" allowOverlap="true">
                <wp:simplePos x="0" y="0"/>
                <wp:positionH relativeFrom="column">
                  <wp:posOffset>5067300</wp:posOffset>
                </wp:positionH>
                <wp:positionV relativeFrom="paragraph">
                  <wp:posOffset>1021080</wp:posOffset>
                </wp:positionV>
                <wp:extent cx="274320" cy="121919"/>
                <wp:effectExtent l="0" t="0" r="30480" b="30480"/>
                <wp:wrapNone/>
                <wp:docPr id="1057"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74320" cy="12191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7" filled="f" stroked="t" from="399.0pt,80.4pt" to="420.6pt,89.99992pt" style="position:absolute;z-index:6;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4" behindDoc="false" locked="false" layoutInCell="true" allowOverlap="true">
                <wp:simplePos x="0" y="0"/>
                <wp:positionH relativeFrom="column">
                  <wp:posOffset>4831080</wp:posOffset>
                </wp:positionH>
                <wp:positionV relativeFrom="paragraph">
                  <wp:posOffset>1127760</wp:posOffset>
                </wp:positionV>
                <wp:extent cx="259079" cy="182880"/>
                <wp:effectExtent l="0" t="0" r="26669" b="26669"/>
                <wp:wrapNone/>
                <wp:docPr id="1058"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59079" cy="18288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8" filled="f" stroked="t" from="380.4pt,88.8pt" to="400.79993pt,103.200005pt" style="position:absolute;z-index:4;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3" behindDoc="false" locked="false" layoutInCell="true" allowOverlap="true">
                <wp:simplePos x="0" y="0"/>
                <wp:positionH relativeFrom="column">
                  <wp:posOffset>4770120</wp:posOffset>
                </wp:positionH>
                <wp:positionV relativeFrom="paragraph">
                  <wp:posOffset>1295400</wp:posOffset>
                </wp:positionV>
                <wp:extent cx="53340" cy="129538"/>
                <wp:effectExtent l="0" t="0" r="22860" b="22860"/>
                <wp:wrapNone/>
                <wp:docPr id="1059"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3340" cy="129538"/>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9" filled="f" stroked="t" from="375.6pt,102.0pt" to="379.80002pt,112.19992pt" style="position:absolute;z-index:3;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5" behindDoc="false" locked="false" layoutInCell="true" allowOverlap="true">
                <wp:simplePos x="0" y="0"/>
                <wp:positionH relativeFrom="column">
                  <wp:posOffset>4572000</wp:posOffset>
                </wp:positionH>
                <wp:positionV relativeFrom="paragraph">
                  <wp:posOffset>1432560</wp:posOffset>
                </wp:positionV>
                <wp:extent cx="190500" cy="228600"/>
                <wp:effectExtent l="0" t="0" r="19050" b="19050"/>
                <wp:wrapNone/>
                <wp:docPr id="1060"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0500" cy="22860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0" filled="f" stroked="t" from="360.0pt,112.8pt" to="375.0pt,130.8pt" style="position:absolute;z-index:5;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w:drawing>
          <wp:inline distL="0" distT="0" distB="0" distR="0">
            <wp:extent cx="5943600" cy="3035299"/>
            <wp:effectExtent l="0" t="0" r="0" b="0"/>
            <wp:docPr id="106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600" cy="3035299"/>
                    </a:xfrm>
                    <a:prstGeom prst="rect"/>
                  </pic:spPr>
                </pic:pic>
              </a:graphicData>
            </a:graphic>
          </wp:inline>
        </w:drawing>
      </w:r>
    </w:p>
    <w:p>
      <w:pPr>
        <w:pStyle w:val="style0"/>
        <w:jc w:val="both"/>
        <w:rPr>
          <w:rFonts w:ascii="Times New Roman" w:cs="Times New Roman" w:hAnsi="Times New Roman"/>
          <w:sz w:val="24"/>
          <w:szCs w:val="24"/>
        </w:rPr>
      </w:pPr>
      <w:r>
        <w:rPr>
          <w:rFonts w:ascii="Times New Roman" w:cs="Times New Roman" w:hAnsi="Times New Roman"/>
          <w:b/>
          <w:sz w:val="24"/>
          <w:szCs w:val="24"/>
        </w:rPr>
        <w:t>Fig. 6</w:t>
      </w:r>
      <w:r>
        <w:rPr>
          <w:rFonts w:ascii="Times New Roman" w:cs="Times New Roman" w:hAnsi="Times New Roman"/>
          <w:sz w:val="24"/>
          <w:szCs w:val="24"/>
        </w:rPr>
        <w:t>: The local wavenumber map produced from the total magnetic intensity anomaly data of the survey area.</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Conclusion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after="0" w:lineRule="auto" w:line="480"/>
        <w:jc w:val="both"/>
        <w:rPr>
          <w:rFonts w:ascii="Cambria" w:cs="Times New Roman" w:hAnsi="Cambria"/>
          <w:b/>
          <w:bCs/>
          <w:sz w:val="24"/>
          <w:szCs w:val="24"/>
        </w:rPr>
      </w:pPr>
      <w:r>
        <w:rPr>
          <w:rFonts w:ascii="Cambria" w:cs="Times New Roman" w:hAnsi="Cambria"/>
          <w:b/>
          <w:bCs/>
          <w:sz w:val="24"/>
          <w:szCs w:val="24"/>
        </w:rPr>
        <w:t>References</w:t>
      </w:r>
    </w:p>
    <w:bookmarkStart w:id="2" w:name="_Hlk133059605"/>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Ajadi, B. S., </w:t>
      </w:r>
      <w:r>
        <w:rPr>
          <w:rFonts w:ascii="Cambria" w:cs="Times New Roman" w:hAnsi="Cambria"/>
          <w:sz w:val="24"/>
          <w:szCs w:val="24"/>
        </w:rPr>
        <w:t>Adaramola</w:t>
      </w:r>
      <w:r>
        <w:rPr>
          <w:rFonts w:ascii="Cambria" w:cs="Times New Roman" w:hAnsi="Cambria"/>
          <w:sz w:val="24"/>
          <w:szCs w:val="24"/>
        </w:rPr>
        <w:t>, M. A., Adeniyi, A. and Abubakar, M. I. (2016). Effect of effluents</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discharge on public health in Ilorin Metropolis, Nigeria. Ethiopian Journal of Environmental Studies &amp; Management 9(4): Pp. 389 – 404.</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Amarachi, R. A. and </w:t>
      </w:r>
      <w:r>
        <w:rPr>
          <w:rFonts w:ascii="Cambria" w:cs="Times New Roman" w:hAnsi="Cambria"/>
          <w:sz w:val="24"/>
          <w:szCs w:val="24"/>
        </w:rPr>
        <w:t>Ako</w:t>
      </w:r>
      <w:r>
        <w:rPr>
          <w:rFonts w:ascii="Cambria" w:cs="Times New Roman" w:hAnsi="Cambria"/>
          <w:sz w:val="24"/>
          <w:szCs w:val="24"/>
        </w:rPr>
        <w:t>, B. D (2012</w:t>
      </w:r>
      <w:bookmarkEnd w:id="2"/>
      <w:r>
        <w:rPr>
          <w:rFonts w:ascii="Cambria" w:cs="Times New Roman" w:hAnsi="Cambria"/>
          <w:sz w:val="24"/>
          <w:szCs w:val="24"/>
        </w:rPr>
        <w:t>). Groundwater Investigation Using Combined</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Geophysical Methods. Adapted from extended abstract prepared in conjunction with poster presentation at AAPG Annual Convention and Exhibition, Long Beach, California, AAPG©2012.</w:t>
      </w:r>
    </w:p>
    <w:p>
      <w:pPr>
        <w:pStyle w:val="style0"/>
        <w:spacing w:after="0" w:lineRule="auto" w:line="480"/>
        <w:jc w:val="both"/>
        <w:rPr>
          <w:rFonts w:ascii="Cambria" w:cs="Times New Roman" w:hAnsi="Cambria"/>
          <w:sz w:val="24"/>
          <w:szCs w:val="24"/>
        </w:rPr>
      </w:pPr>
      <w:r>
        <w:rPr>
          <w:rFonts w:ascii="Cambria" w:cs="Times New Roman" w:hAnsi="Cambria"/>
          <w:sz w:val="24"/>
          <w:szCs w:val="24"/>
        </w:rPr>
        <w:t>Ariyo, S.O., and A.A. Banjo, 2008, Application of electrical resistivity method for groundwater</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exploration in a sedimentary terrain: A case study of Ilara-Remo, Southwest Nigeria: Continental Journal of Earth Sciences, v. 3, p 53 – 58.</w:t>
      </w:r>
    </w:p>
    <w:p>
      <w:pPr>
        <w:pStyle w:val="style0"/>
        <w:spacing w:after="0" w:lineRule="auto" w:line="480"/>
        <w:jc w:val="both"/>
        <w:rPr>
          <w:rFonts w:ascii="Cambria" w:cs="Times New Roman" w:hAnsi="Cambria"/>
          <w:sz w:val="24"/>
          <w:szCs w:val="24"/>
        </w:rPr>
      </w:pPr>
      <w:r>
        <w:rPr>
          <w:rFonts w:ascii="Cambria" w:cs="Times New Roman" w:hAnsi="Cambria"/>
          <w:sz w:val="24"/>
          <w:szCs w:val="24"/>
        </w:rPr>
        <w:t>Carruthers, R.M., 1985, Review of geophysical techniques for groundwater exploration in</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crystalline basement terrain: British Geological Survey, Regional Geophysics Research Group, Report 85/3, Pp.30.</w:t>
      </w:r>
    </w:p>
    <w:p>
      <w:pPr>
        <w:pStyle w:val="style0"/>
        <w:spacing w:after="0" w:lineRule="auto" w:line="480"/>
        <w:jc w:val="both"/>
        <w:rPr>
          <w:rFonts w:ascii="Cambria" w:cs="Times New Roman" w:hAnsi="Cambria"/>
          <w:sz w:val="24"/>
          <w:szCs w:val="24"/>
        </w:rPr>
      </w:pPr>
      <w:r>
        <w:rPr>
          <w:rFonts w:ascii="Cambria" w:cs="Times New Roman" w:hAnsi="Cambria"/>
          <w:sz w:val="24"/>
          <w:szCs w:val="24"/>
        </w:rPr>
        <w:t>Chinwuko</w:t>
      </w:r>
      <w:r>
        <w:rPr>
          <w:rFonts w:ascii="Cambria" w:cs="Times New Roman" w:hAnsi="Cambria"/>
          <w:sz w:val="24"/>
          <w:szCs w:val="24"/>
        </w:rPr>
        <w:t xml:space="preserve">, A. I., Usman, A. O., </w:t>
      </w:r>
      <w:r>
        <w:rPr>
          <w:rFonts w:ascii="Cambria" w:cs="Times New Roman" w:hAnsi="Cambria"/>
          <w:sz w:val="24"/>
          <w:szCs w:val="24"/>
        </w:rPr>
        <w:t>Onwuemesi</w:t>
      </w:r>
      <w:r>
        <w:rPr>
          <w:rFonts w:ascii="Cambria" w:cs="Times New Roman" w:hAnsi="Cambria"/>
          <w:sz w:val="24"/>
          <w:szCs w:val="24"/>
        </w:rPr>
        <w:t xml:space="preserve">, A. G, </w:t>
      </w:r>
      <w:r>
        <w:rPr>
          <w:rFonts w:ascii="Cambria" w:cs="Times New Roman" w:hAnsi="Cambria"/>
          <w:sz w:val="24"/>
          <w:szCs w:val="24"/>
        </w:rPr>
        <w:t>Anakwuba</w:t>
      </w:r>
      <w:r>
        <w:rPr>
          <w:rFonts w:ascii="Cambria" w:cs="Times New Roman" w:hAnsi="Cambria"/>
          <w:sz w:val="24"/>
          <w:szCs w:val="24"/>
        </w:rPr>
        <w:t>, E. K., Okonkwo, C. C. and</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Ikumbur</w:t>
      </w:r>
      <w:r>
        <w:rPr>
          <w:rFonts w:ascii="Cambria" w:cs="Times New Roman" w:hAnsi="Cambria"/>
          <w:sz w:val="24"/>
          <w:szCs w:val="24"/>
        </w:rPr>
        <w:t>, E. B., (2014); Interpretations of aeromagnetic data over Lokoja and environs, Nigeria; International Journal of Advanced Geosciences, 2 (2): Pp.66-71.</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Choudhury, K., Saha, D. K. and </w:t>
      </w:r>
      <w:r>
        <w:rPr>
          <w:rFonts w:ascii="Cambria" w:cs="Times New Roman" w:hAnsi="Cambria"/>
          <w:sz w:val="24"/>
          <w:szCs w:val="24"/>
        </w:rPr>
        <w:t>Chakraborky</w:t>
      </w:r>
      <w:r>
        <w:rPr>
          <w:rFonts w:ascii="Cambria" w:cs="Times New Roman" w:hAnsi="Cambria"/>
          <w:sz w:val="24"/>
          <w:szCs w:val="24"/>
        </w:rPr>
        <w:t>, P. (2001). Geophysical study for saline water</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 xml:space="preserve">intrusion in </w:t>
      </w:r>
      <w:r>
        <w:rPr>
          <w:rFonts w:ascii="Cambria" w:cs="Times New Roman" w:hAnsi="Cambria"/>
          <w:sz w:val="24"/>
          <w:szCs w:val="24"/>
        </w:rPr>
        <w:t>acoastal</w:t>
      </w:r>
      <w:r>
        <w:rPr>
          <w:rFonts w:ascii="Cambria" w:cs="Times New Roman" w:hAnsi="Cambria"/>
          <w:sz w:val="24"/>
          <w:szCs w:val="24"/>
        </w:rPr>
        <w:t xml:space="preserve"> alluvial terrain. J. Appl. </w:t>
      </w:r>
      <w:r>
        <w:rPr>
          <w:rFonts w:ascii="Cambria" w:cs="Times New Roman" w:hAnsi="Cambria"/>
          <w:sz w:val="24"/>
          <w:szCs w:val="24"/>
        </w:rPr>
        <w:t>Geophys</w:t>
      </w:r>
      <w:r>
        <w:rPr>
          <w:rFonts w:ascii="Cambria" w:cs="Times New Roman" w:hAnsi="Cambria"/>
          <w:sz w:val="24"/>
          <w:szCs w:val="24"/>
        </w:rPr>
        <w:t>. 46:189-200.</w:t>
      </w:r>
    </w:p>
    <w:p>
      <w:pPr>
        <w:pStyle w:val="style0"/>
        <w:spacing w:after="0" w:lineRule="auto" w:line="480"/>
        <w:jc w:val="both"/>
        <w:rPr>
          <w:rFonts w:ascii="Cambria" w:cs="Times New Roman" w:hAnsi="Cambria"/>
          <w:sz w:val="24"/>
          <w:szCs w:val="24"/>
        </w:rPr>
      </w:pPr>
      <w:r>
        <w:rPr>
          <w:rFonts w:ascii="Cambria" w:cs="Times New Roman" w:hAnsi="Cambria"/>
          <w:sz w:val="24"/>
          <w:szCs w:val="24"/>
        </w:rPr>
        <w:t>Emenike, E.A., 2001, Geophysical exploration for groundwater in a Sedimentary Environment:</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A case study from Nanka over Nanka Formation in Anambra Basin, Southeastern Nigeria: Global Journal of Pure and Applied Sciences, v. 7/1, p. 1-11.</w:t>
      </w:r>
    </w:p>
    <w:p>
      <w:pPr>
        <w:pStyle w:val="style0"/>
        <w:spacing w:after="0" w:lineRule="auto" w:line="480"/>
        <w:jc w:val="both"/>
        <w:rPr>
          <w:rFonts w:ascii="Cambria" w:cs="Times New Roman" w:hAnsi="Cambria"/>
          <w:sz w:val="24"/>
          <w:szCs w:val="24"/>
        </w:rPr>
      </w:pPr>
      <w:r>
        <w:rPr>
          <w:rFonts w:ascii="Cambria" w:cs="Times New Roman" w:hAnsi="Cambria"/>
          <w:sz w:val="24"/>
          <w:szCs w:val="24"/>
        </w:rPr>
        <w:t>Fatoye</w:t>
      </w:r>
      <w:r>
        <w:rPr>
          <w:rFonts w:ascii="Cambria" w:cs="Times New Roman" w:hAnsi="Cambria"/>
          <w:sz w:val="24"/>
          <w:szCs w:val="24"/>
        </w:rPr>
        <w:t xml:space="preserve">, O. V., </w:t>
      </w:r>
      <w:r>
        <w:rPr>
          <w:rFonts w:ascii="Cambria" w:cs="Times New Roman" w:hAnsi="Cambria"/>
          <w:sz w:val="24"/>
          <w:szCs w:val="24"/>
        </w:rPr>
        <w:t>Olasehinde</w:t>
      </w:r>
      <w:r>
        <w:rPr>
          <w:rFonts w:ascii="Cambria" w:cs="Times New Roman" w:hAnsi="Cambria"/>
          <w:sz w:val="24"/>
          <w:szCs w:val="24"/>
        </w:rPr>
        <w:t xml:space="preserve">, D. A., Olatunji, J. A., </w:t>
      </w:r>
      <w:r>
        <w:rPr>
          <w:rFonts w:ascii="Cambria" w:cs="Times New Roman" w:hAnsi="Cambria"/>
          <w:sz w:val="24"/>
          <w:szCs w:val="24"/>
        </w:rPr>
        <w:t>Olasehinde</w:t>
      </w:r>
      <w:r>
        <w:rPr>
          <w:rFonts w:ascii="Cambria" w:cs="Times New Roman" w:hAnsi="Cambria"/>
          <w:sz w:val="24"/>
          <w:szCs w:val="24"/>
        </w:rPr>
        <w:t>, O. D.</w:t>
      </w:r>
      <w:r>
        <w:rPr>
          <w:rFonts w:ascii="Cambria" w:cs="Times New Roman" w:hAnsi="Cambria"/>
          <w:sz w:val="24"/>
          <w:szCs w:val="24"/>
        </w:rPr>
        <w:t>,  Abioye</w:t>
      </w:r>
      <w:r>
        <w:rPr>
          <w:rFonts w:ascii="Cambria" w:cs="Times New Roman" w:hAnsi="Cambria"/>
          <w:sz w:val="24"/>
          <w:szCs w:val="24"/>
        </w:rPr>
        <w:t xml:space="preserve">, O. and </w:t>
      </w:r>
      <w:r>
        <w:rPr>
          <w:rFonts w:ascii="Cambria" w:cs="Times New Roman" w:hAnsi="Cambria"/>
          <w:sz w:val="24"/>
          <w:szCs w:val="24"/>
        </w:rPr>
        <w:t>Olasehinde</w:t>
      </w:r>
      <w:r>
        <w:rPr>
          <w:rFonts w:ascii="Cambria" w:cs="Times New Roman" w:hAnsi="Cambria"/>
          <w:sz w:val="24"/>
          <w:szCs w:val="24"/>
        </w:rPr>
        <w:t>,</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P. I. (2022). Structural Evaluation for Groundwater Within the Crystalline Basement of Ilorin, Nigeria, Using Multisensory. IOP Conf. Series: Earth and Environmental Science 1054. doi:10.1088/1755-1315/1054/1/012009.</w:t>
      </w:r>
    </w:p>
    <w:p>
      <w:pPr>
        <w:pStyle w:val="style0"/>
        <w:spacing w:after="0" w:lineRule="auto" w:line="480"/>
        <w:jc w:val="both"/>
        <w:rPr>
          <w:rFonts w:ascii="Cambria" w:cs="Times New Roman" w:hAnsi="Cambria"/>
          <w:sz w:val="24"/>
          <w:szCs w:val="24"/>
        </w:rPr>
      </w:pPr>
      <w:r>
        <w:rPr>
          <w:rFonts w:ascii="Cambria" w:cs="Times New Roman" w:hAnsi="Cambria"/>
          <w:sz w:val="24"/>
          <w:szCs w:val="24"/>
        </w:rPr>
        <w:t>Gadallah</w:t>
      </w:r>
      <w:r>
        <w:rPr>
          <w:rFonts w:ascii="Cambria" w:cs="Times New Roman" w:hAnsi="Cambria"/>
          <w:sz w:val="24"/>
          <w:szCs w:val="24"/>
        </w:rPr>
        <w:t>, M. R. and Fisher, R. (2009). Exploration Geophysics: Berlin Germany: Springer.</w:t>
      </w:r>
    </w:p>
    <w:p>
      <w:pPr>
        <w:pStyle w:val="style0"/>
        <w:spacing w:after="0" w:lineRule="auto" w:line="480"/>
        <w:jc w:val="both"/>
        <w:rPr>
          <w:rFonts w:ascii="Cambria" w:cs="Times New Roman" w:hAnsi="Cambria"/>
          <w:sz w:val="24"/>
          <w:szCs w:val="24"/>
        </w:rPr>
      </w:pPr>
      <w:r>
        <w:rPr>
          <w:rFonts w:ascii="Cambria" w:cs="Times New Roman" w:hAnsi="Cambria"/>
          <w:sz w:val="24"/>
          <w:szCs w:val="24"/>
        </w:rPr>
        <w:t>Keary, P., Micheal, B., and Hill, I. (2002). An Introduction to Geophysical Exploration (3</w:t>
      </w:r>
      <w:r>
        <w:rPr>
          <w:rFonts w:ascii="Cambria" w:cs="Times New Roman" w:hAnsi="Cambria"/>
          <w:sz w:val="24"/>
          <w:szCs w:val="24"/>
          <w:vertAlign w:val="superscript"/>
        </w:rPr>
        <w:t>rd</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Edition). Willey Blackwell Science.</w:t>
      </w:r>
    </w:p>
    <w:p>
      <w:pPr>
        <w:pStyle w:val="style0"/>
        <w:spacing w:after="0" w:lineRule="auto" w:line="480"/>
        <w:jc w:val="both"/>
        <w:rPr>
          <w:rFonts w:ascii="Cambria" w:cs="Times New Roman" w:hAnsi="Cambria"/>
          <w:sz w:val="24"/>
          <w:szCs w:val="24"/>
        </w:rPr>
      </w:pPr>
      <w:r>
        <w:rPr>
          <w:rFonts w:ascii="Cambria" w:cs="Times New Roman" w:hAnsi="Cambria"/>
          <w:sz w:val="24"/>
          <w:szCs w:val="24"/>
        </w:rPr>
        <w:t>Nwankwo, L. I (2011). 2D Resistivity Survey for Groundwater Exploration in a Hard Rock</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Terrain: A Case Study of MAGDAS Observatory, UNILORIN, Nigeria. Asian Journal of Earth Sciences; pp. 1-3.</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Nwankwo, L. I., </w:t>
      </w:r>
      <w:r>
        <w:rPr>
          <w:rFonts w:ascii="Cambria" w:cs="Times New Roman" w:hAnsi="Cambria"/>
          <w:sz w:val="24"/>
          <w:szCs w:val="24"/>
        </w:rPr>
        <w:t>Olasehinde</w:t>
      </w:r>
      <w:r>
        <w:rPr>
          <w:rFonts w:ascii="Cambria" w:cs="Times New Roman" w:hAnsi="Cambria"/>
          <w:sz w:val="24"/>
          <w:szCs w:val="24"/>
        </w:rPr>
        <w:t>, O. I. and Babatunde, E. B. (2004). The use of electrical resistivity</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pseudo-section in elucidating the geology of an East-west profile in the basement complex terrain of Ilorin, West-central, Nigeria. Nig. J. Pure and Appl. Sci.; 1676-1682.</w:t>
      </w:r>
    </w:p>
    <w:p>
      <w:pPr>
        <w:pStyle w:val="style0"/>
        <w:spacing w:after="0" w:lineRule="auto" w:line="480"/>
        <w:jc w:val="both"/>
        <w:rPr>
          <w:rFonts w:ascii="Cambria" w:cs="Times New Roman" w:hAnsi="Cambria"/>
          <w:sz w:val="24"/>
          <w:szCs w:val="24"/>
        </w:rPr>
      </w:pPr>
      <w:r>
        <w:rPr>
          <w:rFonts w:ascii="Cambria" w:cs="Times New Roman" w:hAnsi="Cambria"/>
          <w:sz w:val="24"/>
          <w:szCs w:val="24"/>
        </w:rPr>
        <w:t>Olade</w:t>
      </w:r>
      <w:r>
        <w:rPr>
          <w:rFonts w:ascii="Cambria" w:cs="Times New Roman" w:hAnsi="Cambria"/>
          <w:sz w:val="24"/>
          <w:szCs w:val="24"/>
        </w:rPr>
        <w:t>,</w:t>
      </w:r>
      <w:r>
        <w:rPr>
          <w:rFonts w:ascii="Cambria" w:cs="Times New Roman" w:hAnsi="Cambria"/>
          <w:sz w:val="24"/>
          <w:szCs w:val="24"/>
        </w:rPr>
        <w:tab/>
      </w:r>
      <w:r>
        <w:rPr>
          <w:rFonts w:ascii="Cambria" w:cs="Times New Roman" w:hAnsi="Cambria"/>
          <w:sz w:val="24"/>
          <w:szCs w:val="24"/>
        </w:rPr>
        <w:t xml:space="preserve">M. A. (1975).  Evolution of Nigeria’s Benue Trough.  African Lithosphere and </w:t>
      </w:r>
      <w:r>
        <w:rPr>
          <w:rFonts w:ascii="Cambria" w:cs="Times New Roman" w:hAnsi="Cambria"/>
          <w:sz w:val="24"/>
          <w:szCs w:val="24"/>
        </w:rPr>
        <w:t>their</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Geodynamic Significance.  Journal of African Earth Science, Vol. 3, pp.437 – 442.</w:t>
      </w:r>
    </w:p>
    <w:bookmarkStart w:id="3" w:name="_Hlk133142333"/>
    <w:p>
      <w:pPr>
        <w:pStyle w:val="style0"/>
        <w:spacing w:after="0" w:lineRule="auto" w:line="480"/>
        <w:jc w:val="both"/>
        <w:rPr>
          <w:rFonts w:ascii="Cambria" w:cs="Times New Roman" w:hAnsi="Cambria"/>
          <w:sz w:val="24"/>
          <w:szCs w:val="24"/>
        </w:rPr>
      </w:pPr>
      <w:r>
        <w:rPr>
          <w:rFonts w:ascii="Cambria" w:cs="Times New Roman" w:hAnsi="Cambria"/>
          <w:sz w:val="24"/>
          <w:szCs w:val="24"/>
        </w:rPr>
        <w:t>Satpathy</w:t>
      </w:r>
      <w:r>
        <w:rPr>
          <w:rFonts w:ascii="Cambria" w:cs="Times New Roman" w:hAnsi="Cambria"/>
          <w:sz w:val="24"/>
          <w:szCs w:val="24"/>
        </w:rPr>
        <w:t>, B. N. and Kanungo, D. N (1976). Water exploration on land terrain: A case history.</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Geophys</w:t>
      </w:r>
      <w:r>
        <w:rPr>
          <w:rFonts w:ascii="Cambria" w:cs="Times New Roman" w:hAnsi="Cambria"/>
          <w:sz w:val="24"/>
          <w:szCs w:val="24"/>
        </w:rPr>
        <w:t>. Prospect. 24: 725-736</w:t>
      </w:r>
      <w:bookmarkEnd w:id="3"/>
      <w:r>
        <w:rPr>
          <w:rFonts w:ascii="Cambria" w:cs="Times New Roman" w:hAnsi="Cambria"/>
          <w:sz w:val="24"/>
          <w:szCs w:val="24"/>
        </w:rPr>
        <w:t>.</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Sunday, J. A., Usman, A., </w:t>
      </w:r>
      <w:r>
        <w:rPr>
          <w:rFonts w:ascii="Cambria" w:cs="Times New Roman" w:hAnsi="Cambria"/>
          <w:sz w:val="24"/>
          <w:szCs w:val="24"/>
        </w:rPr>
        <w:t>Ologe</w:t>
      </w:r>
      <w:r>
        <w:rPr>
          <w:rFonts w:ascii="Cambria" w:cs="Times New Roman" w:hAnsi="Cambria"/>
          <w:sz w:val="24"/>
          <w:szCs w:val="24"/>
        </w:rPr>
        <w:t>, O. and Lawal, T. O. (2019). Detection of Fracture Zones for</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Groundwater Investigation from Interpretation of VLF-EM Anomalies of Kwara State Polytechnic Ilorin and its Environs. Global Journal of Human-Social Science; (19) 27-41.</w:t>
      </w:r>
    </w:p>
    <w:p>
      <w:pPr>
        <w:pStyle w:val="style0"/>
        <w:spacing w:after="0" w:lineRule="auto" w:line="480"/>
        <w:jc w:val="both"/>
        <w:rPr>
          <w:rFonts w:ascii="Cambria" w:cs="Times New Roman" w:hAnsi="Cambria"/>
          <w:sz w:val="24"/>
          <w:szCs w:val="24"/>
        </w:rPr>
      </w:pPr>
      <w:r>
        <w:rPr>
          <w:rFonts w:ascii="Cambria" w:cs="Times New Roman" w:hAnsi="Cambria"/>
          <w:sz w:val="24"/>
          <w:szCs w:val="24"/>
        </w:rPr>
        <w:t>Telford, W., Geldart, L., Sheriff, R., and Keys D. (1976). Applied Geophysics (2nd edition).</w:t>
      </w:r>
    </w:p>
    <w:p>
      <w:pPr>
        <w:pStyle w:val="style0"/>
        <w:spacing w:lineRule="auto" w:line="480"/>
        <w:rPr>
          <w:rFonts w:ascii="Cambria" w:cs="Times New Roman" w:hAnsi="Cambria"/>
          <w:sz w:val="24"/>
          <w:szCs w:val="24"/>
        </w:rPr>
      </w:pPr>
      <w:r>
        <w:rPr>
          <w:rFonts w:ascii="Cambria" w:cs="Times New Roman" w:hAnsi="Cambria"/>
          <w:sz w:val="24"/>
          <w:szCs w:val="24"/>
        </w:rPr>
        <w:t>New York. Cambridge University Press.</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Li, X (2006). Understanding 3D analytic signal amplitude. Geophysics 71, L13–L16.</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 Salem, A (2005). Interpretation of magnetic data using analytic signal derivatives. </w:t>
      </w:r>
      <w:r>
        <w:rPr>
          <w:rFonts w:ascii="Times New Roman" w:cs="Times New Roman" w:hAnsi="Times New Roman"/>
          <w:bCs/>
          <w:sz w:val="24"/>
          <w:szCs w:val="24"/>
        </w:rPr>
        <w:t>Geophys</w:t>
      </w:r>
      <w:r>
        <w:rPr>
          <w:rFonts w:ascii="Times New Roman" w:cs="Times New Roman" w:hAnsi="Times New Roman"/>
          <w:bCs/>
          <w:sz w:val="24"/>
          <w:szCs w:val="24"/>
        </w:rPr>
        <w:t>. Prospect. 53, 75–82</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Salawu NB, </w:t>
      </w:r>
      <w:r>
        <w:rPr>
          <w:rFonts w:ascii="Times New Roman" w:cs="Times New Roman" w:hAnsi="Times New Roman"/>
          <w:bCs/>
          <w:sz w:val="24"/>
          <w:szCs w:val="24"/>
        </w:rPr>
        <w:t>Omosanya</w:t>
      </w:r>
      <w:r>
        <w:rPr>
          <w:rFonts w:ascii="Times New Roman" w:cs="Times New Roman" w:hAnsi="Times New Roman"/>
          <w:bCs/>
          <w:sz w:val="24"/>
          <w:szCs w:val="24"/>
        </w:rPr>
        <w:t xml:space="preserve"> KOL, </w:t>
      </w:r>
      <w:r>
        <w:rPr>
          <w:rFonts w:ascii="Times New Roman" w:cs="Times New Roman" w:hAnsi="Times New Roman"/>
          <w:bCs/>
          <w:sz w:val="24"/>
          <w:szCs w:val="24"/>
        </w:rPr>
        <w:t>Eluwole</w:t>
      </w:r>
      <w:r>
        <w:rPr>
          <w:rFonts w:ascii="Times New Roman" w:cs="Times New Roman" w:hAnsi="Times New Roman"/>
          <w:bCs/>
          <w:sz w:val="24"/>
          <w:szCs w:val="24"/>
        </w:rPr>
        <w:t xml:space="preserve"> AB, Saleh A, Adebiyi LS (2023) Structurally-controlled gold mineralization in the Southern </w:t>
      </w:r>
      <w:r>
        <w:rPr>
          <w:rFonts w:ascii="Times New Roman" w:cs="Times New Roman" w:hAnsi="Times New Roman"/>
          <w:bCs/>
          <w:sz w:val="24"/>
          <w:szCs w:val="24"/>
        </w:rPr>
        <w:t>Zuru</w:t>
      </w:r>
      <w:r>
        <w:rPr>
          <w:rFonts w:ascii="Times New Roman" w:cs="Times New Roman" w:hAnsi="Times New Roman"/>
          <w:bCs/>
          <w:sz w:val="24"/>
          <w:szCs w:val="24"/>
        </w:rPr>
        <w:t xml:space="preserve"> Schist Belt NW Nigeria: Application of Remote Sensing and Geophysical Methods. Journal of Applied Geophysics 211:10496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MacLeod TF, Jones I, Dai K (1993) 3-D analytic signal in the interpretation of total magnetic field data at low magnetic latitudes. Exploration Geophysics 24:679–8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Salawu, N. B., Olatunji, S., Adebiyi, S. L., Olasunkanmi, K. N., &amp; Dada, S. S. (2019a). Edge Detection and Magnetic Basement Depth of Danko area, Northwestern Nigeria, from Low‑latitude Aeromagnetic Anomaly Data. Springer Nature Switzerland Applied Sciences, 1, 1056.</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Saleh. A., Salako, K., Salawu, B., </w:t>
      </w:r>
      <w:r>
        <w:rPr>
          <w:rFonts w:ascii="Times New Roman" w:cs="Times New Roman" w:hAnsi="Times New Roman"/>
          <w:bCs/>
          <w:sz w:val="24"/>
          <w:szCs w:val="24"/>
        </w:rPr>
        <w:t>Orosun</w:t>
      </w:r>
      <w:r>
        <w:rPr>
          <w:rFonts w:ascii="Times New Roman" w:cs="Times New Roman" w:hAnsi="Times New Roman"/>
          <w:bCs/>
          <w:sz w:val="24"/>
          <w:szCs w:val="24"/>
        </w:rPr>
        <w:t xml:space="preserve">, M., Adebiyi, L.S., &amp; Shehu, J. (2023).  Airborne Magnetic and gamma-ray spectrometric prospecting to delineate structures associated With Gold mineralization-a case study in Yauri region, Northwestern, Nigeria. Arabian Journal of Geosciences, 16, 308.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Salawu, N. B., </w:t>
      </w:r>
      <w:r>
        <w:rPr>
          <w:rFonts w:ascii="Times New Roman" w:cs="Times New Roman" w:hAnsi="Times New Roman"/>
          <w:bCs/>
          <w:sz w:val="24"/>
          <w:szCs w:val="24"/>
        </w:rPr>
        <w:t>Fatoba</w:t>
      </w:r>
      <w:r>
        <w:rPr>
          <w:rFonts w:ascii="Times New Roman" w:cs="Times New Roman" w:hAnsi="Times New Roman"/>
          <w:bCs/>
          <w:sz w:val="24"/>
          <w:szCs w:val="24"/>
        </w:rPr>
        <w:t>, J. O., Adebiyi, L. S., Ajadi, J., Saleh, A., &amp; Dada, S. S (2020). Aeromagnetic And Remote Sensing Evidence for Structural Framework of the Middle   Niger and Sokoto Basins, Nigeria. Physics of the Earth and Planetary Interiors, 309.</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Adebiyi, L. S., </w:t>
      </w:r>
      <w:r>
        <w:rPr>
          <w:rFonts w:ascii="Times New Roman" w:cs="Times New Roman" w:hAnsi="Times New Roman"/>
          <w:bCs/>
          <w:sz w:val="24"/>
          <w:szCs w:val="24"/>
        </w:rPr>
        <w:t>Eluwole</w:t>
      </w:r>
      <w:r>
        <w:rPr>
          <w:rFonts w:ascii="Times New Roman" w:cs="Times New Roman" w:hAnsi="Times New Roman"/>
          <w:bCs/>
          <w:sz w:val="24"/>
          <w:szCs w:val="24"/>
        </w:rPr>
        <w:t xml:space="preserve">, A. B., </w:t>
      </w:r>
      <w:r>
        <w:rPr>
          <w:rFonts w:ascii="Times New Roman" w:cs="Times New Roman" w:hAnsi="Times New Roman"/>
          <w:bCs/>
          <w:sz w:val="24"/>
          <w:szCs w:val="24"/>
        </w:rPr>
        <w:t>Fajana</w:t>
      </w:r>
      <w:r>
        <w:rPr>
          <w:rFonts w:ascii="Times New Roman" w:cs="Times New Roman" w:hAnsi="Times New Roman"/>
          <w:bCs/>
          <w:sz w:val="24"/>
          <w:szCs w:val="24"/>
        </w:rPr>
        <w:t xml:space="preserve">, A. O., Salawu, N. B., Saleh, A. (2023). Contrasting structures of the Southern Benue trough and the contiguous crystalline basement as observed </w:t>
      </w:r>
      <w:r>
        <w:rPr>
          <w:rFonts w:ascii="Times New Roman" w:cs="Times New Roman" w:hAnsi="Times New Roman"/>
          <w:bCs/>
          <w:sz w:val="24"/>
          <w:szCs w:val="24"/>
        </w:rPr>
        <w:t xml:space="preserve">from high‑resolution aeromagnetic data. Scientific Reports, 13:21516. https://doi.org/10.1038/s41598-023-48639-8.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Beard, L. P. &amp; Goitom, B. (2000). Some problems in interpreting low latitude Magnetic Surveys.6th EAGE/EEGS Meeting.</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EFF" w:usb1="C000785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Corbel-Bold">
    <w:altName w:val="Klee One"/>
    <w:panose1 w:val="00000000000000000000"/>
    <w:charset w:val="80"/>
    <w:family w:val="auto"/>
    <w:pitch w:val="default"/>
    <w:sig w:usb0="00000001" w:usb1="08070000" w:usb2="00000010" w:usb3="00000000" w:csb0="00020000" w:csb1="00000000"/>
  </w:font>
  <w:font w:name="MinionPro-Regular">
    <w:altName w:val="Cambria"/>
    <w:panose1 w:val="00000000000000000000"/>
    <w:charset w:val="00"/>
    <w:family w:val="roman"/>
    <w:pitch w:val="default"/>
    <w:sig w:usb0="00000003" w:usb1="00000000" w:usb2="00000000" w:usb3="00000000" w:csb0="00000001"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4C2D04E"/>
    <w:lvl w:ilvl="0" w:tplc="B6D47CA6">
      <w:start w:val="1"/>
      <w:numFmt w:val="bullet"/>
      <w:lvlText w:val="•"/>
      <w:lvlJc w:val="left"/>
      <w:pPr>
        <w:tabs>
          <w:tab w:val="left" w:leader="none" w:pos="720"/>
        </w:tabs>
        <w:ind w:left="720" w:hanging="360"/>
      </w:pPr>
      <w:rPr>
        <w:rFonts w:ascii="Arial" w:hAnsi="Arial" w:hint="default"/>
      </w:rPr>
    </w:lvl>
    <w:lvl w:ilvl="1" w:tplc="9334C96C" w:tentative="1">
      <w:start w:val="1"/>
      <w:numFmt w:val="bullet"/>
      <w:lvlText w:val="•"/>
      <w:lvlJc w:val="left"/>
      <w:pPr>
        <w:tabs>
          <w:tab w:val="left" w:leader="none" w:pos="1440"/>
        </w:tabs>
        <w:ind w:left="1440" w:hanging="360"/>
      </w:pPr>
      <w:rPr>
        <w:rFonts w:ascii="Arial" w:hAnsi="Arial" w:hint="default"/>
      </w:rPr>
    </w:lvl>
    <w:lvl w:ilvl="2" w:tplc="B71AECB8" w:tentative="1">
      <w:start w:val="1"/>
      <w:numFmt w:val="bullet"/>
      <w:lvlText w:val="•"/>
      <w:lvlJc w:val="left"/>
      <w:pPr>
        <w:tabs>
          <w:tab w:val="left" w:leader="none" w:pos="2160"/>
        </w:tabs>
        <w:ind w:left="2160" w:hanging="360"/>
      </w:pPr>
      <w:rPr>
        <w:rFonts w:ascii="Arial" w:hAnsi="Arial" w:hint="default"/>
      </w:rPr>
    </w:lvl>
    <w:lvl w:ilvl="3" w:tplc="E83CF0F4" w:tentative="1">
      <w:start w:val="1"/>
      <w:numFmt w:val="bullet"/>
      <w:lvlText w:val="•"/>
      <w:lvlJc w:val="left"/>
      <w:pPr>
        <w:tabs>
          <w:tab w:val="left" w:leader="none" w:pos="2880"/>
        </w:tabs>
        <w:ind w:left="2880" w:hanging="360"/>
      </w:pPr>
      <w:rPr>
        <w:rFonts w:ascii="Arial" w:hAnsi="Arial" w:hint="default"/>
      </w:rPr>
    </w:lvl>
    <w:lvl w:ilvl="4" w:tplc="5AE227D4" w:tentative="1">
      <w:start w:val="1"/>
      <w:numFmt w:val="bullet"/>
      <w:lvlText w:val="•"/>
      <w:lvlJc w:val="left"/>
      <w:pPr>
        <w:tabs>
          <w:tab w:val="left" w:leader="none" w:pos="3600"/>
        </w:tabs>
        <w:ind w:left="3600" w:hanging="360"/>
      </w:pPr>
      <w:rPr>
        <w:rFonts w:ascii="Arial" w:hAnsi="Arial" w:hint="default"/>
      </w:rPr>
    </w:lvl>
    <w:lvl w:ilvl="5" w:tplc="54D61A6E" w:tentative="1">
      <w:start w:val="1"/>
      <w:numFmt w:val="bullet"/>
      <w:lvlText w:val="•"/>
      <w:lvlJc w:val="left"/>
      <w:pPr>
        <w:tabs>
          <w:tab w:val="left" w:leader="none" w:pos="4320"/>
        </w:tabs>
        <w:ind w:left="4320" w:hanging="360"/>
      </w:pPr>
      <w:rPr>
        <w:rFonts w:ascii="Arial" w:hAnsi="Arial" w:hint="default"/>
      </w:rPr>
    </w:lvl>
    <w:lvl w:ilvl="6" w:tplc="4BCC61E4" w:tentative="1">
      <w:start w:val="1"/>
      <w:numFmt w:val="bullet"/>
      <w:lvlText w:val="•"/>
      <w:lvlJc w:val="left"/>
      <w:pPr>
        <w:tabs>
          <w:tab w:val="left" w:leader="none" w:pos="5040"/>
        </w:tabs>
        <w:ind w:left="5040" w:hanging="360"/>
      </w:pPr>
      <w:rPr>
        <w:rFonts w:ascii="Arial" w:hAnsi="Arial" w:hint="default"/>
      </w:rPr>
    </w:lvl>
    <w:lvl w:ilvl="7" w:tplc="ED625A98" w:tentative="1">
      <w:start w:val="1"/>
      <w:numFmt w:val="bullet"/>
      <w:lvlText w:val="•"/>
      <w:lvlJc w:val="left"/>
      <w:pPr>
        <w:tabs>
          <w:tab w:val="left" w:leader="none" w:pos="5760"/>
        </w:tabs>
        <w:ind w:left="5760" w:hanging="360"/>
      </w:pPr>
      <w:rPr>
        <w:rFonts w:ascii="Arial" w:hAnsi="Arial" w:hint="default"/>
      </w:rPr>
    </w:lvl>
    <w:lvl w:ilvl="8" w:tplc="EC8EC5F8" w:tentative="1">
      <w:start w:val="1"/>
      <w:numFmt w:val="bullet"/>
      <w:lvlText w:val="•"/>
      <w:lvlJc w:val="left"/>
      <w:pPr>
        <w:tabs>
          <w:tab w:val="left" w:leader="none" w:pos="6480"/>
        </w:tabs>
        <w:ind w:left="6480" w:hanging="360"/>
      </w:pPr>
      <w:rPr>
        <w:rFonts w:ascii="Arial" w:hAnsi="Arial" w:hint="default"/>
      </w:rPr>
    </w:lvl>
  </w:abstractNum>
  <w:abstractNum w:abstractNumId="1">
    <w:nsid w:val="00000001"/>
    <w:multiLevelType w:val="hybridMultilevel"/>
    <w:tmpl w:val="85C442F2"/>
    <w:lvl w:ilvl="0" w:tplc="A334A722">
      <w:start w:val="1"/>
      <w:numFmt w:val="decimal"/>
      <w:lvlText w:val="%1."/>
      <w:lvlJc w:val="left"/>
      <w:pPr>
        <w:ind w:left="720" w:hanging="360"/>
      </w:pPr>
      <w:rPr>
        <w:rFonts w:ascii="Times New Roman" w:cs="Times New Roman" w:eastAsia="Calibri" w:hAnsi="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next w:val="style0"/>
    <w:link w:val="style4097"/>
    <w:qFormat/>
    <w:uiPriority w:val="9"/>
    <w:pPr>
      <w:keepNext/>
      <w:keepLines/>
      <w:spacing w:after="0" w:lineRule="auto" w:line="259"/>
      <w:ind w:left="5" w:hanging="5"/>
      <w:outlineLvl w:val="0"/>
    </w:pPr>
    <w:rPr>
      <w:rFonts w:ascii="Times New Roman" w:cs="Times New Roman" w:eastAsia="Times New Roman" w:hAnsi="Times New Roman"/>
      <w:color w:val="000000"/>
      <w:sz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ecaa197b-4934-4b9a-9508-3accaa2f8b76"/>
    <w:basedOn w:val="style65"/>
    <w:next w:val="style4097"/>
    <w:link w:val="style1"/>
    <w:uiPriority w:val="9"/>
    <w:rPr>
      <w:rFonts w:ascii="Times New Roman" w:cs="Times New Roman" w:eastAsia="Times New Roman" w:hAnsi="Times New Roman"/>
      <w:color w:val="000000"/>
      <w:sz w:val="24"/>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styles" Target="styles.xml"/><Relationship Id="rId12"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5.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9871</Words>
  <Pages>40</Pages>
  <Characters>55318</Characters>
  <Application>WPS Office</Application>
  <DocSecurity>0</DocSecurity>
  <Paragraphs>375</Paragraphs>
  <ScaleCrop>false</ScaleCrop>
  <LinksUpToDate>false</LinksUpToDate>
  <CharactersWithSpaces>65025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2025-08-25T11:21:39Z</dcterms:created>
  <dc:creator>DR SUNDAY</dc:creator>
  <lastModifiedBy>SM-A245F</lastModifiedBy>
  <dcterms:modified xsi:type="dcterms:W3CDTF">2025-09-10T09:57:41Z</dcterms:modified>
  <revision>33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1d3107d87a364d458167effb8021ddd0</vt:lpwstr>
  </property>
</Properties>
</file>