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1329AB" w14:textId="77207957" w:rsidR="00BB398C" w:rsidRPr="001C59E3" w:rsidRDefault="00E57FD5" w:rsidP="00BB398C">
      <w:pPr>
        <w:spacing w:line="360" w:lineRule="auto"/>
        <w:jc w:val="center"/>
        <w:rPr>
          <w:rFonts w:ascii="Arial Black" w:hAnsi="Arial Black"/>
          <w:b/>
          <w:bCs/>
          <w:sz w:val="28"/>
          <w:szCs w:val="28"/>
        </w:rPr>
      </w:pPr>
      <w:r>
        <w:rPr>
          <w:rFonts w:ascii="Arial Black" w:hAnsi="Arial Black"/>
          <w:b/>
          <w:bCs/>
          <w:sz w:val="28"/>
          <w:szCs w:val="28"/>
        </w:rPr>
        <w:t>ASSESSMENT</w:t>
      </w:r>
      <w:r w:rsidR="00BB398C" w:rsidRPr="001C59E3">
        <w:rPr>
          <w:rFonts w:ascii="Arial Black" w:hAnsi="Arial Black"/>
          <w:b/>
          <w:bCs/>
          <w:sz w:val="28"/>
          <w:szCs w:val="28"/>
        </w:rPr>
        <w:t xml:space="preserve"> OF </w:t>
      </w:r>
      <w:r w:rsidRPr="001C59E3">
        <w:rPr>
          <w:rFonts w:ascii="Arial Black" w:hAnsi="Arial Black"/>
          <w:b/>
          <w:bCs/>
          <w:sz w:val="28"/>
          <w:szCs w:val="28"/>
        </w:rPr>
        <w:t>GEO</w:t>
      </w:r>
      <w:r>
        <w:rPr>
          <w:rFonts w:ascii="Arial Black" w:hAnsi="Arial Black"/>
          <w:b/>
          <w:bCs/>
          <w:sz w:val="28"/>
          <w:szCs w:val="28"/>
        </w:rPr>
        <w:t>CHEMICAL</w:t>
      </w:r>
      <w:r w:rsidR="00BB398C" w:rsidRPr="001C59E3">
        <w:rPr>
          <w:rFonts w:ascii="Arial Black" w:hAnsi="Arial Black"/>
          <w:b/>
          <w:bCs/>
          <w:sz w:val="28"/>
          <w:szCs w:val="28"/>
        </w:rPr>
        <w:t xml:space="preserve"> </w:t>
      </w:r>
      <w:r>
        <w:rPr>
          <w:rFonts w:ascii="Arial Black" w:hAnsi="Arial Black"/>
          <w:b/>
          <w:bCs/>
          <w:sz w:val="28"/>
          <w:szCs w:val="28"/>
        </w:rPr>
        <w:t>COMPOSITION</w:t>
      </w:r>
      <w:r w:rsidR="00BB398C" w:rsidRPr="001C59E3">
        <w:rPr>
          <w:rFonts w:ascii="Arial Black" w:hAnsi="Arial Black"/>
          <w:b/>
          <w:bCs/>
          <w:sz w:val="28"/>
          <w:szCs w:val="28"/>
        </w:rPr>
        <w:t xml:space="preserve"> OF IGBELOWOWA CLAY DEPOSIT AJASE IPO, KWARA STATE, NIGERIA</w:t>
      </w:r>
    </w:p>
    <w:p w14:paraId="43327570" w14:textId="77777777" w:rsidR="00BB398C" w:rsidRDefault="00BB398C" w:rsidP="00BB398C">
      <w:pPr>
        <w:spacing w:line="360" w:lineRule="auto"/>
        <w:jc w:val="center"/>
        <w:rPr>
          <w:rFonts w:ascii="Times New Roman" w:hAnsi="Times New Roman"/>
          <w:sz w:val="28"/>
          <w:szCs w:val="28"/>
        </w:rPr>
      </w:pPr>
    </w:p>
    <w:p w14:paraId="01D02E3F" w14:textId="77777777" w:rsidR="00BB398C" w:rsidRPr="001C59E3" w:rsidRDefault="00BB398C" w:rsidP="00BB398C">
      <w:pPr>
        <w:spacing w:after="0"/>
        <w:jc w:val="center"/>
        <w:rPr>
          <w:rFonts w:ascii="Britannic Bold" w:hAnsi="Britannic Bold"/>
          <w:b/>
          <w:bCs/>
          <w:sz w:val="52"/>
          <w:szCs w:val="52"/>
        </w:rPr>
      </w:pPr>
      <w:r w:rsidRPr="001C59E3">
        <w:rPr>
          <w:rFonts w:ascii="Britannic Bold" w:hAnsi="Britannic Bold"/>
          <w:b/>
          <w:bCs/>
          <w:sz w:val="52"/>
          <w:szCs w:val="52"/>
        </w:rPr>
        <w:t>MUSA TOHEEB AKANO</w:t>
      </w:r>
    </w:p>
    <w:p w14:paraId="2A8AD139" w14:textId="77777777" w:rsidR="00BB398C" w:rsidRPr="00BB398C" w:rsidRDefault="00BB398C" w:rsidP="00BB398C">
      <w:pPr>
        <w:spacing w:after="0"/>
        <w:jc w:val="center"/>
        <w:rPr>
          <w:rFonts w:ascii="Times New Roman" w:hAnsi="Times New Roman"/>
          <w:b/>
          <w:bCs/>
          <w:sz w:val="52"/>
          <w:szCs w:val="52"/>
        </w:rPr>
      </w:pPr>
      <w:r w:rsidRPr="001C59E3">
        <w:rPr>
          <w:rFonts w:ascii="Britannic Bold" w:hAnsi="Britannic Bold"/>
          <w:b/>
          <w:bCs/>
          <w:sz w:val="52"/>
          <w:szCs w:val="52"/>
        </w:rPr>
        <w:t>HND/23/MNE/FT/0030</w:t>
      </w:r>
    </w:p>
    <w:p w14:paraId="2A89433D" w14:textId="77777777" w:rsidR="00BB398C" w:rsidRDefault="00BB398C" w:rsidP="00BB398C">
      <w:pPr>
        <w:spacing w:line="360" w:lineRule="auto"/>
        <w:jc w:val="center"/>
        <w:rPr>
          <w:rFonts w:ascii="Times New Roman" w:hAnsi="Times New Roman"/>
          <w:sz w:val="24"/>
          <w:szCs w:val="24"/>
        </w:rPr>
      </w:pPr>
    </w:p>
    <w:p w14:paraId="6EE5493C" w14:textId="77777777" w:rsidR="00BB398C" w:rsidRPr="00BB398C" w:rsidRDefault="00BB398C" w:rsidP="00BB398C">
      <w:pPr>
        <w:spacing w:line="360" w:lineRule="auto"/>
        <w:jc w:val="center"/>
        <w:rPr>
          <w:rFonts w:ascii="Times New Roman" w:hAnsi="Times New Roman"/>
          <w:b/>
          <w:bCs/>
          <w:sz w:val="28"/>
          <w:szCs w:val="28"/>
        </w:rPr>
      </w:pPr>
      <w:r w:rsidRPr="00BB398C">
        <w:rPr>
          <w:rFonts w:ascii="Times New Roman" w:hAnsi="Times New Roman"/>
          <w:b/>
          <w:bCs/>
          <w:sz w:val="28"/>
          <w:szCs w:val="28"/>
        </w:rPr>
        <w:t>SUBMITTED TO</w:t>
      </w:r>
    </w:p>
    <w:p w14:paraId="6C66E887" w14:textId="5C5C1D53" w:rsidR="00BB398C" w:rsidRPr="00BB398C" w:rsidRDefault="00BB398C" w:rsidP="00BB398C">
      <w:pPr>
        <w:jc w:val="center"/>
        <w:rPr>
          <w:rFonts w:ascii="Times New Roman" w:hAnsi="Times New Roman"/>
          <w:b/>
          <w:bCs/>
          <w:sz w:val="28"/>
          <w:szCs w:val="28"/>
        </w:rPr>
      </w:pPr>
      <w:r w:rsidRPr="00BB398C">
        <w:rPr>
          <w:rFonts w:ascii="Times New Roman" w:hAnsi="Times New Roman"/>
          <w:b/>
          <w:bCs/>
          <w:sz w:val="28"/>
          <w:szCs w:val="28"/>
        </w:rPr>
        <w:t>DEPARTMENT OF MINERAL AND PETROLEUM RESOURCES</w:t>
      </w:r>
      <w:r>
        <w:rPr>
          <w:rFonts w:ascii="Times New Roman" w:hAnsi="Times New Roman"/>
          <w:b/>
          <w:bCs/>
          <w:sz w:val="28"/>
          <w:szCs w:val="28"/>
        </w:rPr>
        <w:t xml:space="preserve"> </w:t>
      </w:r>
      <w:r w:rsidRPr="00BB398C">
        <w:rPr>
          <w:rFonts w:ascii="Times New Roman" w:hAnsi="Times New Roman"/>
          <w:b/>
          <w:bCs/>
          <w:sz w:val="28"/>
          <w:szCs w:val="28"/>
        </w:rPr>
        <w:t>ENGINEERING TECHNOLOGY, INSTITUTE OF TECHNOLOGY,</w:t>
      </w:r>
      <w:r>
        <w:rPr>
          <w:rFonts w:ascii="Times New Roman" w:hAnsi="Times New Roman"/>
          <w:b/>
          <w:bCs/>
          <w:sz w:val="28"/>
          <w:szCs w:val="28"/>
        </w:rPr>
        <w:t xml:space="preserve"> </w:t>
      </w:r>
      <w:r w:rsidRPr="00BB398C">
        <w:rPr>
          <w:rFonts w:ascii="Times New Roman" w:hAnsi="Times New Roman"/>
          <w:b/>
          <w:bCs/>
          <w:sz w:val="28"/>
          <w:szCs w:val="28"/>
        </w:rPr>
        <w:t>KWARA STATE POLYTECHNIC, ILORIN.</w:t>
      </w:r>
      <w:r w:rsidRPr="00BB398C">
        <w:rPr>
          <w:rFonts w:ascii="Times New Roman" w:hAnsi="Times New Roman"/>
          <w:b/>
          <w:bCs/>
          <w:sz w:val="28"/>
          <w:szCs w:val="28"/>
        </w:rPr>
        <w:tab/>
      </w:r>
    </w:p>
    <w:p w14:paraId="0E34E0D5" w14:textId="77777777" w:rsidR="00BB398C" w:rsidRPr="00BB398C" w:rsidRDefault="00BB398C" w:rsidP="00BB398C">
      <w:pPr>
        <w:jc w:val="center"/>
        <w:rPr>
          <w:rFonts w:ascii="Times New Roman" w:hAnsi="Times New Roman"/>
          <w:b/>
          <w:bCs/>
          <w:sz w:val="28"/>
          <w:szCs w:val="28"/>
        </w:rPr>
      </w:pPr>
      <w:r w:rsidRPr="00BB398C">
        <w:rPr>
          <w:rFonts w:ascii="Times New Roman" w:hAnsi="Times New Roman"/>
          <w:b/>
          <w:bCs/>
          <w:sz w:val="28"/>
          <w:szCs w:val="28"/>
        </w:rPr>
        <w:t>IN PARTIAL FULFILLMENT OF THE REQUIREMENTS FOR THE AWARD OF HIGHER NATIONAL DIPLOMA (HND) IN MINING ENGINEERING TECHNOLOGY</w:t>
      </w:r>
    </w:p>
    <w:p w14:paraId="1DA201C7" w14:textId="77777777" w:rsidR="00BB398C" w:rsidRDefault="00BB398C" w:rsidP="00BB398C">
      <w:pPr>
        <w:spacing w:line="480" w:lineRule="auto"/>
        <w:rPr>
          <w:rFonts w:ascii="Times New Roman" w:hAnsi="Times New Roman"/>
          <w:sz w:val="24"/>
          <w:szCs w:val="24"/>
        </w:rPr>
      </w:pPr>
    </w:p>
    <w:p w14:paraId="6B2B042F" w14:textId="77777777" w:rsidR="00BB398C" w:rsidRDefault="00BB398C" w:rsidP="00BB398C">
      <w:pPr>
        <w:spacing w:line="480" w:lineRule="auto"/>
        <w:jc w:val="center"/>
        <w:rPr>
          <w:rFonts w:ascii="Times New Roman" w:hAnsi="Times New Roman"/>
          <w:b/>
          <w:bCs/>
          <w:sz w:val="24"/>
          <w:szCs w:val="24"/>
        </w:rPr>
      </w:pPr>
    </w:p>
    <w:p w14:paraId="52804BF5" w14:textId="1C514384" w:rsidR="00BB398C" w:rsidRPr="00BB398C" w:rsidRDefault="00BB398C" w:rsidP="00BB398C">
      <w:pPr>
        <w:spacing w:line="480" w:lineRule="auto"/>
        <w:jc w:val="right"/>
        <w:rPr>
          <w:rFonts w:ascii="Times New Roman" w:hAnsi="Times New Roman"/>
          <w:b/>
          <w:bCs/>
          <w:sz w:val="40"/>
          <w:szCs w:val="40"/>
        </w:rPr>
      </w:pPr>
      <w:r w:rsidRPr="00BB398C">
        <w:rPr>
          <w:rFonts w:ascii="Times New Roman" w:hAnsi="Times New Roman"/>
          <w:b/>
          <w:bCs/>
          <w:sz w:val="40"/>
          <w:szCs w:val="40"/>
        </w:rPr>
        <w:t>July, 2025</w:t>
      </w:r>
    </w:p>
    <w:p w14:paraId="1EEECAFA" w14:textId="77777777" w:rsidR="00BB398C" w:rsidRDefault="00BB398C" w:rsidP="00BB398C">
      <w:pPr>
        <w:spacing w:line="480" w:lineRule="auto"/>
        <w:jc w:val="center"/>
        <w:rPr>
          <w:rFonts w:ascii="Times New Roman" w:hAnsi="Times New Roman"/>
          <w:b/>
          <w:bCs/>
          <w:sz w:val="24"/>
          <w:szCs w:val="24"/>
        </w:rPr>
      </w:pPr>
    </w:p>
    <w:p w14:paraId="4E6BCCB2" w14:textId="77777777" w:rsidR="00BB398C" w:rsidRDefault="00BB398C" w:rsidP="00BB398C">
      <w:pPr>
        <w:spacing w:line="480" w:lineRule="auto"/>
        <w:jc w:val="center"/>
        <w:rPr>
          <w:rFonts w:ascii="Times New Roman" w:hAnsi="Times New Roman"/>
          <w:b/>
          <w:bCs/>
          <w:sz w:val="24"/>
          <w:szCs w:val="24"/>
        </w:rPr>
      </w:pPr>
    </w:p>
    <w:p w14:paraId="35C99C11" w14:textId="77777777" w:rsidR="00BB398C" w:rsidRDefault="00BB398C" w:rsidP="00BB398C">
      <w:pPr>
        <w:spacing w:line="480" w:lineRule="auto"/>
        <w:jc w:val="center"/>
        <w:rPr>
          <w:rFonts w:ascii="Times New Roman" w:hAnsi="Times New Roman"/>
          <w:b/>
          <w:bCs/>
          <w:sz w:val="24"/>
          <w:szCs w:val="24"/>
        </w:rPr>
      </w:pPr>
    </w:p>
    <w:p w14:paraId="49ED8B8C" w14:textId="12750654" w:rsidR="00BB398C" w:rsidRDefault="00BB398C" w:rsidP="00BB398C">
      <w:pPr>
        <w:spacing w:line="480" w:lineRule="auto"/>
        <w:jc w:val="center"/>
        <w:rPr>
          <w:rFonts w:ascii="Times New Roman" w:hAnsi="Times New Roman"/>
          <w:b/>
          <w:bCs/>
          <w:sz w:val="24"/>
          <w:szCs w:val="24"/>
        </w:rPr>
      </w:pPr>
      <w:r>
        <w:rPr>
          <w:rFonts w:ascii="Times New Roman" w:hAnsi="Times New Roman"/>
          <w:b/>
          <w:bCs/>
          <w:sz w:val="24"/>
          <w:szCs w:val="24"/>
        </w:rPr>
        <w:lastRenderedPageBreak/>
        <w:t xml:space="preserve">DEDICATION </w:t>
      </w:r>
    </w:p>
    <w:p w14:paraId="390F5293" w14:textId="77777777" w:rsidR="00BB398C" w:rsidRPr="00F56E81" w:rsidRDefault="00BB398C" w:rsidP="00BB398C">
      <w:pPr>
        <w:rPr>
          <w:rFonts w:ascii="Times New Roman" w:hAnsi="Times New Roman"/>
          <w:sz w:val="24"/>
          <w:szCs w:val="24"/>
        </w:rPr>
      </w:pPr>
      <w:r w:rsidRPr="00392D86">
        <w:rPr>
          <w:rFonts w:ascii="Times New Roman" w:hAnsi="Times New Roman"/>
          <w:sz w:val="24"/>
          <w:szCs w:val="24"/>
        </w:rPr>
        <w:t xml:space="preserve">This project is dedicated to Almighty </w:t>
      </w:r>
      <w:r>
        <w:rPr>
          <w:rFonts w:ascii="Times New Roman" w:hAnsi="Times New Roman"/>
          <w:sz w:val="24"/>
          <w:szCs w:val="24"/>
        </w:rPr>
        <w:t>Allah</w:t>
      </w:r>
      <w:r w:rsidRPr="00392D86">
        <w:rPr>
          <w:rFonts w:ascii="Times New Roman" w:hAnsi="Times New Roman"/>
          <w:sz w:val="24"/>
          <w:szCs w:val="24"/>
        </w:rPr>
        <w:t xml:space="preserve">, my lovely </w:t>
      </w:r>
      <w:r>
        <w:rPr>
          <w:rFonts w:ascii="Times New Roman" w:hAnsi="Times New Roman"/>
          <w:sz w:val="24"/>
          <w:szCs w:val="24"/>
        </w:rPr>
        <w:t xml:space="preserve">parent </w:t>
      </w:r>
      <w:r w:rsidRPr="00392D86">
        <w:rPr>
          <w:rFonts w:ascii="Times New Roman" w:hAnsi="Times New Roman"/>
          <w:sz w:val="24"/>
          <w:szCs w:val="24"/>
        </w:rPr>
        <w:t>and my amazing</w:t>
      </w:r>
      <w:r>
        <w:rPr>
          <w:rFonts w:ascii="Times New Roman" w:hAnsi="Times New Roman"/>
          <w:sz w:val="24"/>
          <w:szCs w:val="24"/>
        </w:rPr>
        <w:t xml:space="preserve"> </w:t>
      </w:r>
      <w:r w:rsidRPr="00392D86">
        <w:rPr>
          <w:rFonts w:ascii="Times New Roman" w:hAnsi="Times New Roman"/>
          <w:sz w:val="24"/>
          <w:szCs w:val="24"/>
        </w:rPr>
        <w:t>family for their</w:t>
      </w:r>
      <w:r>
        <w:rPr>
          <w:rFonts w:ascii="Times New Roman" w:hAnsi="Times New Roman"/>
          <w:sz w:val="24"/>
          <w:szCs w:val="24"/>
        </w:rPr>
        <w:t xml:space="preserve"> </w:t>
      </w:r>
      <w:r w:rsidRPr="00392D86">
        <w:rPr>
          <w:rFonts w:ascii="Times New Roman" w:hAnsi="Times New Roman"/>
          <w:sz w:val="24"/>
          <w:szCs w:val="24"/>
        </w:rPr>
        <w:t>support all through the years in school.</w:t>
      </w:r>
    </w:p>
    <w:p w14:paraId="1BDFADA4" w14:textId="77777777" w:rsidR="00BB398C" w:rsidRPr="004E5219" w:rsidRDefault="00BB398C" w:rsidP="00BB398C">
      <w:pPr>
        <w:rPr>
          <w:rFonts w:ascii="Times New Roman" w:hAnsi="Times New Roman"/>
          <w:sz w:val="24"/>
          <w:szCs w:val="24"/>
        </w:rPr>
      </w:pPr>
    </w:p>
    <w:p w14:paraId="6F15370E" w14:textId="77777777" w:rsidR="00BB398C" w:rsidRDefault="00BB398C" w:rsidP="00BB398C">
      <w:pPr>
        <w:spacing w:line="480" w:lineRule="auto"/>
        <w:jc w:val="center"/>
        <w:rPr>
          <w:rFonts w:ascii="Times New Roman" w:hAnsi="Times New Roman"/>
          <w:b/>
          <w:bCs/>
          <w:sz w:val="24"/>
          <w:szCs w:val="24"/>
        </w:rPr>
      </w:pPr>
    </w:p>
    <w:p w14:paraId="1BEE030F" w14:textId="77777777" w:rsidR="00BB398C" w:rsidRDefault="00BB398C" w:rsidP="00BB398C">
      <w:pPr>
        <w:spacing w:line="480" w:lineRule="auto"/>
        <w:jc w:val="center"/>
        <w:rPr>
          <w:rFonts w:ascii="Times New Roman" w:hAnsi="Times New Roman"/>
          <w:b/>
          <w:bCs/>
          <w:sz w:val="24"/>
          <w:szCs w:val="24"/>
        </w:rPr>
      </w:pPr>
    </w:p>
    <w:p w14:paraId="14F80A61" w14:textId="77777777" w:rsidR="00BB398C" w:rsidRDefault="00BB398C" w:rsidP="00BB398C">
      <w:pPr>
        <w:spacing w:line="480" w:lineRule="auto"/>
        <w:jc w:val="center"/>
        <w:rPr>
          <w:rFonts w:ascii="Times New Roman" w:hAnsi="Times New Roman"/>
          <w:b/>
          <w:bCs/>
          <w:sz w:val="24"/>
          <w:szCs w:val="24"/>
        </w:rPr>
      </w:pPr>
    </w:p>
    <w:p w14:paraId="0AB2D9FF" w14:textId="77777777" w:rsidR="00BB398C" w:rsidRDefault="00BB398C" w:rsidP="00BB398C">
      <w:pPr>
        <w:spacing w:line="480" w:lineRule="auto"/>
        <w:jc w:val="center"/>
        <w:rPr>
          <w:rFonts w:ascii="Times New Roman" w:hAnsi="Times New Roman"/>
          <w:b/>
          <w:bCs/>
          <w:sz w:val="24"/>
          <w:szCs w:val="24"/>
        </w:rPr>
      </w:pPr>
    </w:p>
    <w:p w14:paraId="0A61CC4E" w14:textId="77777777" w:rsidR="00BB398C" w:rsidRDefault="00BB398C" w:rsidP="00BB398C">
      <w:pPr>
        <w:spacing w:line="480" w:lineRule="auto"/>
        <w:jc w:val="center"/>
        <w:rPr>
          <w:rFonts w:ascii="Times New Roman" w:hAnsi="Times New Roman"/>
          <w:b/>
          <w:bCs/>
          <w:sz w:val="24"/>
          <w:szCs w:val="24"/>
        </w:rPr>
      </w:pPr>
    </w:p>
    <w:p w14:paraId="64E77672" w14:textId="77777777" w:rsidR="00BB398C" w:rsidRDefault="00BB398C" w:rsidP="00BB398C">
      <w:pPr>
        <w:spacing w:line="480" w:lineRule="auto"/>
        <w:jc w:val="center"/>
        <w:rPr>
          <w:rFonts w:ascii="Times New Roman" w:hAnsi="Times New Roman"/>
          <w:b/>
          <w:bCs/>
          <w:sz w:val="24"/>
          <w:szCs w:val="24"/>
        </w:rPr>
      </w:pPr>
    </w:p>
    <w:p w14:paraId="1EB7D067" w14:textId="77777777" w:rsidR="00BB398C" w:rsidRDefault="00BB398C" w:rsidP="00BB398C">
      <w:pPr>
        <w:spacing w:line="480" w:lineRule="auto"/>
        <w:jc w:val="center"/>
        <w:rPr>
          <w:rFonts w:ascii="Times New Roman" w:hAnsi="Times New Roman"/>
          <w:b/>
          <w:bCs/>
          <w:sz w:val="24"/>
          <w:szCs w:val="24"/>
        </w:rPr>
      </w:pPr>
    </w:p>
    <w:p w14:paraId="0CC2C2DB" w14:textId="77777777" w:rsidR="00BB398C" w:rsidRDefault="00BB398C" w:rsidP="00BB398C">
      <w:pPr>
        <w:spacing w:line="480" w:lineRule="auto"/>
        <w:jc w:val="center"/>
        <w:rPr>
          <w:rFonts w:ascii="Times New Roman" w:hAnsi="Times New Roman"/>
          <w:b/>
          <w:bCs/>
          <w:sz w:val="24"/>
          <w:szCs w:val="24"/>
        </w:rPr>
      </w:pPr>
    </w:p>
    <w:p w14:paraId="26BA1152" w14:textId="77777777" w:rsidR="00BB398C" w:rsidRDefault="00BB398C" w:rsidP="00BB398C">
      <w:pPr>
        <w:spacing w:line="480" w:lineRule="auto"/>
        <w:jc w:val="center"/>
        <w:rPr>
          <w:rFonts w:ascii="Times New Roman" w:hAnsi="Times New Roman"/>
          <w:b/>
          <w:bCs/>
          <w:sz w:val="24"/>
          <w:szCs w:val="24"/>
        </w:rPr>
      </w:pPr>
    </w:p>
    <w:p w14:paraId="4B372E63" w14:textId="77777777" w:rsidR="00BB398C" w:rsidRDefault="00BB398C" w:rsidP="00BB398C">
      <w:pPr>
        <w:spacing w:line="480" w:lineRule="auto"/>
        <w:jc w:val="center"/>
        <w:rPr>
          <w:rFonts w:ascii="Times New Roman" w:hAnsi="Times New Roman"/>
          <w:b/>
          <w:bCs/>
          <w:sz w:val="24"/>
          <w:szCs w:val="24"/>
        </w:rPr>
      </w:pPr>
    </w:p>
    <w:p w14:paraId="1EFB5D44" w14:textId="77777777" w:rsidR="00BB398C" w:rsidRDefault="00BB398C" w:rsidP="00BB398C">
      <w:pPr>
        <w:spacing w:line="480" w:lineRule="auto"/>
        <w:jc w:val="center"/>
        <w:rPr>
          <w:rFonts w:ascii="Times New Roman" w:hAnsi="Times New Roman"/>
          <w:b/>
          <w:bCs/>
          <w:sz w:val="24"/>
          <w:szCs w:val="24"/>
        </w:rPr>
      </w:pPr>
    </w:p>
    <w:p w14:paraId="2C35B041" w14:textId="77777777" w:rsidR="00BB398C" w:rsidRDefault="00BB398C" w:rsidP="00BB398C">
      <w:pPr>
        <w:spacing w:line="480" w:lineRule="auto"/>
        <w:jc w:val="center"/>
        <w:rPr>
          <w:rFonts w:ascii="Times New Roman" w:hAnsi="Times New Roman"/>
          <w:b/>
          <w:bCs/>
          <w:sz w:val="24"/>
          <w:szCs w:val="24"/>
        </w:rPr>
      </w:pPr>
    </w:p>
    <w:p w14:paraId="22B76A15" w14:textId="77777777" w:rsidR="00BB398C" w:rsidRDefault="00BB398C" w:rsidP="00BB398C">
      <w:pPr>
        <w:spacing w:line="480" w:lineRule="auto"/>
        <w:jc w:val="center"/>
        <w:rPr>
          <w:rFonts w:ascii="Times New Roman" w:hAnsi="Times New Roman"/>
          <w:b/>
          <w:bCs/>
          <w:sz w:val="24"/>
          <w:szCs w:val="24"/>
        </w:rPr>
      </w:pPr>
    </w:p>
    <w:p w14:paraId="716D7181" w14:textId="77777777" w:rsidR="00BB398C" w:rsidRDefault="00BB398C" w:rsidP="00BB398C">
      <w:pPr>
        <w:spacing w:line="480" w:lineRule="auto"/>
        <w:jc w:val="center"/>
        <w:rPr>
          <w:rFonts w:ascii="Times New Roman" w:hAnsi="Times New Roman"/>
          <w:b/>
          <w:bCs/>
          <w:sz w:val="24"/>
          <w:szCs w:val="24"/>
        </w:rPr>
      </w:pPr>
    </w:p>
    <w:p w14:paraId="0EA865D1" w14:textId="77777777" w:rsidR="00BB398C" w:rsidRDefault="00BB398C" w:rsidP="00BB398C">
      <w:pPr>
        <w:spacing w:line="480" w:lineRule="auto"/>
        <w:rPr>
          <w:rFonts w:ascii="Times New Roman" w:hAnsi="Times New Roman"/>
          <w:b/>
          <w:bCs/>
          <w:sz w:val="24"/>
          <w:szCs w:val="24"/>
        </w:rPr>
      </w:pPr>
    </w:p>
    <w:p w14:paraId="47E8EFDC" w14:textId="7F7FC08A" w:rsidR="00BB398C" w:rsidRDefault="00AA759E" w:rsidP="001C59E3">
      <w:pPr>
        <w:spacing w:after="0" w:line="360" w:lineRule="auto"/>
        <w:jc w:val="center"/>
        <w:rPr>
          <w:rFonts w:ascii="Times New Roman" w:hAnsi="Times New Roman"/>
          <w:sz w:val="24"/>
          <w:szCs w:val="24"/>
        </w:rPr>
      </w:pPr>
      <w:bookmarkStart w:id="0" w:name="_GoBack"/>
      <w:bookmarkEnd w:id="0"/>
      <w:r w:rsidRPr="00AA759E">
        <w:rPr>
          <w:rFonts w:ascii="Times New Roman" w:hAnsi="Times New Roman"/>
          <w:b/>
          <w:bCs/>
          <w:noProof/>
          <w:sz w:val="24"/>
          <w:szCs w:val="24"/>
          <w:lang w:eastAsia="en-US"/>
        </w:rPr>
        <w:lastRenderedPageBreak/>
        <w:drawing>
          <wp:inline distT="0" distB="0" distL="0" distR="0" wp14:anchorId="24679755" wp14:editId="0B6A1DCF">
            <wp:extent cx="5943600" cy="8472982"/>
            <wp:effectExtent l="0" t="0" r="0" b="4445"/>
            <wp:docPr id="1" name="Picture 1" descr="C:\Users\USER\Desktop\6bebf3dd-c288-42e8-ab64-7265fd302a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bebf3dd-c288-42e8-ab64-7265fd302a8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472982"/>
                    </a:xfrm>
                    <a:prstGeom prst="rect">
                      <a:avLst/>
                    </a:prstGeom>
                    <a:noFill/>
                    <a:ln>
                      <a:noFill/>
                    </a:ln>
                  </pic:spPr>
                </pic:pic>
              </a:graphicData>
            </a:graphic>
          </wp:inline>
        </w:drawing>
      </w:r>
      <w:r w:rsidR="00BB398C">
        <w:rPr>
          <w:rFonts w:ascii="Times New Roman" w:hAnsi="Times New Roman"/>
          <w:b/>
          <w:bCs/>
          <w:sz w:val="24"/>
          <w:szCs w:val="24"/>
        </w:rPr>
        <w:lastRenderedPageBreak/>
        <w:t xml:space="preserve">ACKNOWLEDGMENT </w:t>
      </w:r>
    </w:p>
    <w:p w14:paraId="4E46A7FB" w14:textId="296D37FF" w:rsidR="00BB398C" w:rsidRDefault="00BB398C" w:rsidP="001C59E3">
      <w:pPr>
        <w:spacing w:after="0" w:line="360" w:lineRule="auto"/>
        <w:ind w:firstLine="720"/>
        <w:jc w:val="both"/>
        <w:rPr>
          <w:rFonts w:ascii="Times New Roman" w:hAnsi="Times New Roman"/>
          <w:sz w:val="24"/>
          <w:szCs w:val="24"/>
        </w:rPr>
      </w:pPr>
      <w:r>
        <w:rPr>
          <w:rFonts w:ascii="Times New Roman" w:hAnsi="Times New Roman"/>
          <w:sz w:val="24"/>
          <w:szCs w:val="24"/>
        </w:rPr>
        <w:t xml:space="preserve">I thank </w:t>
      </w:r>
      <w:r w:rsidRPr="00B20CCC">
        <w:rPr>
          <w:rFonts w:ascii="Times New Roman" w:hAnsi="Times New Roman"/>
          <w:sz w:val="24"/>
          <w:szCs w:val="24"/>
        </w:rPr>
        <w:t>I thank the Almighty Allah for his abundant blessings and protection over me throughout</w:t>
      </w:r>
      <w:r>
        <w:rPr>
          <w:rFonts w:ascii="Times New Roman" w:hAnsi="Times New Roman"/>
          <w:sz w:val="24"/>
          <w:szCs w:val="24"/>
        </w:rPr>
        <w:t xml:space="preserve"> </w:t>
      </w:r>
      <w:r w:rsidRPr="00B20CCC">
        <w:rPr>
          <w:rFonts w:ascii="Times New Roman" w:hAnsi="Times New Roman"/>
          <w:sz w:val="24"/>
          <w:szCs w:val="24"/>
        </w:rPr>
        <w:t xml:space="preserve">my Higher National Diploma (HND) </w:t>
      </w:r>
      <w:r>
        <w:rPr>
          <w:rFonts w:ascii="Times New Roman" w:hAnsi="Times New Roman"/>
          <w:sz w:val="24"/>
          <w:szCs w:val="24"/>
        </w:rPr>
        <w:t xml:space="preserve">programme </w:t>
      </w:r>
      <w:r w:rsidRPr="00B20CCC">
        <w:rPr>
          <w:rFonts w:ascii="Times New Roman" w:hAnsi="Times New Roman"/>
          <w:sz w:val="24"/>
          <w:szCs w:val="24"/>
        </w:rPr>
        <w:t xml:space="preserve"> in Kwara State Polytechnic, </w:t>
      </w:r>
      <w:r>
        <w:rPr>
          <w:rFonts w:ascii="Times New Roman" w:hAnsi="Times New Roman"/>
          <w:sz w:val="24"/>
          <w:szCs w:val="24"/>
        </w:rPr>
        <w:t>I</w:t>
      </w:r>
      <w:r w:rsidRPr="00B20CCC">
        <w:rPr>
          <w:rFonts w:ascii="Times New Roman" w:hAnsi="Times New Roman"/>
          <w:sz w:val="24"/>
          <w:szCs w:val="24"/>
        </w:rPr>
        <w:t>lorin, without him</w:t>
      </w:r>
      <w:r>
        <w:rPr>
          <w:rFonts w:ascii="Times New Roman" w:hAnsi="Times New Roman"/>
          <w:sz w:val="24"/>
          <w:szCs w:val="24"/>
        </w:rPr>
        <w:t xml:space="preserve"> I </w:t>
      </w:r>
      <w:r w:rsidRPr="00B20CCC">
        <w:rPr>
          <w:rFonts w:ascii="Times New Roman" w:hAnsi="Times New Roman"/>
          <w:sz w:val="24"/>
          <w:szCs w:val="24"/>
        </w:rPr>
        <w:t>would not be and neither would I produce this project.</w:t>
      </w:r>
    </w:p>
    <w:p w14:paraId="07A738F4" w14:textId="77777777" w:rsidR="00BB398C" w:rsidRDefault="00BB398C" w:rsidP="001C59E3">
      <w:pPr>
        <w:spacing w:after="0" w:line="360" w:lineRule="auto"/>
        <w:ind w:firstLine="720"/>
        <w:jc w:val="both"/>
        <w:rPr>
          <w:rFonts w:ascii="Times New Roman" w:hAnsi="Times New Roman"/>
          <w:sz w:val="24"/>
          <w:szCs w:val="24"/>
        </w:rPr>
      </w:pPr>
      <w:r w:rsidRPr="00F978F0">
        <w:rPr>
          <w:rFonts w:ascii="Times New Roman" w:hAnsi="Times New Roman"/>
          <w:sz w:val="24"/>
          <w:szCs w:val="24"/>
        </w:rPr>
        <w:t>I express my sincere gratitude to my supervisor Dr. J.A. Olatunji and other lecturers in</w:t>
      </w:r>
      <w:r>
        <w:rPr>
          <w:rFonts w:ascii="Times New Roman" w:hAnsi="Times New Roman"/>
          <w:sz w:val="24"/>
          <w:szCs w:val="24"/>
        </w:rPr>
        <w:t xml:space="preserve"> </w:t>
      </w:r>
      <w:r w:rsidRPr="00F978F0">
        <w:rPr>
          <w:rFonts w:ascii="Times New Roman" w:hAnsi="Times New Roman"/>
          <w:sz w:val="24"/>
          <w:szCs w:val="24"/>
        </w:rPr>
        <w:t xml:space="preserve">Department of </w:t>
      </w:r>
      <w:r>
        <w:rPr>
          <w:rFonts w:ascii="Times New Roman" w:hAnsi="Times New Roman"/>
          <w:sz w:val="24"/>
          <w:szCs w:val="24"/>
        </w:rPr>
        <w:t xml:space="preserve"> </w:t>
      </w:r>
      <w:r w:rsidRPr="00F978F0">
        <w:rPr>
          <w:rFonts w:ascii="Times New Roman" w:hAnsi="Times New Roman"/>
          <w:sz w:val="24"/>
          <w:szCs w:val="24"/>
        </w:rPr>
        <w:t>Minerals and Petroleum Resources Engineering Technology, Kwara State</w:t>
      </w:r>
      <w:r>
        <w:rPr>
          <w:rFonts w:ascii="Times New Roman" w:hAnsi="Times New Roman"/>
          <w:sz w:val="24"/>
          <w:szCs w:val="24"/>
        </w:rPr>
        <w:t xml:space="preserve"> </w:t>
      </w:r>
      <w:r w:rsidRPr="00F978F0">
        <w:rPr>
          <w:rFonts w:ascii="Times New Roman" w:hAnsi="Times New Roman"/>
          <w:sz w:val="24"/>
          <w:szCs w:val="24"/>
        </w:rPr>
        <w:t>Polytechnic for availing me with their wealth of experience, may you all be rewarded</w:t>
      </w:r>
      <w:r>
        <w:rPr>
          <w:rFonts w:ascii="Times New Roman" w:hAnsi="Times New Roman"/>
          <w:sz w:val="24"/>
          <w:szCs w:val="24"/>
        </w:rPr>
        <w:t xml:space="preserve"> </w:t>
      </w:r>
      <w:r w:rsidRPr="00F978F0">
        <w:rPr>
          <w:rFonts w:ascii="Times New Roman" w:hAnsi="Times New Roman"/>
          <w:sz w:val="24"/>
          <w:szCs w:val="24"/>
        </w:rPr>
        <w:t>abundantly.</w:t>
      </w:r>
    </w:p>
    <w:p w14:paraId="3540AA47" w14:textId="77777777" w:rsidR="00BB398C" w:rsidRDefault="00BB398C" w:rsidP="001C59E3">
      <w:pPr>
        <w:spacing w:after="0" w:line="360" w:lineRule="auto"/>
        <w:ind w:firstLine="720"/>
        <w:jc w:val="both"/>
        <w:rPr>
          <w:rFonts w:ascii="Times New Roman" w:hAnsi="Times New Roman"/>
          <w:sz w:val="24"/>
          <w:szCs w:val="24"/>
        </w:rPr>
      </w:pPr>
      <w:r w:rsidRPr="00D469EE">
        <w:rPr>
          <w:rFonts w:ascii="Times New Roman" w:hAnsi="Times New Roman"/>
          <w:sz w:val="24"/>
          <w:szCs w:val="24"/>
        </w:rPr>
        <w:t xml:space="preserve">An immeasurable appreciation goes to my wonderful parents Mr. and Mrs. </w:t>
      </w:r>
      <w:r>
        <w:rPr>
          <w:rFonts w:ascii="Times New Roman" w:hAnsi="Times New Roman"/>
          <w:sz w:val="24"/>
          <w:szCs w:val="24"/>
        </w:rPr>
        <w:t xml:space="preserve">MUSA for their unrelentless efforts  </w:t>
      </w:r>
      <w:r w:rsidRPr="00D469EE">
        <w:rPr>
          <w:rFonts w:ascii="Times New Roman" w:hAnsi="Times New Roman"/>
          <w:sz w:val="24"/>
          <w:szCs w:val="24"/>
        </w:rPr>
        <w:t>and all my lovely family members, It is a blessing to have you as my family, thanks for your moral, spiritual, physical</w:t>
      </w:r>
      <w:r>
        <w:rPr>
          <w:rFonts w:ascii="Times New Roman" w:hAnsi="Times New Roman"/>
          <w:sz w:val="24"/>
          <w:szCs w:val="24"/>
        </w:rPr>
        <w:t xml:space="preserve"> </w:t>
      </w:r>
      <w:r w:rsidRPr="00D469EE">
        <w:rPr>
          <w:rFonts w:ascii="Times New Roman" w:hAnsi="Times New Roman"/>
          <w:sz w:val="24"/>
          <w:szCs w:val="24"/>
        </w:rPr>
        <w:t>and financial support toward the completion of this project; God will bless and reward you</w:t>
      </w:r>
      <w:r>
        <w:rPr>
          <w:rFonts w:ascii="Times New Roman" w:hAnsi="Times New Roman"/>
          <w:sz w:val="24"/>
          <w:szCs w:val="24"/>
        </w:rPr>
        <w:t xml:space="preserve"> </w:t>
      </w:r>
      <w:r w:rsidRPr="00D469EE">
        <w:rPr>
          <w:rFonts w:ascii="Times New Roman" w:hAnsi="Times New Roman"/>
          <w:sz w:val="24"/>
          <w:szCs w:val="24"/>
        </w:rPr>
        <w:t>accordingly (Amen).</w:t>
      </w:r>
    </w:p>
    <w:p w14:paraId="6FF675D4" w14:textId="77777777" w:rsidR="00BB398C" w:rsidRDefault="00BB398C" w:rsidP="00BB398C">
      <w:pPr>
        <w:rPr>
          <w:rFonts w:ascii="Times New Roman" w:hAnsi="Times New Roman"/>
          <w:b/>
          <w:bCs/>
          <w:sz w:val="24"/>
          <w:szCs w:val="24"/>
        </w:rPr>
      </w:pPr>
    </w:p>
    <w:p w14:paraId="7DFA9411" w14:textId="77777777" w:rsidR="00BB398C" w:rsidRDefault="00BB398C" w:rsidP="00BB398C">
      <w:pPr>
        <w:rPr>
          <w:rFonts w:ascii="Times New Roman" w:hAnsi="Times New Roman"/>
          <w:b/>
          <w:bCs/>
          <w:sz w:val="24"/>
          <w:szCs w:val="24"/>
        </w:rPr>
      </w:pPr>
    </w:p>
    <w:p w14:paraId="1229DAD2" w14:textId="77777777" w:rsidR="00BB398C" w:rsidRDefault="00BB398C" w:rsidP="00BB398C">
      <w:pPr>
        <w:rPr>
          <w:rFonts w:ascii="Times New Roman" w:hAnsi="Times New Roman"/>
          <w:b/>
          <w:bCs/>
          <w:sz w:val="24"/>
          <w:szCs w:val="24"/>
        </w:rPr>
      </w:pPr>
    </w:p>
    <w:p w14:paraId="588E0C8E" w14:textId="77777777" w:rsidR="00BB398C" w:rsidRDefault="00BB398C" w:rsidP="00BB398C">
      <w:pPr>
        <w:rPr>
          <w:rFonts w:ascii="Times New Roman" w:hAnsi="Times New Roman"/>
          <w:b/>
          <w:bCs/>
          <w:sz w:val="24"/>
          <w:szCs w:val="24"/>
        </w:rPr>
      </w:pPr>
    </w:p>
    <w:p w14:paraId="615C7550" w14:textId="77777777" w:rsidR="00BB398C" w:rsidRDefault="00BB398C" w:rsidP="00BB398C">
      <w:pPr>
        <w:rPr>
          <w:rFonts w:ascii="Times New Roman" w:hAnsi="Times New Roman"/>
          <w:b/>
          <w:bCs/>
          <w:sz w:val="24"/>
          <w:szCs w:val="24"/>
        </w:rPr>
      </w:pPr>
    </w:p>
    <w:p w14:paraId="22F79ED3" w14:textId="77777777" w:rsidR="00BB398C" w:rsidRDefault="00BB398C" w:rsidP="00BB398C">
      <w:pPr>
        <w:rPr>
          <w:rFonts w:ascii="Times New Roman" w:hAnsi="Times New Roman"/>
          <w:b/>
          <w:bCs/>
          <w:sz w:val="24"/>
          <w:szCs w:val="24"/>
        </w:rPr>
      </w:pPr>
    </w:p>
    <w:p w14:paraId="35A1ED91" w14:textId="77777777" w:rsidR="00BB398C" w:rsidRDefault="00BB398C" w:rsidP="00BB398C">
      <w:pPr>
        <w:rPr>
          <w:rFonts w:ascii="Times New Roman" w:hAnsi="Times New Roman"/>
          <w:b/>
          <w:bCs/>
          <w:sz w:val="24"/>
          <w:szCs w:val="24"/>
        </w:rPr>
      </w:pPr>
    </w:p>
    <w:p w14:paraId="0F9FC259" w14:textId="77777777" w:rsidR="00BB398C" w:rsidRDefault="00BB398C" w:rsidP="00BB398C">
      <w:pPr>
        <w:rPr>
          <w:rFonts w:ascii="Times New Roman" w:hAnsi="Times New Roman"/>
          <w:b/>
          <w:bCs/>
          <w:sz w:val="24"/>
          <w:szCs w:val="24"/>
        </w:rPr>
      </w:pPr>
    </w:p>
    <w:p w14:paraId="493B245B" w14:textId="77777777" w:rsidR="00BB398C" w:rsidRDefault="00BB398C" w:rsidP="00BB398C">
      <w:pPr>
        <w:rPr>
          <w:rFonts w:ascii="Times New Roman" w:hAnsi="Times New Roman"/>
          <w:b/>
          <w:bCs/>
          <w:sz w:val="24"/>
          <w:szCs w:val="24"/>
        </w:rPr>
      </w:pPr>
    </w:p>
    <w:p w14:paraId="6A24F799" w14:textId="77777777" w:rsidR="00BB398C" w:rsidRDefault="00BB398C" w:rsidP="00BB398C">
      <w:pPr>
        <w:rPr>
          <w:rFonts w:ascii="Times New Roman" w:hAnsi="Times New Roman"/>
          <w:b/>
          <w:bCs/>
          <w:sz w:val="24"/>
          <w:szCs w:val="24"/>
        </w:rPr>
      </w:pPr>
    </w:p>
    <w:p w14:paraId="3722F48E" w14:textId="77777777" w:rsidR="00BB398C" w:rsidRDefault="00BB398C" w:rsidP="00BB398C">
      <w:pPr>
        <w:rPr>
          <w:rFonts w:ascii="Times New Roman" w:hAnsi="Times New Roman"/>
          <w:b/>
          <w:bCs/>
          <w:sz w:val="24"/>
          <w:szCs w:val="24"/>
        </w:rPr>
      </w:pPr>
    </w:p>
    <w:p w14:paraId="29699604" w14:textId="77777777" w:rsidR="00BB398C" w:rsidRDefault="00BB398C" w:rsidP="00BB398C">
      <w:pPr>
        <w:rPr>
          <w:rFonts w:ascii="Times New Roman" w:hAnsi="Times New Roman"/>
          <w:b/>
          <w:bCs/>
          <w:sz w:val="24"/>
          <w:szCs w:val="24"/>
        </w:rPr>
      </w:pPr>
    </w:p>
    <w:p w14:paraId="4DF13018" w14:textId="77777777" w:rsidR="00BB398C" w:rsidRDefault="00BB398C" w:rsidP="00BB398C">
      <w:pPr>
        <w:rPr>
          <w:rFonts w:ascii="Times New Roman" w:hAnsi="Times New Roman"/>
          <w:b/>
          <w:bCs/>
          <w:sz w:val="24"/>
          <w:szCs w:val="24"/>
        </w:rPr>
      </w:pPr>
    </w:p>
    <w:p w14:paraId="7260AA6E" w14:textId="77777777" w:rsidR="00BB398C" w:rsidRDefault="00BB398C" w:rsidP="00BB398C">
      <w:pPr>
        <w:rPr>
          <w:rFonts w:ascii="Times New Roman" w:hAnsi="Times New Roman"/>
          <w:b/>
          <w:bCs/>
          <w:sz w:val="24"/>
          <w:szCs w:val="24"/>
        </w:rPr>
      </w:pPr>
    </w:p>
    <w:p w14:paraId="6BFCC04D" w14:textId="77777777" w:rsidR="001C59E3" w:rsidRDefault="001C59E3" w:rsidP="00BB398C">
      <w:pPr>
        <w:rPr>
          <w:rFonts w:ascii="Times New Roman" w:hAnsi="Times New Roman"/>
          <w:b/>
          <w:bCs/>
          <w:sz w:val="24"/>
          <w:szCs w:val="24"/>
        </w:rPr>
      </w:pPr>
    </w:p>
    <w:p w14:paraId="36654372" w14:textId="77777777" w:rsidR="001C59E3" w:rsidRDefault="001C59E3" w:rsidP="00BB398C">
      <w:pPr>
        <w:rPr>
          <w:rFonts w:ascii="Times New Roman" w:hAnsi="Times New Roman"/>
          <w:b/>
          <w:bCs/>
          <w:sz w:val="24"/>
          <w:szCs w:val="24"/>
        </w:rPr>
      </w:pPr>
    </w:p>
    <w:p w14:paraId="08092F7D" w14:textId="06EA922D" w:rsidR="00E150AD" w:rsidRDefault="00AA1020">
      <w:pPr>
        <w:jc w:val="center"/>
        <w:rPr>
          <w:rFonts w:ascii="Times New Roman" w:hAnsi="Times New Roman"/>
          <w:b/>
          <w:bCs/>
          <w:sz w:val="24"/>
          <w:szCs w:val="24"/>
        </w:rPr>
      </w:pPr>
      <w:r>
        <w:rPr>
          <w:rFonts w:ascii="Times New Roman" w:hAnsi="Times New Roman"/>
          <w:b/>
          <w:bCs/>
          <w:sz w:val="24"/>
          <w:szCs w:val="24"/>
        </w:rPr>
        <w:lastRenderedPageBreak/>
        <w:t>ABSTRACT</w:t>
      </w:r>
    </w:p>
    <w:p w14:paraId="636F7A17" w14:textId="77777777" w:rsidR="00E150AD" w:rsidRDefault="00AA1020">
      <w:pPr>
        <w:jc w:val="both"/>
        <w:rPr>
          <w:rFonts w:ascii="Times New Roman" w:hAnsi="Times New Roman"/>
          <w:sz w:val="24"/>
          <w:szCs w:val="24"/>
        </w:rPr>
      </w:pPr>
      <w:r>
        <w:rPr>
          <w:rFonts w:ascii="Times New Roman" w:hAnsi="Times New Roman"/>
          <w:sz w:val="24"/>
          <w:szCs w:val="24"/>
        </w:rPr>
        <w:t xml:space="preserve">This research focuses on the geochemical and mineralogical assessment of Igbelowa clay deposit in Kwara State, Northcentral Nigeria, to evaluate its </w:t>
      </w:r>
      <w:r>
        <w:rPr>
          <w:rFonts w:ascii="Times New Roman" w:hAnsi="Times New Roman"/>
          <w:sz w:val="24"/>
          <w:szCs w:val="24"/>
        </w:rPr>
        <w:t>industrial suitability and potential applications. Clay samples were collected from the deposit and analyzed using X-ray Diffraction (XRD) and X-ray Fluorescence (XRF) techniques to determine their mineral phases and chemical compositions.  The XRD results</w:t>
      </w:r>
      <w:r>
        <w:rPr>
          <w:rFonts w:ascii="Times New Roman" w:hAnsi="Times New Roman"/>
          <w:sz w:val="24"/>
          <w:szCs w:val="24"/>
        </w:rPr>
        <w:t xml:space="preserve"> revealed that Sample A is dominated by phengite (41.1%), kaolinite (39.6%), and albite (19.3%), while Sample B is characterized by high albite content (69.3%), muscovite (23.8%), and a minor amount of kaolinite (6.9%). These mineralogical variations sugge</w:t>
      </w:r>
      <w:r>
        <w:rPr>
          <w:rFonts w:ascii="Times New Roman" w:hAnsi="Times New Roman"/>
          <w:sz w:val="24"/>
          <w:szCs w:val="24"/>
        </w:rPr>
        <w:t>st different industrial functionalities, with Sample A showing higher refractory potential and Sample B being suitable for fluxing in ceramic production. The XRF analysis showed that Sample A is rich in Al₂O₃ (28.87%), Fe₂O₃ (9.49%), and TiO₂ (2.47%), whic</w:t>
      </w:r>
      <w:r>
        <w:rPr>
          <w:rFonts w:ascii="Times New Roman" w:hAnsi="Times New Roman"/>
          <w:sz w:val="24"/>
          <w:szCs w:val="24"/>
        </w:rPr>
        <w:t>h are beneficial for the production of refractory bricks, tiles, and structural materials. Conversely, Sample B has a significantly higher SiO₂ content (65.33%) and lower Fe₂O₃ (2.73%), making it more suitable for ceramics and silica-dependent applications</w:t>
      </w:r>
      <w:r>
        <w:rPr>
          <w:rFonts w:ascii="Times New Roman" w:hAnsi="Times New Roman"/>
          <w:sz w:val="24"/>
          <w:szCs w:val="24"/>
        </w:rPr>
        <w:t>. Both samples contain minor fluxing oxides such as Na₂O and K₂O, which enhance vitrification during firing. These results indicate that Igbelowa clay is a valuable industrial resource with applications in ceramics, refractories, and construction materials</w:t>
      </w:r>
      <w:r>
        <w:rPr>
          <w:rFonts w:ascii="Times New Roman" w:hAnsi="Times New Roman"/>
          <w:sz w:val="24"/>
          <w:szCs w:val="24"/>
        </w:rPr>
        <w:t>. Furthermore, blending Samples A and B could optimize their properties by balancing the high alumina content of Sample A with the high silica content of Sample B. It is recommended that further studies, including beneficiation, thermal analysis, and trace</w:t>
      </w:r>
      <w:r>
        <w:rPr>
          <w:rFonts w:ascii="Times New Roman" w:hAnsi="Times New Roman"/>
          <w:sz w:val="24"/>
          <w:szCs w:val="24"/>
        </w:rPr>
        <w:t xml:space="preserve"> element assessment, be carried out to enhance the quality of Igbelowa clay for specialized applications. Sustainable mining practices and industrial-scale development are also necessary to maximize its economic benefits and support local industries.</w:t>
      </w:r>
    </w:p>
    <w:p w14:paraId="46ABC096" w14:textId="77777777" w:rsidR="00E150AD" w:rsidRDefault="00E150AD">
      <w:pPr>
        <w:spacing w:after="0" w:line="480" w:lineRule="auto"/>
        <w:jc w:val="center"/>
        <w:outlineLvl w:val="1"/>
        <w:rPr>
          <w:rFonts w:ascii="Times New Roman" w:hAnsi="Times New Roman"/>
          <w:b/>
          <w:bCs/>
          <w:sz w:val="24"/>
          <w:szCs w:val="24"/>
        </w:rPr>
      </w:pPr>
    </w:p>
    <w:p w14:paraId="4889415E" w14:textId="77777777" w:rsidR="00BB398C" w:rsidRDefault="00BB398C">
      <w:pPr>
        <w:spacing w:after="160" w:line="259" w:lineRule="auto"/>
        <w:rPr>
          <w:rFonts w:ascii="Times New Roman" w:hAnsi="Times New Roman"/>
          <w:b/>
          <w:bCs/>
          <w:sz w:val="24"/>
          <w:szCs w:val="24"/>
        </w:rPr>
      </w:pPr>
    </w:p>
    <w:p w14:paraId="3E52D3C2" w14:textId="77777777" w:rsidR="00BB398C" w:rsidRDefault="00BB398C">
      <w:pPr>
        <w:spacing w:after="160" w:line="259" w:lineRule="auto"/>
        <w:rPr>
          <w:rFonts w:ascii="Times New Roman" w:hAnsi="Times New Roman"/>
          <w:b/>
          <w:bCs/>
          <w:sz w:val="24"/>
          <w:szCs w:val="24"/>
        </w:rPr>
      </w:pPr>
    </w:p>
    <w:p w14:paraId="35806CB5" w14:textId="77777777" w:rsidR="00BB398C" w:rsidRDefault="00BB398C">
      <w:pPr>
        <w:spacing w:after="160" w:line="259" w:lineRule="auto"/>
        <w:rPr>
          <w:rFonts w:ascii="Times New Roman" w:hAnsi="Times New Roman"/>
          <w:b/>
          <w:bCs/>
          <w:sz w:val="24"/>
          <w:szCs w:val="24"/>
        </w:rPr>
      </w:pPr>
    </w:p>
    <w:p w14:paraId="4E5DAC50" w14:textId="77777777" w:rsidR="00BB398C" w:rsidRDefault="00BB398C">
      <w:pPr>
        <w:spacing w:after="160" w:line="259" w:lineRule="auto"/>
        <w:rPr>
          <w:rFonts w:ascii="Times New Roman" w:hAnsi="Times New Roman"/>
          <w:b/>
          <w:bCs/>
          <w:sz w:val="24"/>
          <w:szCs w:val="24"/>
        </w:rPr>
      </w:pPr>
    </w:p>
    <w:p w14:paraId="24D4ECDD" w14:textId="77777777" w:rsidR="00BB398C" w:rsidRDefault="00BB398C">
      <w:pPr>
        <w:spacing w:after="160" w:line="259" w:lineRule="auto"/>
        <w:rPr>
          <w:rFonts w:ascii="Times New Roman" w:hAnsi="Times New Roman"/>
          <w:b/>
          <w:bCs/>
          <w:sz w:val="24"/>
          <w:szCs w:val="24"/>
        </w:rPr>
      </w:pPr>
    </w:p>
    <w:p w14:paraId="793883C4" w14:textId="77777777" w:rsidR="00BB398C" w:rsidRDefault="00BB398C">
      <w:pPr>
        <w:spacing w:after="160" w:line="259" w:lineRule="auto"/>
        <w:rPr>
          <w:rFonts w:ascii="Times New Roman" w:hAnsi="Times New Roman"/>
          <w:b/>
          <w:bCs/>
          <w:sz w:val="24"/>
          <w:szCs w:val="24"/>
        </w:rPr>
      </w:pPr>
    </w:p>
    <w:p w14:paraId="67DBB813" w14:textId="77777777" w:rsidR="00BB398C" w:rsidRDefault="00BB398C">
      <w:pPr>
        <w:spacing w:after="160" w:line="259" w:lineRule="auto"/>
        <w:rPr>
          <w:rFonts w:ascii="Times New Roman" w:hAnsi="Times New Roman"/>
          <w:b/>
          <w:bCs/>
          <w:sz w:val="24"/>
          <w:szCs w:val="24"/>
        </w:rPr>
      </w:pPr>
    </w:p>
    <w:p w14:paraId="54614A9C" w14:textId="77777777" w:rsidR="00BB398C" w:rsidRDefault="00BB398C">
      <w:pPr>
        <w:spacing w:after="160" w:line="259" w:lineRule="auto"/>
        <w:rPr>
          <w:rFonts w:ascii="Times New Roman" w:hAnsi="Times New Roman"/>
          <w:b/>
          <w:bCs/>
          <w:sz w:val="24"/>
          <w:szCs w:val="24"/>
        </w:rPr>
      </w:pPr>
    </w:p>
    <w:p w14:paraId="227A58CC" w14:textId="77777777" w:rsidR="00BB398C" w:rsidRDefault="00BB398C">
      <w:pPr>
        <w:spacing w:after="160" w:line="259" w:lineRule="auto"/>
        <w:rPr>
          <w:rFonts w:ascii="Times New Roman" w:hAnsi="Times New Roman"/>
          <w:b/>
          <w:bCs/>
          <w:sz w:val="24"/>
          <w:szCs w:val="24"/>
        </w:rPr>
      </w:pPr>
    </w:p>
    <w:p w14:paraId="76ACCC4B" w14:textId="77777777" w:rsidR="00BB398C" w:rsidRDefault="00BB398C">
      <w:pPr>
        <w:spacing w:after="160" w:line="259" w:lineRule="auto"/>
        <w:rPr>
          <w:rFonts w:ascii="Times New Roman" w:hAnsi="Times New Roman"/>
          <w:b/>
          <w:bCs/>
          <w:sz w:val="24"/>
          <w:szCs w:val="24"/>
        </w:rPr>
      </w:pPr>
    </w:p>
    <w:p w14:paraId="00819FAF" w14:textId="77777777" w:rsidR="00BB398C" w:rsidRDefault="00BB398C">
      <w:pPr>
        <w:spacing w:after="160" w:line="259" w:lineRule="auto"/>
        <w:rPr>
          <w:rFonts w:ascii="Times New Roman" w:hAnsi="Times New Roman"/>
          <w:b/>
          <w:bCs/>
          <w:sz w:val="24"/>
          <w:szCs w:val="24"/>
        </w:rPr>
      </w:pPr>
    </w:p>
    <w:p w14:paraId="07D7A8A3" w14:textId="77777777" w:rsidR="00BB398C" w:rsidRPr="006136C7" w:rsidRDefault="00BB398C" w:rsidP="00BB398C">
      <w:pPr>
        <w:spacing w:after="0" w:line="360" w:lineRule="auto"/>
        <w:jc w:val="center"/>
        <w:rPr>
          <w:rFonts w:ascii="Times New Roman" w:hAnsi="Times New Roman"/>
          <w:b/>
          <w:color w:val="000000" w:themeColor="text1"/>
        </w:rPr>
      </w:pPr>
      <w:r w:rsidRPr="006136C7">
        <w:rPr>
          <w:rFonts w:ascii="Times New Roman" w:hAnsi="Times New Roman"/>
          <w:b/>
          <w:color w:val="000000" w:themeColor="text1"/>
        </w:rPr>
        <w:lastRenderedPageBreak/>
        <w:t>TABLE OF CONTENT</w:t>
      </w:r>
      <w:r>
        <w:rPr>
          <w:rFonts w:ascii="Times New Roman" w:hAnsi="Times New Roman"/>
          <w:b/>
          <w:color w:val="000000" w:themeColor="text1"/>
        </w:rPr>
        <w:t>s</w:t>
      </w:r>
    </w:p>
    <w:p w14:paraId="776D2132" w14:textId="05CB3D9F" w:rsidR="00BB398C" w:rsidRPr="006136C7" w:rsidRDefault="00BB398C" w:rsidP="00BB398C">
      <w:pPr>
        <w:spacing w:after="0"/>
        <w:jc w:val="both"/>
        <w:rPr>
          <w:rFonts w:ascii="Times New Roman" w:hAnsi="Times New Roman"/>
          <w:color w:val="000000" w:themeColor="text1"/>
        </w:rPr>
      </w:pPr>
      <w:r w:rsidRPr="006136C7">
        <w:rPr>
          <w:rFonts w:ascii="Times New Roman" w:hAnsi="Times New Roman"/>
          <w:color w:val="000000" w:themeColor="text1"/>
        </w:rPr>
        <w:t>Title page</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p>
    <w:p w14:paraId="309F7868" w14:textId="7DF2B1FC" w:rsidR="00BB398C" w:rsidRPr="006136C7" w:rsidRDefault="00BB398C" w:rsidP="00BB398C">
      <w:pPr>
        <w:pStyle w:val="Heading1"/>
        <w:spacing w:before="0" w:after="0"/>
        <w:jc w:val="both"/>
        <w:rPr>
          <w:rFonts w:ascii="Times New Roman" w:hAnsi="Times New Roman"/>
          <w:color w:val="000000" w:themeColor="text1"/>
          <w:sz w:val="24"/>
          <w:szCs w:val="24"/>
        </w:rPr>
      </w:pPr>
      <w:r w:rsidRPr="006136C7">
        <w:rPr>
          <w:rFonts w:ascii="Times New Roman" w:hAnsi="Times New Roman"/>
          <w:color w:val="000000" w:themeColor="text1"/>
          <w:sz w:val="24"/>
          <w:szCs w:val="24"/>
        </w:rPr>
        <w:t>Certificate</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p>
    <w:p w14:paraId="70DB0BF7" w14:textId="5E9786AF" w:rsidR="00BB398C" w:rsidRPr="006136C7" w:rsidRDefault="00BB398C" w:rsidP="00BB398C">
      <w:pPr>
        <w:pStyle w:val="Heading1"/>
        <w:spacing w:before="0" w:after="0"/>
        <w:jc w:val="both"/>
        <w:rPr>
          <w:rFonts w:ascii="Times New Roman" w:hAnsi="Times New Roman"/>
          <w:color w:val="000000" w:themeColor="text1"/>
          <w:sz w:val="24"/>
          <w:szCs w:val="24"/>
        </w:rPr>
      </w:pPr>
      <w:r w:rsidRPr="006136C7">
        <w:rPr>
          <w:rFonts w:ascii="Times New Roman" w:hAnsi="Times New Roman"/>
          <w:color w:val="000000" w:themeColor="text1"/>
          <w:sz w:val="24"/>
          <w:szCs w:val="24"/>
        </w:rPr>
        <w:t>Certification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p>
    <w:p w14:paraId="1E66E8EF" w14:textId="62238FE2" w:rsidR="00BB398C" w:rsidRPr="006136C7" w:rsidRDefault="00BB398C" w:rsidP="00BB398C">
      <w:pPr>
        <w:pStyle w:val="Heading1"/>
        <w:spacing w:before="0" w:after="0"/>
        <w:jc w:val="both"/>
        <w:rPr>
          <w:rFonts w:ascii="Times New Roman" w:hAnsi="Times New Roman"/>
          <w:color w:val="000000" w:themeColor="text1"/>
          <w:sz w:val="24"/>
          <w:szCs w:val="24"/>
        </w:rPr>
      </w:pPr>
      <w:r w:rsidRPr="006136C7">
        <w:rPr>
          <w:rFonts w:ascii="Times New Roman" w:hAnsi="Times New Roman"/>
          <w:color w:val="000000" w:themeColor="text1"/>
          <w:sz w:val="24"/>
          <w:szCs w:val="24"/>
        </w:rPr>
        <w:t>Dedication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p>
    <w:p w14:paraId="6D02E95F" w14:textId="4059696D" w:rsidR="00BB398C" w:rsidRPr="006136C7" w:rsidRDefault="00BB398C" w:rsidP="00BB398C">
      <w:pPr>
        <w:pStyle w:val="Heading1"/>
        <w:spacing w:before="0" w:after="0"/>
        <w:jc w:val="both"/>
        <w:rPr>
          <w:rFonts w:ascii="Times New Roman" w:hAnsi="Times New Roman"/>
          <w:color w:val="000000" w:themeColor="text1"/>
          <w:sz w:val="24"/>
          <w:szCs w:val="24"/>
        </w:rPr>
      </w:pPr>
      <w:r w:rsidRPr="006136C7">
        <w:rPr>
          <w:rFonts w:ascii="Times New Roman" w:hAnsi="Times New Roman"/>
          <w:color w:val="000000" w:themeColor="text1"/>
          <w:sz w:val="24"/>
          <w:szCs w:val="24"/>
        </w:rPr>
        <w:t>Acknowledgement</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p>
    <w:p w14:paraId="23BFC578" w14:textId="2BCB82F2" w:rsidR="00BB398C" w:rsidRPr="006136C7" w:rsidRDefault="00BB398C" w:rsidP="00BB398C">
      <w:pPr>
        <w:pStyle w:val="Heading1"/>
        <w:spacing w:before="0" w:after="0"/>
        <w:jc w:val="both"/>
        <w:rPr>
          <w:rFonts w:ascii="Times New Roman" w:hAnsi="Times New Roman"/>
          <w:color w:val="000000" w:themeColor="text1"/>
          <w:sz w:val="24"/>
          <w:szCs w:val="24"/>
        </w:rPr>
      </w:pPr>
      <w:r w:rsidRPr="006136C7">
        <w:rPr>
          <w:rFonts w:ascii="Times New Roman" w:hAnsi="Times New Roman"/>
          <w:color w:val="000000" w:themeColor="text1"/>
          <w:sz w:val="24"/>
          <w:szCs w:val="24"/>
        </w:rPr>
        <w:t>Abstract</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p>
    <w:p w14:paraId="0F074C10" w14:textId="3E52A85D" w:rsidR="00BB398C" w:rsidRPr="006136C7" w:rsidRDefault="00BB398C" w:rsidP="00BB398C">
      <w:pPr>
        <w:spacing w:after="0"/>
        <w:jc w:val="both"/>
        <w:rPr>
          <w:rFonts w:ascii="Times New Roman" w:hAnsi="Times New Roman"/>
          <w:color w:val="000000" w:themeColor="text1"/>
        </w:rPr>
      </w:pPr>
      <w:r w:rsidRPr="006136C7">
        <w:rPr>
          <w:rFonts w:ascii="Times New Roman" w:hAnsi="Times New Roman"/>
          <w:color w:val="000000" w:themeColor="text1"/>
        </w:rPr>
        <w:t>Table of content</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p>
    <w:p w14:paraId="5AA78008" w14:textId="77777777" w:rsidR="001C59E3" w:rsidRPr="001B762A" w:rsidRDefault="001C59E3" w:rsidP="001C59E3">
      <w:pPr>
        <w:spacing w:after="0"/>
        <w:outlineLvl w:val="1"/>
        <w:rPr>
          <w:rFonts w:ascii="Times New Roman" w:hAnsi="Times New Roman"/>
          <w:sz w:val="24"/>
          <w:szCs w:val="24"/>
        </w:rPr>
      </w:pPr>
      <w:bookmarkStart w:id="1" w:name="_Hlk204903027"/>
      <w:r w:rsidRPr="001B762A">
        <w:rPr>
          <w:rFonts w:ascii="Times New Roman" w:hAnsi="Times New Roman"/>
          <w:sz w:val="24"/>
          <w:szCs w:val="24"/>
        </w:rPr>
        <w:t>CHAPTER ONE</w:t>
      </w:r>
    </w:p>
    <w:p w14:paraId="66E7A76B" w14:textId="77777777" w:rsidR="001C59E3" w:rsidRPr="001B762A" w:rsidRDefault="001C59E3" w:rsidP="001C59E3">
      <w:pPr>
        <w:spacing w:after="0"/>
        <w:outlineLvl w:val="1"/>
        <w:rPr>
          <w:rFonts w:ascii="Times New Roman" w:hAnsi="Times New Roman"/>
          <w:sz w:val="24"/>
          <w:szCs w:val="24"/>
        </w:rPr>
      </w:pPr>
      <w:r w:rsidRPr="001B762A">
        <w:rPr>
          <w:rFonts w:ascii="Times New Roman" w:hAnsi="Times New Roman"/>
          <w:sz w:val="24"/>
          <w:szCs w:val="24"/>
        </w:rPr>
        <w:t>INTRODUCTION</w:t>
      </w:r>
    </w:p>
    <w:p w14:paraId="600E9F04" w14:textId="77777777" w:rsidR="001C59E3" w:rsidRPr="001B762A" w:rsidRDefault="001C59E3" w:rsidP="001C59E3">
      <w:pPr>
        <w:spacing w:after="0"/>
        <w:jc w:val="both"/>
        <w:outlineLvl w:val="2"/>
        <w:rPr>
          <w:rFonts w:ascii="Times New Roman" w:hAnsi="Times New Roman"/>
          <w:sz w:val="24"/>
          <w:szCs w:val="24"/>
        </w:rPr>
      </w:pPr>
      <w:r w:rsidRPr="001B762A">
        <w:rPr>
          <w:rFonts w:ascii="Times New Roman" w:hAnsi="Times New Roman"/>
          <w:sz w:val="24"/>
          <w:szCs w:val="24"/>
        </w:rPr>
        <w:t>1.1</w:t>
      </w:r>
      <w:r w:rsidRPr="001B762A">
        <w:rPr>
          <w:rFonts w:ascii="Times New Roman" w:hAnsi="Times New Roman"/>
          <w:sz w:val="24"/>
          <w:szCs w:val="24"/>
        </w:rPr>
        <w:tab/>
        <w:t xml:space="preserve">BACKGROUND </w:t>
      </w:r>
      <w:r>
        <w:rPr>
          <w:rFonts w:ascii="Times New Roman" w:hAnsi="Times New Roman"/>
          <w:sz w:val="24"/>
          <w:szCs w:val="24"/>
        </w:rPr>
        <w:t>T</w:t>
      </w:r>
      <w:r w:rsidRPr="001B762A">
        <w:rPr>
          <w:rFonts w:ascii="Times New Roman" w:hAnsi="Times New Roman"/>
          <w:sz w:val="24"/>
          <w:szCs w:val="24"/>
        </w:rPr>
        <w:t>O</w:t>
      </w:r>
      <w:r>
        <w:rPr>
          <w:rFonts w:ascii="Times New Roman" w:hAnsi="Times New Roman"/>
          <w:sz w:val="24"/>
          <w:szCs w:val="24"/>
        </w:rPr>
        <w:t xml:space="preserve"> T</w:t>
      </w:r>
      <w:r w:rsidRPr="001B762A">
        <w:rPr>
          <w:rFonts w:ascii="Times New Roman" w:hAnsi="Times New Roman"/>
          <w:sz w:val="24"/>
          <w:szCs w:val="24"/>
        </w:rPr>
        <w:t>HE STUDY</w:t>
      </w:r>
    </w:p>
    <w:p w14:paraId="2BF752EB"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1.2</w:t>
      </w:r>
      <w:r w:rsidRPr="001B762A">
        <w:rPr>
          <w:rFonts w:ascii="Times New Roman" w:hAnsi="Times New Roman"/>
          <w:sz w:val="24"/>
          <w:szCs w:val="24"/>
        </w:rPr>
        <w:tab/>
        <w:t xml:space="preserve">PROBLEM STATEMENT </w:t>
      </w:r>
    </w:p>
    <w:p w14:paraId="4A34BB84"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1.3</w:t>
      </w:r>
      <w:r w:rsidRPr="001B762A">
        <w:rPr>
          <w:rFonts w:ascii="Times New Roman" w:hAnsi="Times New Roman"/>
          <w:sz w:val="24"/>
          <w:szCs w:val="24"/>
        </w:rPr>
        <w:tab/>
        <w:t>AIM AND OBJECTIVES</w:t>
      </w:r>
    </w:p>
    <w:p w14:paraId="640A8EFE"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1.4</w:t>
      </w:r>
      <w:r w:rsidRPr="001B762A">
        <w:rPr>
          <w:rFonts w:ascii="Times New Roman" w:hAnsi="Times New Roman"/>
          <w:sz w:val="24"/>
          <w:szCs w:val="24"/>
        </w:rPr>
        <w:tab/>
        <w:t>JUSTIFICATION</w:t>
      </w:r>
    </w:p>
    <w:p w14:paraId="041C9087"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1.5</w:t>
      </w:r>
      <w:r w:rsidRPr="001B762A">
        <w:rPr>
          <w:rFonts w:ascii="Times New Roman" w:hAnsi="Times New Roman"/>
          <w:sz w:val="24"/>
          <w:szCs w:val="24"/>
        </w:rPr>
        <w:tab/>
        <w:t>SCOPE OF THE STUDY</w:t>
      </w:r>
    </w:p>
    <w:p w14:paraId="56E12DE2"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1.6</w:t>
      </w:r>
      <w:r w:rsidRPr="001B762A">
        <w:rPr>
          <w:rFonts w:ascii="Times New Roman" w:hAnsi="Times New Roman"/>
          <w:sz w:val="24"/>
          <w:szCs w:val="24"/>
        </w:rPr>
        <w:tab/>
        <w:t xml:space="preserve">LIMITATION </w:t>
      </w:r>
    </w:p>
    <w:p w14:paraId="17AA22B4" w14:textId="77777777" w:rsidR="001C59E3" w:rsidRPr="001B762A" w:rsidRDefault="001C59E3" w:rsidP="001C59E3">
      <w:pPr>
        <w:spacing w:after="0"/>
        <w:rPr>
          <w:rFonts w:ascii="Times New Roman" w:hAnsi="Times New Roman"/>
          <w:sz w:val="24"/>
          <w:szCs w:val="24"/>
        </w:rPr>
      </w:pPr>
      <w:r w:rsidRPr="001B762A">
        <w:rPr>
          <w:rFonts w:ascii="Times New Roman" w:hAnsi="Times New Roman"/>
          <w:sz w:val="24"/>
          <w:szCs w:val="24"/>
        </w:rPr>
        <w:t>CHAPTER TWO</w:t>
      </w:r>
    </w:p>
    <w:p w14:paraId="75020092" w14:textId="77777777" w:rsidR="001C59E3" w:rsidRPr="001B762A" w:rsidRDefault="001C59E3" w:rsidP="001C59E3">
      <w:pPr>
        <w:spacing w:after="0"/>
        <w:rPr>
          <w:rFonts w:ascii="Times New Roman" w:hAnsi="Times New Roman"/>
          <w:sz w:val="24"/>
          <w:szCs w:val="24"/>
        </w:rPr>
      </w:pPr>
      <w:r w:rsidRPr="001B762A">
        <w:rPr>
          <w:rFonts w:ascii="Times New Roman" w:hAnsi="Times New Roman"/>
          <w:sz w:val="24"/>
          <w:szCs w:val="24"/>
        </w:rPr>
        <w:t>LITERATURE REVIEW</w:t>
      </w:r>
    </w:p>
    <w:p w14:paraId="68DCCF2E"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2.1</w:t>
      </w:r>
      <w:r w:rsidRPr="001B762A">
        <w:rPr>
          <w:rFonts w:ascii="Times New Roman" w:hAnsi="Times New Roman"/>
          <w:sz w:val="24"/>
          <w:szCs w:val="24"/>
        </w:rPr>
        <w:tab/>
        <w:t>FORMATION AND EVOLUTION OF CLAY DEPOSITS</w:t>
      </w:r>
    </w:p>
    <w:p w14:paraId="7A051882"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2.2</w:t>
      </w:r>
      <w:r w:rsidRPr="001B762A">
        <w:rPr>
          <w:rFonts w:ascii="Times New Roman" w:hAnsi="Times New Roman"/>
          <w:sz w:val="24"/>
          <w:szCs w:val="24"/>
        </w:rPr>
        <w:tab/>
        <w:t>CLASSIFICATION OF CLAY MINERALS</w:t>
      </w:r>
    </w:p>
    <w:p w14:paraId="308A3CA5"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2.3</w:t>
      </w:r>
      <w:r w:rsidRPr="001B762A">
        <w:rPr>
          <w:rFonts w:ascii="Times New Roman" w:hAnsi="Times New Roman"/>
          <w:sz w:val="24"/>
          <w:szCs w:val="24"/>
        </w:rPr>
        <w:tab/>
        <w:t>GEOCHEMICAL COMPOSITION OF CLAY DEPOSITS</w:t>
      </w:r>
    </w:p>
    <w:p w14:paraId="424564E0"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2.4</w:t>
      </w:r>
      <w:r w:rsidRPr="001B762A">
        <w:rPr>
          <w:rFonts w:ascii="Times New Roman" w:hAnsi="Times New Roman"/>
          <w:sz w:val="24"/>
          <w:szCs w:val="24"/>
        </w:rPr>
        <w:tab/>
        <w:t>ANALYTICAL TECHNIQUES IN CLAY GEOCHEMISTRY</w:t>
      </w:r>
    </w:p>
    <w:p w14:paraId="7B3BC488"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2.5</w:t>
      </w:r>
      <w:r w:rsidRPr="001B762A">
        <w:rPr>
          <w:rFonts w:ascii="Times New Roman" w:hAnsi="Times New Roman"/>
          <w:sz w:val="24"/>
          <w:szCs w:val="24"/>
        </w:rPr>
        <w:tab/>
        <w:t>INDUSTRIAL APPLICATIONS OF CLAY DEPOSITS</w:t>
      </w:r>
    </w:p>
    <w:p w14:paraId="3EEF8978"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2.6</w:t>
      </w:r>
      <w:r w:rsidRPr="001B762A">
        <w:rPr>
          <w:rFonts w:ascii="Times New Roman" w:hAnsi="Times New Roman"/>
          <w:sz w:val="24"/>
          <w:szCs w:val="24"/>
        </w:rPr>
        <w:tab/>
        <w:t>REGIONAL STUDIES ON NIGERIAN CLAY DEPOSITS</w:t>
      </w:r>
    </w:p>
    <w:p w14:paraId="0679A860"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2.7</w:t>
      </w:r>
      <w:r w:rsidRPr="001B762A">
        <w:rPr>
          <w:rFonts w:ascii="Times New Roman" w:hAnsi="Times New Roman"/>
          <w:sz w:val="24"/>
          <w:szCs w:val="24"/>
        </w:rPr>
        <w:tab/>
        <w:t>ENVIRONMENTAL CONSIDERATIONS</w:t>
      </w:r>
    </w:p>
    <w:p w14:paraId="043D0DF2"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2.8</w:t>
      </w:r>
      <w:r w:rsidRPr="001B762A">
        <w:rPr>
          <w:rFonts w:ascii="Times New Roman" w:hAnsi="Times New Roman"/>
          <w:sz w:val="24"/>
          <w:szCs w:val="24"/>
        </w:rPr>
        <w:tab/>
        <w:t>SYNTHESIS AND GAPS IN THE LITERATURE</w:t>
      </w:r>
    </w:p>
    <w:p w14:paraId="354CB0B1" w14:textId="77777777" w:rsidR="001C59E3" w:rsidRPr="001B762A" w:rsidRDefault="001C59E3" w:rsidP="001C59E3">
      <w:pPr>
        <w:spacing w:after="0"/>
        <w:rPr>
          <w:rFonts w:ascii="Times New Roman" w:hAnsi="Times New Roman"/>
          <w:sz w:val="24"/>
          <w:szCs w:val="24"/>
        </w:rPr>
      </w:pPr>
      <w:r w:rsidRPr="001B762A">
        <w:rPr>
          <w:rFonts w:ascii="Times New Roman" w:hAnsi="Times New Roman"/>
          <w:sz w:val="24"/>
          <w:szCs w:val="24"/>
        </w:rPr>
        <w:t>CHAPTER THREE</w:t>
      </w:r>
    </w:p>
    <w:p w14:paraId="5A233D7B" w14:textId="77777777" w:rsidR="001C59E3" w:rsidRPr="001B762A" w:rsidRDefault="001C59E3" w:rsidP="001C59E3">
      <w:pPr>
        <w:spacing w:after="0"/>
        <w:rPr>
          <w:rFonts w:ascii="Times New Roman" w:hAnsi="Times New Roman"/>
          <w:sz w:val="24"/>
          <w:szCs w:val="24"/>
        </w:rPr>
      </w:pPr>
      <w:r w:rsidRPr="001B762A">
        <w:rPr>
          <w:rFonts w:ascii="Times New Roman" w:hAnsi="Times New Roman"/>
          <w:sz w:val="24"/>
          <w:szCs w:val="24"/>
        </w:rPr>
        <w:t>METHODOLOGY</w:t>
      </w:r>
    </w:p>
    <w:p w14:paraId="14FA86F4"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3.1</w:t>
      </w:r>
      <w:r w:rsidRPr="001B762A">
        <w:rPr>
          <w:rFonts w:ascii="Times New Roman" w:hAnsi="Times New Roman"/>
          <w:sz w:val="24"/>
          <w:szCs w:val="24"/>
        </w:rPr>
        <w:tab/>
        <w:t>STUDY AREA</w:t>
      </w:r>
    </w:p>
    <w:p w14:paraId="6A180E5D"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3.2</w:t>
      </w:r>
      <w:r w:rsidRPr="001B762A">
        <w:rPr>
          <w:rFonts w:ascii="Times New Roman" w:hAnsi="Times New Roman"/>
          <w:sz w:val="24"/>
          <w:szCs w:val="24"/>
        </w:rPr>
        <w:tab/>
        <w:t>SAMPLE COLLECTION AND PREPARATION</w:t>
      </w:r>
    </w:p>
    <w:p w14:paraId="37EBE9D1"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3.3</w:t>
      </w:r>
      <w:r w:rsidRPr="001B762A">
        <w:rPr>
          <w:rFonts w:ascii="Times New Roman" w:hAnsi="Times New Roman"/>
          <w:sz w:val="24"/>
          <w:szCs w:val="24"/>
        </w:rPr>
        <w:tab/>
        <w:t>LABORATORY ANALYSES</w:t>
      </w:r>
    </w:p>
    <w:p w14:paraId="7075BD35"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3.4</w:t>
      </w:r>
      <w:r w:rsidRPr="001B762A">
        <w:rPr>
          <w:rFonts w:ascii="Times New Roman" w:hAnsi="Times New Roman"/>
          <w:sz w:val="24"/>
          <w:szCs w:val="24"/>
        </w:rPr>
        <w:tab/>
        <w:t>DATA ANALYSIS</w:t>
      </w:r>
    </w:p>
    <w:p w14:paraId="6FE882A0" w14:textId="77777777" w:rsidR="001C59E3" w:rsidRPr="001B762A" w:rsidRDefault="001C59E3" w:rsidP="001C59E3">
      <w:pPr>
        <w:spacing w:after="0"/>
        <w:rPr>
          <w:rFonts w:ascii="Times New Roman" w:hAnsi="Times New Roman"/>
          <w:sz w:val="24"/>
          <w:szCs w:val="24"/>
        </w:rPr>
      </w:pPr>
      <w:r w:rsidRPr="001B762A">
        <w:rPr>
          <w:rFonts w:ascii="Times New Roman" w:hAnsi="Times New Roman"/>
          <w:sz w:val="24"/>
          <w:szCs w:val="24"/>
        </w:rPr>
        <w:t>CHAPTER FOUR</w:t>
      </w:r>
    </w:p>
    <w:p w14:paraId="45E83560" w14:textId="77777777" w:rsidR="001C59E3" w:rsidRPr="001B762A" w:rsidRDefault="001C59E3" w:rsidP="001C59E3">
      <w:pPr>
        <w:spacing w:after="0"/>
        <w:rPr>
          <w:rFonts w:ascii="Times New Roman" w:hAnsi="Times New Roman"/>
          <w:sz w:val="24"/>
          <w:szCs w:val="24"/>
        </w:rPr>
      </w:pPr>
      <w:r w:rsidRPr="001B762A">
        <w:rPr>
          <w:rFonts w:ascii="Times New Roman" w:hAnsi="Times New Roman"/>
          <w:sz w:val="24"/>
          <w:szCs w:val="24"/>
        </w:rPr>
        <w:t>RESULTS AND DISCUSSION</w:t>
      </w:r>
    </w:p>
    <w:p w14:paraId="78548A73"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 xml:space="preserve">4.1 </w:t>
      </w:r>
      <w:r w:rsidRPr="001B762A">
        <w:rPr>
          <w:rFonts w:ascii="Times New Roman" w:hAnsi="Times New Roman"/>
          <w:sz w:val="24"/>
          <w:szCs w:val="24"/>
        </w:rPr>
        <w:tab/>
        <w:t>X-RAY DIFFRACTION (XRD) ANALYSIS</w:t>
      </w:r>
    </w:p>
    <w:p w14:paraId="5E50512A"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 xml:space="preserve">4.2 </w:t>
      </w:r>
      <w:r w:rsidRPr="001B762A">
        <w:rPr>
          <w:rFonts w:ascii="Times New Roman" w:hAnsi="Times New Roman"/>
          <w:sz w:val="24"/>
          <w:szCs w:val="24"/>
        </w:rPr>
        <w:tab/>
        <w:t>X-RAY FLUORESCENCE (XRF) ANALYSIS</w:t>
      </w:r>
    </w:p>
    <w:p w14:paraId="4A46ADF8"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 xml:space="preserve">4.3 </w:t>
      </w:r>
      <w:r w:rsidRPr="001B762A">
        <w:rPr>
          <w:rFonts w:ascii="Times New Roman" w:hAnsi="Times New Roman"/>
          <w:sz w:val="24"/>
          <w:szCs w:val="24"/>
        </w:rPr>
        <w:tab/>
        <w:t>COMPARATIVE DISCUSSION WITH PREVIOUS STUDIES</w:t>
      </w:r>
    </w:p>
    <w:p w14:paraId="148CEAA6"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 xml:space="preserve">4.4 </w:t>
      </w:r>
      <w:r w:rsidRPr="001B762A">
        <w:rPr>
          <w:rFonts w:ascii="Times New Roman" w:hAnsi="Times New Roman"/>
          <w:sz w:val="24"/>
          <w:szCs w:val="24"/>
        </w:rPr>
        <w:tab/>
        <w:t>SUMMARY OF FINDINGS</w:t>
      </w:r>
    </w:p>
    <w:p w14:paraId="7D1296D3"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4.5</w:t>
      </w:r>
      <w:r w:rsidRPr="001B762A">
        <w:rPr>
          <w:rFonts w:ascii="Times New Roman" w:hAnsi="Times New Roman"/>
          <w:sz w:val="24"/>
          <w:szCs w:val="24"/>
        </w:rPr>
        <w:tab/>
        <w:t>PHOTOGRAPH</w:t>
      </w:r>
    </w:p>
    <w:p w14:paraId="4D312984" w14:textId="77777777" w:rsidR="001C59E3" w:rsidRPr="001B762A" w:rsidRDefault="001C59E3" w:rsidP="001C59E3">
      <w:pPr>
        <w:spacing w:after="0"/>
        <w:rPr>
          <w:rFonts w:ascii="Times New Roman" w:hAnsi="Times New Roman"/>
          <w:sz w:val="24"/>
          <w:szCs w:val="24"/>
        </w:rPr>
      </w:pPr>
      <w:r w:rsidRPr="001B762A">
        <w:rPr>
          <w:rFonts w:ascii="Times New Roman" w:hAnsi="Times New Roman"/>
          <w:sz w:val="24"/>
          <w:szCs w:val="24"/>
        </w:rPr>
        <w:t>CHAPTER FIVE</w:t>
      </w:r>
    </w:p>
    <w:p w14:paraId="7212995F" w14:textId="77777777" w:rsidR="001C59E3" w:rsidRPr="001B762A" w:rsidRDefault="001C59E3" w:rsidP="001C59E3">
      <w:pPr>
        <w:spacing w:after="0"/>
        <w:rPr>
          <w:rFonts w:ascii="Times New Roman" w:hAnsi="Times New Roman"/>
          <w:sz w:val="24"/>
          <w:szCs w:val="24"/>
        </w:rPr>
      </w:pPr>
      <w:r w:rsidRPr="001B762A">
        <w:rPr>
          <w:rFonts w:ascii="Times New Roman" w:hAnsi="Times New Roman"/>
          <w:sz w:val="24"/>
          <w:szCs w:val="24"/>
        </w:rPr>
        <w:lastRenderedPageBreak/>
        <w:t>CONCLUSION AND RECOMMENDATIONS</w:t>
      </w:r>
    </w:p>
    <w:p w14:paraId="4E92CB58"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 xml:space="preserve">5.1 </w:t>
      </w:r>
      <w:r w:rsidRPr="001B762A">
        <w:rPr>
          <w:rFonts w:ascii="Times New Roman" w:hAnsi="Times New Roman"/>
          <w:sz w:val="24"/>
          <w:szCs w:val="24"/>
        </w:rPr>
        <w:tab/>
        <w:t>CONCLUSION</w:t>
      </w:r>
    </w:p>
    <w:p w14:paraId="708FD64B" w14:textId="77777777" w:rsidR="001C59E3" w:rsidRPr="001B762A" w:rsidRDefault="001C59E3" w:rsidP="001C59E3">
      <w:pPr>
        <w:spacing w:after="0"/>
        <w:jc w:val="both"/>
        <w:rPr>
          <w:rFonts w:ascii="Times New Roman" w:hAnsi="Times New Roman"/>
          <w:sz w:val="24"/>
          <w:szCs w:val="24"/>
        </w:rPr>
      </w:pPr>
      <w:r w:rsidRPr="001B762A">
        <w:rPr>
          <w:rFonts w:ascii="Times New Roman" w:hAnsi="Times New Roman"/>
          <w:sz w:val="24"/>
          <w:szCs w:val="24"/>
        </w:rPr>
        <w:t xml:space="preserve">5.2 </w:t>
      </w:r>
      <w:r w:rsidRPr="001B762A">
        <w:rPr>
          <w:rFonts w:ascii="Times New Roman" w:hAnsi="Times New Roman"/>
          <w:sz w:val="24"/>
          <w:szCs w:val="24"/>
        </w:rPr>
        <w:tab/>
        <w:t>RECOMMENDATIONS</w:t>
      </w:r>
    </w:p>
    <w:p w14:paraId="591CE797" w14:textId="77777777" w:rsidR="001C59E3" w:rsidRPr="001B762A" w:rsidRDefault="001C59E3" w:rsidP="001C59E3">
      <w:pPr>
        <w:spacing w:after="0"/>
        <w:rPr>
          <w:rFonts w:ascii="Times New Roman" w:hAnsi="Times New Roman"/>
          <w:sz w:val="24"/>
          <w:szCs w:val="24"/>
        </w:rPr>
      </w:pPr>
      <w:r w:rsidRPr="001B762A">
        <w:rPr>
          <w:rFonts w:ascii="Times New Roman" w:hAnsi="Times New Roman"/>
          <w:sz w:val="24"/>
          <w:szCs w:val="24"/>
        </w:rPr>
        <w:t>REFERENCES</w:t>
      </w:r>
    </w:p>
    <w:p w14:paraId="7D869EED" w14:textId="77777777" w:rsidR="001C59E3" w:rsidRDefault="001C59E3" w:rsidP="001C59E3">
      <w:pPr>
        <w:spacing w:after="0" w:line="480" w:lineRule="auto"/>
        <w:outlineLvl w:val="1"/>
        <w:rPr>
          <w:rFonts w:ascii="Times New Roman" w:hAnsi="Times New Roman"/>
          <w:sz w:val="24"/>
          <w:szCs w:val="24"/>
        </w:rPr>
      </w:pPr>
      <w:r w:rsidRPr="001B762A">
        <w:rPr>
          <w:rFonts w:ascii="Times New Roman" w:hAnsi="Times New Roman"/>
          <w:sz w:val="24"/>
          <w:szCs w:val="24"/>
        </w:rPr>
        <w:t>APPENDIX</w:t>
      </w:r>
    </w:p>
    <w:p w14:paraId="026EE04F" w14:textId="77777777" w:rsidR="001C59E3" w:rsidRDefault="001C59E3" w:rsidP="001C59E3">
      <w:pPr>
        <w:spacing w:after="0" w:line="480" w:lineRule="auto"/>
        <w:jc w:val="center"/>
        <w:outlineLvl w:val="1"/>
        <w:rPr>
          <w:rFonts w:ascii="Times New Roman" w:hAnsi="Times New Roman"/>
          <w:sz w:val="24"/>
          <w:szCs w:val="24"/>
        </w:rPr>
      </w:pPr>
    </w:p>
    <w:p w14:paraId="7DBC1CF0" w14:textId="77777777" w:rsidR="001C59E3" w:rsidRDefault="001C59E3" w:rsidP="001C59E3">
      <w:pPr>
        <w:spacing w:after="0" w:line="480" w:lineRule="auto"/>
        <w:jc w:val="center"/>
        <w:outlineLvl w:val="1"/>
        <w:rPr>
          <w:rFonts w:ascii="Times New Roman" w:hAnsi="Times New Roman"/>
          <w:sz w:val="24"/>
          <w:szCs w:val="24"/>
        </w:rPr>
      </w:pPr>
    </w:p>
    <w:p w14:paraId="3E607FE7" w14:textId="77777777" w:rsidR="001C59E3" w:rsidRDefault="001C59E3" w:rsidP="001C59E3">
      <w:pPr>
        <w:spacing w:after="0" w:line="480" w:lineRule="auto"/>
        <w:jc w:val="center"/>
        <w:outlineLvl w:val="1"/>
        <w:rPr>
          <w:rFonts w:ascii="Times New Roman" w:hAnsi="Times New Roman"/>
          <w:sz w:val="24"/>
          <w:szCs w:val="24"/>
        </w:rPr>
      </w:pPr>
    </w:p>
    <w:p w14:paraId="7EDDFE8D" w14:textId="77777777" w:rsidR="001C59E3" w:rsidRDefault="001C59E3" w:rsidP="001C59E3">
      <w:pPr>
        <w:spacing w:after="0" w:line="480" w:lineRule="auto"/>
        <w:jc w:val="center"/>
        <w:outlineLvl w:val="1"/>
        <w:rPr>
          <w:rFonts w:ascii="Times New Roman" w:hAnsi="Times New Roman"/>
          <w:sz w:val="24"/>
          <w:szCs w:val="24"/>
        </w:rPr>
      </w:pPr>
    </w:p>
    <w:p w14:paraId="0A107437" w14:textId="77777777" w:rsidR="001C59E3" w:rsidRDefault="001C59E3" w:rsidP="001C59E3">
      <w:pPr>
        <w:spacing w:after="0" w:line="480" w:lineRule="auto"/>
        <w:jc w:val="center"/>
        <w:outlineLvl w:val="1"/>
        <w:rPr>
          <w:rFonts w:ascii="Times New Roman" w:hAnsi="Times New Roman"/>
          <w:sz w:val="24"/>
          <w:szCs w:val="24"/>
        </w:rPr>
      </w:pPr>
    </w:p>
    <w:p w14:paraId="23C1B5B1" w14:textId="77777777" w:rsidR="001C59E3" w:rsidRDefault="001C59E3" w:rsidP="001C59E3">
      <w:pPr>
        <w:spacing w:after="0" w:line="480" w:lineRule="auto"/>
        <w:jc w:val="center"/>
        <w:outlineLvl w:val="1"/>
        <w:rPr>
          <w:rFonts w:ascii="Times New Roman" w:hAnsi="Times New Roman"/>
          <w:sz w:val="24"/>
          <w:szCs w:val="24"/>
        </w:rPr>
      </w:pPr>
    </w:p>
    <w:p w14:paraId="6BA6D551" w14:textId="77777777" w:rsidR="001C59E3" w:rsidRDefault="001C59E3" w:rsidP="001C59E3">
      <w:pPr>
        <w:spacing w:after="0" w:line="480" w:lineRule="auto"/>
        <w:jc w:val="center"/>
        <w:outlineLvl w:val="1"/>
        <w:rPr>
          <w:rFonts w:ascii="Times New Roman" w:hAnsi="Times New Roman"/>
          <w:sz w:val="24"/>
          <w:szCs w:val="24"/>
        </w:rPr>
      </w:pPr>
    </w:p>
    <w:p w14:paraId="478F2AA7" w14:textId="77777777" w:rsidR="001C59E3" w:rsidRDefault="001C59E3" w:rsidP="001C59E3">
      <w:pPr>
        <w:spacing w:after="0" w:line="480" w:lineRule="auto"/>
        <w:jc w:val="center"/>
        <w:outlineLvl w:val="1"/>
        <w:rPr>
          <w:rFonts w:ascii="Times New Roman" w:hAnsi="Times New Roman"/>
          <w:sz w:val="24"/>
          <w:szCs w:val="24"/>
        </w:rPr>
      </w:pPr>
    </w:p>
    <w:p w14:paraId="4BE6456B" w14:textId="77777777" w:rsidR="001C59E3" w:rsidRDefault="001C59E3" w:rsidP="001C59E3">
      <w:pPr>
        <w:spacing w:after="0" w:line="480" w:lineRule="auto"/>
        <w:jc w:val="center"/>
        <w:outlineLvl w:val="1"/>
        <w:rPr>
          <w:rFonts w:ascii="Times New Roman" w:hAnsi="Times New Roman"/>
          <w:sz w:val="24"/>
          <w:szCs w:val="24"/>
        </w:rPr>
      </w:pPr>
    </w:p>
    <w:p w14:paraId="53E38849" w14:textId="77777777" w:rsidR="001C59E3" w:rsidRDefault="001C59E3" w:rsidP="001C59E3">
      <w:pPr>
        <w:spacing w:after="0" w:line="480" w:lineRule="auto"/>
        <w:jc w:val="center"/>
        <w:outlineLvl w:val="1"/>
        <w:rPr>
          <w:rFonts w:ascii="Times New Roman" w:hAnsi="Times New Roman"/>
          <w:sz w:val="24"/>
          <w:szCs w:val="24"/>
        </w:rPr>
      </w:pPr>
    </w:p>
    <w:p w14:paraId="4D7DB170" w14:textId="77777777" w:rsidR="001C59E3" w:rsidRDefault="001C59E3" w:rsidP="001C59E3">
      <w:pPr>
        <w:spacing w:after="0" w:line="480" w:lineRule="auto"/>
        <w:jc w:val="center"/>
        <w:outlineLvl w:val="1"/>
        <w:rPr>
          <w:rFonts w:ascii="Times New Roman" w:hAnsi="Times New Roman"/>
          <w:sz w:val="24"/>
          <w:szCs w:val="24"/>
        </w:rPr>
      </w:pPr>
    </w:p>
    <w:p w14:paraId="0B59B639" w14:textId="77777777" w:rsidR="001C59E3" w:rsidRDefault="001C59E3" w:rsidP="001C59E3">
      <w:pPr>
        <w:spacing w:after="0" w:line="480" w:lineRule="auto"/>
        <w:jc w:val="center"/>
        <w:outlineLvl w:val="1"/>
        <w:rPr>
          <w:rFonts w:ascii="Times New Roman" w:hAnsi="Times New Roman"/>
          <w:sz w:val="24"/>
          <w:szCs w:val="24"/>
        </w:rPr>
      </w:pPr>
    </w:p>
    <w:p w14:paraId="05F5DDF6" w14:textId="77777777" w:rsidR="001C59E3" w:rsidRDefault="001C59E3" w:rsidP="001C59E3">
      <w:pPr>
        <w:spacing w:after="0" w:line="480" w:lineRule="auto"/>
        <w:jc w:val="center"/>
        <w:outlineLvl w:val="1"/>
        <w:rPr>
          <w:rFonts w:ascii="Times New Roman" w:hAnsi="Times New Roman"/>
          <w:sz w:val="24"/>
          <w:szCs w:val="24"/>
        </w:rPr>
      </w:pPr>
    </w:p>
    <w:p w14:paraId="6A7D5F43" w14:textId="77777777" w:rsidR="001C59E3" w:rsidRDefault="001C59E3" w:rsidP="001C59E3">
      <w:pPr>
        <w:spacing w:after="0" w:line="480" w:lineRule="auto"/>
        <w:jc w:val="center"/>
        <w:outlineLvl w:val="1"/>
        <w:rPr>
          <w:rFonts w:ascii="Times New Roman" w:hAnsi="Times New Roman"/>
          <w:sz w:val="24"/>
          <w:szCs w:val="24"/>
        </w:rPr>
      </w:pPr>
    </w:p>
    <w:p w14:paraId="68C2F3DC" w14:textId="77777777" w:rsidR="001C59E3" w:rsidRDefault="001C59E3" w:rsidP="001C59E3">
      <w:pPr>
        <w:spacing w:after="0" w:line="480" w:lineRule="auto"/>
        <w:jc w:val="center"/>
        <w:outlineLvl w:val="1"/>
        <w:rPr>
          <w:rFonts w:ascii="Times New Roman" w:hAnsi="Times New Roman"/>
          <w:sz w:val="24"/>
          <w:szCs w:val="24"/>
        </w:rPr>
      </w:pPr>
    </w:p>
    <w:p w14:paraId="444F76DF" w14:textId="77777777" w:rsidR="001C59E3" w:rsidRDefault="001C59E3" w:rsidP="001C59E3">
      <w:pPr>
        <w:spacing w:after="0" w:line="480" w:lineRule="auto"/>
        <w:jc w:val="center"/>
        <w:outlineLvl w:val="1"/>
        <w:rPr>
          <w:rFonts w:ascii="Times New Roman" w:hAnsi="Times New Roman"/>
          <w:sz w:val="24"/>
          <w:szCs w:val="24"/>
        </w:rPr>
      </w:pPr>
    </w:p>
    <w:p w14:paraId="316D41A9" w14:textId="77777777" w:rsidR="001C59E3" w:rsidRDefault="001C59E3" w:rsidP="001C59E3">
      <w:pPr>
        <w:spacing w:after="0" w:line="480" w:lineRule="auto"/>
        <w:jc w:val="center"/>
        <w:outlineLvl w:val="1"/>
        <w:rPr>
          <w:rFonts w:ascii="Times New Roman" w:hAnsi="Times New Roman"/>
          <w:sz w:val="24"/>
          <w:szCs w:val="24"/>
        </w:rPr>
      </w:pPr>
    </w:p>
    <w:p w14:paraId="15C99B1D" w14:textId="77777777" w:rsidR="001C59E3" w:rsidRDefault="001C59E3" w:rsidP="001C59E3">
      <w:pPr>
        <w:spacing w:after="0" w:line="480" w:lineRule="auto"/>
        <w:jc w:val="center"/>
        <w:outlineLvl w:val="1"/>
        <w:rPr>
          <w:rFonts w:ascii="Times New Roman" w:hAnsi="Times New Roman"/>
          <w:sz w:val="24"/>
          <w:szCs w:val="24"/>
        </w:rPr>
      </w:pPr>
    </w:p>
    <w:p w14:paraId="13132D7C" w14:textId="77777777" w:rsidR="001C59E3" w:rsidRDefault="001C59E3" w:rsidP="001C59E3">
      <w:pPr>
        <w:spacing w:after="0" w:line="480" w:lineRule="auto"/>
        <w:jc w:val="center"/>
        <w:outlineLvl w:val="1"/>
        <w:rPr>
          <w:rFonts w:ascii="Times New Roman" w:hAnsi="Times New Roman"/>
          <w:sz w:val="24"/>
          <w:szCs w:val="24"/>
        </w:rPr>
      </w:pPr>
    </w:p>
    <w:p w14:paraId="1076677F" w14:textId="77777777" w:rsidR="001C59E3" w:rsidRDefault="001C59E3" w:rsidP="001C59E3">
      <w:pPr>
        <w:spacing w:after="0" w:line="480" w:lineRule="auto"/>
        <w:jc w:val="center"/>
        <w:outlineLvl w:val="1"/>
        <w:rPr>
          <w:rFonts w:ascii="Times New Roman" w:hAnsi="Times New Roman"/>
          <w:sz w:val="24"/>
          <w:szCs w:val="24"/>
        </w:rPr>
      </w:pPr>
    </w:p>
    <w:p w14:paraId="3FEC87F2" w14:textId="78F2AA26" w:rsidR="00E150AD" w:rsidRDefault="00AA1020" w:rsidP="001C59E3">
      <w:pPr>
        <w:spacing w:after="0" w:line="480" w:lineRule="auto"/>
        <w:jc w:val="center"/>
        <w:outlineLvl w:val="1"/>
        <w:rPr>
          <w:rFonts w:ascii="Times New Roman" w:hAnsi="Times New Roman"/>
          <w:b/>
          <w:bCs/>
          <w:sz w:val="24"/>
          <w:szCs w:val="24"/>
        </w:rPr>
      </w:pPr>
      <w:r>
        <w:rPr>
          <w:rFonts w:ascii="Times New Roman" w:hAnsi="Times New Roman"/>
          <w:b/>
          <w:bCs/>
          <w:sz w:val="24"/>
          <w:szCs w:val="24"/>
        </w:rPr>
        <w:lastRenderedPageBreak/>
        <w:t>CHAPTER ONE</w:t>
      </w:r>
    </w:p>
    <w:p w14:paraId="70282FA5" w14:textId="77777777" w:rsidR="00E150AD" w:rsidRDefault="00AA1020">
      <w:pPr>
        <w:spacing w:after="0" w:line="480" w:lineRule="auto"/>
        <w:jc w:val="center"/>
        <w:outlineLvl w:val="1"/>
        <w:rPr>
          <w:rFonts w:ascii="Times New Roman" w:hAnsi="Times New Roman"/>
          <w:sz w:val="24"/>
          <w:szCs w:val="24"/>
        </w:rPr>
      </w:pPr>
      <w:r>
        <w:rPr>
          <w:rFonts w:ascii="Times New Roman" w:hAnsi="Times New Roman"/>
          <w:b/>
          <w:bCs/>
          <w:sz w:val="24"/>
          <w:szCs w:val="24"/>
        </w:rPr>
        <w:t>INTRODUCTION</w:t>
      </w:r>
    </w:p>
    <w:p w14:paraId="50B8B9E3" w14:textId="77777777" w:rsidR="00E150AD" w:rsidRDefault="00AA1020">
      <w:pPr>
        <w:spacing w:after="0" w:line="480" w:lineRule="auto"/>
        <w:jc w:val="both"/>
        <w:outlineLvl w:val="2"/>
        <w:rPr>
          <w:rFonts w:ascii="Times New Roman" w:hAnsi="Times New Roman"/>
          <w:b/>
          <w:bCs/>
          <w:sz w:val="24"/>
          <w:szCs w:val="24"/>
        </w:rPr>
      </w:pPr>
      <w:r>
        <w:rPr>
          <w:rFonts w:ascii="Times New Roman" w:hAnsi="Times New Roman"/>
          <w:b/>
          <w:bCs/>
          <w:sz w:val="24"/>
          <w:szCs w:val="24"/>
        </w:rPr>
        <w:t>1.1</w:t>
      </w:r>
      <w:r>
        <w:rPr>
          <w:rFonts w:ascii="Times New Roman" w:hAnsi="Times New Roman"/>
          <w:b/>
          <w:bCs/>
          <w:sz w:val="24"/>
          <w:szCs w:val="24"/>
        </w:rPr>
        <w:tab/>
        <w:t>BACKGROUND TO   THE STUDY</w:t>
      </w:r>
    </w:p>
    <w:p w14:paraId="59C01780"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Clay deposits are among the most economically and </w:t>
      </w:r>
      <w:r>
        <w:rPr>
          <w:rFonts w:ascii="Times New Roman" w:hAnsi="Times New Roman"/>
          <w:sz w:val="24"/>
          <w:szCs w:val="24"/>
        </w:rPr>
        <w:t xml:space="preserve">industrially significant natural resources due to their wide range of applications. Clays are fine-grained, hydrous aluminosilicate minerals that form through the weathering and hydrothermal alteration of silicate-bearing rocks, particularly feldspar-rich </w:t>
      </w:r>
      <w:r>
        <w:rPr>
          <w:rFonts w:ascii="Times New Roman" w:hAnsi="Times New Roman"/>
          <w:sz w:val="24"/>
          <w:szCs w:val="24"/>
        </w:rPr>
        <w:t>rocks such as granite and basalt (Murray, 2007). They are an essential raw material in numerous industries, including ceramics, cement manufacturing, pharmaceuticals, petroleum drilling, and construction materials . Clay minerals, composed of microscopic p</w:t>
      </w:r>
      <w:r>
        <w:rPr>
          <w:rFonts w:ascii="Times New Roman" w:hAnsi="Times New Roman"/>
          <w:sz w:val="24"/>
          <w:szCs w:val="24"/>
        </w:rPr>
        <w:t>articles, are ubiquitous in the Earth's crust and play a crucial role in various geological processes and human activities. Their unique physical and chemical properties make them valuable resources for industries such as ceramics, construction, and enviro</w:t>
      </w:r>
      <w:r>
        <w:rPr>
          <w:rFonts w:ascii="Times New Roman" w:hAnsi="Times New Roman"/>
          <w:sz w:val="24"/>
          <w:szCs w:val="24"/>
        </w:rPr>
        <w:t>nmental remediation. (Ekosse, 2010).</w:t>
      </w:r>
    </w:p>
    <w:p w14:paraId="395261C4"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The geochemical characterization of clay deposits is vital in determining their suitability for industrial applications. The mineralogical composition, chemical properties, plasticity, and particle size distribution of </w:t>
      </w:r>
      <w:r>
        <w:rPr>
          <w:rFonts w:ascii="Times New Roman" w:hAnsi="Times New Roman"/>
          <w:sz w:val="24"/>
          <w:szCs w:val="24"/>
        </w:rPr>
        <w:t>clay influence its usability in various industries. For instance, kaolinite-rich clays are commonly used in ceramics and paper manufacturing due to their low shrink-swell potential and high thermal stability, whereas montmorillonite-rich clays are valuable</w:t>
      </w:r>
      <w:r>
        <w:rPr>
          <w:rFonts w:ascii="Times New Roman" w:hAnsi="Times New Roman"/>
          <w:sz w:val="24"/>
          <w:szCs w:val="24"/>
        </w:rPr>
        <w:t xml:space="preserve"> in drilling fluids and environmental remediation because of their high cation exchange capacity (Grim, 1968).</w:t>
      </w:r>
    </w:p>
    <w:p w14:paraId="287D74FF"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In Nigeria, the abundance of clay deposits presents a significant economic opportunity. Various studies have been conducted on well-known Nigeria</w:t>
      </w:r>
      <w:r>
        <w:rPr>
          <w:rFonts w:ascii="Times New Roman" w:hAnsi="Times New Roman"/>
          <w:sz w:val="24"/>
          <w:szCs w:val="24"/>
        </w:rPr>
        <w:t xml:space="preserve">n clay deposits, such as those in Kankara (Katsina State), Ibese (Ogun State), and Ilesha (Osun State), with findings </w:t>
      </w:r>
      <w:r>
        <w:rPr>
          <w:rFonts w:ascii="Times New Roman" w:hAnsi="Times New Roman"/>
          <w:sz w:val="24"/>
          <w:szCs w:val="24"/>
        </w:rPr>
        <w:lastRenderedPageBreak/>
        <w:t xml:space="preserve">demonstrating their suitability for different industrial applications (Akinola et al., 2015). However, The Igbelowa clay deposit, located </w:t>
      </w:r>
      <w:r>
        <w:rPr>
          <w:rFonts w:ascii="Times New Roman" w:hAnsi="Times New Roman"/>
          <w:sz w:val="24"/>
          <w:szCs w:val="24"/>
        </w:rPr>
        <w:t>in kwara State, Nigeria, holds significant potential for industrial applications such as ceramics, cement, and brick production. However, its geochemical composition remains underexplored. Understanding the mineralogical and geochemical properties is vital</w:t>
      </w:r>
      <w:r>
        <w:rPr>
          <w:rFonts w:ascii="Times New Roman" w:hAnsi="Times New Roman"/>
          <w:sz w:val="24"/>
          <w:szCs w:val="24"/>
        </w:rPr>
        <w:t xml:space="preserve"> to evaluate its suitability for various uses and to guide sustainable extraction practices.</w:t>
      </w:r>
    </w:p>
    <w:p w14:paraId="6FFE177A"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Clay minerals are among the most versatile natural resources, widely utilized in industries such as ceramics, pharmaceuticals, cement production, and environmental</w:t>
      </w:r>
      <w:r>
        <w:rPr>
          <w:rFonts w:ascii="Times New Roman" w:hAnsi="Times New Roman"/>
          <w:sz w:val="24"/>
          <w:szCs w:val="24"/>
        </w:rPr>
        <w:t xml:space="preserve"> management (Johnson et al., 2015). Nigeria, with its abundant clay deposits, offers significant potential for industrial development, yet many of these resources remain underexplored (Adewale &amp; Eze, 2017). The Igbelowa clay deposit, located in Kwara State</w:t>
      </w:r>
      <w:r>
        <w:rPr>
          <w:rFonts w:ascii="Times New Roman" w:hAnsi="Times New Roman"/>
          <w:sz w:val="24"/>
          <w:szCs w:val="24"/>
        </w:rPr>
        <w:t>, is one such resource whose industrial potential has not been fully assessed.</w:t>
      </w:r>
    </w:p>
    <w:p w14:paraId="01D7900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Previous studies have highlighted the importance of geochemical analyses in determining the mineralogical composition and suitability of clay for various applications (Smithson </w:t>
      </w:r>
      <w:r>
        <w:rPr>
          <w:rFonts w:ascii="Times New Roman" w:hAnsi="Times New Roman"/>
          <w:sz w:val="24"/>
          <w:szCs w:val="24"/>
        </w:rPr>
        <w:t>et al., 2018). However, the absence of specific data on the Igbelowa deposit represents a knowledge gap that limits its industrial exploitation and raises concerns about sustainable resource management (Ibrahim &amp; Ogunleye, 2020).</w:t>
      </w:r>
    </w:p>
    <w:p w14:paraId="45BDBF0D"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Clay minerals serve as ess</w:t>
      </w:r>
      <w:r>
        <w:rPr>
          <w:rFonts w:ascii="Times New Roman" w:hAnsi="Times New Roman"/>
          <w:sz w:val="24"/>
          <w:szCs w:val="24"/>
        </w:rPr>
        <w:t>ential raw materials in various industries, including ceramics, pharmaceuticals, cement manufacturing, and water treatment (Anderson et al., 2014). Their versatility is largely due to the unique properties conferred by their geochemical composition, such a</w:t>
      </w:r>
      <w:r>
        <w:rPr>
          <w:rFonts w:ascii="Times New Roman" w:hAnsi="Times New Roman"/>
          <w:sz w:val="24"/>
          <w:szCs w:val="24"/>
        </w:rPr>
        <w:t>s plasticity, thermal stability, and ion exchange capacity (Johnson et al., 2015).</w:t>
      </w:r>
    </w:p>
    <w:p w14:paraId="1B573363"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lastRenderedPageBreak/>
        <w:t>Nigeria, endowed with extensive clay deposits across its geopolitical zones, holds untapped potential for fostering industrial growth and reducing reliance on imported mater</w:t>
      </w:r>
      <w:r>
        <w:rPr>
          <w:rFonts w:ascii="Times New Roman" w:hAnsi="Times New Roman"/>
          <w:sz w:val="24"/>
          <w:szCs w:val="24"/>
        </w:rPr>
        <w:t>ials (Adewale &amp; Eze, 2017). Among these deposits is the Igbelowa clay, located in Kwara State, which has garnered attention due to its accessibility and perceived abundance (Ogunlana &amp; Bello, 2019). However, despite its significance, there is a lack of com</w:t>
      </w:r>
      <w:r>
        <w:rPr>
          <w:rFonts w:ascii="Times New Roman" w:hAnsi="Times New Roman"/>
          <w:sz w:val="24"/>
          <w:szCs w:val="24"/>
        </w:rPr>
        <w:t>prehensive geochemical chara Fluorescence (XRF) and X-Ray Diffraction (XRD), have proven effective in revealing the mineralogical and chemical properties of clay, guiding their industrial applications (Smithson et al., 2018). Studies on other Nigerian clay</w:t>
      </w:r>
      <w:r>
        <w:rPr>
          <w:rFonts w:ascii="Times New Roman" w:hAnsi="Times New Roman"/>
          <w:sz w:val="24"/>
          <w:szCs w:val="24"/>
        </w:rPr>
        <w:t xml:space="preserve"> deposits, such as those in Abeokuta and Ifon, have demonstrated the utility of such techniques in determining suitability for ceramics and cement production (Adeyemi et al., 2021; Nwosu &amp; Ezeaku, 2022). These findings underscore the need for similar inves</w:t>
      </w:r>
      <w:r>
        <w:rPr>
          <w:rFonts w:ascii="Times New Roman" w:hAnsi="Times New Roman"/>
          <w:sz w:val="24"/>
          <w:szCs w:val="24"/>
        </w:rPr>
        <w:t>tigations into the Igbelowa deposit to maximize its potential.</w:t>
      </w:r>
    </w:p>
    <w:p w14:paraId="7B5B2963"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1.2</w:t>
      </w:r>
      <w:r>
        <w:rPr>
          <w:rFonts w:ascii="Times New Roman" w:hAnsi="Times New Roman"/>
          <w:b/>
          <w:bCs/>
          <w:sz w:val="24"/>
          <w:szCs w:val="24"/>
        </w:rPr>
        <w:tab/>
        <w:t xml:space="preserve">PROBLEM STATEMENT </w:t>
      </w:r>
    </w:p>
    <w:p w14:paraId="734FC5A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Despite the industrial significance of clay deposits, a comprehensive assessment of the geochemical properties of Igbelowa clay is lacking. This gap limits its optimal </w:t>
      </w:r>
      <w:r>
        <w:rPr>
          <w:rFonts w:ascii="Times New Roman" w:hAnsi="Times New Roman"/>
          <w:sz w:val="24"/>
          <w:szCs w:val="24"/>
        </w:rPr>
        <w:t>utilization and poses challenges in integrating it into industrial supply chains. Additionally, inadequate characterization may lead to environmental degradation due to unsustainable mining practices.</w:t>
      </w:r>
    </w:p>
    <w:p w14:paraId="565EA043"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Igbelowa clay deposit, like many other clay resourc</w:t>
      </w:r>
      <w:r>
        <w:rPr>
          <w:rFonts w:ascii="Times New Roman" w:hAnsi="Times New Roman"/>
          <w:sz w:val="24"/>
          <w:szCs w:val="24"/>
        </w:rPr>
        <w:t>es in Nigeria, remains underutilized due to insufficient scientific exploration (Ogunlana &amp; Bello, 2019). While clay deposits across the country have been identified as valuable for industrial purposes, their full potential can only be realized through pro</w:t>
      </w:r>
      <w:r>
        <w:rPr>
          <w:rFonts w:ascii="Times New Roman" w:hAnsi="Times New Roman"/>
          <w:sz w:val="24"/>
          <w:szCs w:val="24"/>
        </w:rPr>
        <w:t xml:space="preserve">per geochemical characterization (Anderson et al., 2014). Unfortunately, the absence of detailed information on the </w:t>
      </w:r>
      <w:r>
        <w:rPr>
          <w:rFonts w:ascii="Times New Roman" w:hAnsi="Times New Roman"/>
          <w:sz w:val="24"/>
          <w:szCs w:val="24"/>
        </w:rPr>
        <w:lastRenderedPageBreak/>
        <w:t>mineralogical and chemical composition of Igbelowa clay has hindered its integration into industries such as ceramics, construction, and env</w:t>
      </w:r>
      <w:r>
        <w:rPr>
          <w:rFonts w:ascii="Times New Roman" w:hAnsi="Times New Roman"/>
          <w:sz w:val="24"/>
          <w:szCs w:val="24"/>
        </w:rPr>
        <w:t>ironmental remediation (Ibrahim &amp; Ogunleye, 2020).</w:t>
      </w:r>
    </w:p>
    <w:p w14:paraId="07370947"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1.3</w:t>
      </w:r>
      <w:r>
        <w:rPr>
          <w:rFonts w:ascii="Times New Roman" w:hAnsi="Times New Roman"/>
          <w:b/>
          <w:bCs/>
          <w:sz w:val="24"/>
          <w:szCs w:val="24"/>
        </w:rPr>
        <w:tab/>
        <w:t>AIM AND OBJECTIVES</w:t>
      </w:r>
    </w:p>
    <w:p w14:paraId="656BA196"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This study is   aim to conduct a comprehensive geochemical investigation of clay deposits located in Igbelowa, Ifelodun Local Government of Kwara State while the specific objectives </w:t>
      </w:r>
      <w:r>
        <w:rPr>
          <w:rFonts w:ascii="Times New Roman" w:hAnsi="Times New Roman"/>
          <w:sz w:val="24"/>
          <w:szCs w:val="24"/>
        </w:rPr>
        <w:t>include;</w:t>
      </w:r>
    </w:p>
    <w:p w14:paraId="6D22EB8E" w14:textId="77777777" w:rsidR="00E150AD" w:rsidRDefault="00AA1020">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to analyzing the mineralogical composition, elemental concentrations   using XRD and XRF</w:t>
      </w:r>
    </w:p>
    <w:p w14:paraId="6FB38E49" w14:textId="77777777" w:rsidR="00E150AD" w:rsidRDefault="00AA1020">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to identify potential sources of the clay minerals and their formation processes.</w:t>
      </w:r>
    </w:p>
    <w:p w14:paraId="56666F58" w14:textId="77777777" w:rsidR="00E150AD" w:rsidRDefault="00AA1020">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to assess the suitability of the clays for various industrial applications.</w:t>
      </w:r>
    </w:p>
    <w:p w14:paraId="32CA614E"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1.4</w:t>
      </w:r>
      <w:r>
        <w:rPr>
          <w:rFonts w:ascii="Times New Roman" w:hAnsi="Times New Roman"/>
          <w:b/>
          <w:bCs/>
          <w:sz w:val="24"/>
          <w:szCs w:val="24"/>
        </w:rPr>
        <w:tab/>
        <w:t>JUSTIFICATION</w:t>
      </w:r>
    </w:p>
    <w:p w14:paraId="1903BB1D"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Assessing the geochemical composition of Igbelowa clay will provide critical insights into its mineralogical suitability for industrial applications. The study will benefit local industries by reducing dependency on imported raw materials</w:t>
      </w:r>
      <w:r>
        <w:rPr>
          <w:rFonts w:ascii="Times New Roman" w:hAnsi="Times New Roman"/>
          <w:sz w:val="24"/>
          <w:szCs w:val="24"/>
        </w:rPr>
        <w:t>, promoting economic growth, and enhancing resource sustainability. Furthermore, it will contribute to the academic understanding of Nigerian clay deposits.</w:t>
      </w:r>
    </w:p>
    <w:p w14:paraId="3F2E0FD7"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1.5</w:t>
      </w:r>
      <w:r>
        <w:rPr>
          <w:rFonts w:ascii="Times New Roman" w:hAnsi="Times New Roman"/>
          <w:b/>
          <w:bCs/>
          <w:sz w:val="24"/>
          <w:szCs w:val="24"/>
        </w:rPr>
        <w:tab/>
        <w:t>SCOPE OF THE STUDY</w:t>
      </w:r>
    </w:p>
    <w:p w14:paraId="65228FCF"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This study will focus on:</w:t>
      </w:r>
    </w:p>
    <w:p w14:paraId="79F3D6D5" w14:textId="77777777" w:rsidR="00E150AD" w:rsidRDefault="00AA1020">
      <w:pPr>
        <w:pStyle w:val="ListParagraph"/>
        <w:numPr>
          <w:ilvl w:val="0"/>
          <w:numId w:val="3"/>
        </w:numPr>
        <w:spacing w:after="0" w:line="480" w:lineRule="auto"/>
        <w:ind w:left="1080"/>
        <w:jc w:val="both"/>
        <w:rPr>
          <w:rFonts w:ascii="Times New Roman" w:hAnsi="Times New Roman"/>
          <w:sz w:val="24"/>
          <w:szCs w:val="24"/>
        </w:rPr>
      </w:pPr>
      <w:r>
        <w:rPr>
          <w:rFonts w:ascii="Times New Roman" w:hAnsi="Times New Roman"/>
          <w:sz w:val="24"/>
          <w:szCs w:val="24"/>
        </w:rPr>
        <w:t>Field sampling and laboratory analysis of clay fro</w:t>
      </w:r>
      <w:r>
        <w:rPr>
          <w:rFonts w:ascii="Times New Roman" w:hAnsi="Times New Roman"/>
          <w:sz w:val="24"/>
          <w:szCs w:val="24"/>
        </w:rPr>
        <w:t>m the Igbelowa deposit.</w:t>
      </w:r>
    </w:p>
    <w:p w14:paraId="1A859308" w14:textId="77777777" w:rsidR="00E150AD" w:rsidRDefault="00AA1020">
      <w:pPr>
        <w:pStyle w:val="ListParagraph"/>
        <w:numPr>
          <w:ilvl w:val="0"/>
          <w:numId w:val="3"/>
        </w:numPr>
        <w:spacing w:after="0" w:line="480" w:lineRule="auto"/>
        <w:ind w:left="1080"/>
        <w:jc w:val="both"/>
        <w:rPr>
          <w:rFonts w:ascii="Times New Roman" w:hAnsi="Times New Roman"/>
          <w:sz w:val="24"/>
          <w:szCs w:val="24"/>
        </w:rPr>
      </w:pPr>
      <w:r>
        <w:rPr>
          <w:rFonts w:ascii="Times New Roman" w:hAnsi="Times New Roman"/>
          <w:sz w:val="24"/>
          <w:szCs w:val="24"/>
        </w:rPr>
        <w:t>Determining the mineralogical and chemical composition using techniques such as X-Ray Fluorescence (XRF) and X-Ray Diffraction (XRD).</w:t>
      </w:r>
    </w:p>
    <w:p w14:paraId="116651E1" w14:textId="77777777" w:rsidR="00E150AD" w:rsidRDefault="00AA1020">
      <w:pPr>
        <w:pStyle w:val="ListParagraph"/>
        <w:numPr>
          <w:ilvl w:val="0"/>
          <w:numId w:val="3"/>
        </w:numPr>
        <w:spacing w:after="0" w:line="480" w:lineRule="auto"/>
        <w:ind w:left="1080"/>
        <w:jc w:val="both"/>
        <w:rPr>
          <w:rFonts w:ascii="Times New Roman" w:hAnsi="Times New Roman"/>
          <w:sz w:val="24"/>
          <w:szCs w:val="24"/>
        </w:rPr>
      </w:pPr>
      <w:r>
        <w:rPr>
          <w:rFonts w:ascii="Times New Roman" w:hAnsi="Times New Roman"/>
          <w:sz w:val="24"/>
          <w:szCs w:val="24"/>
        </w:rPr>
        <w:t>Evaluating its potential applications based on its geochemical characteristics.</w:t>
      </w:r>
    </w:p>
    <w:p w14:paraId="1D5FF284" w14:textId="77777777" w:rsidR="00E150AD" w:rsidRDefault="00E150AD">
      <w:pPr>
        <w:spacing w:after="0" w:line="480" w:lineRule="auto"/>
        <w:jc w:val="both"/>
        <w:rPr>
          <w:rFonts w:ascii="Times New Roman" w:hAnsi="Times New Roman"/>
          <w:b/>
          <w:bCs/>
          <w:sz w:val="24"/>
          <w:szCs w:val="24"/>
        </w:rPr>
      </w:pPr>
    </w:p>
    <w:p w14:paraId="04E77A43"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1.6</w:t>
      </w:r>
      <w:r>
        <w:rPr>
          <w:rFonts w:ascii="Times New Roman" w:hAnsi="Times New Roman"/>
          <w:b/>
          <w:bCs/>
          <w:sz w:val="24"/>
          <w:szCs w:val="24"/>
        </w:rPr>
        <w:tab/>
        <w:t xml:space="preserve">LIMITATION </w:t>
      </w:r>
    </w:p>
    <w:p w14:paraId="3F4A1AAE" w14:textId="77777777" w:rsidR="00E150AD" w:rsidRDefault="00AA1020">
      <w:pPr>
        <w:pStyle w:val="ListParagraph"/>
        <w:numPr>
          <w:ilvl w:val="0"/>
          <w:numId w:val="6"/>
        </w:numPr>
        <w:spacing w:after="0" w:line="480" w:lineRule="auto"/>
        <w:ind w:left="1080" w:hanging="360"/>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ccessibility to the site during adverse weather conditions.</w:t>
      </w:r>
    </w:p>
    <w:p w14:paraId="18EE63D9" w14:textId="77777777" w:rsidR="00E150AD" w:rsidRDefault="00AA1020">
      <w:pPr>
        <w:pStyle w:val="ListParagraph"/>
        <w:numPr>
          <w:ilvl w:val="0"/>
          <w:numId w:val="6"/>
        </w:numPr>
        <w:spacing w:after="0" w:line="480" w:lineRule="auto"/>
        <w:ind w:left="1080" w:hanging="360"/>
        <w:jc w:val="both"/>
        <w:rPr>
          <w:rFonts w:ascii="Times New Roman" w:hAnsi="Times New Roman"/>
          <w:sz w:val="24"/>
          <w:szCs w:val="24"/>
        </w:rPr>
      </w:pPr>
      <w:r>
        <w:rPr>
          <w:rFonts w:ascii="Times New Roman" w:hAnsi="Times New Roman"/>
          <w:sz w:val="24"/>
          <w:szCs w:val="24"/>
        </w:rPr>
        <w:t>Limited funding for advanced analytical techniques.</w:t>
      </w:r>
    </w:p>
    <w:p w14:paraId="0C793F1F" w14:textId="77777777" w:rsidR="00E150AD" w:rsidRDefault="00AA1020">
      <w:pPr>
        <w:pStyle w:val="ListParagraph"/>
        <w:numPr>
          <w:ilvl w:val="0"/>
          <w:numId w:val="6"/>
        </w:numPr>
        <w:spacing w:after="0" w:line="480" w:lineRule="auto"/>
        <w:ind w:left="1080" w:hanging="360"/>
        <w:jc w:val="both"/>
        <w:rPr>
          <w:rFonts w:ascii="Times New Roman" w:hAnsi="Times New Roman"/>
          <w:sz w:val="24"/>
          <w:szCs w:val="24"/>
        </w:rPr>
      </w:pPr>
      <w:r>
        <w:rPr>
          <w:rFonts w:ascii="Times New Roman" w:hAnsi="Times New Roman"/>
          <w:sz w:val="24"/>
          <w:szCs w:val="24"/>
        </w:rPr>
        <w:t>Availability of high-precision laboratory equipment within the region.</w:t>
      </w:r>
    </w:p>
    <w:p w14:paraId="22774016" w14:textId="77777777" w:rsidR="00E150AD" w:rsidRDefault="00E150AD">
      <w:pPr>
        <w:spacing w:after="0" w:line="480" w:lineRule="auto"/>
        <w:ind w:left="440"/>
        <w:jc w:val="both"/>
        <w:rPr>
          <w:rFonts w:ascii="Times New Roman" w:hAnsi="Times New Roman"/>
          <w:sz w:val="24"/>
          <w:szCs w:val="24"/>
        </w:rPr>
      </w:pPr>
    </w:p>
    <w:p w14:paraId="53E24BD5" w14:textId="77777777" w:rsidR="00E150AD" w:rsidRDefault="00E150AD">
      <w:pPr>
        <w:spacing w:after="0" w:line="480" w:lineRule="auto"/>
        <w:ind w:left="440"/>
        <w:jc w:val="both"/>
        <w:rPr>
          <w:rFonts w:ascii="Times New Roman" w:hAnsi="Times New Roman"/>
          <w:sz w:val="24"/>
          <w:szCs w:val="24"/>
        </w:rPr>
      </w:pPr>
    </w:p>
    <w:p w14:paraId="2B83FAEE" w14:textId="77777777" w:rsidR="00E150AD" w:rsidRDefault="00E150AD">
      <w:pPr>
        <w:spacing w:after="0" w:line="480" w:lineRule="auto"/>
        <w:ind w:left="440"/>
        <w:jc w:val="both"/>
        <w:rPr>
          <w:rFonts w:ascii="Times New Roman" w:hAnsi="Times New Roman"/>
          <w:sz w:val="24"/>
          <w:szCs w:val="24"/>
        </w:rPr>
      </w:pPr>
    </w:p>
    <w:p w14:paraId="013E3A0E" w14:textId="77777777" w:rsidR="00E150AD" w:rsidRDefault="00E150AD">
      <w:pPr>
        <w:spacing w:after="0" w:line="480" w:lineRule="auto"/>
        <w:ind w:left="440"/>
        <w:jc w:val="both"/>
        <w:rPr>
          <w:rFonts w:ascii="Times New Roman" w:hAnsi="Times New Roman"/>
          <w:sz w:val="24"/>
          <w:szCs w:val="24"/>
        </w:rPr>
      </w:pPr>
    </w:p>
    <w:p w14:paraId="4B45EA66" w14:textId="77777777" w:rsidR="00E150AD" w:rsidRDefault="00E150AD">
      <w:pPr>
        <w:spacing w:after="0" w:line="480" w:lineRule="auto"/>
        <w:ind w:left="440"/>
        <w:jc w:val="both"/>
        <w:rPr>
          <w:rFonts w:ascii="Times New Roman" w:hAnsi="Times New Roman"/>
          <w:sz w:val="24"/>
          <w:szCs w:val="24"/>
        </w:rPr>
      </w:pPr>
    </w:p>
    <w:p w14:paraId="543E378D" w14:textId="77777777" w:rsidR="00E150AD" w:rsidRDefault="00E150AD">
      <w:pPr>
        <w:spacing w:after="0" w:line="480" w:lineRule="auto"/>
        <w:ind w:left="440"/>
        <w:jc w:val="both"/>
        <w:rPr>
          <w:rFonts w:ascii="Times New Roman" w:hAnsi="Times New Roman"/>
          <w:sz w:val="24"/>
          <w:szCs w:val="24"/>
        </w:rPr>
      </w:pPr>
    </w:p>
    <w:p w14:paraId="71E6021F" w14:textId="77777777" w:rsidR="00E150AD" w:rsidRDefault="00AA1020">
      <w:pPr>
        <w:spacing w:after="160" w:line="259" w:lineRule="auto"/>
        <w:rPr>
          <w:rFonts w:ascii="Times New Roman" w:hAnsi="Times New Roman"/>
          <w:b/>
          <w:bCs/>
          <w:sz w:val="24"/>
          <w:szCs w:val="24"/>
        </w:rPr>
      </w:pPr>
      <w:r>
        <w:rPr>
          <w:rFonts w:ascii="Times New Roman" w:hAnsi="Times New Roman"/>
          <w:b/>
          <w:bCs/>
          <w:sz w:val="24"/>
          <w:szCs w:val="24"/>
        </w:rPr>
        <w:br w:type="page"/>
      </w:r>
    </w:p>
    <w:p w14:paraId="1FEC60AA" w14:textId="77777777" w:rsidR="00E150AD" w:rsidRDefault="00AA1020">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CHAPTER TWO</w:t>
      </w:r>
    </w:p>
    <w:p w14:paraId="4A4527E8" w14:textId="233D7AB0" w:rsidR="00E150AD" w:rsidRDefault="00AA1020">
      <w:pPr>
        <w:spacing w:after="0" w:line="480" w:lineRule="auto"/>
        <w:jc w:val="center"/>
        <w:rPr>
          <w:rFonts w:ascii="Times New Roman" w:hAnsi="Times New Roman"/>
          <w:b/>
          <w:bCs/>
          <w:sz w:val="24"/>
          <w:szCs w:val="24"/>
        </w:rPr>
      </w:pPr>
      <w:r>
        <w:rPr>
          <w:rFonts w:ascii="Times New Roman" w:hAnsi="Times New Roman"/>
          <w:b/>
          <w:bCs/>
          <w:sz w:val="24"/>
          <w:szCs w:val="24"/>
        </w:rPr>
        <w:t>LITERATURE REVIEW</w:t>
      </w:r>
    </w:p>
    <w:p w14:paraId="5A18DA6D"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 xml:space="preserve">The study of clay deposits is </w:t>
      </w:r>
      <w:r>
        <w:rPr>
          <w:rFonts w:ascii="Times New Roman" w:hAnsi="Times New Roman"/>
          <w:sz w:val="24"/>
          <w:szCs w:val="24"/>
        </w:rPr>
        <w:t>pivotal in understanding not only their economic potential but also their environmental implications and industrial applications. Clays are fine-grained, hydrous aluminosilicate minerals that form primarily through the weathering and alteration of silicate</w:t>
      </w:r>
      <w:r>
        <w:rPr>
          <w:rFonts w:ascii="Times New Roman" w:hAnsi="Times New Roman"/>
          <w:sz w:val="24"/>
          <w:szCs w:val="24"/>
        </w:rPr>
        <w:t xml:space="preserve"> rocks. Their formation, which involves complex geological and chemical processes, results in a diverse range of mineralogical and geochemical characteristics that directly influence their suitability for various applications (Grim, 1968; Murray, 2007).In </w:t>
      </w:r>
      <w:r>
        <w:rPr>
          <w:rFonts w:ascii="Times New Roman" w:hAnsi="Times New Roman"/>
          <w:sz w:val="24"/>
          <w:szCs w:val="24"/>
        </w:rPr>
        <w:t>recent decades, advancements in analytical techniques have significantly enhanced our ability to characterize the geochemical composition of clay deposits. Methods such as X-ray fluorescence (XRF), X-ray diffraction (XRD), and atomic absorption spectroscop</w:t>
      </w:r>
      <w:r>
        <w:rPr>
          <w:rFonts w:ascii="Times New Roman" w:hAnsi="Times New Roman"/>
          <w:sz w:val="24"/>
          <w:szCs w:val="24"/>
        </w:rPr>
        <w:t>y (AAS) provide detailed insights into both major and trace element compositions, enabling researchers to assess the quality and industrial potential of these resources (Tucker, 1991; Ekosse, 2010). These techniques have also been critical in identifying t</w:t>
      </w:r>
      <w:r>
        <w:rPr>
          <w:rFonts w:ascii="Times New Roman" w:hAnsi="Times New Roman"/>
          <w:sz w:val="24"/>
          <w:szCs w:val="24"/>
        </w:rPr>
        <w:t>he environmental risks associated with the presence of heavy metals and other contaminants in clay deposits (Ekosse &amp; De Jager, 2000).</w:t>
      </w:r>
    </w:p>
    <w:p w14:paraId="06807E10"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2.1</w:t>
      </w:r>
      <w:r>
        <w:rPr>
          <w:rFonts w:ascii="Times New Roman" w:hAnsi="Times New Roman"/>
          <w:b/>
          <w:bCs/>
          <w:sz w:val="24"/>
          <w:szCs w:val="24"/>
        </w:rPr>
        <w:tab/>
        <w:t>FORMATION AND EVOLUTION OF CLAY DEPOSITS</w:t>
      </w:r>
    </w:p>
    <w:p w14:paraId="0A70E5F6"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Clay minerals are principally formed through the weathering and alteration </w:t>
      </w:r>
      <w:r>
        <w:rPr>
          <w:rFonts w:ascii="Times New Roman" w:hAnsi="Times New Roman"/>
          <w:sz w:val="24"/>
          <w:szCs w:val="24"/>
        </w:rPr>
        <w:t>of silicate-bearing rocks. The processes involved in their formation include:</w:t>
      </w:r>
    </w:p>
    <w:p w14:paraId="2832C00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b/>
          <w:bCs/>
          <w:sz w:val="24"/>
          <w:szCs w:val="24"/>
        </w:rPr>
        <w:t>Weathering:</w:t>
      </w:r>
      <w:r>
        <w:rPr>
          <w:rFonts w:ascii="Times New Roman" w:hAnsi="Times New Roman"/>
          <w:sz w:val="24"/>
          <w:szCs w:val="24"/>
        </w:rPr>
        <w:t xml:space="preserve"> Mechanical and chemical weathering of parent rocks such as granite, basalt, and feldspars leads to the breakdown of larger minerals into fine-grained particles. This </w:t>
      </w:r>
      <w:r>
        <w:rPr>
          <w:rFonts w:ascii="Times New Roman" w:hAnsi="Times New Roman"/>
          <w:sz w:val="24"/>
          <w:szCs w:val="24"/>
        </w:rPr>
        <w:t>process is significantly influenced by climatic factors and results in the formation of primary clay minerals (Grim, 1968; Murray, 2007).</w:t>
      </w:r>
    </w:p>
    <w:p w14:paraId="3DFE503F"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b/>
          <w:bCs/>
          <w:sz w:val="24"/>
          <w:szCs w:val="24"/>
        </w:rPr>
        <w:lastRenderedPageBreak/>
        <w:t>Hydrothermal Alteration:</w:t>
      </w:r>
      <w:r>
        <w:rPr>
          <w:rFonts w:ascii="Times New Roman" w:hAnsi="Times New Roman"/>
          <w:sz w:val="24"/>
          <w:szCs w:val="24"/>
        </w:rPr>
        <w:t xml:space="preserve"> High-temperature fluids can chemically alter the primary minerals in rocks. In hydrothermal e</w:t>
      </w:r>
      <w:r>
        <w:rPr>
          <w:rFonts w:ascii="Times New Roman" w:hAnsi="Times New Roman"/>
          <w:sz w:val="24"/>
          <w:szCs w:val="24"/>
        </w:rPr>
        <w:t>nvironments, feldspar and other silicates are converted into clay minerals such as kaolinite or montmorillonite depending on the conditions (Tucker, 1991).</w:t>
      </w:r>
    </w:p>
    <w:p w14:paraId="60594A17"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b/>
          <w:bCs/>
          <w:sz w:val="24"/>
          <w:szCs w:val="24"/>
        </w:rPr>
        <w:t>Sedimentary Processes:</w:t>
      </w:r>
      <w:r>
        <w:rPr>
          <w:rFonts w:ascii="Times New Roman" w:hAnsi="Times New Roman"/>
          <w:sz w:val="24"/>
          <w:szCs w:val="24"/>
        </w:rPr>
        <w:t xml:space="preserve"> Once formed, clay particles are often transported by water and deposited in l</w:t>
      </w:r>
      <w:r>
        <w:rPr>
          <w:rFonts w:ascii="Times New Roman" w:hAnsi="Times New Roman"/>
          <w:sz w:val="24"/>
          <w:szCs w:val="24"/>
        </w:rPr>
        <w:t>ow-energy environments (e.g., river deltas, floodplains, and lake bottoms). Diagenesis and post-depositional processes, such as compaction and cementation, may further modify the original clay mineralogy (Murray, 2007; Ekosse, 2010).</w:t>
      </w:r>
    </w:p>
    <w:p w14:paraId="5C7C3FF3"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These processes collec</w:t>
      </w:r>
      <w:r>
        <w:rPr>
          <w:rFonts w:ascii="Times New Roman" w:hAnsi="Times New Roman"/>
          <w:sz w:val="24"/>
          <w:szCs w:val="24"/>
        </w:rPr>
        <w:t>tively contribute to the evolution of clay deposits, and the resultant mineral assemblage is a function of the source rock composition, climate, and depositional environment.</w:t>
      </w:r>
    </w:p>
    <w:p w14:paraId="25AE4730"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2.2</w:t>
      </w:r>
      <w:r>
        <w:rPr>
          <w:rFonts w:ascii="Times New Roman" w:hAnsi="Times New Roman"/>
          <w:b/>
          <w:bCs/>
          <w:sz w:val="24"/>
          <w:szCs w:val="24"/>
        </w:rPr>
        <w:tab/>
        <w:t>CLASSIFICATION OF CLAY MINERALS</w:t>
      </w:r>
    </w:p>
    <w:p w14:paraId="29EDC43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Clay minerals are generally classified based </w:t>
      </w:r>
      <w:r>
        <w:rPr>
          <w:rFonts w:ascii="Times New Roman" w:hAnsi="Times New Roman"/>
          <w:sz w:val="24"/>
          <w:szCs w:val="24"/>
        </w:rPr>
        <w:t>on their crystallographic structure, chemical composition, and layer arrangement. The primary groups include:</w:t>
      </w:r>
    </w:p>
    <w:p w14:paraId="218D72A2"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2.2.1</w:t>
      </w:r>
      <w:r>
        <w:rPr>
          <w:rFonts w:ascii="Times New Roman" w:hAnsi="Times New Roman"/>
          <w:b/>
          <w:bCs/>
          <w:sz w:val="24"/>
          <w:szCs w:val="24"/>
        </w:rPr>
        <w:tab/>
        <w:t>Kaolinite Group:</w:t>
      </w:r>
    </w:p>
    <w:p w14:paraId="4A7385F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Characterized by a 1:1 layer structure (one silica tetrahedral sheet bonded to one alumina octahedral sheet), kaolinite is </w:t>
      </w:r>
      <w:r>
        <w:rPr>
          <w:rFonts w:ascii="Times New Roman" w:hAnsi="Times New Roman"/>
          <w:sz w:val="24"/>
          <w:szCs w:val="24"/>
        </w:rPr>
        <w:t>noted for its low shrink-swell capacity and high refractoriness. This group is widely used in ceramics and paper manufacturing (Grim, 1968; Murray, 2007).</w:t>
      </w:r>
    </w:p>
    <w:p w14:paraId="4CE7621F"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 xml:space="preserve">2.2.2 </w:t>
      </w:r>
      <w:r>
        <w:rPr>
          <w:rFonts w:ascii="Times New Roman" w:hAnsi="Times New Roman"/>
          <w:b/>
          <w:bCs/>
          <w:sz w:val="24"/>
          <w:szCs w:val="24"/>
        </w:rPr>
        <w:tab/>
        <w:t>Smectite Group:</w:t>
      </w:r>
    </w:p>
    <w:p w14:paraId="63AC0FB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With a 2:1 layer structure (two silica tetrahedral sheets sandwiching one alum</w:t>
      </w:r>
      <w:r>
        <w:rPr>
          <w:rFonts w:ascii="Times New Roman" w:hAnsi="Times New Roman"/>
          <w:sz w:val="24"/>
          <w:szCs w:val="24"/>
        </w:rPr>
        <w:t xml:space="preserve">ina octahedral sheet), smectite minerals, such as montmorillonite, exhibit high cation exchange capacities and swelling properties. These features make them ideal for applications in </w:t>
      </w:r>
      <w:r>
        <w:rPr>
          <w:rFonts w:ascii="Times New Roman" w:hAnsi="Times New Roman"/>
          <w:sz w:val="24"/>
          <w:szCs w:val="24"/>
        </w:rPr>
        <w:lastRenderedPageBreak/>
        <w:t>drilling fluids, adsorption processes, and environmental remediation (Eko</w:t>
      </w:r>
      <w:r>
        <w:rPr>
          <w:rFonts w:ascii="Times New Roman" w:hAnsi="Times New Roman"/>
          <w:sz w:val="24"/>
          <w:szCs w:val="24"/>
        </w:rPr>
        <w:t>sse, 2010; Tucker, 1991).</w:t>
      </w:r>
    </w:p>
    <w:p w14:paraId="5AE47C48"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2.2.3</w:t>
      </w:r>
      <w:r>
        <w:rPr>
          <w:rFonts w:ascii="Times New Roman" w:hAnsi="Times New Roman"/>
          <w:b/>
          <w:bCs/>
          <w:sz w:val="24"/>
          <w:szCs w:val="24"/>
        </w:rPr>
        <w:tab/>
        <w:t>Illite Group:</w:t>
      </w:r>
    </w:p>
    <w:p w14:paraId="0A80BFF5"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Illite has a structure similar to micas with potassium ions in the interlayer spaces, resulting in limited swelling properties. It is commonly found in marine sediments and is used in some ceramic and soil </w:t>
      </w:r>
      <w:r>
        <w:rPr>
          <w:rFonts w:ascii="Times New Roman" w:hAnsi="Times New Roman"/>
          <w:sz w:val="24"/>
          <w:szCs w:val="24"/>
        </w:rPr>
        <w:t>conditioning applications (Murray, 2007).</w:t>
      </w:r>
    </w:p>
    <w:p w14:paraId="0850DFC4"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2.2.4</w:t>
      </w:r>
      <w:r>
        <w:rPr>
          <w:rFonts w:ascii="Times New Roman" w:hAnsi="Times New Roman"/>
          <w:b/>
          <w:bCs/>
          <w:sz w:val="24"/>
          <w:szCs w:val="24"/>
        </w:rPr>
        <w:tab/>
        <w:t>Chlorite Group:</w:t>
      </w:r>
    </w:p>
    <w:p w14:paraId="21A519CD"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These clays contain an additional hydroxide layer intercalated between the 2:1 layers, offering improved thermal stability and lower plasticity. They are used in specialized refractory and com</w:t>
      </w:r>
      <w:r>
        <w:rPr>
          <w:rFonts w:ascii="Times New Roman" w:hAnsi="Times New Roman"/>
          <w:sz w:val="24"/>
          <w:szCs w:val="24"/>
        </w:rPr>
        <w:t>posite material applications (Tucker, 1991).</w:t>
      </w:r>
    </w:p>
    <w:p w14:paraId="55DB9EC5"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This classification provides a framework for understanding the behavior of clay minerals in various industrial and environmental contexts.</w:t>
      </w:r>
    </w:p>
    <w:p w14:paraId="6566C87A"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2.3</w:t>
      </w:r>
      <w:r>
        <w:rPr>
          <w:rFonts w:ascii="Times New Roman" w:hAnsi="Times New Roman"/>
          <w:b/>
          <w:bCs/>
          <w:sz w:val="24"/>
          <w:szCs w:val="24"/>
        </w:rPr>
        <w:tab/>
        <w:t>Geochemical Composition of Clay Deposits</w:t>
      </w:r>
    </w:p>
    <w:p w14:paraId="3325D327"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geochemical composition</w:t>
      </w:r>
      <w:r>
        <w:rPr>
          <w:rFonts w:ascii="Times New Roman" w:hAnsi="Times New Roman"/>
          <w:sz w:val="24"/>
          <w:szCs w:val="24"/>
        </w:rPr>
        <w:t xml:space="preserve"> of clay deposits is a critical factor that determines their industrial utility. This composition is typically expressed in terms of major oxides and trace elements:</w:t>
      </w:r>
    </w:p>
    <w:p w14:paraId="4D22490C"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2.3.1</w:t>
      </w:r>
      <w:r>
        <w:rPr>
          <w:rFonts w:ascii="Times New Roman" w:hAnsi="Times New Roman"/>
          <w:b/>
          <w:bCs/>
          <w:sz w:val="24"/>
          <w:szCs w:val="24"/>
        </w:rPr>
        <w:tab/>
        <w:t>Major Oxides:</w:t>
      </w:r>
    </w:p>
    <w:p w14:paraId="37592EF2"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Silica (SiO₂): Often the most abundant component, contributing to the </w:t>
      </w:r>
      <w:r>
        <w:rPr>
          <w:rFonts w:ascii="Times New Roman" w:hAnsi="Times New Roman"/>
          <w:sz w:val="24"/>
          <w:szCs w:val="24"/>
        </w:rPr>
        <w:t>structural integrity and thermal stability of the clay (Murray, 2007).</w:t>
      </w:r>
    </w:p>
    <w:p w14:paraId="736ACEBB"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Alumina (Al₂O₃): Essential for imparting refractoriness and mechanical strength, particularly in high-temperature applications (Tucker, 1991).</w:t>
      </w:r>
    </w:p>
    <w:p w14:paraId="6389CD73"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lastRenderedPageBreak/>
        <w:t>Iron Oxides (Fe₂O₃): These influence the c</w:t>
      </w:r>
      <w:r>
        <w:rPr>
          <w:rFonts w:ascii="Times New Roman" w:hAnsi="Times New Roman"/>
          <w:sz w:val="24"/>
          <w:szCs w:val="24"/>
        </w:rPr>
        <w:t>olor and, in some cases, the magnetic properties of the clays; high iron content can result in undesirable coloration for ceramics (Grim, 1968).</w:t>
      </w:r>
    </w:p>
    <w:p w14:paraId="389B95CF"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Calcium Oxide (CaO) and Magnesium Oxide (MgO): Affect plasticity and sintering behavior during the firing proce</w:t>
      </w:r>
      <w:r>
        <w:rPr>
          <w:rFonts w:ascii="Times New Roman" w:hAnsi="Times New Roman"/>
          <w:sz w:val="24"/>
          <w:szCs w:val="24"/>
        </w:rPr>
        <w:t>ss (Ekosse, 2010).</w:t>
      </w:r>
    </w:p>
    <w:p w14:paraId="43CF08A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Potassium Oxide (K₂O) and Sodium Oxide (Na₂O): Act as fluxes during vitrification, lowering the melting point and facilitating the formation of a glassy phase in ceramics (Tucker, 1991).</w:t>
      </w:r>
    </w:p>
    <w:p w14:paraId="788BE26E"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2.3.2</w:t>
      </w:r>
      <w:r>
        <w:rPr>
          <w:rFonts w:ascii="Times New Roman" w:hAnsi="Times New Roman"/>
          <w:b/>
          <w:bCs/>
          <w:sz w:val="24"/>
          <w:szCs w:val="24"/>
        </w:rPr>
        <w:tab/>
        <w:t>Trace Elements:</w:t>
      </w:r>
    </w:p>
    <w:p w14:paraId="297A8827"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Trace elements such as titan</w:t>
      </w:r>
      <w:r>
        <w:rPr>
          <w:rFonts w:ascii="Times New Roman" w:hAnsi="Times New Roman"/>
          <w:sz w:val="24"/>
          <w:szCs w:val="24"/>
        </w:rPr>
        <w:t>ium (Ti), manganese (Mn), and heavy metals (e.g., lead [Pb], arsenic [As]) are present in smaller amounts but can significantly influence the physical properties and environmental safety of the clay deposits (Ekosse, 2010; Ekosse &amp; De Jager, 2000).</w:t>
      </w:r>
    </w:p>
    <w:p w14:paraId="5CC6131D"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2.4</w:t>
      </w:r>
      <w:r>
        <w:rPr>
          <w:rFonts w:ascii="Times New Roman" w:hAnsi="Times New Roman"/>
          <w:b/>
          <w:bCs/>
          <w:sz w:val="24"/>
          <w:szCs w:val="24"/>
        </w:rPr>
        <w:tab/>
        <w:t>Ana</w:t>
      </w:r>
      <w:r>
        <w:rPr>
          <w:rFonts w:ascii="Times New Roman" w:hAnsi="Times New Roman"/>
          <w:b/>
          <w:bCs/>
          <w:sz w:val="24"/>
          <w:szCs w:val="24"/>
        </w:rPr>
        <w:t>lytical Techniques in Clay Geochemistry</w:t>
      </w:r>
    </w:p>
    <w:p w14:paraId="35D81C4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Several sophisticated analytical techniques are employed to characterize the geochemical and mineralogical properties of clay deposits. These methods include:</w:t>
      </w:r>
    </w:p>
    <w:p w14:paraId="3EC26481"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2.4.1</w:t>
      </w:r>
      <w:r>
        <w:rPr>
          <w:rFonts w:ascii="Times New Roman" w:hAnsi="Times New Roman"/>
          <w:b/>
          <w:bCs/>
          <w:sz w:val="24"/>
          <w:szCs w:val="24"/>
        </w:rPr>
        <w:tab/>
        <w:t>X-ray Fluorescence (XRF) Spectroscopy:</w:t>
      </w:r>
    </w:p>
    <w:p w14:paraId="42967AF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XRF is widel</w:t>
      </w:r>
      <w:r>
        <w:rPr>
          <w:rFonts w:ascii="Times New Roman" w:hAnsi="Times New Roman"/>
          <w:sz w:val="24"/>
          <w:szCs w:val="24"/>
        </w:rPr>
        <w:t>y used for the quantitative determination of elemental composition. This non-destructive method measures the fluorescent X-rays emitted by a sample when irradiated, providing rapid analysis of both major and trace elements (Tucker, 1991).</w:t>
      </w:r>
    </w:p>
    <w:p w14:paraId="21F8F263"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2.4.2</w:t>
      </w:r>
      <w:r>
        <w:rPr>
          <w:rFonts w:ascii="Times New Roman" w:hAnsi="Times New Roman"/>
          <w:b/>
          <w:bCs/>
          <w:sz w:val="24"/>
          <w:szCs w:val="24"/>
        </w:rPr>
        <w:tab/>
        <w:t>X-ray Diffr</w:t>
      </w:r>
      <w:r>
        <w:rPr>
          <w:rFonts w:ascii="Times New Roman" w:hAnsi="Times New Roman"/>
          <w:b/>
          <w:bCs/>
          <w:sz w:val="24"/>
          <w:szCs w:val="24"/>
        </w:rPr>
        <w:t>action (XRD) Analysis:</w:t>
      </w:r>
    </w:p>
    <w:p w14:paraId="66777576"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XRD is essential for identifying the mineral phases present in a sample. By analyzing the diffraction patterns produced when X-rays interact with the crystalline structure of the </w:t>
      </w:r>
      <w:r>
        <w:rPr>
          <w:rFonts w:ascii="Times New Roman" w:hAnsi="Times New Roman"/>
          <w:sz w:val="24"/>
          <w:szCs w:val="24"/>
        </w:rPr>
        <w:lastRenderedPageBreak/>
        <w:t>clays, researchers can determine the mineralogical com</w:t>
      </w:r>
      <w:r>
        <w:rPr>
          <w:rFonts w:ascii="Times New Roman" w:hAnsi="Times New Roman"/>
          <w:sz w:val="24"/>
          <w:szCs w:val="24"/>
        </w:rPr>
        <w:t>position and classify the types of clay minerals present (Murray, 2007).</w:t>
      </w:r>
    </w:p>
    <w:p w14:paraId="0FE2243C"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2.4.3</w:t>
      </w:r>
      <w:r>
        <w:rPr>
          <w:rFonts w:ascii="Times New Roman" w:hAnsi="Times New Roman"/>
          <w:b/>
          <w:bCs/>
          <w:sz w:val="24"/>
          <w:szCs w:val="24"/>
        </w:rPr>
        <w:tab/>
        <w:t>Atomic Absorption Spectroscopy (AAS):</w:t>
      </w:r>
    </w:p>
    <w:p w14:paraId="7194C8A4"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AAS is used for the sensitive detection and quantification of specific trace metals within the clay samples. This technique is particularly</w:t>
      </w:r>
      <w:r>
        <w:rPr>
          <w:rFonts w:ascii="Times New Roman" w:hAnsi="Times New Roman"/>
          <w:sz w:val="24"/>
          <w:szCs w:val="24"/>
        </w:rPr>
        <w:t xml:space="preserve"> useful for environmental assessments and quality control in industrial applications (Ekosse, 2010).</w:t>
      </w:r>
    </w:p>
    <w:p w14:paraId="73E23A47"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2.4.4</w:t>
      </w:r>
      <w:r>
        <w:rPr>
          <w:rFonts w:ascii="Times New Roman" w:hAnsi="Times New Roman"/>
          <w:b/>
          <w:bCs/>
          <w:sz w:val="24"/>
          <w:szCs w:val="24"/>
        </w:rPr>
        <w:tab/>
        <w:t>Scanning Electron Microscopy (SEM):</w:t>
      </w:r>
    </w:p>
    <w:p w14:paraId="48E2BBFD"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SEM provides detailed imaging of the clay’s surface morphology and microstructural features. Coupled with energy-</w:t>
      </w:r>
      <w:r>
        <w:rPr>
          <w:rFonts w:ascii="Times New Roman" w:hAnsi="Times New Roman"/>
          <w:sz w:val="24"/>
          <w:szCs w:val="24"/>
        </w:rPr>
        <w:t>dispersive X-ray spectroscopy (EDS), SEM can also offer qualitative and semi-quantitative elemental analysis, aiding in the identification of mineral phases (Grim, 1968).</w:t>
      </w:r>
    </w:p>
    <w:p w14:paraId="3D52BF0A"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t>Industrial Applications of Clay Deposits</w:t>
      </w:r>
    </w:p>
    <w:p w14:paraId="2A77AC37"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Clay minerals are utilized extensively a</w:t>
      </w:r>
      <w:r>
        <w:rPr>
          <w:rFonts w:ascii="Times New Roman" w:hAnsi="Times New Roman"/>
          <w:sz w:val="24"/>
          <w:szCs w:val="24"/>
        </w:rPr>
        <w:t>cross various industries due to their unique physical and chemical properties. Their suitability for specific applications is primarily dictated by their mineralogical composition, plasticity, thermal stability, and chemical reactivity. Below is a detailed</w:t>
      </w:r>
      <w:r>
        <w:rPr>
          <w:rFonts w:ascii="Times New Roman" w:hAnsi="Times New Roman"/>
          <w:sz w:val="24"/>
          <w:szCs w:val="24"/>
        </w:rPr>
        <w:t xml:space="preserve"> discussion of the primary industrial applications of clay deposits, supported by relevant literature.</w:t>
      </w:r>
    </w:p>
    <w:p w14:paraId="4C167BB1"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t>Ceramic and Porcelain Industries</w:t>
      </w:r>
    </w:p>
    <w:p w14:paraId="15941A9B"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Kaolinite-rich clays are the backbone of the ceramics and porcelain sectors. Their fine particle size, high purity, and low shrinkage upon firing make them ideal for producing high-quality ceramic wares. Kaolinite’s stable chemical structure also contribut</w:t>
      </w:r>
      <w:r>
        <w:rPr>
          <w:rFonts w:ascii="Times New Roman" w:hAnsi="Times New Roman"/>
          <w:sz w:val="24"/>
          <w:szCs w:val="24"/>
        </w:rPr>
        <w:t xml:space="preserve">es to the whiteness and durability required in porcelain production (Grim, 1968; Murray, 2007). </w:t>
      </w:r>
      <w:r>
        <w:rPr>
          <w:rFonts w:ascii="Times New Roman" w:hAnsi="Times New Roman"/>
          <w:sz w:val="24"/>
          <w:szCs w:val="24"/>
        </w:rPr>
        <w:lastRenderedPageBreak/>
        <w:t>These characteristics ensure that ceramics maintain their structural integrity during firing and subsequent use.</w:t>
      </w:r>
    </w:p>
    <w:p w14:paraId="6DCD75F6"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2.5.2</w:t>
      </w:r>
      <w:r>
        <w:rPr>
          <w:rFonts w:ascii="Times New Roman" w:hAnsi="Times New Roman"/>
          <w:b/>
          <w:bCs/>
          <w:sz w:val="24"/>
          <w:szCs w:val="24"/>
        </w:rPr>
        <w:tab/>
        <w:t>Refractory Materials</w:t>
      </w:r>
    </w:p>
    <w:p w14:paraId="7E334D6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Clays with high alum</w:t>
      </w:r>
      <w:r>
        <w:rPr>
          <w:rFonts w:ascii="Times New Roman" w:hAnsi="Times New Roman"/>
          <w:sz w:val="24"/>
          <w:szCs w:val="24"/>
        </w:rPr>
        <w:t>ina content are essential for refractory applications, such as in the production of firebricks, crucibles, and furnace linings. The refractory properties of these clays are largely due to their ability to withstand high temperatures without significant deg</w:t>
      </w:r>
      <w:r>
        <w:rPr>
          <w:rFonts w:ascii="Times New Roman" w:hAnsi="Times New Roman"/>
          <w:sz w:val="24"/>
          <w:szCs w:val="24"/>
        </w:rPr>
        <w:t>radation. Studies have shown that clays possessing high levels of alumina and low levels of impurities are preferred for applications requiring high thermal resistance (Murray, 2007; Tucker, 1991).</w:t>
      </w:r>
    </w:p>
    <w:p w14:paraId="112D967B"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t>Construction and Cement Industries</w:t>
      </w:r>
    </w:p>
    <w:p w14:paraId="1CF29E5D"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Silica-alumina cl</w:t>
      </w:r>
      <w:r>
        <w:rPr>
          <w:rFonts w:ascii="Times New Roman" w:hAnsi="Times New Roman"/>
          <w:sz w:val="24"/>
          <w:szCs w:val="24"/>
        </w:rPr>
        <w:t>ays are widely used in the construction industry, particularly in the manufacturing of bricks and as raw materials in cement production. The mechanical strength and durability of these clays contribute to the structural integrity of construction materials.</w:t>
      </w:r>
      <w:r>
        <w:rPr>
          <w:rFonts w:ascii="Times New Roman" w:hAnsi="Times New Roman"/>
          <w:sz w:val="24"/>
          <w:szCs w:val="24"/>
        </w:rPr>
        <w:t xml:space="preserve"> Additionally, the balanced composition of silica and alumina ensures that clays used in cement do not adversely affect the setting and hardening processes (Ekosse, 2010; Tucker, 1991).</w:t>
      </w:r>
    </w:p>
    <w:p w14:paraId="22B219AC"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 xml:space="preserve">2.5.4 </w:t>
      </w:r>
      <w:r>
        <w:rPr>
          <w:rFonts w:ascii="Times New Roman" w:hAnsi="Times New Roman"/>
          <w:b/>
          <w:bCs/>
          <w:sz w:val="24"/>
          <w:szCs w:val="24"/>
        </w:rPr>
        <w:tab/>
        <w:t>Paper and Coatings Industries</w:t>
      </w:r>
    </w:p>
    <w:p w14:paraId="258FA4B1"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In the paper industry, clays such</w:t>
      </w:r>
      <w:r>
        <w:rPr>
          <w:rFonts w:ascii="Times New Roman" w:hAnsi="Times New Roman"/>
          <w:sz w:val="24"/>
          <w:szCs w:val="24"/>
        </w:rPr>
        <w:t xml:space="preserve"> as kaolinite are employed as fillers and coating materials. Their fine particle size and high brightness improve the smoothness and printability of paper. The use of clay coatings also enhances the paper's resistance to ink bleed and improves its overall </w:t>
      </w:r>
      <w:r>
        <w:rPr>
          <w:rFonts w:ascii="Times New Roman" w:hAnsi="Times New Roman"/>
          <w:sz w:val="24"/>
          <w:szCs w:val="24"/>
        </w:rPr>
        <w:t>aesthetic quality (Grim, 1968).</w:t>
      </w:r>
    </w:p>
    <w:p w14:paraId="12ADDF8A" w14:textId="77777777" w:rsidR="00E150AD" w:rsidRDefault="00E150AD">
      <w:pPr>
        <w:spacing w:after="0" w:line="480" w:lineRule="auto"/>
        <w:ind w:left="720"/>
        <w:jc w:val="both"/>
        <w:rPr>
          <w:rFonts w:ascii="Times New Roman" w:hAnsi="Times New Roman"/>
          <w:b/>
          <w:bCs/>
          <w:sz w:val="24"/>
          <w:szCs w:val="24"/>
        </w:rPr>
      </w:pPr>
    </w:p>
    <w:p w14:paraId="33655E51" w14:textId="77777777" w:rsidR="00E150AD" w:rsidRDefault="00E150AD">
      <w:pPr>
        <w:spacing w:after="0" w:line="480" w:lineRule="auto"/>
        <w:ind w:left="720"/>
        <w:jc w:val="both"/>
        <w:rPr>
          <w:rFonts w:ascii="Times New Roman" w:hAnsi="Times New Roman"/>
          <w:b/>
          <w:bCs/>
          <w:sz w:val="24"/>
          <w:szCs w:val="24"/>
        </w:rPr>
      </w:pPr>
    </w:p>
    <w:p w14:paraId="52E01135"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lastRenderedPageBreak/>
        <w:t xml:space="preserve">2.5.5 </w:t>
      </w:r>
      <w:r>
        <w:rPr>
          <w:rFonts w:ascii="Times New Roman" w:hAnsi="Times New Roman"/>
          <w:b/>
          <w:bCs/>
          <w:sz w:val="24"/>
          <w:szCs w:val="24"/>
        </w:rPr>
        <w:tab/>
        <w:t>Environmental Applications and Oil &amp; Gas Industry</w:t>
      </w:r>
    </w:p>
    <w:p w14:paraId="7900F88A"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Smectite clays, particularly bentonite, are widely recognized for their high cation exchange capacity and swelling properties. These features make them valuable in e</w:t>
      </w:r>
      <w:r>
        <w:rPr>
          <w:rFonts w:ascii="Times New Roman" w:hAnsi="Times New Roman"/>
          <w:sz w:val="24"/>
          <w:szCs w:val="24"/>
        </w:rPr>
        <w:t>nvironmental applications such as wastewater treatment, soil remediation, and as barriers in landfill liners. In the oil and gas industry, bentonite is a critical component of drilling muds, where it helps to control viscosity, stabilize borehole walls, an</w:t>
      </w:r>
      <w:r>
        <w:rPr>
          <w:rFonts w:ascii="Times New Roman" w:hAnsi="Times New Roman"/>
          <w:sz w:val="24"/>
          <w:szCs w:val="24"/>
        </w:rPr>
        <w:t>d filter out unwanted particulates (Ekosse, 2010; Tucker, 1991).</w:t>
      </w:r>
    </w:p>
    <w:p w14:paraId="354BC19E"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2.6</w:t>
      </w:r>
      <w:r>
        <w:rPr>
          <w:rFonts w:ascii="Times New Roman" w:hAnsi="Times New Roman"/>
          <w:b/>
          <w:bCs/>
          <w:sz w:val="24"/>
          <w:szCs w:val="24"/>
        </w:rPr>
        <w:tab/>
        <w:t>Regional Studies on Nigerian Clay Deposits</w:t>
      </w:r>
    </w:p>
    <w:p w14:paraId="364F8B10"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Nigeria is endowed with a wide array of clay deposits, each exhibiting distinct geochemical and mineralogical characteristics due to variations </w:t>
      </w:r>
      <w:r>
        <w:rPr>
          <w:rFonts w:ascii="Times New Roman" w:hAnsi="Times New Roman"/>
          <w:sz w:val="24"/>
          <w:szCs w:val="24"/>
        </w:rPr>
        <w:t>in geological settings and weathering processes. Regional studies have provided valuable insights into the properties and potential industrial applications of these clays, forming a benchmark for the assessment of lesser-known deposits such as the Komu cla</w:t>
      </w:r>
      <w:r>
        <w:rPr>
          <w:rFonts w:ascii="Times New Roman" w:hAnsi="Times New Roman"/>
          <w:sz w:val="24"/>
          <w:szCs w:val="24"/>
        </w:rPr>
        <w:t>y deposit.</w:t>
      </w:r>
    </w:p>
    <w:p w14:paraId="2496B54A"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2.6.1</w:t>
      </w:r>
      <w:r>
        <w:rPr>
          <w:rFonts w:ascii="Times New Roman" w:hAnsi="Times New Roman"/>
          <w:b/>
          <w:bCs/>
          <w:sz w:val="24"/>
          <w:szCs w:val="24"/>
        </w:rPr>
        <w:tab/>
        <w:t>Kankara Clay (Katsina State)</w:t>
      </w:r>
    </w:p>
    <w:p w14:paraId="44B58E81"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Studies conducted on the Kankara clay deposit have revealed a high kaolinite content with favorable purity levels and low concentrations of deleterious elements. Akinola et al. (2015) reported that the Kankara </w:t>
      </w:r>
      <w:r>
        <w:rPr>
          <w:rFonts w:ascii="Times New Roman" w:hAnsi="Times New Roman"/>
          <w:sz w:val="24"/>
          <w:szCs w:val="24"/>
        </w:rPr>
        <w:t xml:space="preserve">clay is particularly suitable for refractory and ceramic applications due to its high silica (SiO₂) and alumina (Al₂O₃) contents, coupled with low iron oxide (Fe₂O₃) levels that minimize color alteration during firing. The favorable geochemical profile of </w:t>
      </w:r>
      <w:r>
        <w:rPr>
          <w:rFonts w:ascii="Times New Roman" w:hAnsi="Times New Roman"/>
          <w:sz w:val="24"/>
          <w:szCs w:val="24"/>
        </w:rPr>
        <w:t>Kankara clay has led to its potential application in high-temperature industries.</w:t>
      </w:r>
    </w:p>
    <w:p w14:paraId="0428D4AA" w14:textId="77777777" w:rsidR="00E150AD" w:rsidRDefault="00E150AD">
      <w:pPr>
        <w:spacing w:after="0" w:line="480" w:lineRule="auto"/>
        <w:ind w:left="720"/>
        <w:jc w:val="both"/>
        <w:rPr>
          <w:rFonts w:ascii="Times New Roman" w:hAnsi="Times New Roman"/>
          <w:b/>
          <w:bCs/>
          <w:sz w:val="24"/>
          <w:szCs w:val="24"/>
        </w:rPr>
      </w:pPr>
    </w:p>
    <w:p w14:paraId="2D734384" w14:textId="77777777" w:rsidR="00E150AD" w:rsidRDefault="00E150AD">
      <w:pPr>
        <w:spacing w:after="0" w:line="480" w:lineRule="auto"/>
        <w:ind w:left="720"/>
        <w:jc w:val="both"/>
        <w:rPr>
          <w:rFonts w:ascii="Times New Roman" w:hAnsi="Times New Roman"/>
          <w:b/>
          <w:bCs/>
          <w:sz w:val="24"/>
          <w:szCs w:val="24"/>
        </w:rPr>
      </w:pPr>
    </w:p>
    <w:p w14:paraId="39F1FCEA"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lastRenderedPageBreak/>
        <w:t>2.6.2</w:t>
      </w:r>
      <w:r>
        <w:rPr>
          <w:rFonts w:ascii="Times New Roman" w:hAnsi="Times New Roman"/>
          <w:b/>
          <w:bCs/>
          <w:sz w:val="24"/>
          <w:szCs w:val="24"/>
        </w:rPr>
        <w:tab/>
        <w:t>Ibese Clay (Ogun State)</w:t>
      </w:r>
    </w:p>
    <w:p w14:paraId="13806E4F"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Ibese clay, located in southern Nigeria, has been extensively studied for its excellent plasticity and thermal stability. Eze (2013) demonstra</w:t>
      </w:r>
      <w:r>
        <w:rPr>
          <w:rFonts w:ascii="Times New Roman" w:hAnsi="Times New Roman"/>
          <w:sz w:val="24"/>
          <w:szCs w:val="24"/>
        </w:rPr>
        <w:t>ted that Ibese clay is rich in kaolinite and illite, which contribute to its fine particle size and strong bonding properties—critical factors in ceramic production. The geochemical analysis of Ibese clay shows a balanced ratio of silica to alumina, making</w:t>
      </w:r>
      <w:r>
        <w:rPr>
          <w:rFonts w:ascii="Times New Roman" w:hAnsi="Times New Roman"/>
          <w:sz w:val="24"/>
          <w:szCs w:val="24"/>
        </w:rPr>
        <w:t xml:space="preserve"> it highly suitable for producing high-quality ceramic wares with minimal shrinkage and cracking during drying and firing.</w:t>
      </w:r>
    </w:p>
    <w:p w14:paraId="4114833F"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2.6.3</w:t>
      </w:r>
      <w:r>
        <w:rPr>
          <w:rFonts w:ascii="Times New Roman" w:hAnsi="Times New Roman"/>
          <w:b/>
          <w:bCs/>
          <w:sz w:val="24"/>
          <w:szCs w:val="24"/>
        </w:rPr>
        <w:tab/>
        <w:t>Ilesha Clay (Osun State)</w:t>
      </w:r>
    </w:p>
    <w:p w14:paraId="4AFBEAB7"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Ilesha clay has received attention due to its balanced chemical composition, which is ideal for both c</w:t>
      </w:r>
      <w:r>
        <w:rPr>
          <w:rFonts w:ascii="Times New Roman" w:hAnsi="Times New Roman"/>
          <w:sz w:val="24"/>
          <w:szCs w:val="24"/>
        </w:rPr>
        <w:t>onstruction and cement industries. According to Ekosse (2010), Ilesha clay exhibits moderate levels of iron oxide, which, while influencing color, do not compromise its structural integrity. The presence of sufficient silica and alumina makes Ilesha clay p</w:t>
      </w:r>
      <w:r>
        <w:rPr>
          <w:rFonts w:ascii="Times New Roman" w:hAnsi="Times New Roman"/>
          <w:sz w:val="24"/>
          <w:szCs w:val="24"/>
        </w:rPr>
        <w:t>articularly well-suited for brick manufacturing and as an additive in cement production, offering enhanced thermal stability and mechanical strength.</w:t>
      </w:r>
    </w:p>
    <w:p w14:paraId="3D685EB9"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2.6.4</w:t>
      </w:r>
      <w:r>
        <w:rPr>
          <w:rFonts w:ascii="Times New Roman" w:hAnsi="Times New Roman"/>
          <w:b/>
          <w:bCs/>
          <w:sz w:val="24"/>
          <w:szCs w:val="24"/>
        </w:rPr>
        <w:tab/>
        <w:t>Comparative Regional Insights</w:t>
      </w:r>
    </w:p>
    <w:p w14:paraId="6806BCCA"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Comparative analyses of these regional clay deposits reveal both simil</w:t>
      </w:r>
      <w:r>
        <w:rPr>
          <w:rFonts w:ascii="Times New Roman" w:hAnsi="Times New Roman"/>
          <w:sz w:val="24"/>
          <w:szCs w:val="24"/>
        </w:rPr>
        <w:t>arities and differences in geochemical profiles:</w:t>
      </w:r>
    </w:p>
    <w:p w14:paraId="65858C90"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b/>
          <w:bCs/>
          <w:sz w:val="24"/>
          <w:szCs w:val="24"/>
        </w:rPr>
        <w:t>Chemical Composition:</w:t>
      </w:r>
      <w:r>
        <w:rPr>
          <w:rFonts w:ascii="Times New Roman" w:hAnsi="Times New Roman"/>
          <w:sz w:val="24"/>
          <w:szCs w:val="24"/>
        </w:rPr>
        <w:t xml:space="preserve"> While Kankara, Ibese, and Ilesha clays generally show high silica and alumina contents, the proportion of these elements varies, influencing their industrial suitability. For example, h</w:t>
      </w:r>
      <w:r>
        <w:rPr>
          <w:rFonts w:ascii="Times New Roman" w:hAnsi="Times New Roman"/>
          <w:sz w:val="24"/>
          <w:szCs w:val="24"/>
        </w:rPr>
        <w:t>igher alumina in Kankara clay favors refractory applications, whereas the balanced silica-to-alumina ratio in Ibese and Ilesha clays supports ceramic production.</w:t>
      </w:r>
    </w:p>
    <w:p w14:paraId="4F6E61D4"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b/>
          <w:bCs/>
          <w:sz w:val="24"/>
          <w:szCs w:val="24"/>
        </w:rPr>
        <w:lastRenderedPageBreak/>
        <w:t>Mineralogical Variations:</w:t>
      </w:r>
      <w:r>
        <w:rPr>
          <w:rFonts w:ascii="Times New Roman" w:hAnsi="Times New Roman"/>
          <w:sz w:val="24"/>
          <w:szCs w:val="24"/>
        </w:rPr>
        <w:t xml:space="preserve"> The dominant clay minerals differ among regions, with Kankara clay b</w:t>
      </w:r>
      <w:r>
        <w:rPr>
          <w:rFonts w:ascii="Times New Roman" w:hAnsi="Times New Roman"/>
          <w:sz w:val="24"/>
          <w:szCs w:val="24"/>
        </w:rPr>
        <w:t>eing predominantly kaolinitic, Ibese clay containing significant amounts of illite, and Ilesha clay displaying a mix of both. These mineralogical differences affect properties such as plasticity, shrinkage, and thermal behavior (Grim, 1968; Murray, 2007).</w:t>
      </w:r>
    </w:p>
    <w:p w14:paraId="58ABE2F9"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b/>
          <w:bCs/>
          <w:sz w:val="24"/>
          <w:szCs w:val="24"/>
        </w:rPr>
        <w:t>Environmental and Impurity Profiles:</w:t>
      </w:r>
      <w:r>
        <w:rPr>
          <w:rFonts w:ascii="Times New Roman" w:hAnsi="Times New Roman"/>
          <w:sz w:val="24"/>
          <w:szCs w:val="24"/>
        </w:rPr>
        <w:t xml:space="preserve"> Environmental assessments indicate that trace impurities and potential heavy metal contaminants vary across deposits. Regional studies have underscored the importance of evaluating these aspects to ensure that clays are</w:t>
      </w:r>
      <w:r>
        <w:rPr>
          <w:rFonts w:ascii="Times New Roman" w:hAnsi="Times New Roman"/>
          <w:sz w:val="24"/>
          <w:szCs w:val="24"/>
        </w:rPr>
        <w:t xml:space="preserve"> safe for use in consumer products (Ekosse &amp; De Jager, 2000).</w:t>
      </w:r>
    </w:p>
    <w:p w14:paraId="552F45F2"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2.6.5</w:t>
      </w:r>
      <w:r>
        <w:rPr>
          <w:rFonts w:ascii="Times New Roman" w:hAnsi="Times New Roman"/>
          <w:b/>
          <w:bCs/>
          <w:sz w:val="24"/>
          <w:szCs w:val="24"/>
        </w:rPr>
        <w:tab/>
        <w:t xml:space="preserve">Implications for the Igbelowa </w:t>
      </w:r>
    </w:p>
    <w:p w14:paraId="119B2670"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 xml:space="preserve"> Clay Deposit</w:t>
      </w:r>
    </w:p>
    <w:p w14:paraId="081E6225"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comprehensive regional studies provide a comparative framework for evaluating the Igbelowa clay deposit. By benchmarking the geochemical an</w:t>
      </w:r>
      <w:r>
        <w:rPr>
          <w:rFonts w:ascii="Times New Roman" w:hAnsi="Times New Roman"/>
          <w:sz w:val="24"/>
          <w:szCs w:val="24"/>
        </w:rPr>
        <w:t>d mineralogical characteristics of Igbelowa clay against those of well-documented deposits like Kankara, Ibese, and Ilesha, researchers can better predict its industrial applications and identify potential environmental challenges. Such comparative analyse</w:t>
      </w:r>
      <w:r>
        <w:rPr>
          <w:rFonts w:ascii="Times New Roman" w:hAnsi="Times New Roman"/>
          <w:sz w:val="24"/>
          <w:szCs w:val="24"/>
        </w:rPr>
        <w:t>s are crucial for developing effective strategies.</w:t>
      </w:r>
    </w:p>
    <w:p w14:paraId="10A7D58C"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2.7</w:t>
      </w:r>
      <w:r>
        <w:rPr>
          <w:rFonts w:ascii="Times New Roman" w:hAnsi="Times New Roman"/>
          <w:b/>
          <w:bCs/>
          <w:sz w:val="24"/>
          <w:szCs w:val="24"/>
        </w:rPr>
        <w:tab/>
        <w:t>Environmental Considerations</w:t>
      </w:r>
    </w:p>
    <w:p w14:paraId="11B826DE"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environmental impact of clay mining and utilization is an essential component of any geochemical study, as the exploitation of clay deposits can have significant ecolog</w:t>
      </w:r>
      <w:r>
        <w:rPr>
          <w:rFonts w:ascii="Times New Roman" w:hAnsi="Times New Roman"/>
          <w:sz w:val="24"/>
          <w:szCs w:val="24"/>
        </w:rPr>
        <w:t>ical and public health implications. This section elaborates on the various environmental factors associated with clay deposits, with a focus on potential contaminants, sustainable extraction practices, and remediation strategies.</w:t>
      </w:r>
    </w:p>
    <w:p w14:paraId="60B7BF4E" w14:textId="77777777" w:rsidR="00E150AD" w:rsidRDefault="00E150AD">
      <w:pPr>
        <w:spacing w:after="0" w:line="480" w:lineRule="auto"/>
        <w:ind w:left="720"/>
        <w:jc w:val="both"/>
        <w:rPr>
          <w:rFonts w:ascii="Times New Roman" w:hAnsi="Times New Roman"/>
          <w:b/>
          <w:bCs/>
          <w:sz w:val="24"/>
          <w:szCs w:val="24"/>
        </w:rPr>
      </w:pPr>
    </w:p>
    <w:p w14:paraId="0432F712" w14:textId="77777777" w:rsidR="00E150AD" w:rsidRDefault="00E150AD">
      <w:pPr>
        <w:spacing w:after="0" w:line="480" w:lineRule="auto"/>
        <w:ind w:left="720"/>
        <w:jc w:val="both"/>
        <w:rPr>
          <w:rFonts w:ascii="Times New Roman" w:hAnsi="Times New Roman"/>
          <w:b/>
          <w:bCs/>
          <w:sz w:val="24"/>
          <w:szCs w:val="24"/>
        </w:rPr>
      </w:pPr>
    </w:p>
    <w:p w14:paraId="323D17F3"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2.7.1</w:t>
      </w:r>
      <w:r>
        <w:rPr>
          <w:rFonts w:ascii="Times New Roman" w:hAnsi="Times New Roman"/>
          <w:b/>
          <w:bCs/>
          <w:sz w:val="24"/>
          <w:szCs w:val="24"/>
        </w:rPr>
        <w:tab/>
        <w:t xml:space="preserve">Heavy Metals and </w:t>
      </w:r>
      <w:r>
        <w:rPr>
          <w:rFonts w:ascii="Times New Roman" w:hAnsi="Times New Roman"/>
          <w:b/>
          <w:bCs/>
          <w:sz w:val="24"/>
          <w:szCs w:val="24"/>
        </w:rPr>
        <w:t>Trace Element Contamination</w:t>
      </w:r>
    </w:p>
    <w:p w14:paraId="6CCC97C5"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One of the primary environmental concerns associated with clay deposits is the presence of heavy metals such as lead (Pb), arsenic (As), mercury (Hg), and cadmium (Cd). Although these elements are typically found in trace amount</w:t>
      </w:r>
      <w:r>
        <w:rPr>
          <w:rFonts w:ascii="Times New Roman" w:hAnsi="Times New Roman"/>
          <w:sz w:val="24"/>
          <w:szCs w:val="24"/>
        </w:rPr>
        <w:t>s, their cumulative effects can be substantial if they leach into soil and water systems. Elevated heavy metal concentrations can adversely affect agricultural productivity, contaminate drinking water, and pose serious health risks to local communities (Ek</w:t>
      </w:r>
      <w:r>
        <w:rPr>
          <w:rFonts w:ascii="Times New Roman" w:hAnsi="Times New Roman"/>
          <w:sz w:val="24"/>
          <w:szCs w:val="24"/>
        </w:rPr>
        <w:t>osse &amp; De Jager, 2000; Murray, 2007).</w:t>
      </w:r>
    </w:p>
    <w:p w14:paraId="7FE7603E"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Sources and Pathways:</w:t>
      </w:r>
    </w:p>
    <w:p w14:paraId="6A641824"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Heavy metals in clay may originate from the parent rock, industrial pollutants, or anthropogenic activities such as mining and waste disposal. Once mobilized, these contaminants can migrate throug</w:t>
      </w:r>
      <w:r>
        <w:rPr>
          <w:rFonts w:ascii="Times New Roman" w:hAnsi="Times New Roman"/>
          <w:sz w:val="24"/>
          <w:szCs w:val="24"/>
        </w:rPr>
        <w:t>h groundwater or be transported by wind-blown dust (Tucker, 1991).</w:t>
      </w:r>
    </w:p>
    <w:p w14:paraId="1CFF1364"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Risk Assessment:</w:t>
      </w:r>
    </w:p>
    <w:p w14:paraId="0097B5E7"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sz w:val="24"/>
          <w:szCs w:val="24"/>
        </w:rPr>
        <w:t>Quantitative analysis using techniques like atomic absorption spectroscopy (AAS) and inductively coupled plasma mass spectrometry (ICP-MS) is critical to evaluate the exten</w:t>
      </w:r>
      <w:r>
        <w:rPr>
          <w:rFonts w:ascii="Times New Roman" w:hAnsi="Times New Roman"/>
          <w:sz w:val="24"/>
          <w:szCs w:val="24"/>
        </w:rPr>
        <w:t>t of contamination. Such assessments help in determining whether the clay deposit meets environmental safety standards for industrial use (Ekosse &amp; De Jager, 2000).</w:t>
      </w:r>
    </w:p>
    <w:p w14:paraId="572A18D6"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2.7.2</w:t>
      </w:r>
      <w:r>
        <w:rPr>
          <w:rFonts w:ascii="Times New Roman" w:hAnsi="Times New Roman"/>
          <w:b/>
          <w:bCs/>
          <w:sz w:val="24"/>
          <w:szCs w:val="24"/>
        </w:rPr>
        <w:tab/>
        <w:t>Impact of Clay Mining on Ecosystems</w:t>
      </w:r>
    </w:p>
    <w:p w14:paraId="0507B33F"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Mining activities, if not managed responsibly, ca</w:t>
      </w:r>
      <w:r>
        <w:rPr>
          <w:rFonts w:ascii="Times New Roman" w:hAnsi="Times New Roman"/>
          <w:sz w:val="24"/>
          <w:szCs w:val="24"/>
        </w:rPr>
        <w:t xml:space="preserve">n lead to soil erosion, deforestation, and habitat disruption. The removal of vegetation cover and topsoil during clay extraction exposes the land to erosion and degradation. Additionally, water bodies near mining sites </w:t>
      </w:r>
      <w:r>
        <w:rPr>
          <w:rFonts w:ascii="Times New Roman" w:hAnsi="Times New Roman"/>
          <w:sz w:val="24"/>
          <w:szCs w:val="24"/>
        </w:rPr>
        <w:lastRenderedPageBreak/>
        <w:t>can become polluted due to runoff ca</w:t>
      </w:r>
      <w:r>
        <w:rPr>
          <w:rFonts w:ascii="Times New Roman" w:hAnsi="Times New Roman"/>
          <w:sz w:val="24"/>
          <w:szCs w:val="24"/>
        </w:rPr>
        <w:t>rrying sediments and chemicals, adversely affecting aquatic ecosystems (Murray, 2007).</w:t>
      </w:r>
    </w:p>
    <w:p w14:paraId="13742D3D"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Soil and Water Quality:</w:t>
      </w:r>
    </w:p>
    <w:p w14:paraId="6AF83D39"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alteration of natural landscapes can reduce soil fertility and impair water quality, thereby impacting agriculture and local biodiversity. Co</w:t>
      </w:r>
      <w:r>
        <w:rPr>
          <w:rFonts w:ascii="Times New Roman" w:hAnsi="Times New Roman"/>
          <w:sz w:val="24"/>
          <w:szCs w:val="24"/>
        </w:rPr>
        <w:t>ntinuous monitoring of soil pH, organic content, and contaminant levels is essential to mitigate these effects (Tucker, 1991).</w:t>
      </w:r>
    </w:p>
    <w:p w14:paraId="50519929"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Biodiversity Concerns:</w:t>
      </w:r>
    </w:p>
    <w:p w14:paraId="656D91A2"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Disturbance to natural habitats may lead to a loss of biodiversity. Sustainable mining practices that incl</w:t>
      </w:r>
      <w:r>
        <w:rPr>
          <w:rFonts w:ascii="Times New Roman" w:hAnsi="Times New Roman"/>
          <w:sz w:val="24"/>
          <w:szCs w:val="24"/>
        </w:rPr>
        <w:t>ude reforestation and land rehabilitation plans can help preserve local flora and fauna.</w:t>
      </w:r>
    </w:p>
    <w:p w14:paraId="3778E897"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2.7.3</w:t>
      </w:r>
      <w:r>
        <w:rPr>
          <w:rFonts w:ascii="Times New Roman" w:hAnsi="Times New Roman"/>
          <w:b/>
          <w:bCs/>
          <w:sz w:val="24"/>
          <w:szCs w:val="24"/>
        </w:rPr>
        <w:tab/>
        <w:t>Sustainable Extraction and Remediation Practices</w:t>
      </w:r>
    </w:p>
    <w:p w14:paraId="347FC28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Adopting sustainable extraction methods and remediation strategies is crucial to minimize the environmental </w:t>
      </w:r>
      <w:r>
        <w:rPr>
          <w:rFonts w:ascii="Times New Roman" w:hAnsi="Times New Roman"/>
          <w:sz w:val="24"/>
          <w:szCs w:val="24"/>
        </w:rPr>
        <w:t>footprint of clay mining. Some best practices include:</w:t>
      </w:r>
    </w:p>
    <w:p w14:paraId="24573899"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Controlled Mining Techniques:</w:t>
      </w:r>
    </w:p>
    <w:p w14:paraId="412300DA"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Implementing low-impact mining techniques can reduce land degradation. For instance, selective extraction and maintaining buffer zones around sensitive ecological areas he</w:t>
      </w:r>
      <w:r>
        <w:rPr>
          <w:rFonts w:ascii="Times New Roman" w:hAnsi="Times New Roman"/>
          <w:sz w:val="24"/>
          <w:szCs w:val="24"/>
        </w:rPr>
        <w:t>lp preserve the environment (Murray, 2007).</w:t>
      </w:r>
    </w:p>
    <w:p w14:paraId="76E478AB"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Waste Management:</w:t>
      </w:r>
    </w:p>
    <w:p w14:paraId="35F6314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Proper disposal and treatment of mining waste are critical. Techniques such as solidification/stabilization and phytoremediation can be employed to manage contaminated waste effectively (Tucker,</w:t>
      </w:r>
      <w:r>
        <w:rPr>
          <w:rFonts w:ascii="Times New Roman" w:hAnsi="Times New Roman"/>
          <w:sz w:val="24"/>
          <w:szCs w:val="24"/>
        </w:rPr>
        <w:t xml:space="preserve"> 1991).</w:t>
      </w:r>
    </w:p>
    <w:p w14:paraId="40CD660E" w14:textId="77777777" w:rsidR="00E150AD" w:rsidRDefault="00E150AD">
      <w:pPr>
        <w:spacing w:after="0" w:line="480" w:lineRule="auto"/>
        <w:ind w:left="720"/>
        <w:jc w:val="both"/>
        <w:rPr>
          <w:rFonts w:ascii="Times New Roman" w:hAnsi="Times New Roman"/>
          <w:b/>
          <w:bCs/>
          <w:sz w:val="24"/>
          <w:szCs w:val="24"/>
        </w:rPr>
      </w:pPr>
    </w:p>
    <w:p w14:paraId="22D10B31" w14:textId="77777777" w:rsidR="00E150AD" w:rsidRDefault="00E150AD">
      <w:pPr>
        <w:spacing w:after="0" w:line="480" w:lineRule="auto"/>
        <w:ind w:left="720"/>
        <w:jc w:val="both"/>
        <w:rPr>
          <w:rFonts w:ascii="Times New Roman" w:hAnsi="Times New Roman"/>
          <w:b/>
          <w:bCs/>
          <w:sz w:val="24"/>
          <w:szCs w:val="24"/>
        </w:rPr>
      </w:pPr>
    </w:p>
    <w:p w14:paraId="48A7240D"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Environmental Impact Assessments (EIA):</w:t>
      </w:r>
    </w:p>
    <w:p w14:paraId="4F1EEAFA"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sz w:val="24"/>
          <w:szCs w:val="24"/>
        </w:rPr>
        <w:t>Prior to large-scale mining operations, comprehensive EIAs should be conducted to identify potential environmental risks and design appropriate mitigation measures. EIAs ensure that mining activities comply</w:t>
      </w:r>
      <w:r>
        <w:rPr>
          <w:rFonts w:ascii="Times New Roman" w:hAnsi="Times New Roman"/>
          <w:sz w:val="24"/>
          <w:szCs w:val="24"/>
        </w:rPr>
        <w:t xml:space="preserve"> with national and international environmental regulations (Ekosse &amp; De Jager, 2000).</w:t>
      </w:r>
    </w:p>
    <w:p w14:paraId="70295401"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Rehabilitation and Land Reclamation:</w:t>
      </w:r>
    </w:p>
    <w:p w14:paraId="7C88ACB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Post-mining rehabilitation involves restoring the land to its natural state or repurposing it for alternative uses. Reclamation activ</w:t>
      </w:r>
      <w:r>
        <w:rPr>
          <w:rFonts w:ascii="Times New Roman" w:hAnsi="Times New Roman"/>
          <w:sz w:val="24"/>
          <w:szCs w:val="24"/>
        </w:rPr>
        <w:t>ities may include replanting native vegetation, contouring land surfaces, and restoring water bodies to ensure long-term ecosystem sustainability</w:t>
      </w:r>
    </w:p>
    <w:p w14:paraId="2257AA99"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2.7.4</w:t>
      </w:r>
      <w:r>
        <w:rPr>
          <w:rFonts w:ascii="Times New Roman" w:hAnsi="Times New Roman"/>
          <w:b/>
          <w:bCs/>
          <w:sz w:val="24"/>
          <w:szCs w:val="24"/>
        </w:rPr>
        <w:tab/>
        <w:t>Policy and Regulatory Framework</w:t>
      </w:r>
    </w:p>
    <w:p w14:paraId="183884A1"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development of a robust regulatory framework is imperative for ensur</w:t>
      </w:r>
      <w:r>
        <w:rPr>
          <w:rFonts w:ascii="Times New Roman" w:hAnsi="Times New Roman"/>
          <w:sz w:val="24"/>
          <w:szCs w:val="24"/>
        </w:rPr>
        <w:t>ing that clay mining operations are environmentally sustainable. Regulatory agencies must enforce guidelines that cover:</w:t>
      </w:r>
    </w:p>
    <w:p w14:paraId="4B44CE2F"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Permitting and Monitoring:</w:t>
      </w:r>
    </w:p>
    <w:p w14:paraId="29A6B5A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Mining permits should include strict environmental monitoring requirements, with regular inspections and rep</w:t>
      </w:r>
      <w:r>
        <w:rPr>
          <w:rFonts w:ascii="Times New Roman" w:hAnsi="Times New Roman"/>
          <w:sz w:val="24"/>
          <w:szCs w:val="24"/>
        </w:rPr>
        <w:t>orting to ensure compliance with environmental standards.</w:t>
      </w:r>
    </w:p>
    <w:p w14:paraId="7B943DBB"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Community Engagement:</w:t>
      </w:r>
    </w:p>
    <w:p w14:paraId="01111C42"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Involving local communities in decision-making processes and ensuring transparency in environmental impact studies can lead to better outcomes and shared benefits.</w:t>
      </w:r>
    </w:p>
    <w:p w14:paraId="0875C40E" w14:textId="77777777" w:rsidR="00E150AD" w:rsidRDefault="00E150AD">
      <w:pPr>
        <w:spacing w:after="0" w:line="480" w:lineRule="auto"/>
        <w:ind w:left="720"/>
        <w:jc w:val="both"/>
        <w:rPr>
          <w:rFonts w:ascii="Times New Roman" w:hAnsi="Times New Roman"/>
          <w:b/>
          <w:bCs/>
          <w:sz w:val="24"/>
          <w:szCs w:val="24"/>
        </w:rPr>
      </w:pPr>
    </w:p>
    <w:p w14:paraId="28EF09C8" w14:textId="77777777" w:rsidR="00E150AD" w:rsidRDefault="00E150AD">
      <w:pPr>
        <w:spacing w:after="0" w:line="480" w:lineRule="auto"/>
        <w:ind w:left="720"/>
        <w:jc w:val="both"/>
        <w:rPr>
          <w:rFonts w:ascii="Times New Roman" w:hAnsi="Times New Roman"/>
          <w:b/>
          <w:bCs/>
          <w:sz w:val="24"/>
          <w:szCs w:val="24"/>
        </w:rPr>
      </w:pPr>
    </w:p>
    <w:p w14:paraId="75570193"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lastRenderedPageBreak/>
        <w:t>Internatio</w:t>
      </w:r>
      <w:r>
        <w:rPr>
          <w:rFonts w:ascii="Times New Roman" w:hAnsi="Times New Roman"/>
          <w:b/>
          <w:bCs/>
          <w:sz w:val="24"/>
          <w:szCs w:val="24"/>
        </w:rPr>
        <w:t>nal Standards:</w:t>
      </w:r>
    </w:p>
    <w:p w14:paraId="25E46AA3"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Adopting international best practices and standards, such as those set by the International Finance Corporation (IFC) and other environmental bodies, can help mitigate environmental risks associated with clay mining.</w:t>
      </w:r>
    </w:p>
    <w:p w14:paraId="46DBC59B"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2.8</w:t>
      </w:r>
      <w:r>
        <w:rPr>
          <w:rFonts w:ascii="Times New Roman" w:hAnsi="Times New Roman"/>
          <w:b/>
          <w:bCs/>
          <w:sz w:val="24"/>
          <w:szCs w:val="24"/>
        </w:rPr>
        <w:tab/>
        <w:t>Synthesis and Gaps i</w:t>
      </w:r>
      <w:r>
        <w:rPr>
          <w:rFonts w:ascii="Times New Roman" w:hAnsi="Times New Roman"/>
          <w:b/>
          <w:bCs/>
          <w:sz w:val="24"/>
          <w:szCs w:val="24"/>
        </w:rPr>
        <w:t>n the Literature</w:t>
      </w:r>
    </w:p>
    <w:p w14:paraId="7838B5B4"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reviewed literature provides a comprehensive understanding of clay deposits—from their formation and classification to their geochemical composition, analytical characterization, industrial applications, and environmental impacts. Over</w:t>
      </w:r>
      <w:r>
        <w:rPr>
          <w:rFonts w:ascii="Times New Roman" w:hAnsi="Times New Roman"/>
          <w:sz w:val="24"/>
          <w:szCs w:val="24"/>
        </w:rPr>
        <w:t>all, these studies have established several key insights:</w:t>
      </w:r>
    </w:p>
    <w:p w14:paraId="329FB7E6"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2.8.1</w:t>
      </w:r>
      <w:r>
        <w:rPr>
          <w:rFonts w:ascii="Times New Roman" w:hAnsi="Times New Roman"/>
          <w:b/>
          <w:bCs/>
          <w:sz w:val="24"/>
          <w:szCs w:val="24"/>
        </w:rPr>
        <w:tab/>
        <w:t>Formation Processes and Mineral Evolution:</w:t>
      </w:r>
    </w:p>
    <w:p w14:paraId="345EAF9F"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Research indicates that clay deposits are primarily formed through weathering, hydrothermal alteration, and sedimentary processes (Grim, 1968; Murray</w:t>
      </w:r>
      <w:r>
        <w:rPr>
          <w:rFonts w:ascii="Times New Roman" w:hAnsi="Times New Roman"/>
          <w:sz w:val="24"/>
          <w:szCs w:val="24"/>
        </w:rPr>
        <w:t>, 2007). These studies reveal that the mineralogical assemblage of a clay deposit is highly dependent on the parent rock composition and depositional environment. However, while the general mechanisms are well documented, there remains a need for site-spec</w:t>
      </w:r>
      <w:r>
        <w:rPr>
          <w:rFonts w:ascii="Times New Roman" w:hAnsi="Times New Roman"/>
          <w:sz w:val="24"/>
          <w:szCs w:val="24"/>
        </w:rPr>
        <w:t>ific studies that address the unique geological conditions influencing individual deposits.</w:t>
      </w:r>
    </w:p>
    <w:p w14:paraId="2F844207"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2.8.2</w:t>
      </w:r>
      <w:r>
        <w:rPr>
          <w:rFonts w:ascii="Times New Roman" w:hAnsi="Times New Roman"/>
          <w:b/>
          <w:bCs/>
          <w:sz w:val="24"/>
          <w:szCs w:val="24"/>
        </w:rPr>
        <w:tab/>
        <w:t>Classification and Geochemical Characteristics:</w:t>
      </w:r>
    </w:p>
    <w:p w14:paraId="7FE5C32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literature effectively categorizes clay minerals into groups such as kaolinite, smectite, illite, and chlo</w:t>
      </w:r>
      <w:r>
        <w:rPr>
          <w:rFonts w:ascii="Times New Roman" w:hAnsi="Times New Roman"/>
          <w:sz w:val="24"/>
          <w:szCs w:val="24"/>
        </w:rPr>
        <w:t xml:space="preserve">rite, based on their crystallographic structures and chemical compositions (Tucker, 1991; Murray, 2007). Detailed geochemical studies have provided robust profiles of major oxides and trace elements, which are critical for assessing industrial suitability </w:t>
      </w:r>
      <w:r>
        <w:rPr>
          <w:rFonts w:ascii="Times New Roman" w:hAnsi="Times New Roman"/>
          <w:sz w:val="24"/>
          <w:szCs w:val="24"/>
        </w:rPr>
        <w:t xml:space="preserve">(Ekosse, 2010). Yet, there is still variability in the reported data, especially when </w:t>
      </w:r>
      <w:r>
        <w:rPr>
          <w:rFonts w:ascii="Times New Roman" w:hAnsi="Times New Roman"/>
          <w:sz w:val="24"/>
          <w:szCs w:val="24"/>
        </w:rPr>
        <w:lastRenderedPageBreak/>
        <w:t>comparing different geographic regions, suggesting that more standardized analytical protocols may be required.</w:t>
      </w:r>
    </w:p>
    <w:p w14:paraId="2C7CD3B6"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2.8.3</w:t>
      </w:r>
      <w:r>
        <w:rPr>
          <w:rFonts w:ascii="Times New Roman" w:hAnsi="Times New Roman"/>
          <w:b/>
          <w:bCs/>
          <w:sz w:val="24"/>
          <w:szCs w:val="24"/>
        </w:rPr>
        <w:tab/>
        <w:t>Analytical Techniques:</w:t>
      </w:r>
    </w:p>
    <w:p w14:paraId="4BD2C276"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Advanced methods like XRF, XR</w:t>
      </w:r>
      <w:r>
        <w:rPr>
          <w:rFonts w:ascii="Times New Roman" w:hAnsi="Times New Roman"/>
          <w:sz w:val="24"/>
          <w:szCs w:val="24"/>
        </w:rPr>
        <w:t>D, AAS, and SEM have greatly enhanced the precision of clay characterization (Tucker, 1991; Murray, 2007). While these techniques are well established, further refinement is necessary to improve sensitivity—particularly for trace element analysis and heavy</w:t>
      </w:r>
      <w:r>
        <w:rPr>
          <w:rFonts w:ascii="Times New Roman" w:hAnsi="Times New Roman"/>
          <w:sz w:val="24"/>
          <w:szCs w:val="24"/>
        </w:rPr>
        <w:t xml:space="preserve"> metal detection in clays, which is crucial for environmental assessments (Ekosse &amp; De Jager, 2000).</w:t>
      </w:r>
    </w:p>
    <w:p w14:paraId="6F7AFE6F"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2.8.4</w:t>
      </w:r>
      <w:r>
        <w:rPr>
          <w:rFonts w:ascii="Times New Roman" w:hAnsi="Times New Roman"/>
          <w:b/>
          <w:bCs/>
          <w:sz w:val="24"/>
          <w:szCs w:val="24"/>
        </w:rPr>
        <w:tab/>
        <w:t>Industrial Applications and Environmental Impact:</w:t>
      </w:r>
    </w:p>
    <w:p w14:paraId="5C7FD2C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Extensive research has highlighted the diverse applications of clay minerals in ceramics, refractor</w:t>
      </w:r>
      <w:r>
        <w:rPr>
          <w:rFonts w:ascii="Times New Roman" w:hAnsi="Times New Roman"/>
          <w:sz w:val="24"/>
          <w:szCs w:val="24"/>
        </w:rPr>
        <w:t>ies, construction, paper, and environmental remediation (Grim, 1968; Ekosse, 2010). Alongside these benefits, environmental concerns—such as soil degradation, water contamination, and heavy metal pollution—have also been identified (Ekosse &amp; De Jager, 2000</w:t>
      </w:r>
      <w:r>
        <w:rPr>
          <w:rFonts w:ascii="Times New Roman" w:hAnsi="Times New Roman"/>
          <w:sz w:val="24"/>
          <w:szCs w:val="24"/>
        </w:rPr>
        <w:t>; Murray, 2007). Despite this dual focus, the integration of industrial application studies with comprehensive environmental impact assessments remains limited.</w:t>
      </w:r>
    </w:p>
    <w:p w14:paraId="2EC6BA4C"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2.8.5</w:t>
      </w:r>
      <w:r>
        <w:rPr>
          <w:rFonts w:ascii="Times New Roman" w:hAnsi="Times New Roman"/>
          <w:b/>
          <w:bCs/>
          <w:sz w:val="24"/>
          <w:szCs w:val="24"/>
        </w:rPr>
        <w:tab/>
        <w:t>Identified Gaps</w:t>
      </w:r>
    </w:p>
    <w:p w14:paraId="18E5B573"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While the existing literature provides a strong foundation, several gaps </w:t>
      </w:r>
      <w:r>
        <w:rPr>
          <w:rFonts w:ascii="Times New Roman" w:hAnsi="Times New Roman"/>
          <w:sz w:val="24"/>
          <w:szCs w:val="24"/>
        </w:rPr>
        <w:t>and opportunities for future research have been identified:</w:t>
      </w:r>
    </w:p>
    <w:p w14:paraId="3F6ECD53" w14:textId="77777777" w:rsidR="00E150AD" w:rsidRDefault="00AA1020">
      <w:pPr>
        <w:pStyle w:val="ListParagraph"/>
        <w:numPr>
          <w:ilvl w:val="0"/>
          <w:numId w:val="2"/>
        </w:numPr>
        <w:spacing w:after="0" w:line="480" w:lineRule="auto"/>
        <w:ind w:firstLine="0"/>
        <w:jc w:val="both"/>
        <w:rPr>
          <w:rFonts w:ascii="Times New Roman" w:hAnsi="Times New Roman"/>
          <w:b/>
          <w:bCs/>
          <w:sz w:val="24"/>
          <w:szCs w:val="24"/>
        </w:rPr>
      </w:pPr>
      <w:r>
        <w:rPr>
          <w:rFonts w:ascii="Times New Roman" w:hAnsi="Times New Roman"/>
          <w:b/>
          <w:bCs/>
          <w:sz w:val="24"/>
          <w:szCs w:val="24"/>
        </w:rPr>
        <w:t>Site-Specific Characterization:</w:t>
      </w:r>
    </w:p>
    <w:p w14:paraId="18C7CD1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Although the general formation mechanisms and geochemical profiles are known, many studies lack detailed, site-specific data on lesser-studied deposits such as the </w:t>
      </w:r>
      <w:r>
        <w:rPr>
          <w:rFonts w:ascii="Times New Roman" w:hAnsi="Times New Roman"/>
          <w:sz w:val="24"/>
          <w:szCs w:val="24"/>
        </w:rPr>
        <w:t xml:space="preserve">Komu clay deposit. Further research is needed to characterize these deposits under local geological </w:t>
      </w:r>
      <w:r>
        <w:rPr>
          <w:rFonts w:ascii="Times New Roman" w:hAnsi="Times New Roman"/>
          <w:sz w:val="24"/>
          <w:szCs w:val="24"/>
        </w:rPr>
        <w:lastRenderedPageBreak/>
        <w:t>conditions, which could lead to more accurate predictions of their industrial and environmental performance.</w:t>
      </w:r>
    </w:p>
    <w:p w14:paraId="44146A7D" w14:textId="77777777" w:rsidR="00E150AD" w:rsidRDefault="00AA1020">
      <w:pPr>
        <w:pStyle w:val="ListParagraph"/>
        <w:numPr>
          <w:ilvl w:val="0"/>
          <w:numId w:val="2"/>
        </w:numPr>
        <w:spacing w:after="0" w:line="480" w:lineRule="auto"/>
        <w:ind w:firstLine="0"/>
        <w:jc w:val="both"/>
        <w:rPr>
          <w:rFonts w:ascii="Times New Roman" w:hAnsi="Times New Roman"/>
          <w:b/>
          <w:bCs/>
          <w:sz w:val="24"/>
          <w:szCs w:val="24"/>
        </w:rPr>
      </w:pPr>
      <w:r>
        <w:rPr>
          <w:rFonts w:ascii="Times New Roman" w:hAnsi="Times New Roman"/>
          <w:b/>
          <w:bCs/>
          <w:sz w:val="24"/>
          <w:szCs w:val="24"/>
        </w:rPr>
        <w:t>Standardization of Analytical Methods:</w:t>
      </w:r>
    </w:p>
    <w:p w14:paraId="5E46038B"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sz w:val="24"/>
          <w:szCs w:val="24"/>
        </w:rPr>
        <w:t>Variabil</w:t>
      </w:r>
      <w:r>
        <w:rPr>
          <w:rFonts w:ascii="Times New Roman" w:hAnsi="Times New Roman"/>
          <w:sz w:val="24"/>
          <w:szCs w:val="24"/>
        </w:rPr>
        <w:t>ity in analytical results across different studies suggests the need for standardized protocols. Establishing uniform methodologies for sample collection, preparation, and analysis would improve data comparability and reliability (Tucker, 1991).</w:t>
      </w:r>
    </w:p>
    <w:p w14:paraId="3F02C5EF" w14:textId="77777777" w:rsidR="00E150AD" w:rsidRDefault="00AA1020">
      <w:pPr>
        <w:pStyle w:val="ListParagraph"/>
        <w:numPr>
          <w:ilvl w:val="0"/>
          <w:numId w:val="2"/>
        </w:numPr>
        <w:spacing w:after="0" w:line="480" w:lineRule="auto"/>
        <w:ind w:firstLine="0"/>
        <w:jc w:val="both"/>
        <w:rPr>
          <w:rFonts w:ascii="Times New Roman" w:hAnsi="Times New Roman"/>
          <w:b/>
          <w:bCs/>
          <w:sz w:val="24"/>
          <w:szCs w:val="24"/>
        </w:rPr>
      </w:pPr>
      <w:r>
        <w:rPr>
          <w:rFonts w:ascii="Times New Roman" w:hAnsi="Times New Roman"/>
          <w:b/>
          <w:bCs/>
          <w:sz w:val="24"/>
          <w:szCs w:val="24"/>
        </w:rPr>
        <w:t>Integratio</w:t>
      </w:r>
      <w:r>
        <w:rPr>
          <w:rFonts w:ascii="Times New Roman" w:hAnsi="Times New Roman"/>
          <w:b/>
          <w:bCs/>
          <w:sz w:val="24"/>
          <w:szCs w:val="24"/>
        </w:rPr>
        <w:t>n of Industrial and Environmental Studies:</w:t>
      </w:r>
    </w:p>
    <w:p w14:paraId="687044E1"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While industrial applications and environmental impacts have been explored separately, few studies integrate these aspects holistically. Future research should focus on assessing the trade-offs between industrial </w:t>
      </w:r>
      <w:r>
        <w:rPr>
          <w:rFonts w:ascii="Times New Roman" w:hAnsi="Times New Roman"/>
          <w:sz w:val="24"/>
          <w:szCs w:val="24"/>
        </w:rPr>
        <w:t>utilization and environmental sustainability, especially regarding heavy metal contamination and remediation strategies.</w:t>
      </w:r>
    </w:p>
    <w:p w14:paraId="360F4A86" w14:textId="77777777" w:rsidR="00E150AD" w:rsidRDefault="00AA1020">
      <w:pPr>
        <w:pStyle w:val="ListParagraph"/>
        <w:numPr>
          <w:ilvl w:val="0"/>
          <w:numId w:val="2"/>
        </w:numPr>
        <w:spacing w:after="0" w:line="480" w:lineRule="auto"/>
        <w:ind w:firstLine="0"/>
        <w:jc w:val="both"/>
        <w:rPr>
          <w:rFonts w:ascii="Times New Roman" w:hAnsi="Times New Roman"/>
          <w:b/>
          <w:bCs/>
          <w:sz w:val="24"/>
          <w:szCs w:val="24"/>
        </w:rPr>
      </w:pPr>
      <w:r>
        <w:rPr>
          <w:rFonts w:ascii="Times New Roman" w:hAnsi="Times New Roman"/>
          <w:b/>
          <w:bCs/>
          <w:sz w:val="24"/>
          <w:szCs w:val="24"/>
        </w:rPr>
        <w:t>Advanced Trace Element Analysis:</w:t>
      </w:r>
    </w:p>
    <w:p w14:paraId="03AAC7E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There is a call for more sensitive and refined analytical techniques to detect and quantify trace elem</w:t>
      </w:r>
      <w:r>
        <w:rPr>
          <w:rFonts w:ascii="Times New Roman" w:hAnsi="Times New Roman"/>
          <w:sz w:val="24"/>
          <w:szCs w:val="24"/>
        </w:rPr>
        <w:t>ents and heavy metals. Improvements in methods such as ICP-MS could enhance our understanding of potential environmental risks associated with clay deposits (Ekosse &amp; De Jager, 2000).</w:t>
      </w:r>
    </w:p>
    <w:p w14:paraId="49C3BEDC" w14:textId="77777777" w:rsidR="00E150AD" w:rsidRDefault="00AA1020">
      <w:pPr>
        <w:pStyle w:val="ListParagraph"/>
        <w:numPr>
          <w:ilvl w:val="0"/>
          <w:numId w:val="2"/>
        </w:numPr>
        <w:spacing w:after="0" w:line="480" w:lineRule="auto"/>
        <w:ind w:firstLine="0"/>
        <w:jc w:val="both"/>
        <w:rPr>
          <w:rFonts w:ascii="Times New Roman" w:hAnsi="Times New Roman"/>
          <w:b/>
          <w:bCs/>
          <w:sz w:val="24"/>
          <w:szCs w:val="24"/>
        </w:rPr>
      </w:pPr>
      <w:r>
        <w:rPr>
          <w:rFonts w:ascii="Times New Roman" w:hAnsi="Times New Roman"/>
          <w:b/>
          <w:bCs/>
          <w:sz w:val="24"/>
          <w:szCs w:val="24"/>
        </w:rPr>
        <w:t>Comparative Studies:</w:t>
      </w:r>
    </w:p>
    <w:p w14:paraId="757DE4DF"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Comparative analyses between Nigerian clay deposits</w:t>
      </w:r>
      <w:r>
        <w:rPr>
          <w:rFonts w:ascii="Times New Roman" w:hAnsi="Times New Roman"/>
          <w:sz w:val="24"/>
          <w:szCs w:val="24"/>
        </w:rPr>
        <w:t xml:space="preserve"> and those from other regions could help standardize industrial benchmarks and enhance the global understanding of clay mineralogy. Such studies would also aid in identifying unique regional characteristics that may influence industrial applications.</w:t>
      </w:r>
    </w:p>
    <w:p w14:paraId="79C22EE0" w14:textId="77777777" w:rsidR="00E150AD" w:rsidRDefault="00E150AD">
      <w:pPr>
        <w:spacing w:after="0" w:line="480" w:lineRule="auto"/>
        <w:ind w:left="440"/>
        <w:jc w:val="both"/>
        <w:rPr>
          <w:rFonts w:ascii="Times New Roman" w:hAnsi="Times New Roman"/>
          <w:sz w:val="24"/>
          <w:szCs w:val="24"/>
        </w:rPr>
      </w:pPr>
    </w:p>
    <w:p w14:paraId="298D4EEC" w14:textId="77777777" w:rsidR="00E150AD" w:rsidRDefault="00E150AD">
      <w:pPr>
        <w:spacing w:after="0" w:line="480" w:lineRule="auto"/>
        <w:ind w:left="440"/>
        <w:jc w:val="both"/>
        <w:rPr>
          <w:rFonts w:ascii="Times New Roman" w:hAnsi="Times New Roman"/>
          <w:sz w:val="24"/>
          <w:szCs w:val="24"/>
        </w:rPr>
      </w:pPr>
    </w:p>
    <w:p w14:paraId="2D197DD7" w14:textId="77777777" w:rsidR="00E150AD" w:rsidRDefault="00AA1020">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CHA</w:t>
      </w:r>
      <w:r>
        <w:rPr>
          <w:rFonts w:ascii="Times New Roman" w:hAnsi="Times New Roman"/>
          <w:b/>
          <w:bCs/>
          <w:sz w:val="24"/>
          <w:szCs w:val="24"/>
        </w:rPr>
        <w:t>PTER THREE</w:t>
      </w:r>
    </w:p>
    <w:p w14:paraId="45FD6D3C" w14:textId="77777777" w:rsidR="00E150AD" w:rsidRDefault="00AA1020">
      <w:pPr>
        <w:spacing w:after="0" w:line="480" w:lineRule="auto"/>
        <w:jc w:val="center"/>
        <w:rPr>
          <w:rFonts w:ascii="Times New Roman" w:hAnsi="Times New Roman"/>
          <w:b/>
          <w:bCs/>
          <w:sz w:val="24"/>
          <w:szCs w:val="24"/>
        </w:rPr>
      </w:pPr>
      <w:r>
        <w:rPr>
          <w:rFonts w:ascii="Times New Roman" w:hAnsi="Times New Roman"/>
          <w:b/>
          <w:bCs/>
          <w:sz w:val="24"/>
          <w:szCs w:val="24"/>
        </w:rPr>
        <w:t>METHODOLOGY</w:t>
      </w:r>
    </w:p>
    <w:p w14:paraId="26545F41"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The methodology of the study entails;</w:t>
      </w:r>
    </w:p>
    <w:p w14:paraId="0DD70CE5"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3.1</w:t>
      </w:r>
      <w:r>
        <w:rPr>
          <w:rFonts w:ascii="Times New Roman" w:hAnsi="Times New Roman"/>
          <w:b/>
          <w:bCs/>
          <w:sz w:val="24"/>
          <w:szCs w:val="24"/>
        </w:rPr>
        <w:tab/>
        <w:t>Study Area</w:t>
      </w:r>
    </w:p>
    <w:p w14:paraId="0E165D39"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The Igbelowa clay deposit is located in  Kwara State, NorthernCentral Nigeria. The area lies within the Precambrian Basement Complex of Nigeria, which consists mainly of granite, </w:t>
      </w:r>
      <w:r>
        <w:rPr>
          <w:rFonts w:ascii="Times New Roman" w:hAnsi="Times New Roman"/>
          <w:sz w:val="24"/>
          <w:szCs w:val="24"/>
        </w:rPr>
        <w:t>gneiss, and schist. The deposit is formed from the weathering of feldspar-rich rocks, leading to clay accumulation. Komu experiences a tropical climate with distinct wet and dry seasons, which influences weathering processes. The vegetation is Guinea savan</w:t>
      </w:r>
      <w:r>
        <w:rPr>
          <w:rFonts w:ascii="Times New Roman" w:hAnsi="Times New Roman"/>
          <w:sz w:val="24"/>
          <w:szCs w:val="24"/>
        </w:rPr>
        <w:t>na, and the topography is generally undulating with some exposed rock outcrops. The area is known for its economic potential in ceramics, bricks, and other industrial applications due to the quality of its clay deposits.</w:t>
      </w:r>
    </w:p>
    <w:p w14:paraId="0B0317BF"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3.2</w:t>
      </w:r>
      <w:r>
        <w:rPr>
          <w:rFonts w:ascii="Times New Roman" w:hAnsi="Times New Roman"/>
          <w:b/>
          <w:bCs/>
          <w:sz w:val="24"/>
          <w:szCs w:val="24"/>
        </w:rPr>
        <w:tab/>
        <w:t>Sample Collection and Preparati</w:t>
      </w:r>
      <w:r>
        <w:rPr>
          <w:rFonts w:ascii="Times New Roman" w:hAnsi="Times New Roman"/>
          <w:b/>
          <w:bCs/>
          <w:sz w:val="24"/>
          <w:szCs w:val="24"/>
        </w:rPr>
        <w:t>on</w:t>
      </w:r>
    </w:p>
    <w:p w14:paraId="10B2AB2B"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Clay samples is systematically collected from different locations within the Igbelowa clay deposit to ensure a representative study. </w:t>
      </w:r>
    </w:p>
    <w:p w14:paraId="315D4D9D"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After collection, the samples is;</w:t>
      </w:r>
    </w:p>
    <w:p w14:paraId="63775454"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i. Air-dried to remove moisture.</w:t>
      </w:r>
    </w:p>
    <w:p w14:paraId="73EB019D"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ii. Crushed and sieved to obtain a uniform particle </w:t>
      </w:r>
      <w:r>
        <w:rPr>
          <w:rFonts w:ascii="Times New Roman" w:hAnsi="Times New Roman"/>
          <w:sz w:val="24"/>
          <w:szCs w:val="24"/>
        </w:rPr>
        <w:t>size</w:t>
      </w:r>
    </w:p>
    <w:p w14:paraId="19A9E1D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iii. Stored in labeled containers to prevent contamination before laboratory analysis.</w:t>
      </w:r>
    </w:p>
    <w:p w14:paraId="2549CE0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These steps are taken to ensures that the samples remain in their natural state for accurate geochemical evaluation.</w:t>
      </w:r>
    </w:p>
    <w:p w14:paraId="1B726D24" w14:textId="77777777" w:rsidR="00E150AD" w:rsidRDefault="00E150AD">
      <w:pPr>
        <w:spacing w:after="0" w:line="480" w:lineRule="auto"/>
        <w:jc w:val="both"/>
        <w:rPr>
          <w:rFonts w:ascii="Times New Roman" w:hAnsi="Times New Roman"/>
          <w:b/>
          <w:bCs/>
          <w:sz w:val="24"/>
          <w:szCs w:val="24"/>
        </w:rPr>
      </w:pPr>
    </w:p>
    <w:p w14:paraId="0FD1BC32" w14:textId="77777777" w:rsidR="00E150AD" w:rsidRDefault="00E150AD">
      <w:pPr>
        <w:spacing w:after="0" w:line="480" w:lineRule="auto"/>
        <w:jc w:val="both"/>
        <w:rPr>
          <w:rFonts w:ascii="Times New Roman" w:hAnsi="Times New Roman"/>
          <w:b/>
          <w:bCs/>
          <w:sz w:val="24"/>
          <w:szCs w:val="24"/>
        </w:rPr>
      </w:pPr>
    </w:p>
    <w:p w14:paraId="7C2D93E4"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3.3</w:t>
      </w:r>
      <w:r>
        <w:rPr>
          <w:rFonts w:ascii="Times New Roman" w:hAnsi="Times New Roman"/>
          <w:b/>
          <w:bCs/>
          <w:sz w:val="24"/>
          <w:szCs w:val="24"/>
        </w:rPr>
        <w:tab/>
        <w:t>Laboratory Analyses</w:t>
      </w:r>
    </w:p>
    <w:p w14:paraId="7B8F87D6"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clay samples coll</w:t>
      </w:r>
      <w:r>
        <w:rPr>
          <w:rFonts w:ascii="Times New Roman" w:hAnsi="Times New Roman"/>
          <w:sz w:val="24"/>
          <w:szCs w:val="24"/>
        </w:rPr>
        <w:t>ected are   subjected to various laboratory tests to determine their geochemical and mineralogical compositions. The following methods are used:</w:t>
      </w:r>
    </w:p>
    <w:p w14:paraId="4C5B203E"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3.3.1</w:t>
      </w:r>
      <w:r>
        <w:rPr>
          <w:rFonts w:ascii="Times New Roman" w:hAnsi="Times New Roman"/>
          <w:b/>
          <w:bCs/>
          <w:sz w:val="24"/>
          <w:szCs w:val="24"/>
        </w:rPr>
        <w:tab/>
        <w:t>X-Ray Fluorescence (XRF) Analysis</w:t>
      </w:r>
    </w:p>
    <w:p w14:paraId="5EF0BBF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 Is used to determine the elemental composition of the clay, identifyin</w:t>
      </w:r>
      <w:r>
        <w:rPr>
          <w:rFonts w:ascii="Times New Roman" w:hAnsi="Times New Roman"/>
          <w:sz w:val="24"/>
          <w:szCs w:val="24"/>
        </w:rPr>
        <w:t>g major and trace elements.</w:t>
      </w:r>
    </w:p>
    <w:p w14:paraId="546803F1"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3.3.2.</w:t>
      </w:r>
      <w:r>
        <w:rPr>
          <w:rFonts w:ascii="Times New Roman" w:hAnsi="Times New Roman"/>
          <w:b/>
          <w:bCs/>
          <w:sz w:val="24"/>
          <w:szCs w:val="24"/>
        </w:rPr>
        <w:tab/>
        <w:t>X-Ray Diffraction (XRD) Analysis</w:t>
      </w:r>
    </w:p>
    <w:p w14:paraId="356C0F24"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is used to Identifies the mineralogical composition by detecting crystalline phases present in the clay.</w:t>
      </w:r>
    </w:p>
    <w:p w14:paraId="0D8DA2B6"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3.4</w:t>
      </w:r>
      <w:r>
        <w:rPr>
          <w:rFonts w:ascii="Times New Roman" w:hAnsi="Times New Roman"/>
          <w:b/>
          <w:bCs/>
          <w:sz w:val="24"/>
          <w:szCs w:val="24"/>
        </w:rPr>
        <w:tab/>
        <w:t>Data Analysis</w:t>
      </w:r>
    </w:p>
    <w:p w14:paraId="0DA7D04D"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geochemical and mineralogical data obtained from the laborato</w:t>
      </w:r>
      <w:r>
        <w:rPr>
          <w:rFonts w:ascii="Times New Roman" w:hAnsi="Times New Roman"/>
          <w:sz w:val="24"/>
          <w:szCs w:val="24"/>
        </w:rPr>
        <w:t>ry analyses are processed and interpreted using standard analytical techniques. The following approaches are used:</w:t>
      </w:r>
    </w:p>
    <w:p w14:paraId="79EEC594"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3.4.1</w:t>
      </w:r>
      <w:r>
        <w:rPr>
          <w:rFonts w:ascii="Times New Roman" w:hAnsi="Times New Roman"/>
          <w:b/>
          <w:bCs/>
          <w:sz w:val="24"/>
          <w:szCs w:val="24"/>
        </w:rPr>
        <w:tab/>
        <w:t>Descriptive Statistical Analysis</w:t>
      </w:r>
    </w:p>
    <w:p w14:paraId="581EB407"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elemental and mineralogical compositions are summarized using tables and charts for easy interpret</w:t>
      </w:r>
      <w:r>
        <w:rPr>
          <w:rFonts w:ascii="Times New Roman" w:hAnsi="Times New Roman"/>
          <w:sz w:val="24"/>
          <w:szCs w:val="24"/>
        </w:rPr>
        <w:t>ation.</w:t>
      </w:r>
    </w:p>
    <w:p w14:paraId="2CED54B9"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3.4.2.</w:t>
      </w:r>
      <w:r>
        <w:rPr>
          <w:rFonts w:ascii="Times New Roman" w:hAnsi="Times New Roman"/>
          <w:b/>
          <w:bCs/>
          <w:sz w:val="24"/>
          <w:szCs w:val="24"/>
        </w:rPr>
        <w:tab/>
        <w:t>Comparison with Standard Values</w:t>
      </w:r>
    </w:p>
    <w:p w14:paraId="27D8116E"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results are compared with established industrial standards to assess the suitability of the clay for applications such as ceramics, refractory materials, and construction.</w:t>
      </w:r>
    </w:p>
    <w:p w14:paraId="272162B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br w:type="page"/>
      </w:r>
    </w:p>
    <w:p w14:paraId="46D57B7F" w14:textId="77777777" w:rsidR="00E150AD" w:rsidRDefault="00AA1020">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CHAPTER FOUR</w:t>
      </w:r>
    </w:p>
    <w:p w14:paraId="06EF8FA1" w14:textId="77777777" w:rsidR="00E150AD" w:rsidRDefault="00AA1020">
      <w:pPr>
        <w:spacing w:after="0" w:line="480" w:lineRule="auto"/>
        <w:jc w:val="center"/>
        <w:rPr>
          <w:rFonts w:ascii="Times New Roman" w:hAnsi="Times New Roman"/>
          <w:b/>
          <w:bCs/>
          <w:sz w:val="24"/>
          <w:szCs w:val="24"/>
        </w:rPr>
      </w:pPr>
      <w:r>
        <w:rPr>
          <w:rFonts w:ascii="Times New Roman" w:hAnsi="Times New Roman"/>
          <w:b/>
          <w:bCs/>
          <w:sz w:val="24"/>
          <w:szCs w:val="24"/>
        </w:rPr>
        <w:t>RESULTS AND DISCUSS</w:t>
      </w:r>
      <w:r>
        <w:rPr>
          <w:rFonts w:ascii="Times New Roman" w:hAnsi="Times New Roman"/>
          <w:b/>
          <w:bCs/>
          <w:sz w:val="24"/>
          <w:szCs w:val="24"/>
        </w:rPr>
        <w:t>ION</w:t>
      </w:r>
    </w:p>
    <w:p w14:paraId="2F65DAD2"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 xml:space="preserve">This chapter presents the results of the mineralogical and geochemical analyses of the Igbelowa clay deposit in </w:t>
      </w:r>
    </w:p>
    <w:p w14:paraId="71888121"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 xml:space="preserve">Kwara State, NorthernCentral Nigeria. The analyses were performed using X-ray Diffraction (XRD) and X-ray Fluorescence (XRF) techniques to </w:t>
      </w:r>
      <w:r>
        <w:rPr>
          <w:rFonts w:ascii="Times New Roman" w:hAnsi="Times New Roman"/>
          <w:sz w:val="24"/>
          <w:szCs w:val="24"/>
        </w:rPr>
        <w:t>determine the mineral phases and chemical composition of the clay samples. These results were then interpreted in relation to the industrial applicability of the clay and compared with findings from similar studies in Nigeria and other parts of the world.</w:t>
      </w:r>
    </w:p>
    <w:p w14:paraId="1CCEBCD6"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 xml:space="preserve">4.1 </w:t>
      </w:r>
      <w:r>
        <w:rPr>
          <w:rFonts w:ascii="Times New Roman" w:hAnsi="Times New Roman"/>
          <w:b/>
          <w:bCs/>
          <w:sz w:val="24"/>
          <w:szCs w:val="24"/>
        </w:rPr>
        <w:tab/>
        <w:t>X-Ray Diffraction (XRD) Analysis</w:t>
      </w:r>
    </w:p>
    <w:p w14:paraId="422F1C4F"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X-ray Diffraction (XRD) was employed to identify the crystalline phases in the clay samples. This method determines the mineralogical composition based on the diffraction patterns produced when the samples are exposed </w:t>
      </w:r>
      <w:r>
        <w:rPr>
          <w:rFonts w:ascii="Times New Roman" w:hAnsi="Times New Roman"/>
          <w:sz w:val="24"/>
          <w:szCs w:val="24"/>
        </w:rPr>
        <w:t>to X-rays. The results of the XRD analysis for Komu clay are presented in Table 4.1.</w:t>
      </w:r>
    </w:p>
    <w:p w14:paraId="245DCFE1"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Table 4.1: XRD Results for Igbelowa Clay Samples</w:t>
      </w:r>
    </w:p>
    <w:tbl>
      <w:tblPr>
        <w:tblStyle w:val="TableGrid"/>
        <w:tblW w:w="0" w:type="auto"/>
        <w:tblInd w:w="805" w:type="dxa"/>
        <w:tblLook w:val="04A0" w:firstRow="1" w:lastRow="0" w:firstColumn="1" w:lastColumn="0" w:noHBand="0" w:noVBand="1"/>
      </w:tblPr>
      <w:tblGrid>
        <w:gridCol w:w="1080"/>
        <w:gridCol w:w="1855"/>
        <w:gridCol w:w="1870"/>
        <w:gridCol w:w="1870"/>
        <w:gridCol w:w="1870"/>
      </w:tblGrid>
      <w:tr w:rsidR="00E150AD" w14:paraId="4732976F" w14:textId="77777777">
        <w:tc>
          <w:tcPr>
            <w:tcW w:w="1080" w:type="dxa"/>
          </w:tcPr>
          <w:p w14:paraId="3DFCA1A9"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S/N</w:t>
            </w:r>
          </w:p>
        </w:tc>
        <w:tc>
          <w:tcPr>
            <w:tcW w:w="1855" w:type="dxa"/>
          </w:tcPr>
          <w:p w14:paraId="1FD2AFB5"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Sample A</w:t>
            </w:r>
          </w:p>
        </w:tc>
        <w:tc>
          <w:tcPr>
            <w:tcW w:w="1870" w:type="dxa"/>
          </w:tcPr>
          <w:p w14:paraId="70AB6806"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Percentage (%)</w:t>
            </w:r>
          </w:p>
        </w:tc>
        <w:tc>
          <w:tcPr>
            <w:tcW w:w="1870" w:type="dxa"/>
          </w:tcPr>
          <w:p w14:paraId="7AC2B400"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Sample B</w:t>
            </w:r>
          </w:p>
        </w:tc>
        <w:tc>
          <w:tcPr>
            <w:tcW w:w="1870" w:type="dxa"/>
          </w:tcPr>
          <w:p w14:paraId="1A804DBA"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Percentage (%)</w:t>
            </w:r>
          </w:p>
        </w:tc>
      </w:tr>
      <w:tr w:rsidR="00E150AD" w14:paraId="1B66DD1A" w14:textId="77777777">
        <w:tc>
          <w:tcPr>
            <w:tcW w:w="1080" w:type="dxa"/>
          </w:tcPr>
          <w:p w14:paraId="7AE8665F"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1</w:t>
            </w:r>
          </w:p>
        </w:tc>
        <w:tc>
          <w:tcPr>
            <w:tcW w:w="1855" w:type="dxa"/>
          </w:tcPr>
          <w:p w14:paraId="40AC3DAD"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Phengite</w:t>
            </w:r>
          </w:p>
        </w:tc>
        <w:tc>
          <w:tcPr>
            <w:tcW w:w="1870" w:type="dxa"/>
          </w:tcPr>
          <w:p w14:paraId="2AC6F6BB"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41.1</w:t>
            </w:r>
          </w:p>
        </w:tc>
        <w:tc>
          <w:tcPr>
            <w:tcW w:w="1870" w:type="dxa"/>
          </w:tcPr>
          <w:p w14:paraId="2DF43874"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Albite</w:t>
            </w:r>
          </w:p>
        </w:tc>
        <w:tc>
          <w:tcPr>
            <w:tcW w:w="1870" w:type="dxa"/>
          </w:tcPr>
          <w:p w14:paraId="0D268FC9"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69.3</w:t>
            </w:r>
          </w:p>
        </w:tc>
      </w:tr>
      <w:tr w:rsidR="00E150AD" w14:paraId="1ADCB20C" w14:textId="77777777">
        <w:tc>
          <w:tcPr>
            <w:tcW w:w="1080" w:type="dxa"/>
          </w:tcPr>
          <w:p w14:paraId="543CE212"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2</w:t>
            </w:r>
          </w:p>
        </w:tc>
        <w:tc>
          <w:tcPr>
            <w:tcW w:w="1855" w:type="dxa"/>
          </w:tcPr>
          <w:p w14:paraId="3EB9AC26"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Kaolinite</w:t>
            </w:r>
          </w:p>
        </w:tc>
        <w:tc>
          <w:tcPr>
            <w:tcW w:w="1870" w:type="dxa"/>
          </w:tcPr>
          <w:p w14:paraId="740DFEF3"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39.6</w:t>
            </w:r>
          </w:p>
        </w:tc>
        <w:tc>
          <w:tcPr>
            <w:tcW w:w="1870" w:type="dxa"/>
          </w:tcPr>
          <w:p w14:paraId="57FAA59D"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Muscovite</w:t>
            </w:r>
          </w:p>
        </w:tc>
        <w:tc>
          <w:tcPr>
            <w:tcW w:w="1870" w:type="dxa"/>
          </w:tcPr>
          <w:p w14:paraId="45B06342"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23.80</w:t>
            </w:r>
          </w:p>
        </w:tc>
      </w:tr>
      <w:tr w:rsidR="00E150AD" w14:paraId="3F2624D5" w14:textId="77777777">
        <w:tc>
          <w:tcPr>
            <w:tcW w:w="1080" w:type="dxa"/>
          </w:tcPr>
          <w:p w14:paraId="1FA72C63"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3</w:t>
            </w:r>
          </w:p>
        </w:tc>
        <w:tc>
          <w:tcPr>
            <w:tcW w:w="1855" w:type="dxa"/>
          </w:tcPr>
          <w:p w14:paraId="6B5E8404"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Albite</w:t>
            </w:r>
          </w:p>
        </w:tc>
        <w:tc>
          <w:tcPr>
            <w:tcW w:w="1870" w:type="dxa"/>
          </w:tcPr>
          <w:p w14:paraId="23FB742F"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19.3</w:t>
            </w:r>
          </w:p>
        </w:tc>
        <w:tc>
          <w:tcPr>
            <w:tcW w:w="1870" w:type="dxa"/>
          </w:tcPr>
          <w:p w14:paraId="00A4E3C1"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Kaolinite</w:t>
            </w:r>
          </w:p>
        </w:tc>
        <w:tc>
          <w:tcPr>
            <w:tcW w:w="1870" w:type="dxa"/>
          </w:tcPr>
          <w:p w14:paraId="50C20AD3"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6.90</w:t>
            </w:r>
          </w:p>
        </w:tc>
      </w:tr>
    </w:tbl>
    <w:p w14:paraId="355FDF10" w14:textId="77777777" w:rsidR="00E150AD" w:rsidRDefault="00E150AD">
      <w:pPr>
        <w:spacing w:after="0" w:line="480" w:lineRule="auto"/>
        <w:jc w:val="both"/>
        <w:rPr>
          <w:rFonts w:ascii="Times New Roman" w:hAnsi="Times New Roman"/>
          <w:sz w:val="24"/>
          <w:szCs w:val="24"/>
        </w:rPr>
      </w:pPr>
    </w:p>
    <w:p w14:paraId="39FD40EE"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4.1.1 Interpretation of XRD Results</w:t>
      </w:r>
    </w:p>
    <w:p w14:paraId="43B0B550"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A:</w:t>
      </w:r>
    </w:p>
    <w:p w14:paraId="6D28A982"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lastRenderedPageBreak/>
        <w:t>Sample A is characterized by high phengite (41.1%) and kaolinite (39.6%) contents, with a moderate amount of albite (19.3%). The high kaolinite content indicates that the clay has a</w:t>
      </w:r>
      <w:r>
        <w:rPr>
          <w:rFonts w:ascii="Times New Roman" w:hAnsi="Times New Roman"/>
          <w:sz w:val="24"/>
          <w:szCs w:val="24"/>
        </w:rPr>
        <w:t xml:space="preserve"> low shrink-swell capacity and excellent thermal stability, which are desirable properties for refractory and ceramic applications (Grim, 1968; Murray, 2007). Phengite, a mica-group mineral, may also improve fluxing characteristics during firing, making Sa</w:t>
      </w:r>
      <w:r>
        <w:rPr>
          <w:rFonts w:ascii="Times New Roman" w:hAnsi="Times New Roman"/>
          <w:sz w:val="24"/>
          <w:szCs w:val="24"/>
        </w:rPr>
        <w:t>mple A a suitable raw material for structural clay products.</w:t>
      </w:r>
    </w:p>
    <w:p w14:paraId="4BFBCC33"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B:</w:t>
      </w:r>
    </w:p>
    <w:p w14:paraId="15D590A1"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B is dominated by albite (69.3%), a feldspar mineral, followed by muscovite (23.8%) and minor kaolinite (6.9%). The high albite content indicates a flux-rich material, which lowe</w:t>
      </w:r>
      <w:r>
        <w:rPr>
          <w:rFonts w:ascii="Times New Roman" w:hAnsi="Times New Roman"/>
          <w:sz w:val="24"/>
          <w:szCs w:val="24"/>
        </w:rPr>
        <w:t>rs the melting temperature and improves vitrification in ceramic production (Tucker, 1991). However, the low kaolinite content in Sample B reduces its refractoriness, making it unsuitable for high-temperature applications unless blended with alumina-rich c</w:t>
      </w:r>
      <w:r>
        <w:rPr>
          <w:rFonts w:ascii="Times New Roman" w:hAnsi="Times New Roman"/>
          <w:sz w:val="24"/>
          <w:szCs w:val="24"/>
        </w:rPr>
        <w:t>lays such as Sample A.</w:t>
      </w:r>
    </w:p>
    <w:p w14:paraId="3D1A2AA2"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 xml:space="preserve">4.1.2 </w:t>
      </w:r>
      <w:r>
        <w:rPr>
          <w:rFonts w:ascii="Times New Roman" w:hAnsi="Times New Roman"/>
          <w:b/>
          <w:bCs/>
          <w:sz w:val="24"/>
          <w:szCs w:val="24"/>
        </w:rPr>
        <w:tab/>
        <w:t>Discussion of XRD Results</w:t>
      </w:r>
    </w:p>
    <w:p w14:paraId="2FE260E5"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mineralogical compositions of both samples indicate that:</w:t>
      </w:r>
    </w:p>
    <w:p w14:paraId="1AABF514"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A is suitable for refractory materials, tiles, and structural clay products due to its kaolinite and phengite content.</w:t>
      </w:r>
    </w:p>
    <w:p w14:paraId="51E5C97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Sample B is </w:t>
      </w:r>
      <w:r>
        <w:rPr>
          <w:rFonts w:ascii="Times New Roman" w:hAnsi="Times New Roman"/>
          <w:sz w:val="24"/>
          <w:szCs w:val="24"/>
        </w:rPr>
        <w:t>ideal for ceramics and glaze production especially where high fluxing properties are required.</w:t>
      </w:r>
    </w:p>
    <w:p w14:paraId="776EEC30"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Blending both samples can optimize their combined properties, balancing the refractoriness of Sample A with the fluxing characteristics of Sample B to produce hi</w:t>
      </w:r>
      <w:r>
        <w:rPr>
          <w:rFonts w:ascii="Times New Roman" w:hAnsi="Times New Roman"/>
          <w:sz w:val="24"/>
          <w:szCs w:val="24"/>
        </w:rPr>
        <w:t>gh-quality clay products.</w:t>
      </w:r>
    </w:p>
    <w:p w14:paraId="7567E75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lastRenderedPageBreak/>
        <w:t xml:space="preserve">These findings are consistent with previous studies on Nigerian clay deposits, such as the work of Ekosse (2010), who noted that kaolinite-rich clays are preferred for refractory applications, while feldspar-rich clays are better </w:t>
      </w:r>
      <w:r>
        <w:rPr>
          <w:rFonts w:ascii="Times New Roman" w:hAnsi="Times New Roman"/>
          <w:sz w:val="24"/>
          <w:szCs w:val="24"/>
        </w:rPr>
        <w:t>suited for ceramics.</w:t>
      </w:r>
    </w:p>
    <w:p w14:paraId="2E230931" w14:textId="77777777" w:rsidR="00E150AD" w:rsidRDefault="00AA1020">
      <w:pPr>
        <w:spacing w:after="160" w:line="259" w:lineRule="auto"/>
        <w:jc w:val="center"/>
        <w:rPr>
          <w:rFonts w:ascii="Times New Roman" w:hAnsi="Times New Roman"/>
          <w:sz w:val="24"/>
          <w:szCs w:val="24"/>
        </w:rPr>
      </w:pPr>
      <w:r>
        <w:rPr>
          <w:rFonts w:ascii="Times New Roman" w:hAnsi="Times New Roman"/>
          <w:sz w:val="24"/>
          <w:szCs w:val="24"/>
        </w:rPr>
        <w:br w:type="page"/>
      </w:r>
      <w:r>
        <w:rPr>
          <w:rFonts w:ascii="Times New Roman" w:hAnsi="Times New Roman"/>
          <w:b/>
          <w:noProof/>
          <w:sz w:val="24"/>
          <w:szCs w:val="24"/>
          <w:lang w:eastAsia="en-US"/>
        </w:rPr>
        <w:lastRenderedPageBreak/>
        <w:drawing>
          <wp:inline distT="0" distB="0" distL="0" distR="0" wp14:anchorId="5C02226E" wp14:editId="58EFC5D4">
            <wp:extent cx="4702629" cy="2858258"/>
            <wp:effectExtent l="0" t="0" r="3175"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4702629" cy="2858258"/>
                    </a:xfrm>
                    <a:prstGeom prst="rect">
                      <a:avLst/>
                    </a:prstGeom>
                  </pic:spPr>
                </pic:pic>
              </a:graphicData>
            </a:graphic>
          </wp:inline>
        </w:drawing>
      </w:r>
    </w:p>
    <w:p w14:paraId="112457C6" w14:textId="77777777" w:rsidR="00E150AD" w:rsidRDefault="00AA1020">
      <w:pPr>
        <w:spacing w:line="480" w:lineRule="auto"/>
        <w:jc w:val="center"/>
        <w:rPr>
          <w:rFonts w:ascii="Times New Roman" w:hAnsi="Times New Roman"/>
          <w:sz w:val="24"/>
          <w:szCs w:val="24"/>
        </w:rPr>
      </w:pPr>
      <w:r>
        <w:rPr>
          <w:rFonts w:ascii="Times New Roman" w:hAnsi="Times New Roman"/>
          <w:sz w:val="24"/>
          <w:szCs w:val="24"/>
        </w:rPr>
        <w:t>Figure 4.1 Showing the pie chart of XRD sample A</w:t>
      </w:r>
    </w:p>
    <w:p w14:paraId="3A47F888" w14:textId="77777777" w:rsidR="00E150AD" w:rsidRDefault="00AA1020">
      <w:pPr>
        <w:spacing w:after="160" w:line="480" w:lineRule="auto"/>
        <w:contextualSpacing/>
        <w:jc w:val="center"/>
        <w:rPr>
          <w:rFonts w:ascii="Times New Roman" w:eastAsia="Times New Roman" w:hAnsi="Times New Roman"/>
          <w:kern w:val="2"/>
          <w:sz w:val="24"/>
          <w:szCs w:val="24"/>
          <w:lang w:val="en-GB" w:eastAsia="en-GB"/>
          <w14:ligatures w14:val="standardContextual"/>
        </w:rPr>
      </w:pPr>
      <w:r>
        <w:rPr>
          <w:rFonts w:ascii="Times New Roman" w:eastAsia="Times New Roman" w:hAnsi="Times New Roman"/>
          <w:noProof/>
          <w:kern w:val="2"/>
          <w:sz w:val="24"/>
          <w:szCs w:val="24"/>
          <w:lang w:eastAsia="en-US"/>
        </w:rPr>
        <w:drawing>
          <wp:inline distT="0" distB="0" distL="0" distR="0" wp14:anchorId="01853720" wp14:editId="6EA089AF">
            <wp:extent cx="4963886" cy="2896881"/>
            <wp:effectExtent l="0" t="0" r="8255"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 cstate="print"/>
                    <a:srcRect/>
                    <a:stretch/>
                  </pic:blipFill>
                  <pic:spPr>
                    <a:xfrm>
                      <a:off x="0" y="0"/>
                      <a:ext cx="4963886" cy="2896881"/>
                    </a:xfrm>
                    <a:prstGeom prst="rect">
                      <a:avLst/>
                    </a:prstGeom>
                  </pic:spPr>
                </pic:pic>
              </a:graphicData>
            </a:graphic>
          </wp:inline>
        </w:drawing>
      </w:r>
    </w:p>
    <w:p w14:paraId="76165CAF" w14:textId="77777777" w:rsidR="00E150AD" w:rsidRDefault="00AA1020">
      <w:pPr>
        <w:spacing w:after="160" w:line="480" w:lineRule="auto"/>
        <w:contextualSpacing/>
        <w:jc w:val="center"/>
        <w:rPr>
          <w:rFonts w:ascii="Times New Roman" w:eastAsia="Times New Roman" w:hAnsi="Times New Roman"/>
          <w:kern w:val="2"/>
          <w:sz w:val="24"/>
          <w:szCs w:val="24"/>
          <w:lang w:eastAsia="en-GB"/>
          <w14:ligatures w14:val="standardContextual"/>
        </w:rPr>
      </w:pPr>
      <w:r>
        <w:rPr>
          <w:rFonts w:ascii="Times New Roman" w:eastAsia="Times New Roman" w:hAnsi="Times New Roman"/>
          <w:kern w:val="2"/>
          <w:sz w:val="24"/>
          <w:szCs w:val="24"/>
          <w:lang w:eastAsia="en-GB"/>
          <w14:ligatures w14:val="standardContextual"/>
        </w:rPr>
        <w:t>Figure 4.2 Showing the pie chart of XRD sample B</w:t>
      </w:r>
    </w:p>
    <w:p w14:paraId="52EE9943"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 xml:space="preserve">4.2 </w:t>
      </w:r>
      <w:r>
        <w:rPr>
          <w:rFonts w:ascii="Times New Roman" w:hAnsi="Times New Roman"/>
          <w:b/>
          <w:bCs/>
          <w:sz w:val="24"/>
          <w:szCs w:val="24"/>
        </w:rPr>
        <w:tab/>
        <w:t>X-Ray Fluorescence (XRF) Analysis</w:t>
      </w:r>
    </w:p>
    <w:p w14:paraId="267A8A90"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X-ray Fluorescence (XRF) analysis was conducted to determine the geochemical composition of the Igbelowa clay samples. This technique provides quantitative data on </w:t>
      </w:r>
      <w:r>
        <w:rPr>
          <w:rFonts w:ascii="Times New Roman" w:hAnsi="Times New Roman"/>
          <w:sz w:val="24"/>
          <w:szCs w:val="24"/>
        </w:rPr>
        <w:lastRenderedPageBreak/>
        <w:t>the major oxides present in the clay, which directly influence its industrial behavior durin</w:t>
      </w:r>
      <w:r>
        <w:rPr>
          <w:rFonts w:ascii="Times New Roman" w:hAnsi="Times New Roman"/>
          <w:sz w:val="24"/>
          <w:szCs w:val="24"/>
        </w:rPr>
        <w:t>g firing. The XRF results are presented in Table 4.2</w:t>
      </w:r>
    </w:p>
    <w:p w14:paraId="46228D61"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t>Table 4.2: XRF Results for Igbelowa Clay Samples</w:t>
      </w:r>
    </w:p>
    <w:tbl>
      <w:tblPr>
        <w:tblW w:w="8864" w:type="dxa"/>
        <w:tblInd w:w="715" w:type="dxa"/>
        <w:tblCellMar>
          <w:top w:w="15" w:type="dxa"/>
          <w:left w:w="15" w:type="dxa"/>
          <w:bottom w:w="15" w:type="dxa"/>
          <w:right w:w="15" w:type="dxa"/>
        </w:tblCellMar>
        <w:tblLook w:val="0000" w:firstRow="0" w:lastRow="0" w:firstColumn="0" w:lastColumn="0" w:noHBand="0" w:noVBand="0"/>
      </w:tblPr>
      <w:tblGrid>
        <w:gridCol w:w="1890"/>
        <w:gridCol w:w="1170"/>
        <w:gridCol w:w="1170"/>
        <w:gridCol w:w="1080"/>
        <w:gridCol w:w="3554"/>
      </w:tblGrid>
      <w:tr w:rsidR="00E150AD" w14:paraId="48960657" w14:textId="77777777">
        <w:trPr>
          <w:tblHeader/>
        </w:trPr>
        <w:tc>
          <w:tcPr>
            <w:tcW w:w="1890" w:type="dxa"/>
            <w:tcBorders>
              <w:top w:val="single" w:sz="4" w:space="0" w:color="auto"/>
              <w:left w:val="single" w:sz="4" w:space="0" w:color="auto"/>
              <w:bottom w:val="single" w:sz="4" w:space="0" w:color="auto"/>
              <w:right w:val="single" w:sz="4" w:space="0" w:color="auto"/>
            </w:tcBorders>
          </w:tcPr>
          <w:p w14:paraId="36969EA0"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Basic Oxide</w:t>
            </w:r>
          </w:p>
        </w:tc>
        <w:tc>
          <w:tcPr>
            <w:tcW w:w="1170" w:type="dxa"/>
            <w:tcBorders>
              <w:top w:val="single" w:sz="4" w:space="0" w:color="auto"/>
              <w:left w:val="single" w:sz="4" w:space="0" w:color="auto"/>
              <w:bottom w:val="single" w:sz="4" w:space="0" w:color="auto"/>
              <w:right w:val="single" w:sz="4" w:space="0" w:color="auto"/>
            </w:tcBorders>
            <w:vAlign w:val="center"/>
          </w:tcPr>
          <w:p w14:paraId="4B50388A"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Formulae</w:t>
            </w:r>
          </w:p>
        </w:tc>
        <w:tc>
          <w:tcPr>
            <w:tcW w:w="1170" w:type="dxa"/>
            <w:tcBorders>
              <w:top w:val="single" w:sz="4" w:space="0" w:color="auto"/>
              <w:left w:val="single" w:sz="4" w:space="0" w:color="auto"/>
              <w:bottom w:val="single" w:sz="4" w:space="0" w:color="auto"/>
              <w:right w:val="single" w:sz="4" w:space="0" w:color="auto"/>
            </w:tcBorders>
            <w:vAlign w:val="center"/>
          </w:tcPr>
          <w:p w14:paraId="5F95ECDC"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Sample A1 (%)</w:t>
            </w:r>
          </w:p>
        </w:tc>
        <w:tc>
          <w:tcPr>
            <w:tcW w:w="1080" w:type="dxa"/>
            <w:tcBorders>
              <w:top w:val="single" w:sz="4" w:space="0" w:color="auto"/>
              <w:left w:val="single" w:sz="4" w:space="0" w:color="auto"/>
              <w:bottom w:val="single" w:sz="4" w:space="0" w:color="auto"/>
              <w:right w:val="single" w:sz="4" w:space="0" w:color="auto"/>
            </w:tcBorders>
            <w:vAlign w:val="center"/>
          </w:tcPr>
          <w:p w14:paraId="15AC8EE3"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Sample B1 (%)</w:t>
            </w:r>
          </w:p>
        </w:tc>
        <w:tc>
          <w:tcPr>
            <w:tcW w:w="3554" w:type="dxa"/>
            <w:tcBorders>
              <w:top w:val="single" w:sz="4" w:space="0" w:color="auto"/>
              <w:left w:val="single" w:sz="4" w:space="0" w:color="auto"/>
              <w:bottom w:val="single" w:sz="4" w:space="0" w:color="auto"/>
              <w:right w:val="single" w:sz="4" w:space="0" w:color="auto"/>
            </w:tcBorders>
            <w:vAlign w:val="center"/>
          </w:tcPr>
          <w:p w14:paraId="17F26193"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Interpretation / Remarks</w:t>
            </w:r>
          </w:p>
        </w:tc>
      </w:tr>
      <w:tr w:rsidR="00E150AD" w14:paraId="7A68EB06" w14:textId="77777777">
        <w:tc>
          <w:tcPr>
            <w:tcW w:w="1890" w:type="dxa"/>
            <w:tcBorders>
              <w:top w:val="single" w:sz="4" w:space="0" w:color="auto"/>
              <w:left w:val="single" w:sz="4" w:space="0" w:color="auto"/>
              <w:bottom w:val="single" w:sz="4" w:space="0" w:color="auto"/>
              <w:right w:val="single" w:sz="4" w:space="0" w:color="auto"/>
            </w:tcBorders>
          </w:tcPr>
          <w:p w14:paraId="3E7E0B73"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Silicon Oxide</w:t>
            </w:r>
          </w:p>
        </w:tc>
        <w:tc>
          <w:tcPr>
            <w:tcW w:w="1170" w:type="dxa"/>
            <w:tcBorders>
              <w:top w:val="single" w:sz="4" w:space="0" w:color="auto"/>
              <w:left w:val="single" w:sz="4" w:space="0" w:color="auto"/>
              <w:bottom w:val="single" w:sz="4" w:space="0" w:color="auto"/>
              <w:right w:val="single" w:sz="4" w:space="0" w:color="auto"/>
            </w:tcBorders>
            <w:vAlign w:val="center"/>
          </w:tcPr>
          <w:p w14:paraId="048A1E70"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 xml:space="preserve">SiO₂ </w:t>
            </w:r>
          </w:p>
        </w:tc>
        <w:tc>
          <w:tcPr>
            <w:tcW w:w="1170" w:type="dxa"/>
            <w:tcBorders>
              <w:top w:val="single" w:sz="4" w:space="0" w:color="auto"/>
              <w:left w:val="single" w:sz="4" w:space="0" w:color="auto"/>
              <w:bottom w:val="single" w:sz="4" w:space="0" w:color="auto"/>
              <w:right w:val="single" w:sz="4" w:space="0" w:color="auto"/>
            </w:tcBorders>
            <w:vAlign w:val="center"/>
          </w:tcPr>
          <w:p w14:paraId="41BE5221"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42.75</w:t>
            </w:r>
          </w:p>
        </w:tc>
        <w:tc>
          <w:tcPr>
            <w:tcW w:w="1080" w:type="dxa"/>
            <w:tcBorders>
              <w:top w:val="single" w:sz="4" w:space="0" w:color="auto"/>
              <w:left w:val="single" w:sz="4" w:space="0" w:color="auto"/>
              <w:bottom w:val="single" w:sz="4" w:space="0" w:color="auto"/>
              <w:right w:val="single" w:sz="4" w:space="0" w:color="auto"/>
            </w:tcBorders>
            <w:vAlign w:val="center"/>
          </w:tcPr>
          <w:p w14:paraId="3D61929B"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65.33</w:t>
            </w:r>
          </w:p>
        </w:tc>
        <w:tc>
          <w:tcPr>
            <w:tcW w:w="3554" w:type="dxa"/>
            <w:tcBorders>
              <w:top w:val="single" w:sz="4" w:space="0" w:color="auto"/>
              <w:left w:val="single" w:sz="4" w:space="0" w:color="auto"/>
              <w:bottom w:val="single" w:sz="4" w:space="0" w:color="auto"/>
              <w:right w:val="single" w:sz="4" w:space="0" w:color="auto"/>
            </w:tcBorders>
            <w:vAlign w:val="center"/>
          </w:tcPr>
          <w:p w14:paraId="63421D3F"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Much higher in B1; good for ceramics/refractory</w:t>
            </w:r>
            <w:r>
              <w:rPr>
                <w:rFonts w:ascii="Times New Roman" w:hAnsi="Times New Roman"/>
                <w:sz w:val="24"/>
                <w:szCs w:val="24"/>
              </w:rPr>
              <w:t xml:space="preserve"> use</w:t>
            </w:r>
          </w:p>
        </w:tc>
      </w:tr>
      <w:tr w:rsidR="00E150AD" w14:paraId="108F1CF8" w14:textId="77777777">
        <w:tc>
          <w:tcPr>
            <w:tcW w:w="1890" w:type="dxa"/>
            <w:tcBorders>
              <w:top w:val="single" w:sz="4" w:space="0" w:color="auto"/>
              <w:left w:val="single" w:sz="4" w:space="0" w:color="auto"/>
              <w:bottom w:val="single" w:sz="4" w:space="0" w:color="auto"/>
              <w:right w:val="single" w:sz="4" w:space="0" w:color="auto"/>
            </w:tcBorders>
          </w:tcPr>
          <w:p w14:paraId="260D5006"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Calcium Oxide</w:t>
            </w:r>
          </w:p>
        </w:tc>
        <w:tc>
          <w:tcPr>
            <w:tcW w:w="1170" w:type="dxa"/>
            <w:tcBorders>
              <w:top w:val="single" w:sz="4" w:space="0" w:color="auto"/>
              <w:left w:val="single" w:sz="4" w:space="0" w:color="auto"/>
              <w:bottom w:val="single" w:sz="4" w:space="0" w:color="auto"/>
              <w:right w:val="single" w:sz="4" w:space="0" w:color="auto"/>
            </w:tcBorders>
            <w:vAlign w:val="center"/>
          </w:tcPr>
          <w:p w14:paraId="67C3BFFB"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CaO</w:t>
            </w:r>
          </w:p>
        </w:tc>
        <w:tc>
          <w:tcPr>
            <w:tcW w:w="1170" w:type="dxa"/>
            <w:tcBorders>
              <w:top w:val="single" w:sz="4" w:space="0" w:color="auto"/>
              <w:left w:val="single" w:sz="4" w:space="0" w:color="auto"/>
              <w:bottom w:val="single" w:sz="4" w:space="0" w:color="auto"/>
              <w:right w:val="single" w:sz="4" w:space="0" w:color="auto"/>
            </w:tcBorders>
            <w:vAlign w:val="center"/>
          </w:tcPr>
          <w:p w14:paraId="5BA8FD2A"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ND</w:t>
            </w:r>
          </w:p>
        </w:tc>
        <w:tc>
          <w:tcPr>
            <w:tcW w:w="1080" w:type="dxa"/>
            <w:tcBorders>
              <w:top w:val="single" w:sz="4" w:space="0" w:color="auto"/>
              <w:left w:val="single" w:sz="4" w:space="0" w:color="auto"/>
              <w:bottom w:val="single" w:sz="4" w:space="0" w:color="auto"/>
              <w:right w:val="single" w:sz="4" w:space="0" w:color="auto"/>
            </w:tcBorders>
            <w:vAlign w:val="center"/>
          </w:tcPr>
          <w:p w14:paraId="7D050D32"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ND</w:t>
            </w:r>
          </w:p>
        </w:tc>
        <w:tc>
          <w:tcPr>
            <w:tcW w:w="3554" w:type="dxa"/>
            <w:tcBorders>
              <w:top w:val="single" w:sz="4" w:space="0" w:color="auto"/>
              <w:left w:val="single" w:sz="4" w:space="0" w:color="auto"/>
              <w:bottom w:val="single" w:sz="4" w:space="0" w:color="auto"/>
              <w:right w:val="single" w:sz="4" w:space="0" w:color="auto"/>
            </w:tcBorders>
            <w:vAlign w:val="center"/>
          </w:tcPr>
          <w:p w14:paraId="45D8284E"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Not detected in both samples</w:t>
            </w:r>
          </w:p>
        </w:tc>
      </w:tr>
      <w:tr w:rsidR="00E150AD" w14:paraId="119D74E3" w14:textId="77777777">
        <w:tc>
          <w:tcPr>
            <w:tcW w:w="1890" w:type="dxa"/>
            <w:tcBorders>
              <w:top w:val="single" w:sz="4" w:space="0" w:color="auto"/>
              <w:left w:val="single" w:sz="4" w:space="0" w:color="auto"/>
              <w:bottom w:val="single" w:sz="4" w:space="0" w:color="auto"/>
              <w:right w:val="single" w:sz="4" w:space="0" w:color="auto"/>
            </w:tcBorders>
          </w:tcPr>
          <w:p w14:paraId="5D570765"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Magnesium Oxide</w:t>
            </w:r>
          </w:p>
        </w:tc>
        <w:tc>
          <w:tcPr>
            <w:tcW w:w="1170" w:type="dxa"/>
            <w:tcBorders>
              <w:top w:val="single" w:sz="4" w:space="0" w:color="auto"/>
              <w:left w:val="single" w:sz="4" w:space="0" w:color="auto"/>
              <w:bottom w:val="single" w:sz="4" w:space="0" w:color="auto"/>
              <w:right w:val="single" w:sz="4" w:space="0" w:color="auto"/>
            </w:tcBorders>
            <w:vAlign w:val="center"/>
          </w:tcPr>
          <w:p w14:paraId="6EC39B75"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MgO</w:t>
            </w:r>
          </w:p>
        </w:tc>
        <w:tc>
          <w:tcPr>
            <w:tcW w:w="1170" w:type="dxa"/>
            <w:tcBorders>
              <w:top w:val="single" w:sz="4" w:space="0" w:color="auto"/>
              <w:left w:val="single" w:sz="4" w:space="0" w:color="auto"/>
              <w:bottom w:val="single" w:sz="4" w:space="0" w:color="auto"/>
              <w:right w:val="single" w:sz="4" w:space="0" w:color="auto"/>
            </w:tcBorders>
            <w:vAlign w:val="center"/>
          </w:tcPr>
          <w:p w14:paraId="612FDBAD"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ND</w:t>
            </w:r>
          </w:p>
        </w:tc>
        <w:tc>
          <w:tcPr>
            <w:tcW w:w="1080" w:type="dxa"/>
            <w:tcBorders>
              <w:top w:val="single" w:sz="4" w:space="0" w:color="auto"/>
              <w:left w:val="single" w:sz="4" w:space="0" w:color="auto"/>
              <w:bottom w:val="single" w:sz="4" w:space="0" w:color="auto"/>
              <w:right w:val="single" w:sz="4" w:space="0" w:color="auto"/>
            </w:tcBorders>
            <w:vAlign w:val="center"/>
          </w:tcPr>
          <w:p w14:paraId="040B6593"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0.80</w:t>
            </w:r>
          </w:p>
        </w:tc>
        <w:tc>
          <w:tcPr>
            <w:tcW w:w="3554" w:type="dxa"/>
            <w:tcBorders>
              <w:top w:val="single" w:sz="4" w:space="0" w:color="auto"/>
              <w:left w:val="single" w:sz="4" w:space="0" w:color="auto"/>
              <w:bottom w:val="single" w:sz="4" w:space="0" w:color="auto"/>
              <w:right w:val="single" w:sz="4" w:space="0" w:color="auto"/>
            </w:tcBorders>
            <w:vAlign w:val="center"/>
          </w:tcPr>
          <w:p w14:paraId="44447731"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Detected only in B1 in small quantity</w:t>
            </w:r>
          </w:p>
        </w:tc>
      </w:tr>
      <w:tr w:rsidR="00E150AD" w14:paraId="50967540" w14:textId="77777777">
        <w:tc>
          <w:tcPr>
            <w:tcW w:w="1890" w:type="dxa"/>
            <w:tcBorders>
              <w:top w:val="single" w:sz="4" w:space="0" w:color="auto"/>
              <w:left w:val="single" w:sz="4" w:space="0" w:color="auto"/>
              <w:bottom w:val="single" w:sz="4" w:space="0" w:color="auto"/>
              <w:right w:val="single" w:sz="4" w:space="0" w:color="auto"/>
            </w:tcBorders>
          </w:tcPr>
          <w:p w14:paraId="6099D306"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Sodium Oxide</w:t>
            </w:r>
          </w:p>
        </w:tc>
        <w:tc>
          <w:tcPr>
            <w:tcW w:w="1170" w:type="dxa"/>
            <w:tcBorders>
              <w:top w:val="single" w:sz="4" w:space="0" w:color="auto"/>
              <w:left w:val="single" w:sz="4" w:space="0" w:color="auto"/>
              <w:bottom w:val="single" w:sz="4" w:space="0" w:color="auto"/>
              <w:right w:val="single" w:sz="4" w:space="0" w:color="auto"/>
            </w:tcBorders>
            <w:vAlign w:val="center"/>
          </w:tcPr>
          <w:p w14:paraId="08416D9E"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Na₂O</w:t>
            </w:r>
          </w:p>
        </w:tc>
        <w:tc>
          <w:tcPr>
            <w:tcW w:w="1170" w:type="dxa"/>
            <w:tcBorders>
              <w:top w:val="single" w:sz="4" w:space="0" w:color="auto"/>
              <w:left w:val="single" w:sz="4" w:space="0" w:color="auto"/>
              <w:bottom w:val="single" w:sz="4" w:space="0" w:color="auto"/>
              <w:right w:val="single" w:sz="4" w:space="0" w:color="auto"/>
            </w:tcBorders>
            <w:vAlign w:val="center"/>
          </w:tcPr>
          <w:p w14:paraId="5116F11B"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auto"/>
              <w:bottom w:val="single" w:sz="4" w:space="0" w:color="auto"/>
              <w:right w:val="single" w:sz="4" w:space="0" w:color="auto"/>
            </w:tcBorders>
            <w:vAlign w:val="center"/>
          </w:tcPr>
          <w:p w14:paraId="782C872D"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0.80</w:t>
            </w:r>
          </w:p>
        </w:tc>
        <w:tc>
          <w:tcPr>
            <w:tcW w:w="3554" w:type="dxa"/>
            <w:tcBorders>
              <w:top w:val="single" w:sz="4" w:space="0" w:color="auto"/>
              <w:left w:val="single" w:sz="4" w:space="0" w:color="auto"/>
              <w:bottom w:val="single" w:sz="4" w:space="0" w:color="auto"/>
              <w:right w:val="single" w:sz="4" w:space="0" w:color="auto"/>
            </w:tcBorders>
            <w:vAlign w:val="center"/>
          </w:tcPr>
          <w:p w14:paraId="5F4AB88A"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Present in both; affects melting point during firing</w:t>
            </w:r>
          </w:p>
        </w:tc>
      </w:tr>
      <w:tr w:rsidR="00E150AD" w14:paraId="0BDEE36E" w14:textId="77777777">
        <w:tc>
          <w:tcPr>
            <w:tcW w:w="1890" w:type="dxa"/>
            <w:tcBorders>
              <w:top w:val="single" w:sz="4" w:space="0" w:color="auto"/>
              <w:left w:val="single" w:sz="4" w:space="0" w:color="auto"/>
              <w:bottom w:val="single" w:sz="4" w:space="0" w:color="auto"/>
              <w:right w:val="single" w:sz="4" w:space="0" w:color="auto"/>
            </w:tcBorders>
          </w:tcPr>
          <w:p w14:paraId="371D0067"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Potassium Oxide</w:t>
            </w:r>
          </w:p>
        </w:tc>
        <w:tc>
          <w:tcPr>
            <w:tcW w:w="1170" w:type="dxa"/>
            <w:tcBorders>
              <w:top w:val="single" w:sz="4" w:space="0" w:color="auto"/>
              <w:left w:val="single" w:sz="4" w:space="0" w:color="auto"/>
              <w:bottom w:val="single" w:sz="4" w:space="0" w:color="auto"/>
              <w:right w:val="single" w:sz="4" w:space="0" w:color="auto"/>
            </w:tcBorders>
            <w:vAlign w:val="center"/>
          </w:tcPr>
          <w:p w14:paraId="6EA53553"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K₂O</w:t>
            </w:r>
          </w:p>
        </w:tc>
        <w:tc>
          <w:tcPr>
            <w:tcW w:w="1170" w:type="dxa"/>
            <w:tcBorders>
              <w:top w:val="single" w:sz="4" w:space="0" w:color="auto"/>
              <w:left w:val="single" w:sz="4" w:space="0" w:color="auto"/>
              <w:bottom w:val="single" w:sz="4" w:space="0" w:color="auto"/>
              <w:right w:val="single" w:sz="4" w:space="0" w:color="auto"/>
            </w:tcBorders>
            <w:vAlign w:val="center"/>
          </w:tcPr>
          <w:p w14:paraId="52FB9D0C"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1.40</w:t>
            </w:r>
          </w:p>
        </w:tc>
        <w:tc>
          <w:tcPr>
            <w:tcW w:w="1080" w:type="dxa"/>
            <w:tcBorders>
              <w:top w:val="single" w:sz="4" w:space="0" w:color="auto"/>
              <w:left w:val="single" w:sz="4" w:space="0" w:color="auto"/>
              <w:bottom w:val="single" w:sz="4" w:space="0" w:color="auto"/>
              <w:right w:val="single" w:sz="4" w:space="0" w:color="auto"/>
            </w:tcBorders>
            <w:vAlign w:val="center"/>
          </w:tcPr>
          <w:p w14:paraId="19C4C4C8"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0.60</w:t>
            </w:r>
          </w:p>
        </w:tc>
        <w:tc>
          <w:tcPr>
            <w:tcW w:w="3554" w:type="dxa"/>
            <w:tcBorders>
              <w:top w:val="single" w:sz="4" w:space="0" w:color="auto"/>
              <w:left w:val="single" w:sz="4" w:space="0" w:color="auto"/>
              <w:bottom w:val="single" w:sz="4" w:space="0" w:color="auto"/>
              <w:right w:val="single" w:sz="4" w:space="0" w:color="auto"/>
            </w:tcBorders>
            <w:vAlign w:val="center"/>
          </w:tcPr>
          <w:p w14:paraId="2CBDE3F4"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 xml:space="preserve">More in A1; acts </w:t>
            </w:r>
            <w:r>
              <w:rPr>
                <w:rFonts w:ascii="Times New Roman" w:hAnsi="Times New Roman"/>
                <w:sz w:val="24"/>
                <w:szCs w:val="24"/>
              </w:rPr>
              <w:t>as flux in ceramic production</w:t>
            </w:r>
          </w:p>
        </w:tc>
      </w:tr>
      <w:tr w:rsidR="00E150AD" w14:paraId="3405FF7E" w14:textId="77777777">
        <w:tc>
          <w:tcPr>
            <w:tcW w:w="1890" w:type="dxa"/>
            <w:tcBorders>
              <w:top w:val="single" w:sz="4" w:space="0" w:color="auto"/>
              <w:left w:val="single" w:sz="4" w:space="0" w:color="auto"/>
              <w:bottom w:val="single" w:sz="4" w:space="0" w:color="auto"/>
              <w:right w:val="single" w:sz="4" w:space="0" w:color="auto"/>
            </w:tcBorders>
          </w:tcPr>
          <w:p w14:paraId="00C7B9FF"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Sulphide</w:t>
            </w:r>
          </w:p>
        </w:tc>
        <w:tc>
          <w:tcPr>
            <w:tcW w:w="1170" w:type="dxa"/>
            <w:tcBorders>
              <w:top w:val="single" w:sz="4" w:space="0" w:color="auto"/>
              <w:left w:val="single" w:sz="4" w:space="0" w:color="auto"/>
              <w:bottom w:val="single" w:sz="4" w:space="0" w:color="auto"/>
              <w:right w:val="single" w:sz="4" w:space="0" w:color="auto"/>
            </w:tcBorders>
            <w:vAlign w:val="center"/>
          </w:tcPr>
          <w:p w14:paraId="0937269C"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SO₃</w:t>
            </w:r>
          </w:p>
        </w:tc>
        <w:tc>
          <w:tcPr>
            <w:tcW w:w="1170" w:type="dxa"/>
            <w:tcBorders>
              <w:top w:val="single" w:sz="4" w:space="0" w:color="auto"/>
              <w:left w:val="single" w:sz="4" w:space="0" w:color="auto"/>
              <w:bottom w:val="single" w:sz="4" w:space="0" w:color="auto"/>
              <w:right w:val="single" w:sz="4" w:space="0" w:color="auto"/>
            </w:tcBorders>
            <w:vAlign w:val="center"/>
          </w:tcPr>
          <w:p w14:paraId="23D0E047"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ND</w:t>
            </w:r>
          </w:p>
        </w:tc>
        <w:tc>
          <w:tcPr>
            <w:tcW w:w="1080" w:type="dxa"/>
            <w:tcBorders>
              <w:top w:val="single" w:sz="4" w:space="0" w:color="auto"/>
              <w:left w:val="single" w:sz="4" w:space="0" w:color="auto"/>
              <w:bottom w:val="single" w:sz="4" w:space="0" w:color="auto"/>
              <w:right w:val="single" w:sz="4" w:space="0" w:color="auto"/>
            </w:tcBorders>
            <w:vAlign w:val="center"/>
          </w:tcPr>
          <w:p w14:paraId="1F38CC37"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ND</w:t>
            </w:r>
          </w:p>
        </w:tc>
        <w:tc>
          <w:tcPr>
            <w:tcW w:w="3554" w:type="dxa"/>
            <w:tcBorders>
              <w:top w:val="single" w:sz="4" w:space="0" w:color="auto"/>
              <w:left w:val="single" w:sz="4" w:space="0" w:color="auto"/>
              <w:bottom w:val="single" w:sz="4" w:space="0" w:color="auto"/>
              <w:right w:val="single" w:sz="4" w:space="0" w:color="auto"/>
            </w:tcBorders>
            <w:vAlign w:val="center"/>
          </w:tcPr>
          <w:p w14:paraId="60FF0F97"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Not detected</w:t>
            </w:r>
          </w:p>
        </w:tc>
      </w:tr>
      <w:tr w:rsidR="00E150AD" w14:paraId="3AF544C4" w14:textId="77777777">
        <w:tc>
          <w:tcPr>
            <w:tcW w:w="1890" w:type="dxa"/>
            <w:tcBorders>
              <w:top w:val="single" w:sz="4" w:space="0" w:color="auto"/>
              <w:left w:val="single" w:sz="4" w:space="0" w:color="auto"/>
              <w:bottom w:val="single" w:sz="4" w:space="0" w:color="auto"/>
              <w:right w:val="single" w:sz="4" w:space="0" w:color="auto"/>
            </w:tcBorders>
          </w:tcPr>
          <w:p w14:paraId="652748A8"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Phosphorus Oxide</w:t>
            </w:r>
          </w:p>
        </w:tc>
        <w:tc>
          <w:tcPr>
            <w:tcW w:w="1170" w:type="dxa"/>
            <w:tcBorders>
              <w:top w:val="single" w:sz="4" w:space="0" w:color="auto"/>
              <w:left w:val="single" w:sz="4" w:space="0" w:color="auto"/>
              <w:bottom w:val="single" w:sz="4" w:space="0" w:color="auto"/>
              <w:right w:val="single" w:sz="4" w:space="0" w:color="auto"/>
            </w:tcBorders>
            <w:vAlign w:val="center"/>
          </w:tcPr>
          <w:p w14:paraId="2F1B449A"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P₂O</w:t>
            </w:r>
            <w:r>
              <w:rPr>
                <w:rFonts w:ascii="Times New Roman" w:eastAsia="MS Gothic" w:hAnsi="Times New Roman"/>
                <w:sz w:val="24"/>
                <w:szCs w:val="24"/>
              </w:rPr>
              <w:t>₅</w:t>
            </w:r>
          </w:p>
        </w:tc>
        <w:tc>
          <w:tcPr>
            <w:tcW w:w="1170" w:type="dxa"/>
            <w:tcBorders>
              <w:top w:val="single" w:sz="4" w:space="0" w:color="auto"/>
              <w:left w:val="single" w:sz="4" w:space="0" w:color="auto"/>
              <w:bottom w:val="single" w:sz="4" w:space="0" w:color="auto"/>
              <w:right w:val="single" w:sz="4" w:space="0" w:color="auto"/>
            </w:tcBorders>
            <w:vAlign w:val="center"/>
          </w:tcPr>
          <w:p w14:paraId="44238D2E"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ND</w:t>
            </w:r>
          </w:p>
        </w:tc>
        <w:tc>
          <w:tcPr>
            <w:tcW w:w="1080" w:type="dxa"/>
            <w:tcBorders>
              <w:top w:val="single" w:sz="4" w:space="0" w:color="auto"/>
              <w:left w:val="single" w:sz="4" w:space="0" w:color="auto"/>
              <w:bottom w:val="single" w:sz="4" w:space="0" w:color="auto"/>
              <w:right w:val="single" w:sz="4" w:space="0" w:color="auto"/>
            </w:tcBorders>
            <w:vAlign w:val="center"/>
          </w:tcPr>
          <w:p w14:paraId="22EBF142"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ND</w:t>
            </w:r>
          </w:p>
        </w:tc>
        <w:tc>
          <w:tcPr>
            <w:tcW w:w="3554" w:type="dxa"/>
            <w:tcBorders>
              <w:top w:val="single" w:sz="4" w:space="0" w:color="auto"/>
              <w:left w:val="single" w:sz="4" w:space="0" w:color="auto"/>
              <w:bottom w:val="single" w:sz="4" w:space="0" w:color="auto"/>
              <w:right w:val="single" w:sz="4" w:space="0" w:color="auto"/>
            </w:tcBorders>
            <w:vAlign w:val="center"/>
          </w:tcPr>
          <w:p w14:paraId="509338C2"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Not detected</w:t>
            </w:r>
          </w:p>
        </w:tc>
      </w:tr>
      <w:tr w:rsidR="00E150AD" w14:paraId="2526554A" w14:textId="77777777">
        <w:tc>
          <w:tcPr>
            <w:tcW w:w="1890" w:type="dxa"/>
            <w:tcBorders>
              <w:top w:val="single" w:sz="4" w:space="0" w:color="auto"/>
              <w:left w:val="single" w:sz="4" w:space="0" w:color="auto"/>
              <w:bottom w:val="single" w:sz="4" w:space="0" w:color="auto"/>
              <w:right w:val="single" w:sz="4" w:space="0" w:color="auto"/>
            </w:tcBorders>
          </w:tcPr>
          <w:p w14:paraId="6E5BE852"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Manganese Oxide</w:t>
            </w:r>
          </w:p>
        </w:tc>
        <w:tc>
          <w:tcPr>
            <w:tcW w:w="1170" w:type="dxa"/>
            <w:tcBorders>
              <w:top w:val="single" w:sz="4" w:space="0" w:color="auto"/>
              <w:left w:val="single" w:sz="4" w:space="0" w:color="auto"/>
              <w:bottom w:val="single" w:sz="4" w:space="0" w:color="auto"/>
              <w:right w:val="single" w:sz="4" w:space="0" w:color="auto"/>
            </w:tcBorders>
            <w:vAlign w:val="center"/>
          </w:tcPr>
          <w:p w14:paraId="56EC78D0"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MnO</w:t>
            </w:r>
          </w:p>
        </w:tc>
        <w:tc>
          <w:tcPr>
            <w:tcW w:w="1170" w:type="dxa"/>
            <w:tcBorders>
              <w:top w:val="single" w:sz="4" w:space="0" w:color="auto"/>
              <w:left w:val="single" w:sz="4" w:space="0" w:color="auto"/>
              <w:bottom w:val="single" w:sz="4" w:space="0" w:color="auto"/>
              <w:right w:val="single" w:sz="4" w:space="0" w:color="auto"/>
            </w:tcBorders>
            <w:vAlign w:val="center"/>
          </w:tcPr>
          <w:p w14:paraId="48E3BA79"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0.40</w:t>
            </w:r>
          </w:p>
        </w:tc>
        <w:tc>
          <w:tcPr>
            <w:tcW w:w="1080" w:type="dxa"/>
            <w:tcBorders>
              <w:top w:val="single" w:sz="4" w:space="0" w:color="auto"/>
              <w:left w:val="single" w:sz="4" w:space="0" w:color="auto"/>
              <w:bottom w:val="single" w:sz="4" w:space="0" w:color="auto"/>
              <w:right w:val="single" w:sz="4" w:space="0" w:color="auto"/>
            </w:tcBorders>
            <w:vAlign w:val="center"/>
          </w:tcPr>
          <w:p w14:paraId="637597E9"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0.05</w:t>
            </w:r>
          </w:p>
        </w:tc>
        <w:tc>
          <w:tcPr>
            <w:tcW w:w="3554" w:type="dxa"/>
            <w:tcBorders>
              <w:top w:val="single" w:sz="4" w:space="0" w:color="auto"/>
              <w:left w:val="single" w:sz="4" w:space="0" w:color="auto"/>
              <w:bottom w:val="single" w:sz="4" w:space="0" w:color="auto"/>
              <w:right w:val="single" w:sz="4" w:space="0" w:color="auto"/>
            </w:tcBorders>
            <w:vAlign w:val="center"/>
          </w:tcPr>
          <w:p w14:paraId="3151AB53"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Trace amount; higher in A1</w:t>
            </w:r>
          </w:p>
        </w:tc>
      </w:tr>
      <w:tr w:rsidR="00E150AD" w14:paraId="0386406F" w14:textId="77777777">
        <w:tc>
          <w:tcPr>
            <w:tcW w:w="1890" w:type="dxa"/>
            <w:tcBorders>
              <w:top w:val="single" w:sz="4" w:space="0" w:color="auto"/>
              <w:left w:val="single" w:sz="4" w:space="0" w:color="auto"/>
              <w:bottom w:val="single" w:sz="4" w:space="0" w:color="auto"/>
              <w:right w:val="single" w:sz="4" w:space="0" w:color="auto"/>
            </w:tcBorders>
          </w:tcPr>
          <w:p w14:paraId="4AA2ABF5"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Titanium Oxide</w:t>
            </w:r>
          </w:p>
        </w:tc>
        <w:tc>
          <w:tcPr>
            <w:tcW w:w="1170" w:type="dxa"/>
            <w:tcBorders>
              <w:top w:val="single" w:sz="4" w:space="0" w:color="auto"/>
              <w:left w:val="single" w:sz="4" w:space="0" w:color="auto"/>
              <w:bottom w:val="single" w:sz="4" w:space="0" w:color="auto"/>
              <w:right w:val="single" w:sz="4" w:space="0" w:color="auto"/>
            </w:tcBorders>
            <w:vAlign w:val="center"/>
          </w:tcPr>
          <w:p w14:paraId="5DABB90F"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TiO₂</w:t>
            </w:r>
          </w:p>
        </w:tc>
        <w:tc>
          <w:tcPr>
            <w:tcW w:w="1170" w:type="dxa"/>
            <w:tcBorders>
              <w:top w:val="single" w:sz="4" w:space="0" w:color="auto"/>
              <w:left w:val="single" w:sz="4" w:space="0" w:color="auto"/>
              <w:bottom w:val="single" w:sz="4" w:space="0" w:color="auto"/>
              <w:right w:val="single" w:sz="4" w:space="0" w:color="auto"/>
            </w:tcBorders>
            <w:vAlign w:val="center"/>
          </w:tcPr>
          <w:p w14:paraId="1FE7533C"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2.47</w:t>
            </w:r>
          </w:p>
        </w:tc>
        <w:tc>
          <w:tcPr>
            <w:tcW w:w="1080" w:type="dxa"/>
            <w:tcBorders>
              <w:top w:val="single" w:sz="4" w:space="0" w:color="auto"/>
              <w:left w:val="single" w:sz="4" w:space="0" w:color="auto"/>
              <w:bottom w:val="single" w:sz="4" w:space="0" w:color="auto"/>
              <w:right w:val="single" w:sz="4" w:space="0" w:color="auto"/>
            </w:tcBorders>
            <w:vAlign w:val="center"/>
          </w:tcPr>
          <w:p w14:paraId="0870F606"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0.24</w:t>
            </w:r>
          </w:p>
        </w:tc>
        <w:tc>
          <w:tcPr>
            <w:tcW w:w="3554" w:type="dxa"/>
            <w:tcBorders>
              <w:top w:val="single" w:sz="4" w:space="0" w:color="auto"/>
              <w:left w:val="single" w:sz="4" w:space="0" w:color="auto"/>
              <w:bottom w:val="single" w:sz="4" w:space="0" w:color="auto"/>
              <w:right w:val="single" w:sz="4" w:space="0" w:color="auto"/>
            </w:tcBorders>
            <w:vAlign w:val="center"/>
          </w:tcPr>
          <w:p w14:paraId="709AF3C2"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Significantly higher in A1</w:t>
            </w:r>
          </w:p>
        </w:tc>
      </w:tr>
      <w:tr w:rsidR="00E150AD" w14:paraId="64FA05C2" w14:textId="77777777">
        <w:tc>
          <w:tcPr>
            <w:tcW w:w="1890" w:type="dxa"/>
            <w:tcBorders>
              <w:top w:val="single" w:sz="4" w:space="0" w:color="auto"/>
              <w:left w:val="single" w:sz="4" w:space="0" w:color="auto"/>
              <w:bottom w:val="single" w:sz="4" w:space="0" w:color="auto"/>
              <w:right w:val="single" w:sz="4" w:space="0" w:color="auto"/>
            </w:tcBorders>
          </w:tcPr>
          <w:p w14:paraId="5062859D"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Aluminum Oxide</w:t>
            </w:r>
          </w:p>
        </w:tc>
        <w:tc>
          <w:tcPr>
            <w:tcW w:w="1170" w:type="dxa"/>
            <w:tcBorders>
              <w:top w:val="single" w:sz="4" w:space="0" w:color="auto"/>
              <w:left w:val="single" w:sz="4" w:space="0" w:color="auto"/>
              <w:bottom w:val="single" w:sz="4" w:space="0" w:color="auto"/>
              <w:right w:val="single" w:sz="4" w:space="0" w:color="auto"/>
            </w:tcBorders>
            <w:vAlign w:val="center"/>
          </w:tcPr>
          <w:p w14:paraId="6EACC714"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 xml:space="preserve">Al₂O₃ </w:t>
            </w:r>
          </w:p>
        </w:tc>
        <w:tc>
          <w:tcPr>
            <w:tcW w:w="1170" w:type="dxa"/>
            <w:tcBorders>
              <w:top w:val="single" w:sz="4" w:space="0" w:color="auto"/>
              <w:left w:val="single" w:sz="4" w:space="0" w:color="auto"/>
              <w:bottom w:val="single" w:sz="4" w:space="0" w:color="auto"/>
              <w:right w:val="single" w:sz="4" w:space="0" w:color="auto"/>
            </w:tcBorders>
            <w:vAlign w:val="center"/>
          </w:tcPr>
          <w:p w14:paraId="755E2B72"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28.87</w:t>
            </w:r>
          </w:p>
        </w:tc>
        <w:tc>
          <w:tcPr>
            <w:tcW w:w="1080" w:type="dxa"/>
            <w:tcBorders>
              <w:top w:val="single" w:sz="4" w:space="0" w:color="auto"/>
              <w:left w:val="single" w:sz="4" w:space="0" w:color="auto"/>
              <w:bottom w:val="single" w:sz="4" w:space="0" w:color="auto"/>
              <w:right w:val="single" w:sz="4" w:space="0" w:color="auto"/>
            </w:tcBorders>
            <w:vAlign w:val="center"/>
          </w:tcPr>
          <w:p w14:paraId="38B5A4E2"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24.60</w:t>
            </w:r>
          </w:p>
        </w:tc>
        <w:tc>
          <w:tcPr>
            <w:tcW w:w="3554" w:type="dxa"/>
            <w:tcBorders>
              <w:top w:val="single" w:sz="4" w:space="0" w:color="auto"/>
              <w:left w:val="single" w:sz="4" w:space="0" w:color="auto"/>
              <w:bottom w:val="single" w:sz="4" w:space="0" w:color="auto"/>
              <w:right w:val="single" w:sz="4" w:space="0" w:color="auto"/>
            </w:tcBorders>
            <w:vAlign w:val="center"/>
          </w:tcPr>
          <w:p w14:paraId="2B833E4E"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High in both; A1 richer, ideal for bricks and tiles</w:t>
            </w:r>
          </w:p>
        </w:tc>
      </w:tr>
      <w:tr w:rsidR="00E150AD" w14:paraId="247FD72C" w14:textId="77777777">
        <w:tc>
          <w:tcPr>
            <w:tcW w:w="1890" w:type="dxa"/>
            <w:tcBorders>
              <w:top w:val="single" w:sz="4" w:space="0" w:color="auto"/>
              <w:left w:val="single" w:sz="4" w:space="0" w:color="auto"/>
              <w:bottom w:val="single" w:sz="4" w:space="0" w:color="auto"/>
              <w:right w:val="single" w:sz="4" w:space="0" w:color="auto"/>
            </w:tcBorders>
          </w:tcPr>
          <w:p w14:paraId="66BBD1FE"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Iron Oxide</w:t>
            </w:r>
          </w:p>
        </w:tc>
        <w:tc>
          <w:tcPr>
            <w:tcW w:w="1170" w:type="dxa"/>
            <w:tcBorders>
              <w:top w:val="single" w:sz="4" w:space="0" w:color="auto"/>
              <w:left w:val="single" w:sz="4" w:space="0" w:color="auto"/>
              <w:bottom w:val="single" w:sz="4" w:space="0" w:color="auto"/>
              <w:right w:val="single" w:sz="4" w:space="0" w:color="auto"/>
            </w:tcBorders>
            <w:vAlign w:val="center"/>
          </w:tcPr>
          <w:p w14:paraId="4E73FA67"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Fe₂O₃</w:t>
            </w:r>
          </w:p>
        </w:tc>
        <w:tc>
          <w:tcPr>
            <w:tcW w:w="1170" w:type="dxa"/>
            <w:tcBorders>
              <w:top w:val="single" w:sz="4" w:space="0" w:color="auto"/>
              <w:left w:val="single" w:sz="4" w:space="0" w:color="auto"/>
              <w:bottom w:val="single" w:sz="4" w:space="0" w:color="auto"/>
              <w:right w:val="single" w:sz="4" w:space="0" w:color="auto"/>
            </w:tcBorders>
            <w:vAlign w:val="center"/>
          </w:tcPr>
          <w:p w14:paraId="525A284B"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9.49</w:t>
            </w:r>
          </w:p>
        </w:tc>
        <w:tc>
          <w:tcPr>
            <w:tcW w:w="1080" w:type="dxa"/>
            <w:tcBorders>
              <w:top w:val="single" w:sz="4" w:space="0" w:color="auto"/>
              <w:left w:val="single" w:sz="4" w:space="0" w:color="auto"/>
              <w:bottom w:val="single" w:sz="4" w:space="0" w:color="auto"/>
              <w:right w:val="single" w:sz="4" w:space="0" w:color="auto"/>
            </w:tcBorders>
            <w:vAlign w:val="center"/>
          </w:tcPr>
          <w:p w14:paraId="67C8AE25"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2.73</w:t>
            </w:r>
          </w:p>
        </w:tc>
        <w:tc>
          <w:tcPr>
            <w:tcW w:w="3554" w:type="dxa"/>
            <w:tcBorders>
              <w:top w:val="single" w:sz="4" w:space="0" w:color="auto"/>
              <w:left w:val="single" w:sz="4" w:space="0" w:color="auto"/>
              <w:bottom w:val="single" w:sz="4" w:space="0" w:color="auto"/>
              <w:right w:val="single" w:sz="4" w:space="0" w:color="auto"/>
            </w:tcBorders>
            <w:vAlign w:val="center"/>
          </w:tcPr>
          <w:p w14:paraId="18CDA6AC"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A1 has much more; contributes to clay color &amp; firing</w:t>
            </w:r>
          </w:p>
        </w:tc>
      </w:tr>
      <w:tr w:rsidR="00E150AD" w14:paraId="1307CEA0" w14:textId="77777777">
        <w:tc>
          <w:tcPr>
            <w:tcW w:w="1890" w:type="dxa"/>
            <w:tcBorders>
              <w:top w:val="single" w:sz="4" w:space="0" w:color="auto"/>
              <w:left w:val="single" w:sz="4" w:space="0" w:color="auto"/>
              <w:bottom w:val="single" w:sz="4" w:space="0" w:color="auto"/>
              <w:right w:val="single" w:sz="4" w:space="0" w:color="auto"/>
            </w:tcBorders>
          </w:tcPr>
          <w:p w14:paraId="576E7FC9"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Loss Of Ignition</w:t>
            </w:r>
          </w:p>
        </w:tc>
        <w:tc>
          <w:tcPr>
            <w:tcW w:w="1170" w:type="dxa"/>
            <w:tcBorders>
              <w:top w:val="single" w:sz="4" w:space="0" w:color="auto"/>
              <w:left w:val="single" w:sz="4" w:space="0" w:color="auto"/>
              <w:bottom w:val="single" w:sz="4" w:space="0" w:color="auto"/>
              <w:right w:val="single" w:sz="4" w:space="0" w:color="auto"/>
            </w:tcBorders>
            <w:vAlign w:val="center"/>
          </w:tcPr>
          <w:p w14:paraId="452922D4"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L.O.I.</w:t>
            </w:r>
          </w:p>
        </w:tc>
        <w:tc>
          <w:tcPr>
            <w:tcW w:w="1170" w:type="dxa"/>
            <w:tcBorders>
              <w:top w:val="single" w:sz="4" w:space="0" w:color="auto"/>
              <w:left w:val="single" w:sz="4" w:space="0" w:color="auto"/>
              <w:bottom w:val="single" w:sz="4" w:space="0" w:color="auto"/>
              <w:right w:val="single" w:sz="4" w:space="0" w:color="auto"/>
            </w:tcBorders>
            <w:vAlign w:val="center"/>
          </w:tcPr>
          <w:p w14:paraId="5629EC91"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13.50</w:t>
            </w:r>
          </w:p>
        </w:tc>
        <w:tc>
          <w:tcPr>
            <w:tcW w:w="1080" w:type="dxa"/>
            <w:tcBorders>
              <w:top w:val="single" w:sz="4" w:space="0" w:color="auto"/>
              <w:left w:val="single" w:sz="4" w:space="0" w:color="auto"/>
              <w:bottom w:val="single" w:sz="4" w:space="0" w:color="auto"/>
              <w:right w:val="single" w:sz="4" w:space="0" w:color="auto"/>
            </w:tcBorders>
            <w:vAlign w:val="center"/>
          </w:tcPr>
          <w:p w14:paraId="21655071"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5.30</w:t>
            </w:r>
          </w:p>
        </w:tc>
        <w:tc>
          <w:tcPr>
            <w:tcW w:w="3554" w:type="dxa"/>
            <w:tcBorders>
              <w:top w:val="single" w:sz="4" w:space="0" w:color="auto"/>
              <w:left w:val="single" w:sz="4" w:space="0" w:color="auto"/>
              <w:bottom w:val="single" w:sz="4" w:space="0" w:color="auto"/>
              <w:right w:val="single" w:sz="4" w:space="0" w:color="auto"/>
            </w:tcBorders>
            <w:vAlign w:val="center"/>
          </w:tcPr>
          <w:p w14:paraId="46CBC9C1" w14:textId="77777777" w:rsidR="00E150AD" w:rsidRDefault="00AA1020">
            <w:pPr>
              <w:spacing w:line="240" w:lineRule="atLeast"/>
              <w:jc w:val="both"/>
              <w:rPr>
                <w:rFonts w:ascii="Times New Roman" w:hAnsi="Times New Roman"/>
                <w:sz w:val="24"/>
                <w:szCs w:val="24"/>
              </w:rPr>
            </w:pPr>
            <w:r>
              <w:rPr>
                <w:rFonts w:ascii="Times New Roman" w:hAnsi="Times New Roman"/>
                <w:sz w:val="24"/>
                <w:szCs w:val="24"/>
              </w:rPr>
              <w:t>Higher in A1; indicates more volatiles/moisture</w:t>
            </w:r>
          </w:p>
        </w:tc>
      </w:tr>
      <w:tr w:rsidR="00E150AD" w14:paraId="4C38E1A4" w14:textId="77777777">
        <w:tc>
          <w:tcPr>
            <w:tcW w:w="1890" w:type="dxa"/>
            <w:tcBorders>
              <w:top w:val="single" w:sz="4" w:space="0" w:color="auto"/>
              <w:left w:val="single" w:sz="4" w:space="0" w:color="auto"/>
              <w:bottom w:val="single" w:sz="4" w:space="0" w:color="auto"/>
              <w:right w:val="single" w:sz="4" w:space="0" w:color="auto"/>
            </w:tcBorders>
          </w:tcPr>
          <w:p w14:paraId="2D8E9DFA" w14:textId="77777777" w:rsidR="00E150AD" w:rsidRDefault="00AA1020">
            <w:pPr>
              <w:spacing w:line="240" w:lineRule="atLeast"/>
              <w:jc w:val="both"/>
              <w:rPr>
                <w:rFonts w:ascii="Times New Roman" w:hAnsi="Times New Roman"/>
                <w:b/>
                <w:sz w:val="24"/>
                <w:szCs w:val="24"/>
              </w:rPr>
            </w:pPr>
            <w:r>
              <w:rPr>
                <w:rFonts w:ascii="Times New Roman" w:hAnsi="Times New Roman"/>
                <w:b/>
                <w:sz w:val="24"/>
                <w:szCs w:val="24"/>
              </w:rPr>
              <w:t>TOTAL</w:t>
            </w:r>
          </w:p>
        </w:tc>
        <w:tc>
          <w:tcPr>
            <w:tcW w:w="1170" w:type="dxa"/>
            <w:tcBorders>
              <w:top w:val="single" w:sz="4" w:space="0" w:color="auto"/>
              <w:left w:val="single" w:sz="4" w:space="0" w:color="auto"/>
              <w:bottom w:val="single" w:sz="4" w:space="0" w:color="auto"/>
              <w:right w:val="single" w:sz="4" w:space="0" w:color="auto"/>
            </w:tcBorders>
            <w:vAlign w:val="center"/>
          </w:tcPr>
          <w:p w14:paraId="534F4F18" w14:textId="77777777" w:rsidR="00E150AD" w:rsidRDefault="00E150AD">
            <w:pPr>
              <w:spacing w:line="240" w:lineRule="atLeast"/>
              <w:jc w:val="both"/>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249A2C4E" w14:textId="77777777" w:rsidR="00E150AD" w:rsidRDefault="00AA1020">
            <w:pPr>
              <w:spacing w:line="240" w:lineRule="atLeast"/>
              <w:jc w:val="both"/>
              <w:rPr>
                <w:rFonts w:ascii="Times New Roman" w:hAnsi="Times New Roman"/>
                <w:b/>
                <w:sz w:val="24"/>
                <w:szCs w:val="24"/>
              </w:rPr>
            </w:pPr>
            <w:r>
              <w:rPr>
                <w:rFonts w:ascii="Times New Roman" w:hAnsi="Times New Roman"/>
                <w:b/>
                <w:sz w:val="24"/>
                <w:szCs w:val="24"/>
              </w:rPr>
              <w:t>99.88</w:t>
            </w:r>
          </w:p>
        </w:tc>
        <w:tc>
          <w:tcPr>
            <w:tcW w:w="1080" w:type="dxa"/>
            <w:tcBorders>
              <w:top w:val="single" w:sz="4" w:space="0" w:color="auto"/>
              <w:left w:val="single" w:sz="4" w:space="0" w:color="auto"/>
              <w:bottom w:val="single" w:sz="4" w:space="0" w:color="auto"/>
              <w:right w:val="single" w:sz="4" w:space="0" w:color="auto"/>
            </w:tcBorders>
            <w:vAlign w:val="center"/>
          </w:tcPr>
          <w:p w14:paraId="49A264FB" w14:textId="77777777" w:rsidR="00E150AD" w:rsidRDefault="00AA1020">
            <w:pPr>
              <w:spacing w:line="240" w:lineRule="atLeast"/>
              <w:jc w:val="both"/>
              <w:rPr>
                <w:rFonts w:ascii="Times New Roman" w:hAnsi="Times New Roman"/>
                <w:b/>
                <w:sz w:val="24"/>
                <w:szCs w:val="24"/>
              </w:rPr>
            </w:pPr>
            <w:r>
              <w:rPr>
                <w:rFonts w:ascii="Times New Roman" w:hAnsi="Times New Roman"/>
                <w:b/>
                <w:sz w:val="24"/>
                <w:szCs w:val="24"/>
              </w:rPr>
              <w:t>100.45</w:t>
            </w:r>
          </w:p>
        </w:tc>
        <w:tc>
          <w:tcPr>
            <w:tcW w:w="3554" w:type="dxa"/>
            <w:tcBorders>
              <w:top w:val="single" w:sz="4" w:space="0" w:color="auto"/>
              <w:left w:val="single" w:sz="4" w:space="0" w:color="auto"/>
              <w:bottom w:val="single" w:sz="4" w:space="0" w:color="auto"/>
              <w:right w:val="single" w:sz="4" w:space="0" w:color="auto"/>
            </w:tcBorders>
            <w:vAlign w:val="center"/>
          </w:tcPr>
          <w:p w14:paraId="7608D74F" w14:textId="77777777" w:rsidR="00E150AD" w:rsidRDefault="00E150AD">
            <w:pPr>
              <w:spacing w:line="240" w:lineRule="atLeast"/>
              <w:jc w:val="both"/>
              <w:rPr>
                <w:rFonts w:ascii="Times New Roman" w:hAnsi="Times New Roman"/>
                <w:sz w:val="24"/>
                <w:szCs w:val="24"/>
              </w:rPr>
            </w:pPr>
          </w:p>
        </w:tc>
      </w:tr>
    </w:tbl>
    <w:p w14:paraId="3D3538CE"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3DD103B6" w14:textId="77777777" w:rsidR="00E150AD" w:rsidRDefault="00AA1020">
      <w:pPr>
        <w:spacing w:after="160" w:line="259" w:lineRule="auto"/>
        <w:rPr>
          <w:rFonts w:ascii="Times New Roman" w:hAnsi="Times New Roman"/>
          <w:b/>
          <w:bCs/>
          <w:sz w:val="24"/>
          <w:szCs w:val="24"/>
        </w:rPr>
      </w:pPr>
      <w:r>
        <w:rPr>
          <w:rFonts w:ascii="Times New Roman" w:hAnsi="Times New Roman"/>
          <w:b/>
          <w:bCs/>
          <w:sz w:val="24"/>
          <w:szCs w:val="24"/>
        </w:rPr>
        <w:br w:type="page"/>
      </w:r>
    </w:p>
    <w:p w14:paraId="168844E5"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lastRenderedPageBreak/>
        <w:t xml:space="preserve">4.2.1 </w:t>
      </w:r>
      <w:r>
        <w:rPr>
          <w:rFonts w:ascii="Times New Roman" w:hAnsi="Times New Roman"/>
          <w:b/>
          <w:bCs/>
          <w:sz w:val="24"/>
          <w:szCs w:val="24"/>
        </w:rPr>
        <w:t>Interpretation of XRF Results</w:t>
      </w:r>
    </w:p>
    <w:p w14:paraId="04C7CEA0"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Silicon Oxide (SiO₂):</w:t>
      </w:r>
    </w:p>
    <w:p w14:paraId="004E83E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B1 has the highest silica content (65.33%), making it ideal for ceramics and products requiring high mechanical strength. Sample A1 has moderate silica content (42.75%), balancing strength with pla</w:t>
      </w:r>
      <w:r>
        <w:rPr>
          <w:rFonts w:ascii="Times New Roman" w:hAnsi="Times New Roman"/>
          <w:sz w:val="24"/>
          <w:szCs w:val="24"/>
        </w:rPr>
        <w:t>sticity.</w:t>
      </w:r>
    </w:p>
    <w:p w14:paraId="5F26FC19"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Aluminum Oxide (Al₂O₃):</w:t>
      </w:r>
    </w:p>
    <w:p w14:paraId="75A23A59"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Both samples contain high alumina, especially Sample A1 (28.87%). High alumina improves plasticity, thermal resistance, and refractoriness, which is essential for brick and tile manufacturing (Murray, 2007).</w:t>
      </w:r>
    </w:p>
    <w:p w14:paraId="6BA56CCE"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Iron Oxide (Fe₂</w:t>
      </w:r>
      <w:r>
        <w:rPr>
          <w:rFonts w:ascii="Times New Roman" w:hAnsi="Times New Roman"/>
          <w:sz w:val="24"/>
          <w:szCs w:val="24"/>
        </w:rPr>
        <w:t>O₃):</w:t>
      </w:r>
    </w:p>
    <w:p w14:paraId="444BFA12"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A1 has a higher iron content (9.49%), resulting in reddish coloration after firing, making it suitable for structural materials but less ideal for white ceramics.</w:t>
      </w:r>
    </w:p>
    <w:p w14:paraId="31C55949"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Titanium Oxide (TiO₂):</w:t>
      </w:r>
    </w:p>
    <w:p w14:paraId="7AFF09B3"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TiO₂ is higher in A1 (2.47%), improving opacity and contri</w:t>
      </w:r>
      <w:r>
        <w:rPr>
          <w:rFonts w:ascii="Times New Roman" w:hAnsi="Times New Roman"/>
          <w:sz w:val="24"/>
          <w:szCs w:val="24"/>
        </w:rPr>
        <w:t>buting to thermal resistance, particularly in refractory applications.</w:t>
      </w:r>
    </w:p>
    <w:p w14:paraId="25242379"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Fluxing Oxides (Na₂O, K₂O):</w:t>
      </w:r>
    </w:p>
    <w:p w14:paraId="76718DC7"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Present in both samples in low amounts, these oxides lower the melting temperature, aiding vitrification in ceramic production.</w:t>
      </w:r>
    </w:p>
    <w:p w14:paraId="7D590DAA"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Loss on Ignition (L.O.I.):</w:t>
      </w:r>
    </w:p>
    <w:p w14:paraId="5C6E350F"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w:t>
      </w:r>
      <w:r>
        <w:rPr>
          <w:rFonts w:ascii="Times New Roman" w:hAnsi="Times New Roman"/>
          <w:sz w:val="24"/>
          <w:szCs w:val="24"/>
        </w:rPr>
        <w:t>mple A1 has a higher L.O.I. (13.50%), suggesting more volatile components and moisture, which should be accounted for during processing to avoid excessive shrinkage.</w:t>
      </w:r>
    </w:p>
    <w:p w14:paraId="0AF6557F" w14:textId="77777777" w:rsidR="00E150AD" w:rsidRDefault="00AA1020">
      <w:pPr>
        <w:spacing w:after="160" w:line="259" w:lineRule="auto"/>
        <w:rPr>
          <w:rFonts w:ascii="Times New Roman" w:hAnsi="Times New Roman"/>
          <w:sz w:val="24"/>
          <w:szCs w:val="24"/>
        </w:rPr>
      </w:pPr>
      <w:r>
        <w:rPr>
          <w:rFonts w:ascii="Times New Roman" w:hAnsi="Times New Roman"/>
          <w:sz w:val="24"/>
          <w:szCs w:val="24"/>
        </w:rPr>
        <w:br w:type="page"/>
      </w:r>
    </w:p>
    <w:p w14:paraId="273AA2D5" w14:textId="77777777" w:rsidR="00E150AD" w:rsidRDefault="00AA1020">
      <w:pPr>
        <w:spacing w:after="0" w:line="480" w:lineRule="auto"/>
        <w:ind w:left="720"/>
        <w:jc w:val="both"/>
        <w:rPr>
          <w:rFonts w:ascii="Times New Roman" w:hAnsi="Times New Roman"/>
          <w:b/>
          <w:bCs/>
          <w:sz w:val="24"/>
          <w:szCs w:val="24"/>
        </w:rPr>
      </w:pPr>
      <w:r>
        <w:rPr>
          <w:rFonts w:ascii="Times New Roman" w:hAnsi="Times New Roman"/>
          <w:b/>
          <w:bCs/>
          <w:sz w:val="24"/>
          <w:szCs w:val="24"/>
        </w:rPr>
        <w:lastRenderedPageBreak/>
        <w:t xml:space="preserve">4.2.2 </w:t>
      </w:r>
      <w:r>
        <w:rPr>
          <w:rFonts w:ascii="Times New Roman" w:hAnsi="Times New Roman"/>
          <w:b/>
          <w:bCs/>
          <w:sz w:val="24"/>
          <w:szCs w:val="24"/>
        </w:rPr>
        <w:tab/>
        <w:t>Discussion of XRF Results</w:t>
      </w:r>
    </w:p>
    <w:p w14:paraId="0F8599FA"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A: Rich in alumina and iron oxide, making it sui</w:t>
      </w:r>
      <w:r>
        <w:rPr>
          <w:rFonts w:ascii="Times New Roman" w:hAnsi="Times New Roman"/>
          <w:sz w:val="24"/>
          <w:szCs w:val="24"/>
        </w:rPr>
        <w:t>table for refractory bricks, tiles, and structural applications.</w:t>
      </w:r>
    </w:p>
    <w:p w14:paraId="1370C212"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B: Silica-rich and suitable for ceramic production, especially for lighter-colored products.</w:t>
      </w:r>
    </w:p>
    <w:p w14:paraId="67D1F37E"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Blending Potential: Mixing the two samples in proper proportions could result in high-quali</w:t>
      </w:r>
      <w:r>
        <w:rPr>
          <w:rFonts w:ascii="Times New Roman" w:hAnsi="Times New Roman"/>
          <w:sz w:val="24"/>
          <w:szCs w:val="24"/>
        </w:rPr>
        <w:t>ty materials suitable for both refractory and ceramic industries.</w:t>
      </w:r>
    </w:p>
    <w:p w14:paraId="7C77297F"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 xml:space="preserve">4.3 </w:t>
      </w:r>
      <w:r>
        <w:rPr>
          <w:rFonts w:ascii="Times New Roman" w:hAnsi="Times New Roman"/>
          <w:b/>
          <w:bCs/>
          <w:sz w:val="24"/>
          <w:szCs w:val="24"/>
        </w:rPr>
        <w:tab/>
        <w:t>Comparative Discussion with Previous Studies</w:t>
      </w:r>
    </w:p>
    <w:p w14:paraId="027FEF97"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These results align with studies by Ekosse (2010) and Akinola et al. (2015), which reported that Nigerian kaolinite-rich clays are ideal for</w:t>
      </w:r>
      <w:r>
        <w:rPr>
          <w:rFonts w:ascii="Times New Roman" w:hAnsi="Times New Roman"/>
          <w:sz w:val="24"/>
          <w:szCs w:val="24"/>
        </w:rPr>
        <w:t xml:space="preserve"> refractory applications, while feldspar- and silica-rich clays perform better in ceramic production. The high silica in Sample B is consistent with clays from other parts of Nigeria used for tiles and ceramic wares. Similarly, the high alumina and iron in</w:t>
      </w:r>
      <w:r>
        <w:rPr>
          <w:rFonts w:ascii="Times New Roman" w:hAnsi="Times New Roman"/>
          <w:sz w:val="24"/>
          <w:szCs w:val="24"/>
        </w:rPr>
        <w:t xml:space="preserve"> Sample A resemble clays from Kankara (Katsina State), which are widely used for brick manufacturing.</w:t>
      </w:r>
    </w:p>
    <w:p w14:paraId="0117307A"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 xml:space="preserve">4.4 </w:t>
      </w:r>
      <w:r>
        <w:rPr>
          <w:rFonts w:ascii="Times New Roman" w:hAnsi="Times New Roman"/>
          <w:b/>
          <w:bCs/>
          <w:sz w:val="24"/>
          <w:szCs w:val="24"/>
        </w:rPr>
        <w:tab/>
        <w:t>Summary of Findings</w:t>
      </w:r>
    </w:p>
    <w:p w14:paraId="71AB69C6"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analysis of Komu clay deposit using XRD and XRF revealed the following key results:</w:t>
      </w:r>
    </w:p>
    <w:p w14:paraId="5805BD45"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1. Mineralogical Composition (XRD):</w:t>
      </w:r>
    </w:p>
    <w:p w14:paraId="6F3ADFE6"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w:t>
      </w:r>
      <w:r>
        <w:rPr>
          <w:rFonts w:ascii="Times New Roman" w:hAnsi="Times New Roman"/>
          <w:sz w:val="24"/>
          <w:szCs w:val="24"/>
        </w:rPr>
        <w:t>e A: Predominantly phengite (41.1%), kaolinite (39.6%), and albite (19.3%), indicating good refractory and structural potential.</w:t>
      </w:r>
    </w:p>
    <w:p w14:paraId="40AC609B"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B: Rich in albite (69.3%), muscovite (23.8%), and minor kaolinite (6.9%), suitable for ceramics and as a fluxing agent.</w:t>
      </w:r>
    </w:p>
    <w:p w14:paraId="3003036F" w14:textId="77777777" w:rsidR="00E150AD" w:rsidRDefault="00E150AD">
      <w:pPr>
        <w:spacing w:after="0" w:line="480" w:lineRule="auto"/>
        <w:ind w:left="720"/>
        <w:jc w:val="both"/>
        <w:rPr>
          <w:rFonts w:ascii="Times New Roman" w:hAnsi="Times New Roman"/>
          <w:sz w:val="24"/>
          <w:szCs w:val="24"/>
        </w:rPr>
      </w:pPr>
    </w:p>
    <w:p w14:paraId="7EA78D17" w14:textId="77777777" w:rsidR="00E150AD" w:rsidRDefault="00E150AD">
      <w:pPr>
        <w:spacing w:after="0" w:line="480" w:lineRule="auto"/>
        <w:ind w:left="720"/>
        <w:jc w:val="both"/>
        <w:rPr>
          <w:rFonts w:ascii="Times New Roman" w:hAnsi="Times New Roman"/>
          <w:sz w:val="24"/>
          <w:szCs w:val="24"/>
        </w:rPr>
      </w:pPr>
    </w:p>
    <w:p w14:paraId="7CDCAE67"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lastRenderedPageBreak/>
        <w:t>2. Geochemical Composition (XRF):</w:t>
      </w:r>
    </w:p>
    <w:p w14:paraId="391B99C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A: High in Al₂O₃ (28.87%), Fe₂O₃ (9.49%), and TiO₂ (2.47%), making it ideal for bricks, tiles, and high-temperature materials.</w:t>
      </w:r>
    </w:p>
    <w:p w14:paraId="72E76AF0"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Sample B: High in SiO₂ (65.33%) with low Fe₂O₃ (2.73%), suitable for ceramics </w:t>
      </w:r>
      <w:r>
        <w:rPr>
          <w:rFonts w:ascii="Times New Roman" w:hAnsi="Times New Roman"/>
          <w:sz w:val="24"/>
          <w:szCs w:val="24"/>
        </w:rPr>
        <w:t>requiring high silica strength and lighter color.</w:t>
      </w:r>
    </w:p>
    <w:p w14:paraId="32FE7ED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3. Industrial Implications:</w:t>
      </w:r>
    </w:p>
    <w:p w14:paraId="6855998F"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A is more suitable for refractory and structural uses.</w:t>
      </w:r>
    </w:p>
    <w:p w14:paraId="36F0E269"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B is ideal for ceramic production and blending with alumina-rich clays.</w:t>
      </w:r>
    </w:p>
    <w:p w14:paraId="522A995B"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Blending both samples could optimize </w:t>
      </w:r>
      <w:r>
        <w:rPr>
          <w:rFonts w:ascii="Times New Roman" w:hAnsi="Times New Roman"/>
          <w:sz w:val="24"/>
          <w:szCs w:val="24"/>
        </w:rPr>
        <w:t>their industrial applications.</w:t>
      </w:r>
    </w:p>
    <w:p w14:paraId="474A0F46"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4.5</w:t>
      </w:r>
      <w:r>
        <w:rPr>
          <w:rFonts w:ascii="Times New Roman" w:hAnsi="Times New Roman"/>
          <w:b/>
          <w:bCs/>
          <w:sz w:val="24"/>
          <w:szCs w:val="24"/>
        </w:rPr>
        <w:tab/>
        <w:t>Photograph</w:t>
      </w:r>
    </w:p>
    <w:p w14:paraId="7F38DAC0"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A digital camera was used to capture the mine pit, land degradation and overburden.</w:t>
      </w:r>
    </w:p>
    <w:p w14:paraId="432CEE49" w14:textId="77777777" w:rsidR="00E150AD" w:rsidRDefault="00AA1020">
      <w:pPr>
        <w:spacing w:after="0"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1FCEEE39" wp14:editId="6095B215">
            <wp:extent cx="2576223" cy="1932167"/>
            <wp:effectExtent l="0" t="0" r="0" b="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srcRect/>
                    <a:stretch/>
                  </pic:blipFill>
                  <pic:spPr>
                    <a:xfrm>
                      <a:off x="0" y="0"/>
                      <a:ext cx="2576223" cy="1932167"/>
                    </a:xfrm>
                    <a:prstGeom prst="rect">
                      <a:avLst/>
                    </a:prstGeom>
                    <a:ln>
                      <a:noFill/>
                    </a:ln>
                  </pic:spPr>
                </pic:pic>
              </a:graphicData>
            </a:graphic>
          </wp:inline>
        </w:drawing>
      </w:r>
      <w:r>
        <w:rPr>
          <w:rFonts w:ascii="Times New Roman" w:hAnsi="Times New Roman"/>
          <w:sz w:val="24"/>
          <w:szCs w:val="24"/>
        </w:rPr>
        <w:tab/>
      </w:r>
      <w:r>
        <w:rPr>
          <w:rFonts w:ascii="Times New Roman" w:hAnsi="Times New Roman"/>
          <w:noProof/>
          <w:lang w:eastAsia="en-US"/>
        </w:rPr>
        <w:drawing>
          <wp:inline distT="0" distB="0" distL="0" distR="0" wp14:anchorId="69DDC45D" wp14:editId="7BC323D6">
            <wp:extent cx="2576223" cy="1932167"/>
            <wp:effectExtent l="0" t="0" r="0"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1" cstate="print"/>
                    <a:srcRect/>
                    <a:stretch/>
                  </pic:blipFill>
                  <pic:spPr>
                    <a:xfrm>
                      <a:off x="0" y="0"/>
                      <a:ext cx="2576223" cy="1932167"/>
                    </a:xfrm>
                    <a:prstGeom prst="rect">
                      <a:avLst/>
                    </a:prstGeom>
                    <a:ln>
                      <a:noFill/>
                    </a:ln>
                  </pic:spPr>
                </pic:pic>
              </a:graphicData>
            </a:graphic>
          </wp:inline>
        </w:drawing>
      </w:r>
    </w:p>
    <w:p w14:paraId="2DBE4E26" w14:textId="77777777" w:rsidR="00E150AD" w:rsidRDefault="00AA1020">
      <w:pPr>
        <w:spacing w:after="0" w:line="480" w:lineRule="auto"/>
        <w:jc w:val="center"/>
        <w:rPr>
          <w:rFonts w:ascii="Times New Roman" w:hAnsi="Times New Roman"/>
        </w:rPr>
      </w:pPr>
      <w:r>
        <w:rPr>
          <w:rFonts w:ascii="Times New Roman" w:hAnsi="Times New Roman"/>
          <w:sz w:val="24"/>
          <w:szCs w:val="24"/>
        </w:rPr>
        <w:t>Figure 4.3: Clay Sample from the Study Area</w:t>
      </w:r>
    </w:p>
    <w:p w14:paraId="78C8C34B" w14:textId="77777777" w:rsidR="00E150AD" w:rsidRDefault="00AA1020">
      <w:pPr>
        <w:spacing w:after="0" w:line="480" w:lineRule="auto"/>
        <w:ind w:left="720"/>
        <w:jc w:val="both"/>
        <w:rPr>
          <w:rFonts w:ascii="Times New Roman" w:eastAsia="Times New Roman" w:hAnsi="Times New Roman"/>
          <w:sz w:val="24"/>
          <w:szCs w:val="24"/>
          <w:lang w:eastAsia="en-US"/>
        </w:rPr>
      </w:pPr>
      <w:r>
        <w:rPr>
          <w:rFonts w:ascii="Times New Roman" w:hAnsi="Times New Roman"/>
          <w:noProof/>
          <w:sz w:val="24"/>
          <w:szCs w:val="24"/>
          <w:lang w:eastAsia="en-US"/>
        </w:rPr>
        <w:lastRenderedPageBreak/>
        <w:drawing>
          <wp:inline distT="0" distB="0" distL="0" distR="0" wp14:anchorId="0842B2D8" wp14:editId="01D3C3BE">
            <wp:extent cx="2154803" cy="2873071"/>
            <wp:effectExtent l="0" t="0" r="0" b="3810"/>
            <wp:docPr id="10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2" cstate="print"/>
                    <a:srcRect/>
                    <a:stretch/>
                  </pic:blipFill>
                  <pic:spPr>
                    <a:xfrm>
                      <a:off x="0" y="0"/>
                      <a:ext cx="2154803" cy="2873071"/>
                    </a:xfrm>
                    <a:prstGeom prst="rect">
                      <a:avLst/>
                    </a:prstGeom>
                    <a:ln>
                      <a:noFill/>
                    </a:ln>
                  </pic:spPr>
                </pic:pic>
              </a:graphicData>
            </a:graphic>
          </wp:inline>
        </w:drawing>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t xml:space="preserve"> </w:t>
      </w:r>
      <w:r>
        <w:rPr>
          <w:rFonts w:ascii="Times New Roman" w:hAnsi="Times New Roman"/>
          <w:noProof/>
          <w:lang w:eastAsia="en-US"/>
        </w:rPr>
        <w:drawing>
          <wp:inline distT="0" distB="0" distL="0" distR="0" wp14:anchorId="3408F723" wp14:editId="56FDCC83">
            <wp:extent cx="2158475" cy="2877967"/>
            <wp:effectExtent l="0" t="0" r="0" b="0"/>
            <wp:docPr id="103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13" cstate="print"/>
                    <a:srcRect/>
                    <a:stretch/>
                  </pic:blipFill>
                  <pic:spPr>
                    <a:xfrm>
                      <a:off x="0" y="0"/>
                      <a:ext cx="2158475" cy="2877967"/>
                    </a:xfrm>
                    <a:prstGeom prst="rect">
                      <a:avLst/>
                    </a:prstGeom>
                    <a:ln>
                      <a:noFill/>
                    </a:ln>
                  </pic:spPr>
                </pic:pic>
              </a:graphicData>
            </a:graphic>
          </wp:inline>
        </w:drawing>
      </w:r>
    </w:p>
    <w:p w14:paraId="48F91CFD" w14:textId="77777777" w:rsidR="00E150AD" w:rsidRDefault="00AA1020">
      <w:pPr>
        <w:spacing w:after="0" w:line="480" w:lineRule="auto"/>
        <w:ind w:left="720"/>
        <w:jc w:val="both"/>
        <w:rPr>
          <w:rFonts w:ascii="Times New Roman" w:hAnsi="Times New Roman"/>
        </w:rPr>
      </w:pPr>
      <w:r>
        <w:rPr>
          <w:rFonts w:ascii="Times New Roman" w:eastAsia="Times New Roman" w:hAnsi="Times New Roman"/>
          <w:sz w:val="24"/>
          <w:szCs w:val="24"/>
          <w:lang w:eastAsia="en-US"/>
        </w:rPr>
        <w:t>Figure 4.4: Overburden</w:t>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r>
      <w:r>
        <w:rPr>
          <w:rFonts w:ascii="Times New Roman" w:eastAsia="Times New Roman" w:hAnsi="Times New Roman"/>
          <w:sz w:val="24"/>
          <w:szCs w:val="24"/>
          <w:lang w:eastAsia="en-US"/>
        </w:rPr>
        <w:tab/>
        <w:t>Figure 4.5: Land Degradation</w:t>
      </w:r>
    </w:p>
    <w:p w14:paraId="17DA02C9" w14:textId="77777777" w:rsidR="00E150AD" w:rsidRDefault="00E150AD">
      <w:pPr>
        <w:spacing w:after="0" w:line="480" w:lineRule="auto"/>
        <w:ind w:left="720"/>
        <w:jc w:val="both"/>
        <w:rPr>
          <w:rFonts w:ascii="Times New Roman" w:hAnsi="Times New Roman"/>
          <w:sz w:val="24"/>
          <w:szCs w:val="24"/>
        </w:rPr>
      </w:pPr>
    </w:p>
    <w:p w14:paraId="21A98993" w14:textId="77777777" w:rsidR="00E150AD" w:rsidRDefault="00AA1020">
      <w:pPr>
        <w:spacing w:after="0" w:line="480" w:lineRule="auto"/>
        <w:ind w:left="720"/>
        <w:jc w:val="center"/>
        <w:rPr>
          <w:rFonts w:ascii="Times New Roman" w:hAnsi="Times New Roman"/>
          <w:sz w:val="24"/>
          <w:szCs w:val="24"/>
        </w:rPr>
      </w:pPr>
      <w:r>
        <w:rPr>
          <w:rFonts w:ascii="Times New Roman" w:hAnsi="Times New Roman"/>
          <w:noProof/>
          <w:sz w:val="24"/>
          <w:szCs w:val="24"/>
          <w:lang w:eastAsia="en-US"/>
        </w:rPr>
        <w:drawing>
          <wp:inline distT="0" distB="0" distL="0" distR="0" wp14:anchorId="619BA36A" wp14:editId="2AD913F1">
            <wp:extent cx="3005593" cy="4007458"/>
            <wp:effectExtent l="0" t="0" r="4445" b="0"/>
            <wp:docPr id="10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14" cstate="print"/>
                    <a:srcRect/>
                    <a:stretch/>
                  </pic:blipFill>
                  <pic:spPr>
                    <a:xfrm>
                      <a:off x="0" y="0"/>
                      <a:ext cx="3005593" cy="4007458"/>
                    </a:xfrm>
                    <a:prstGeom prst="rect">
                      <a:avLst/>
                    </a:prstGeom>
                    <a:ln>
                      <a:noFill/>
                    </a:ln>
                  </pic:spPr>
                </pic:pic>
              </a:graphicData>
            </a:graphic>
          </wp:inline>
        </w:drawing>
      </w:r>
    </w:p>
    <w:p w14:paraId="000F9ADB" w14:textId="77777777" w:rsidR="00E150AD" w:rsidRDefault="00AA1020">
      <w:pPr>
        <w:spacing w:after="0" w:line="480" w:lineRule="auto"/>
        <w:ind w:left="720"/>
        <w:jc w:val="center"/>
        <w:rPr>
          <w:rFonts w:ascii="Times New Roman" w:hAnsi="Times New Roman"/>
          <w:sz w:val="24"/>
          <w:szCs w:val="24"/>
        </w:rPr>
      </w:pPr>
      <w:r>
        <w:rPr>
          <w:rFonts w:ascii="Times New Roman" w:hAnsi="Times New Roman"/>
          <w:sz w:val="24"/>
          <w:szCs w:val="24"/>
        </w:rPr>
        <w:t>Figure 4.6: Min</w:t>
      </w:r>
      <w:r>
        <w:rPr>
          <w:rFonts w:ascii="Times New Roman" w:hAnsi="Times New Roman"/>
          <w:sz w:val="24"/>
          <w:szCs w:val="24"/>
        </w:rPr>
        <w:t>e Pit</w:t>
      </w:r>
    </w:p>
    <w:p w14:paraId="71B47DDA" w14:textId="77777777" w:rsidR="00E150AD" w:rsidRDefault="00AA1020">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CHAPTER FIVE</w:t>
      </w:r>
    </w:p>
    <w:p w14:paraId="344CFA2D" w14:textId="77777777" w:rsidR="00E150AD" w:rsidRDefault="00AA1020">
      <w:pPr>
        <w:spacing w:after="0" w:line="480" w:lineRule="auto"/>
        <w:jc w:val="center"/>
        <w:rPr>
          <w:rFonts w:ascii="Times New Roman" w:hAnsi="Times New Roman"/>
          <w:b/>
          <w:bCs/>
          <w:sz w:val="24"/>
          <w:szCs w:val="24"/>
        </w:rPr>
      </w:pPr>
      <w:r>
        <w:rPr>
          <w:rFonts w:ascii="Times New Roman" w:hAnsi="Times New Roman"/>
          <w:b/>
          <w:bCs/>
          <w:sz w:val="24"/>
          <w:szCs w:val="24"/>
        </w:rPr>
        <w:t>CONCLUSION AND RECOMMENDATIONS</w:t>
      </w:r>
    </w:p>
    <w:p w14:paraId="082659B5" w14:textId="77777777" w:rsidR="00E150AD" w:rsidRDefault="00AA1020">
      <w:pPr>
        <w:spacing w:after="0" w:line="480" w:lineRule="auto"/>
        <w:jc w:val="both"/>
        <w:rPr>
          <w:rFonts w:ascii="Times New Roman" w:hAnsi="Times New Roman"/>
          <w:b/>
          <w:bCs/>
          <w:sz w:val="24"/>
          <w:szCs w:val="24"/>
        </w:rPr>
      </w:pPr>
      <w:r>
        <w:rPr>
          <w:rFonts w:ascii="Times New Roman" w:hAnsi="Times New Roman"/>
          <w:b/>
          <w:bCs/>
          <w:sz w:val="24"/>
          <w:szCs w:val="24"/>
        </w:rPr>
        <w:t xml:space="preserve">5.1 </w:t>
      </w:r>
      <w:r>
        <w:rPr>
          <w:rFonts w:ascii="Times New Roman" w:hAnsi="Times New Roman"/>
          <w:b/>
          <w:bCs/>
          <w:sz w:val="24"/>
          <w:szCs w:val="24"/>
        </w:rPr>
        <w:tab/>
        <w:t>Conclusion</w:t>
      </w:r>
    </w:p>
    <w:p w14:paraId="424C2190"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This study examined the geochemical and mineralogical compositions of Igbelowa clay deposit in Kwara State using X-ray Diffraction (XRD) and X-ray Fluorescence (XRF) techniques to determine </w:t>
      </w:r>
      <w:r>
        <w:rPr>
          <w:rFonts w:ascii="Times New Roman" w:hAnsi="Times New Roman"/>
          <w:sz w:val="24"/>
          <w:szCs w:val="24"/>
        </w:rPr>
        <w:t>its industrial potential.</w:t>
      </w:r>
    </w:p>
    <w:p w14:paraId="7DB05C9D"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XRD results revealed that:</w:t>
      </w:r>
    </w:p>
    <w:p w14:paraId="71DDE1ED"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A is dominated by phengite (41.1%), kaolinite (39.6%), and albite (19.3%), indicating a balanced clay suitable for refractory, tiles, and ceramic applications.</w:t>
      </w:r>
    </w:p>
    <w:p w14:paraId="68313AB4"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B is rich in albite (69.3</w:t>
      </w:r>
      <w:r>
        <w:rPr>
          <w:rFonts w:ascii="Times New Roman" w:hAnsi="Times New Roman"/>
          <w:sz w:val="24"/>
          <w:szCs w:val="24"/>
        </w:rPr>
        <w:t>%), followed by muscovite (23.8%) and kaolinite (6.9%), showing high fluxing potential and suitability for ceramics that require lower firing temperatures.</w:t>
      </w:r>
    </w:p>
    <w:p w14:paraId="43A6041A"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The XRF results further showed that:</w:t>
      </w:r>
    </w:p>
    <w:p w14:paraId="52F824D3"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Sample A has high Al₂O₃ (28.87%), Fe₂O₃ (9.49%), and TiO₂ </w:t>
      </w:r>
      <w:r>
        <w:rPr>
          <w:rFonts w:ascii="Times New Roman" w:hAnsi="Times New Roman"/>
          <w:sz w:val="24"/>
          <w:szCs w:val="24"/>
        </w:rPr>
        <w:t>(2.47%), which are beneficial for refractory and structural clay products.</w:t>
      </w:r>
    </w:p>
    <w:p w14:paraId="14A98227"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Sample B contains high SiO₂ (65.33%) and low Fe₂O₃ (2.73%), making it more suitable for ceramics with lighter color and high strength.</w:t>
      </w:r>
    </w:p>
    <w:p w14:paraId="45F2E14B"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Overall, both samples are industrially valuabl</w:t>
      </w:r>
      <w:r>
        <w:rPr>
          <w:rFonts w:ascii="Times New Roman" w:hAnsi="Times New Roman"/>
          <w:sz w:val="24"/>
          <w:szCs w:val="24"/>
        </w:rPr>
        <w:t>e. Sample A is better for high-temperature applications (bricks, tiles, and refractories), while Sample B is ideal for ceramics and blending purposes. Combining both samples would optimize their industrial performance by balancing alumina-rich refractorine</w:t>
      </w:r>
      <w:r>
        <w:rPr>
          <w:rFonts w:ascii="Times New Roman" w:hAnsi="Times New Roman"/>
          <w:sz w:val="24"/>
          <w:szCs w:val="24"/>
        </w:rPr>
        <w:t>ss with silica-driven strength.</w:t>
      </w:r>
    </w:p>
    <w:p w14:paraId="11B9CCE5" w14:textId="77777777" w:rsidR="00E150AD" w:rsidRDefault="00AA1020">
      <w:pPr>
        <w:spacing w:after="160" w:line="259" w:lineRule="auto"/>
        <w:rPr>
          <w:rFonts w:ascii="Times New Roman" w:hAnsi="Times New Roman"/>
          <w:b/>
          <w:bCs/>
          <w:sz w:val="24"/>
          <w:szCs w:val="24"/>
        </w:rPr>
      </w:pPr>
      <w:r>
        <w:rPr>
          <w:rFonts w:ascii="Times New Roman" w:hAnsi="Times New Roman"/>
          <w:b/>
          <w:bCs/>
          <w:sz w:val="24"/>
          <w:szCs w:val="24"/>
        </w:rPr>
        <w:br w:type="page"/>
      </w:r>
    </w:p>
    <w:p w14:paraId="1FF62E15" w14:textId="77777777" w:rsidR="00E150AD" w:rsidRDefault="00AA1020">
      <w:pPr>
        <w:spacing w:after="0" w:line="480" w:lineRule="auto"/>
        <w:jc w:val="both"/>
        <w:rPr>
          <w:rFonts w:ascii="Times New Roman" w:hAnsi="Times New Roman"/>
          <w:sz w:val="24"/>
          <w:szCs w:val="24"/>
        </w:rPr>
      </w:pPr>
      <w:r>
        <w:rPr>
          <w:rFonts w:ascii="Times New Roman" w:hAnsi="Times New Roman"/>
          <w:b/>
          <w:bCs/>
          <w:sz w:val="24"/>
          <w:szCs w:val="24"/>
        </w:rPr>
        <w:lastRenderedPageBreak/>
        <w:t xml:space="preserve">5.2 </w:t>
      </w:r>
      <w:r>
        <w:rPr>
          <w:rFonts w:ascii="Times New Roman" w:hAnsi="Times New Roman"/>
          <w:b/>
          <w:bCs/>
          <w:sz w:val="24"/>
          <w:szCs w:val="24"/>
        </w:rPr>
        <w:tab/>
        <w:t>Recommendations</w:t>
      </w:r>
    </w:p>
    <w:p w14:paraId="42529AA5"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To maximize the industrial potential of Igbelowa clay deposit, the following recommendations are made:</w:t>
      </w:r>
    </w:p>
    <w:p w14:paraId="76037C90"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1. Industrial Use:</w:t>
      </w:r>
    </w:p>
    <w:p w14:paraId="7ECE8B3B"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Utilize Sample A for refractory bricks, tiles, and structural products.</w:t>
      </w:r>
    </w:p>
    <w:p w14:paraId="54C05E6D"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Use Sam</w:t>
      </w:r>
      <w:r>
        <w:rPr>
          <w:rFonts w:ascii="Times New Roman" w:hAnsi="Times New Roman"/>
          <w:sz w:val="24"/>
          <w:szCs w:val="24"/>
        </w:rPr>
        <w:t>ple B for ceramics and other silica-rich applications.</w:t>
      </w:r>
    </w:p>
    <w:p w14:paraId="72F36F82"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2. Blending Strategy:</w:t>
      </w:r>
    </w:p>
    <w:p w14:paraId="0009CE5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Blend both samples in appropriate ratios to improve performance and reduce production costs.</w:t>
      </w:r>
    </w:p>
    <w:p w14:paraId="133E43EA"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3. Further Research:</w:t>
      </w:r>
    </w:p>
    <w:p w14:paraId="56C02D1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Conduct thermal analysis and trace element studies to further eva</w:t>
      </w:r>
      <w:r>
        <w:rPr>
          <w:rFonts w:ascii="Times New Roman" w:hAnsi="Times New Roman"/>
          <w:sz w:val="24"/>
          <w:szCs w:val="24"/>
        </w:rPr>
        <w:t>luate the firing behavior and safety of the clays.</w:t>
      </w:r>
    </w:p>
    <w:p w14:paraId="258EC4FC"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Investigate beneficiation methods to improve the purity and quality of the clay for specialized industrial uses.</w:t>
      </w:r>
    </w:p>
    <w:p w14:paraId="7127C1F3"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4. Environmental Management:</w:t>
      </w:r>
    </w:p>
    <w:p w14:paraId="1D486F48"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 xml:space="preserve">Adopt sustainable mining practices and reclamation programs to </w:t>
      </w:r>
      <w:r>
        <w:rPr>
          <w:rFonts w:ascii="Times New Roman" w:hAnsi="Times New Roman"/>
          <w:sz w:val="24"/>
          <w:szCs w:val="24"/>
        </w:rPr>
        <w:t>mitigate environmental impacts.</w:t>
      </w:r>
    </w:p>
    <w:p w14:paraId="7EE1D520"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5. Industrial Development:</w:t>
      </w:r>
    </w:p>
    <w:p w14:paraId="38BA20C4" w14:textId="77777777" w:rsidR="00E150AD" w:rsidRDefault="00AA1020">
      <w:pPr>
        <w:spacing w:after="0" w:line="480" w:lineRule="auto"/>
        <w:ind w:left="720"/>
        <w:jc w:val="both"/>
        <w:rPr>
          <w:rFonts w:ascii="Times New Roman" w:hAnsi="Times New Roman"/>
          <w:sz w:val="24"/>
          <w:szCs w:val="24"/>
        </w:rPr>
      </w:pPr>
      <w:r>
        <w:rPr>
          <w:rFonts w:ascii="Times New Roman" w:hAnsi="Times New Roman"/>
          <w:sz w:val="24"/>
          <w:szCs w:val="24"/>
        </w:rPr>
        <w:t>Encourage local industries and government to invest in clay processing facilities to promote the economic utilization of the Igbelowa clay deposit.</w:t>
      </w:r>
    </w:p>
    <w:p w14:paraId="5787C7A8" w14:textId="77777777" w:rsidR="00E150AD" w:rsidRDefault="00E150AD">
      <w:pPr>
        <w:jc w:val="both"/>
        <w:rPr>
          <w:rFonts w:ascii="Times New Roman" w:hAnsi="Times New Roman"/>
          <w:sz w:val="24"/>
          <w:szCs w:val="24"/>
        </w:rPr>
      </w:pPr>
    </w:p>
    <w:p w14:paraId="0F036AAD" w14:textId="77777777" w:rsidR="00E150AD" w:rsidRDefault="00AA1020">
      <w:pPr>
        <w:spacing w:after="160" w:line="259" w:lineRule="auto"/>
        <w:rPr>
          <w:rFonts w:ascii="Times New Roman" w:hAnsi="Times New Roman"/>
          <w:sz w:val="24"/>
          <w:szCs w:val="24"/>
        </w:rPr>
      </w:pPr>
      <w:r>
        <w:rPr>
          <w:rFonts w:ascii="Times New Roman" w:hAnsi="Times New Roman"/>
          <w:sz w:val="24"/>
          <w:szCs w:val="24"/>
        </w:rPr>
        <w:br w:type="page"/>
      </w:r>
    </w:p>
    <w:p w14:paraId="11201EE1" w14:textId="77777777" w:rsidR="00E150AD" w:rsidRDefault="00AA1020">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REFERENCES</w:t>
      </w:r>
    </w:p>
    <w:p w14:paraId="184D61C7"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Akinola, O. O., Adeyemi, G. O., &amp; O</w:t>
      </w:r>
      <w:r>
        <w:rPr>
          <w:rFonts w:ascii="Times New Roman" w:hAnsi="Times New Roman"/>
          <w:sz w:val="24"/>
          <w:szCs w:val="24"/>
        </w:rPr>
        <w:t>sibanjo, O. (2015). Characterization of Nigerian clay deposits</w:t>
      </w:r>
      <w:r>
        <w:rPr>
          <w:rFonts w:ascii="Times New Roman" w:hAnsi="Times New Roman"/>
          <w:sz w:val="24"/>
          <w:szCs w:val="24"/>
        </w:rPr>
        <w:tab/>
        <w:t>for industrial applications. Journal of Applied Geology, 7(2), 120–133.</w:t>
      </w:r>
    </w:p>
    <w:p w14:paraId="145906A3"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Ekosse, G. I. (2010). Clays and clay minerals: Geology, geochemistry, and industrial applications.</w:t>
      </w:r>
      <w:r>
        <w:rPr>
          <w:rFonts w:ascii="Times New Roman" w:hAnsi="Times New Roman"/>
          <w:sz w:val="24"/>
          <w:szCs w:val="24"/>
        </w:rPr>
        <w:tab/>
        <w:t>African Journal of Sci</w:t>
      </w:r>
      <w:r>
        <w:rPr>
          <w:rFonts w:ascii="Times New Roman" w:hAnsi="Times New Roman"/>
          <w:sz w:val="24"/>
          <w:szCs w:val="24"/>
        </w:rPr>
        <w:t>ence and Technology, 4(1), 35–47.</w:t>
      </w:r>
    </w:p>
    <w:p w14:paraId="2FCBD016"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Eze, I. O. (2013). Geotechnical properties of some Nigerian clays and their suitability for industrial</w:t>
      </w:r>
      <w:r>
        <w:rPr>
          <w:rFonts w:ascii="Times New Roman" w:hAnsi="Times New Roman"/>
          <w:sz w:val="24"/>
          <w:szCs w:val="24"/>
        </w:rPr>
        <w:tab/>
        <w:t>applications. Journal of Mining and Geology, 49(2), 85–97.</w:t>
      </w:r>
    </w:p>
    <w:p w14:paraId="03443365"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Grim, R. E. (1968). Clay mineralogy. New York: McGraw-Hill.</w:t>
      </w:r>
    </w:p>
    <w:p w14:paraId="0E320106"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Murray, H. H. (2007). Applied clay mineralogy. Amsterdam: Elsevier.</w:t>
      </w:r>
    </w:p>
    <w:p w14:paraId="2F5E0797" w14:textId="77777777" w:rsidR="00E150AD" w:rsidRDefault="00AA1020">
      <w:pPr>
        <w:spacing w:after="0" w:line="480" w:lineRule="auto"/>
        <w:jc w:val="both"/>
        <w:rPr>
          <w:rFonts w:ascii="Times New Roman" w:hAnsi="Times New Roman"/>
          <w:sz w:val="24"/>
          <w:szCs w:val="24"/>
        </w:rPr>
      </w:pPr>
      <w:r>
        <w:rPr>
          <w:rFonts w:ascii="Times New Roman" w:hAnsi="Times New Roman"/>
          <w:sz w:val="24"/>
          <w:szCs w:val="24"/>
        </w:rPr>
        <w:t>Murray, H. H. (2007). Applied clay mineralogy: Occurrences, processing, and applications of</w:t>
      </w:r>
      <w:r>
        <w:rPr>
          <w:rFonts w:ascii="Times New Roman" w:hAnsi="Times New Roman"/>
          <w:sz w:val="24"/>
          <w:szCs w:val="24"/>
        </w:rPr>
        <w:tab/>
        <w:t>kaolins, bentonites, and other clays. Amsterdam: Elsevier.</w:t>
      </w:r>
    </w:p>
    <w:p w14:paraId="7B38CBA6" w14:textId="77777777" w:rsidR="00306151" w:rsidRDefault="00AA1020" w:rsidP="00306151">
      <w:pPr>
        <w:spacing w:after="0" w:line="480" w:lineRule="auto"/>
        <w:jc w:val="both"/>
        <w:rPr>
          <w:rFonts w:ascii="Times New Roman" w:hAnsi="Times New Roman"/>
          <w:sz w:val="24"/>
          <w:szCs w:val="24"/>
        </w:rPr>
      </w:pPr>
      <w:r>
        <w:rPr>
          <w:rFonts w:ascii="Times New Roman" w:hAnsi="Times New Roman"/>
          <w:sz w:val="24"/>
          <w:szCs w:val="24"/>
        </w:rPr>
        <w:t>Tucker, M. E. (1991). Techniques in s</w:t>
      </w:r>
      <w:r>
        <w:rPr>
          <w:rFonts w:ascii="Times New Roman" w:hAnsi="Times New Roman"/>
          <w:sz w:val="24"/>
          <w:szCs w:val="24"/>
        </w:rPr>
        <w:t>edimentology. Oxford: Blackwell.</w:t>
      </w:r>
    </w:p>
    <w:p w14:paraId="4A13ED44" w14:textId="77777777" w:rsidR="00306151" w:rsidRDefault="00306151" w:rsidP="00306151">
      <w:pPr>
        <w:spacing w:after="0" w:line="480" w:lineRule="auto"/>
        <w:jc w:val="both"/>
        <w:rPr>
          <w:rFonts w:ascii="Times New Roman" w:hAnsi="Times New Roman"/>
          <w:sz w:val="24"/>
          <w:szCs w:val="24"/>
        </w:rPr>
      </w:pPr>
      <w:r w:rsidRPr="00586933">
        <w:rPr>
          <w:rFonts w:asciiTheme="majorBidi" w:eastAsiaTheme="minorEastAsia" w:hAnsiTheme="majorBidi" w:cstheme="majorBidi"/>
          <w:sz w:val="24"/>
          <w:szCs w:val="24"/>
        </w:rPr>
        <w:t>Abdelmalek, B., Boukhelkhal, A., &amp; Khelafi, H. (2017). Characterization and valorization of</w:t>
      </w:r>
      <w:r>
        <w:rPr>
          <w:rFonts w:asciiTheme="majorBidi" w:eastAsiaTheme="minorEastAsia" w:hAnsiTheme="majorBidi" w:cstheme="majorBidi"/>
          <w:sz w:val="24"/>
          <w:szCs w:val="24"/>
        </w:rPr>
        <w:tab/>
      </w:r>
      <w:r w:rsidRPr="00586933">
        <w:rPr>
          <w:rFonts w:asciiTheme="majorBidi" w:eastAsiaTheme="minorEastAsia" w:hAnsiTheme="majorBidi" w:cstheme="majorBidi"/>
          <w:sz w:val="24"/>
          <w:szCs w:val="24"/>
        </w:rPr>
        <w:t>Algerian clay for ceramic application. International Journal of Scientific Research and</w:t>
      </w:r>
      <w:r>
        <w:rPr>
          <w:rFonts w:asciiTheme="majorBidi" w:eastAsiaTheme="minorEastAsia" w:hAnsiTheme="majorBidi" w:cstheme="majorBidi"/>
          <w:sz w:val="24"/>
          <w:szCs w:val="24"/>
        </w:rPr>
        <w:tab/>
      </w:r>
      <w:r w:rsidRPr="00586933">
        <w:rPr>
          <w:rFonts w:asciiTheme="majorBidi" w:eastAsiaTheme="minorEastAsia" w:hAnsiTheme="majorBidi" w:cstheme="majorBidi"/>
          <w:sz w:val="24"/>
          <w:szCs w:val="24"/>
        </w:rPr>
        <w:t>Management (IJSRM), 5(3), 53–60.</w:t>
      </w:r>
    </w:p>
    <w:p w14:paraId="18487A01" w14:textId="77777777" w:rsidR="00306151" w:rsidRDefault="00306151" w:rsidP="00306151">
      <w:pPr>
        <w:spacing w:after="0" w:line="480" w:lineRule="auto"/>
        <w:jc w:val="both"/>
        <w:rPr>
          <w:rFonts w:ascii="Times New Roman" w:hAnsi="Times New Roman"/>
          <w:sz w:val="24"/>
          <w:szCs w:val="24"/>
        </w:rPr>
      </w:pPr>
      <w:r w:rsidRPr="00F02EB4">
        <w:rPr>
          <w:rFonts w:asciiTheme="majorBidi" w:eastAsiaTheme="minorEastAsia" w:hAnsiTheme="majorBidi" w:cstheme="majorBidi"/>
          <w:sz w:val="24"/>
          <w:szCs w:val="24"/>
        </w:rPr>
        <w:t>Abolarin, M. S., Oyetunji, A., &amp; Ause, T. (2004). Development of refractory bricks from locally</w:t>
      </w:r>
      <w:r>
        <w:rPr>
          <w:rFonts w:asciiTheme="majorBidi" w:eastAsiaTheme="minorEastAsia" w:hAnsiTheme="majorBidi" w:cstheme="majorBidi"/>
          <w:sz w:val="24"/>
          <w:szCs w:val="24"/>
        </w:rPr>
        <w:tab/>
      </w:r>
      <w:r w:rsidRPr="00F02EB4">
        <w:rPr>
          <w:rFonts w:asciiTheme="majorBidi" w:eastAsiaTheme="minorEastAsia" w:hAnsiTheme="majorBidi" w:cstheme="majorBidi"/>
          <w:sz w:val="24"/>
          <w:szCs w:val="24"/>
        </w:rPr>
        <w:t>available materials. Journal of Engineering and Applied Sciences, 3(4), 45–49.</w:t>
      </w:r>
    </w:p>
    <w:p w14:paraId="0AF6111A" w14:textId="77777777" w:rsidR="00306151" w:rsidRDefault="00306151" w:rsidP="00306151">
      <w:pPr>
        <w:spacing w:after="0" w:line="480" w:lineRule="auto"/>
        <w:jc w:val="both"/>
        <w:rPr>
          <w:rFonts w:ascii="Times New Roman" w:hAnsi="Times New Roman"/>
          <w:sz w:val="24"/>
          <w:szCs w:val="24"/>
        </w:rPr>
      </w:pPr>
      <w:r w:rsidRPr="0071593A">
        <w:rPr>
          <w:rFonts w:asciiTheme="majorBidi" w:eastAsiaTheme="minorEastAsia" w:hAnsiTheme="majorBidi" w:cstheme="majorBidi"/>
          <w:sz w:val="24"/>
          <w:szCs w:val="24"/>
        </w:rPr>
        <w:t>Adedeji, A. A., Ogunleye, O. O., &amp; Ajayi, O. (2025). Evaluation of selected clay deposits for paint</w:t>
      </w:r>
      <w:r>
        <w:rPr>
          <w:rFonts w:asciiTheme="majorBidi" w:eastAsiaTheme="minorEastAsia" w:hAnsiTheme="majorBidi" w:cstheme="majorBidi"/>
          <w:sz w:val="24"/>
          <w:szCs w:val="24"/>
        </w:rPr>
        <w:tab/>
      </w:r>
      <w:r w:rsidRPr="0071593A">
        <w:rPr>
          <w:rFonts w:asciiTheme="majorBidi" w:eastAsiaTheme="minorEastAsia" w:hAnsiTheme="majorBidi" w:cstheme="majorBidi"/>
          <w:sz w:val="24"/>
          <w:szCs w:val="24"/>
        </w:rPr>
        <w:t>and ceramic industries in Southwestern Nigeria. Journal of Applied Clay Science, 87(2),</w:t>
      </w:r>
      <w:r>
        <w:rPr>
          <w:rFonts w:asciiTheme="majorBidi" w:eastAsiaTheme="minorEastAsia" w:hAnsiTheme="majorBidi" w:cstheme="majorBidi"/>
          <w:sz w:val="24"/>
          <w:szCs w:val="24"/>
        </w:rPr>
        <w:tab/>
      </w:r>
      <w:r w:rsidRPr="0071593A">
        <w:rPr>
          <w:rFonts w:asciiTheme="majorBidi" w:eastAsiaTheme="minorEastAsia" w:hAnsiTheme="majorBidi" w:cstheme="majorBidi"/>
          <w:sz w:val="24"/>
          <w:szCs w:val="24"/>
        </w:rPr>
        <w:t>213–221.</w:t>
      </w:r>
    </w:p>
    <w:p w14:paraId="710B4EFA" w14:textId="77777777" w:rsidR="00306151" w:rsidRDefault="00306151" w:rsidP="00306151">
      <w:pPr>
        <w:spacing w:after="0" w:line="480" w:lineRule="auto"/>
        <w:jc w:val="both"/>
        <w:rPr>
          <w:rFonts w:ascii="Times New Roman" w:hAnsi="Times New Roman"/>
          <w:sz w:val="24"/>
          <w:szCs w:val="24"/>
        </w:rPr>
      </w:pPr>
      <w:r w:rsidRPr="00FC4F3E">
        <w:rPr>
          <w:rFonts w:asciiTheme="majorBidi" w:eastAsiaTheme="minorEastAsia" w:hAnsiTheme="majorBidi" w:cstheme="majorBidi"/>
          <w:sz w:val="24"/>
          <w:szCs w:val="24"/>
        </w:rPr>
        <w:t>Adnan, A. (2011). The industrial applicability of kaolinitic clay in ceramic and allied industries.</w:t>
      </w:r>
      <w:r>
        <w:rPr>
          <w:rFonts w:asciiTheme="majorBidi" w:eastAsiaTheme="minorEastAsia" w:hAnsiTheme="majorBidi" w:cstheme="majorBidi"/>
          <w:sz w:val="24"/>
          <w:szCs w:val="24"/>
        </w:rPr>
        <w:tab/>
      </w:r>
      <w:r w:rsidRPr="00FC4F3E">
        <w:rPr>
          <w:rFonts w:asciiTheme="majorBidi" w:eastAsiaTheme="minorEastAsia" w:hAnsiTheme="majorBidi" w:cstheme="majorBidi"/>
          <w:sz w:val="24"/>
          <w:szCs w:val="24"/>
        </w:rPr>
        <w:t>International Journal of Ceramic Engineering, 29(1), 22–29.</w:t>
      </w:r>
    </w:p>
    <w:p w14:paraId="1A767AD5" w14:textId="77777777" w:rsidR="00306151" w:rsidRDefault="00306151" w:rsidP="00306151">
      <w:pPr>
        <w:spacing w:after="0" w:line="480" w:lineRule="auto"/>
        <w:jc w:val="both"/>
        <w:rPr>
          <w:rFonts w:ascii="Times New Roman" w:hAnsi="Times New Roman"/>
          <w:sz w:val="24"/>
          <w:szCs w:val="24"/>
        </w:rPr>
      </w:pPr>
      <w:r w:rsidRPr="000200A0">
        <w:rPr>
          <w:rFonts w:asciiTheme="majorBidi" w:eastAsiaTheme="minorEastAsia" w:hAnsiTheme="majorBidi" w:cstheme="majorBidi"/>
          <w:sz w:val="24"/>
          <w:szCs w:val="24"/>
        </w:rPr>
        <w:lastRenderedPageBreak/>
        <w:t>Ahuwan, J. I. (2002). Fundamentals of clay mineralogy and industrial application. Nigerian</w:t>
      </w:r>
      <w:r>
        <w:rPr>
          <w:rFonts w:asciiTheme="majorBidi" w:eastAsiaTheme="minorEastAsia" w:hAnsiTheme="majorBidi" w:cstheme="majorBidi"/>
          <w:sz w:val="24"/>
          <w:szCs w:val="24"/>
        </w:rPr>
        <w:tab/>
      </w:r>
      <w:r w:rsidRPr="000200A0">
        <w:rPr>
          <w:rFonts w:asciiTheme="majorBidi" w:eastAsiaTheme="minorEastAsia" w:hAnsiTheme="majorBidi" w:cstheme="majorBidi"/>
          <w:sz w:val="24"/>
          <w:szCs w:val="24"/>
        </w:rPr>
        <w:t>Journal of Applied Sciences, 18(1), 15–19.</w:t>
      </w:r>
    </w:p>
    <w:p w14:paraId="6E071D00" w14:textId="77777777" w:rsidR="00306151" w:rsidRDefault="00306151" w:rsidP="00306151">
      <w:pPr>
        <w:spacing w:after="0" w:line="480" w:lineRule="auto"/>
        <w:jc w:val="both"/>
        <w:rPr>
          <w:rFonts w:ascii="Times New Roman" w:eastAsia="Times New Roman" w:hAnsi="Times New Roman"/>
          <w:color w:val="000000"/>
          <w:kern w:val="2"/>
          <w:sz w:val="24"/>
          <w:szCs w:val="24"/>
          <w:lang w:val="en" w:eastAsia="en"/>
          <w14:ligatures w14:val="standardContextual"/>
        </w:rPr>
      </w:pPr>
      <w:r w:rsidRPr="00310109">
        <w:rPr>
          <w:rFonts w:ascii="Times New Roman" w:eastAsia="Times New Roman" w:hAnsi="Times New Roman"/>
          <w:color w:val="000000"/>
          <w:kern w:val="2"/>
          <w:sz w:val="24"/>
          <w:szCs w:val="24"/>
          <w:lang w:val="en" w:eastAsia="en"/>
          <w14:ligatures w14:val="standardContextual"/>
        </w:rPr>
        <w:t>Alabi, A.A (2005) Exploration and Reserve of clay. A case study of kuttigi clay deposit of Bida</w:t>
      </w:r>
      <w:r>
        <w:rPr>
          <w:rFonts w:ascii="Times New Roman" w:eastAsia="Times New Roman" w:hAnsi="Times New Roman"/>
          <w:color w:val="000000"/>
          <w:kern w:val="2"/>
          <w:sz w:val="24"/>
          <w:szCs w:val="24"/>
          <w:lang w:val="en" w:eastAsia="en"/>
          <w14:ligatures w14:val="standardContextual"/>
        </w:rPr>
        <w:tab/>
      </w:r>
      <w:r w:rsidRPr="00310109">
        <w:rPr>
          <w:rFonts w:ascii="Times New Roman" w:eastAsia="Times New Roman" w:hAnsi="Times New Roman"/>
          <w:color w:val="000000"/>
          <w:kern w:val="2"/>
          <w:sz w:val="24"/>
          <w:szCs w:val="24"/>
          <w:lang w:val="en" w:eastAsia="en"/>
          <w14:ligatures w14:val="standardContextual"/>
        </w:rPr>
        <w:t>basin. Unpolished M.Tech, ThesisFederal University of Technology Minna, Nigeria.</w:t>
      </w:r>
    </w:p>
    <w:p w14:paraId="6F0C92E8" w14:textId="77777777" w:rsidR="00306151" w:rsidRDefault="00306151" w:rsidP="00306151">
      <w:pPr>
        <w:spacing w:after="0" w:line="480" w:lineRule="auto"/>
        <w:jc w:val="both"/>
        <w:rPr>
          <w:rFonts w:ascii="Times New Roman" w:hAnsi="Times New Roman"/>
          <w:sz w:val="24"/>
          <w:szCs w:val="24"/>
        </w:rPr>
      </w:pPr>
      <w:r w:rsidRPr="00310109">
        <w:rPr>
          <w:rFonts w:ascii="Times New Roman" w:eastAsia="Times New Roman" w:hAnsi="Times New Roman"/>
          <w:color w:val="000000"/>
          <w:kern w:val="2"/>
          <w:sz w:val="24"/>
          <w:szCs w:val="24"/>
          <w:lang w:val="en" w:eastAsia="en"/>
          <w14:ligatures w14:val="standardContextual"/>
        </w:rPr>
        <w:t>Amuda O.S and Majolagbe A.O (2015) Health benefit of clay. Journal of Environmental</w:t>
      </w:r>
      <w:r>
        <w:rPr>
          <w:rFonts w:ascii="Times New Roman" w:eastAsia="Times New Roman" w:hAnsi="Times New Roman"/>
          <w:color w:val="000000"/>
          <w:kern w:val="2"/>
          <w:sz w:val="24"/>
          <w:szCs w:val="24"/>
          <w:lang w:val="en" w:eastAsia="en"/>
          <w14:ligatures w14:val="standardContextual"/>
        </w:rPr>
        <w:tab/>
      </w:r>
      <w:r w:rsidRPr="00310109">
        <w:rPr>
          <w:rFonts w:ascii="Times New Roman" w:eastAsia="Times New Roman" w:hAnsi="Times New Roman"/>
          <w:color w:val="000000"/>
          <w:kern w:val="2"/>
          <w:sz w:val="24"/>
          <w:szCs w:val="24"/>
          <w:lang w:val="en" w:eastAsia="en"/>
          <w14:ligatures w14:val="standardContextual"/>
        </w:rPr>
        <w:t xml:space="preserve">Management 156, 72-80. </w:t>
      </w:r>
    </w:p>
    <w:p w14:paraId="31050ED9" w14:textId="77777777" w:rsidR="00306151" w:rsidRDefault="00306151" w:rsidP="00306151">
      <w:pPr>
        <w:spacing w:after="0" w:line="480" w:lineRule="auto"/>
        <w:jc w:val="both"/>
        <w:rPr>
          <w:rFonts w:ascii="Times New Roman" w:hAnsi="Times New Roman"/>
          <w:sz w:val="24"/>
          <w:szCs w:val="24"/>
        </w:rPr>
      </w:pPr>
      <w:r w:rsidRPr="00310109">
        <w:rPr>
          <w:rFonts w:ascii="Times New Roman" w:eastAsia="Times New Roman" w:hAnsi="Times New Roman"/>
          <w:color w:val="000000"/>
          <w:kern w:val="2"/>
          <w:sz w:val="24"/>
          <w:szCs w:val="24"/>
          <w:lang w:val="en" w:eastAsia="en"/>
          <w14:ligatures w14:val="standardContextual"/>
        </w:rPr>
        <w:t xml:space="preserve">Boylu F.(2011) Applied clay science 52(1-2), 101-108. </w:t>
      </w:r>
    </w:p>
    <w:p w14:paraId="1E197C6A" w14:textId="77777777" w:rsidR="00306151" w:rsidRDefault="00306151" w:rsidP="00306151">
      <w:pPr>
        <w:spacing w:after="0" w:line="480" w:lineRule="auto"/>
        <w:jc w:val="both"/>
        <w:rPr>
          <w:rFonts w:ascii="Times New Roman" w:hAnsi="Times New Roman"/>
          <w:sz w:val="24"/>
          <w:szCs w:val="24"/>
        </w:rPr>
      </w:pPr>
      <w:r w:rsidRPr="00310109">
        <w:rPr>
          <w:rFonts w:ascii="Times New Roman" w:eastAsia="Times New Roman" w:hAnsi="Times New Roman"/>
          <w:color w:val="000000"/>
          <w:kern w:val="2"/>
          <w:sz w:val="24"/>
          <w:szCs w:val="24"/>
          <w:lang w:val="en" w:eastAsia="en"/>
          <w14:ligatures w14:val="standardContextual"/>
        </w:rPr>
        <w:t>Braja M.D (2020)Soil Mechanics and Foundation CRC press.</w:t>
      </w:r>
    </w:p>
    <w:p w14:paraId="3F2684BE" w14:textId="77777777" w:rsidR="00306151" w:rsidRDefault="00306151" w:rsidP="00306151">
      <w:pPr>
        <w:spacing w:after="0" w:line="480" w:lineRule="auto"/>
        <w:jc w:val="both"/>
        <w:rPr>
          <w:rFonts w:ascii="Times New Roman" w:hAnsi="Times New Roman"/>
          <w:sz w:val="24"/>
          <w:szCs w:val="24"/>
        </w:rPr>
      </w:pPr>
      <w:r w:rsidRPr="00ED05F9">
        <w:rPr>
          <w:rFonts w:asciiTheme="majorBidi" w:eastAsiaTheme="minorEastAsia" w:hAnsiTheme="majorBidi" w:cstheme="majorBidi"/>
          <w:sz w:val="24"/>
          <w:szCs w:val="24"/>
        </w:rPr>
        <w:t>Elimbi, A., Tchakoute, H. K., &amp; Njopwouo, D. (2011). Use of clay materials in the production of</w:t>
      </w:r>
      <w:r>
        <w:rPr>
          <w:rFonts w:asciiTheme="majorBidi" w:eastAsiaTheme="minorEastAsia" w:hAnsiTheme="majorBidi" w:cstheme="majorBidi"/>
          <w:sz w:val="24"/>
          <w:szCs w:val="24"/>
        </w:rPr>
        <w:tab/>
      </w:r>
      <w:r w:rsidRPr="00ED05F9">
        <w:rPr>
          <w:rFonts w:asciiTheme="majorBidi" w:eastAsiaTheme="minorEastAsia" w:hAnsiTheme="majorBidi" w:cstheme="majorBidi"/>
          <w:sz w:val="24"/>
          <w:szCs w:val="24"/>
        </w:rPr>
        <w:t>geopolymer cements. Applied Clay Science, 54(1), 90–96.</w:t>
      </w:r>
    </w:p>
    <w:p w14:paraId="273484CF" w14:textId="77777777" w:rsidR="00306151" w:rsidRDefault="00306151" w:rsidP="00306151">
      <w:pPr>
        <w:spacing w:after="0" w:line="480" w:lineRule="auto"/>
        <w:jc w:val="both"/>
        <w:rPr>
          <w:rFonts w:ascii="Times New Roman" w:hAnsi="Times New Roman"/>
          <w:sz w:val="24"/>
          <w:szCs w:val="24"/>
        </w:rPr>
      </w:pPr>
      <w:r w:rsidRPr="00310109">
        <w:rPr>
          <w:rFonts w:ascii="Times New Roman" w:eastAsia="Times New Roman" w:hAnsi="Times New Roman"/>
          <w:color w:val="000000"/>
          <w:kern w:val="2"/>
          <w:sz w:val="24"/>
          <w:szCs w:val="24"/>
          <w:lang w:val="en" w:eastAsia="en"/>
          <w14:ligatures w14:val="standardContextual"/>
        </w:rPr>
        <w:t>Fakolujo O.A, Akinmesin A.I, and Olowoyo J.A.(2012) Characteristic of clay and application,</w:t>
      </w:r>
      <w:r>
        <w:rPr>
          <w:rFonts w:ascii="Times New Roman" w:eastAsia="Times New Roman" w:hAnsi="Times New Roman"/>
          <w:color w:val="000000"/>
          <w:kern w:val="2"/>
          <w:sz w:val="24"/>
          <w:szCs w:val="24"/>
          <w:lang w:val="en" w:eastAsia="en"/>
          <w14:ligatures w14:val="standardContextual"/>
        </w:rPr>
        <w:tab/>
      </w:r>
      <w:r w:rsidRPr="00310109">
        <w:rPr>
          <w:rFonts w:ascii="Times New Roman" w:eastAsia="Times New Roman" w:hAnsi="Times New Roman"/>
          <w:color w:val="000000"/>
          <w:kern w:val="2"/>
          <w:sz w:val="24"/>
          <w:szCs w:val="24"/>
          <w:lang w:val="en" w:eastAsia="en"/>
          <w14:ligatures w14:val="standardContextual"/>
        </w:rPr>
        <w:t xml:space="preserve">Materials science and Engineering. 82(4), 555-563. </w:t>
      </w:r>
    </w:p>
    <w:p w14:paraId="026E8CFA" w14:textId="77777777" w:rsidR="00306151" w:rsidRDefault="00306151" w:rsidP="00306151">
      <w:pPr>
        <w:spacing w:after="0" w:line="480" w:lineRule="auto"/>
        <w:jc w:val="both"/>
        <w:rPr>
          <w:rFonts w:ascii="Times New Roman" w:hAnsi="Times New Roman"/>
          <w:sz w:val="24"/>
          <w:szCs w:val="24"/>
        </w:rPr>
      </w:pPr>
      <w:r w:rsidRPr="004B39C2">
        <w:rPr>
          <w:rFonts w:asciiTheme="majorBidi" w:eastAsiaTheme="minorEastAsia" w:hAnsiTheme="majorBidi" w:cstheme="majorBidi"/>
          <w:sz w:val="24"/>
          <w:szCs w:val="24"/>
        </w:rPr>
        <w:t>Cengel, Y. A., &amp; Ghajar, A. J. (2015). Heat and mass transfer: Fundamentals and applications (5</w:t>
      </w:r>
      <w:r w:rsidRPr="00306151">
        <w:rPr>
          <w:rFonts w:asciiTheme="majorBidi" w:eastAsiaTheme="minorEastAsia" w:hAnsiTheme="majorBidi" w:cstheme="majorBidi"/>
          <w:sz w:val="24"/>
          <w:szCs w:val="24"/>
          <w:vertAlign w:val="superscript"/>
        </w:rPr>
        <w:t>th</w:t>
      </w:r>
      <w:r>
        <w:rPr>
          <w:rFonts w:asciiTheme="majorBidi" w:eastAsiaTheme="minorEastAsia" w:hAnsiTheme="majorBidi" w:cstheme="majorBidi"/>
          <w:sz w:val="24"/>
          <w:szCs w:val="24"/>
        </w:rPr>
        <w:tab/>
      </w:r>
      <w:r w:rsidRPr="004B39C2">
        <w:rPr>
          <w:rFonts w:asciiTheme="majorBidi" w:eastAsiaTheme="minorEastAsia" w:hAnsiTheme="majorBidi" w:cstheme="majorBidi"/>
          <w:sz w:val="24"/>
          <w:szCs w:val="24"/>
        </w:rPr>
        <w:t>ed.). McGraw-Hill Education.</w:t>
      </w:r>
    </w:p>
    <w:p w14:paraId="36A33DE8" w14:textId="77777777" w:rsidR="00306151" w:rsidRDefault="00306151" w:rsidP="00306151">
      <w:pPr>
        <w:spacing w:after="0" w:line="480" w:lineRule="auto"/>
        <w:jc w:val="both"/>
        <w:rPr>
          <w:rFonts w:ascii="Times New Roman" w:hAnsi="Times New Roman"/>
          <w:sz w:val="24"/>
          <w:szCs w:val="24"/>
        </w:rPr>
      </w:pPr>
      <w:r w:rsidRPr="00F25BBC">
        <w:rPr>
          <w:rFonts w:asciiTheme="majorBidi" w:eastAsiaTheme="minorEastAsia" w:hAnsiTheme="majorBidi" w:cstheme="majorBidi"/>
          <w:sz w:val="24"/>
          <w:szCs w:val="24"/>
        </w:rPr>
        <w:t>Job, C. A. (2017). Thermal properties of clays and their industrial applications. Journal of Thermal</w:t>
      </w:r>
      <w:r>
        <w:rPr>
          <w:rFonts w:asciiTheme="majorBidi" w:eastAsiaTheme="minorEastAsia" w:hAnsiTheme="majorBidi" w:cstheme="majorBidi"/>
          <w:sz w:val="24"/>
          <w:szCs w:val="24"/>
        </w:rPr>
        <w:tab/>
      </w:r>
      <w:r w:rsidRPr="00F25BBC">
        <w:rPr>
          <w:rFonts w:asciiTheme="majorBidi" w:eastAsiaTheme="minorEastAsia" w:hAnsiTheme="majorBidi" w:cstheme="majorBidi"/>
          <w:sz w:val="24"/>
          <w:szCs w:val="24"/>
        </w:rPr>
        <w:t>Analysis and Calorimetry, 129(3), 1373–1380.</w:t>
      </w:r>
    </w:p>
    <w:p w14:paraId="73F24D0C" w14:textId="77777777" w:rsidR="00306151" w:rsidRDefault="00306151" w:rsidP="00306151">
      <w:pPr>
        <w:spacing w:after="0" w:line="480" w:lineRule="auto"/>
        <w:jc w:val="both"/>
        <w:rPr>
          <w:rFonts w:ascii="Times New Roman" w:hAnsi="Times New Roman"/>
          <w:sz w:val="24"/>
          <w:szCs w:val="24"/>
        </w:rPr>
      </w:pPr>
      <w:r w:rsidRPr="00310109">
        <w:rPr>
          <w:rFonts w:ascii="Times New Roman" w:eastAsia="Times New Roman" w:hAnsi="Times New Roman"/>
          <w:color w:val="000000"/>
          <w:kern w:val="2"/>
          <w:sz w:val="24"/>
          <w:szCs w:val="24"/>
          <w:lang w:val="en" w:eastAsia="en"/>
          <w14:ligatures w14:val="standardContextual"/>
        </w:rPr>
        <w:t>Neeraj S, and Chandra M. (2012) properties of clay and it’s application. Applied clay science. 206,</w:t>
      </w:r>
      <w:r>
        <w:rPr>
          <w:rFonts w:ascii="Times New Roman" w:eastAsia="Times New Roman" w:hAnsi="Times New Roman"/>
          <w:color w:val="000000"/>
          <w:kern w:val="2"/>
          <w:sz w:val="24"/>
          <w:szCs w:val="24"/>
          <w:lang w:val="en" w:eastAsia="en"/>
          <w14:ligatures w14:val="standardContextual"/>
        </w:rPr>
        <w:tab/>
      </w:r>
      <w:r w:rsidRPr="00310109">
        <w:rPr>
          <w:rFonts w:ascii="Times New Roman" w:eastAsia="Times New Roman" w:hAnsi="Times New Roman"/>
          <w:color w:val="000000"/>
          <w:kern w:val="2"/>
          <w:sz w:val="24"/>
          <w:szCs w:val="24"/>
          <w:lang w:val="en" w:eastAsia="en"/>
          <w14:ligatures w14:val="standardContextual"/>
        </w:rPr>
        <w:t xml:space="preserve">106085. </w:t>
      </w:r>
    </w:p>
    <w:p w14:paraId="3683704F" w14:textId="77777777" w:rsidR="00306151" w:rsidRDefault="00306151" w:rsidP="00306151">
      <w:pPr>
        <w:spacing w:after="0" w:line="480" w:lineRule="auto"/>
        <w:jc w:val="both"/>
        <w:rPr>
          <w:rFonts w:ascii="Times New Roman" w:eastAsia="Times New Roman" w:hAnsi="Times New Roman"/>
          <w:color w:val="000000"/>
          <w:kern w:val="2"/>
          <w:sz w:val="24"/>
          <w:szCs w:val="24"/>
          <w:lang w:val="en" w:eastAsia="en"/>
          <w14:ligatures w14:val="standardContextual"/>
        </w:rPr>
      </w:pPr>
      <w:r w:rsidRPr="00310109">
        <w:rPr>
          <w:rFonts w:ascii="Times New Roman" w:eastAsia="Times New Roman" w:hAnsi="Times New Roman"/>
          <w:color w:val="000000"/>
          <w:kern w:val="2"/>
          <w:sz w:val="24"/>
          <w:szCs w:val="24"/>
          <w:lang w:val="en" w:eastAsia="en"/>
          <w14:ligatures w14:val="standardContextual"/>
        </w:rPr>
        <w:t>Nwoye I. (2020). Assessment of clay deposit in Nigeria African journal of earth science 158,</w:t>
      </w:r>
      <w:r>
        <w:rPr>
          <w:rFonts w:ascii="Times New Roman" w:eastAsia="Times New Roman" w:hAnsi="Times New Roman"/>
          <w:color w:val="000000"/>
          <w:kern w:val="2"/>
          <w:sz w:val="24"/>
          <w:szCs w:val="24"/>
          <w:lang w:val="en" w:eastAsia="en"/>
          <w14:ligatures w14:val="standardContextual"/>
        </w:rPr>
        <w:tab/>
      </w:r>
      <w:r w:rsidRPr="00310109">
        <w:rPr>
          <w:rFonts w:ascii="Times New Roman" w:eastAsia="Times New Roman" w:hAnsi="Times New Roman"/>
          <w:color w:val="000000"/>
          <w:kern w:val="2"/>
          <w:sz w:val="24"/>
          <w:szCs w:val="24"/>
          <w:lang w:val="en" w:eastAsia="en"/>
          <w14:ligatures w14:val="standardContextual"/>
        </w:rPr>
        <w:t>103743.</w:t>
      </w:r>
    </w:p>
    <w:p w14:paraId="0D722A34" w14:textId="77777777" w:rsidR="00306151" w:rsidRDefault="00306151" w:rsidP="00306151">
      <w:pPr>
        <w:spacing w:after="0" w:line="480" w:lineRule="auto"/>
        <w:jc w:val="both"/>
        <w:rPr>
          <w:rFonts w:ascii="Times New Roman" w:hAnsi="Times New Roman"/>
          <w:sz w:val="24"/>
          <w:szCs w:val="24"/>
        </w:rPr>
      </w:pPr>
      <w:r w:rsidRPr="00EB07B0">
        <w:rPr>
          <w:rFonts w:asciiTheme="majorBidi" w:eastAsiaTheme="minorEastAsia" w:hAnsiTheme="majorBidi" w:cstheme="majorBidi"/>
          <w:sz w:val="24"/>
          <w:szCs w:val="24"/>
        </w:rPr>
        <w:t>Obi, M. (1995). Mineralogy of Nigerian soils and their industrial implications. Journal of African</w:t>
      </w:r>
      <w:r>
        <w:rPr>
          <w:rFonts w:asciiTheme="majorBidi" w:eastAsiaTheme="minorEastAsia" w:hAnsiTheme="majorBidi" w:cstheme="majorBidi"/>
          <w:sz w:val="24"/>
          <w:szCs w:val="24"/>
        </w:rPr>
        <w:tab/>
      </w:r>
      <w:r w:rsidRPr="00EB07B0">
        <w:rPr>
          <w:rFonts w:asciiTheme="majorBidi" w:eastAsiaTheme="minorEastAsia" w:hAnsiTheme="majorBidi" w:cstheme="majorBidi"/>
          <w:sz w:val="24"/>
          <w:szCs w:val="24"/>
        </w:rPr>
        <w:t>Earth Sciences, 10(2), 83–89.</w:t>
      </w:r>
    </w:p>
    <w:p w14:paraId="7D6109CC" w14:textId="77777777" w:rsidR="00916566" w:rsidRDefault="00306151">
      <w:pPr>
        <w:spacing w:after="0" w:line="480" w:lineRule="auto"/>
        <w:jc w:val="both"/>
        <w:rPr>
          <w:rFonts w:ascii="Times New Roman" w:eastAsia="Times New Roman" w:hAnsi="Times New Roman"/>
          <w:color w:val="000000"/>
          <w:kern w:val="2"/>
          <w:sz w:val="24"/>
          <w:szCs w:val="24"/>
          <w:lang w:val="en" w:eastAsia="en"/>
          <w14:ligatures w14:val="standardContextual"/>
        </w:rPr>
      </w:pPr>
      <w:r w:rsidRPr="00310109">
        <w:rPr>
          <w:rFonts w:ascii="Times New Roman" w:eastAsia="Times New Roman" w:hAnsi="Times New Roman"/>
          <w:color w:val="000000"/>
          <w:kern w:val="2"/>
          <w:sz w:val="24"/>
          <w:szCs w:val="24"/>
          <w:lang w:val="en" w:eastAsia="en"/>
          <w14:ligatures w14:val="standardContextual"/>
        </w:rPr>
        <w:t>Omowumi A.B (2012) Clay mineralogy properties and uses. Journal of mineralogy 45(1) 114.</w:t>
      </w:r>
    </w:p>
    <w:p w14:paraId="300B2977" w14:textId="2050ED7C" w:rsidR="00916566" w:rsidRDefault="00916566">
      <w:pPr>
        <w:spacing w:after="0" w:line="480" w:lineRule="auto"/>
        <w:jc w:val="both"/>
        <w:rPr>
          <w:rFonts w:ascii="Times New Roman" w:hAnsi="Times New Roman"/>
          <w:sz w:val="24"/>
          <w:szCs w:val="24"/>
        </w:rPr>
      </w:pPr>
      <w:r w:rsidRPr="00916566">
        <w:rPr>
          <w:rFonts w:ascii="Times New Roman" w:hAnsi="Times New Roman"/>
          <w:sz w:val="24"/>
          <w:szCs w:val="24"/>
        </w:rPr>
        <w:lastRenderedPageBreak/>
        <w:t>Adewole, M. T., Alabi, A. A., &amp; Salawu, M. O. (2019). Mineralogical and chemical analysis of</w:t>
      </w:r>
      <w:r>
        <w:rPr>
          <w:rFonts w:ascii="Times New Roman" w:hAnsi="Times New Roman"/>
          <w:sz w:val="24"/>
          <w:szCs w:val="24"/>
        </w:rPr>
        <w:tab/>
      </w:r>
      <w:r w:rsidRPr="00916566">
        <w:rPr>
          <w:rFonts w:ascii="Times New Roman" w:hAnsi="Times New Roman"/>
          <w:sz w:val="24"/>
          <w:szCs w:val="24"/>
        </w:rPr>
        <w:t>selected clay deposits in Kwara State. Journal of Earth Sciences, Kwara State Polytechnic,</w:t>
      </w:r>
      <w:r>
        <w:rPr>
          <w:rFonts w:ascii="Times New Roman" w:hAnsi="Times New Roman"/>
          <w:sz w:val="24"/>
          <w:szCs w:val="24"/>
        </w:rPr>
        <w:tab/>
      </w:r>
      <w:r w:rsidRPr="00916566">
        <w:rPr>
          <w:rFonts w:ascii="Times New Roman" w:hAnsi="Times New Roman"/>
          <w:sz w:val="24"/>
          <w:szCs w:val="24"/>
        </w:rPr>
        <w:t>6(2), 42–50.</w:t>
      </w:r>
    </w:p>
    <w:p w14:paraId="5EA80E75" w14:textId="77777777" w:rsidR="00916566" w:rsidRDefault="00916566">
      <w:pPr>
        <w:spacing w:after="0" w:line="480" w:lineRule="auto"/>
        <w:jc w:val="both"/>
        <w:rPr>
          <w:rFonts w:ascii="Times New Roman" w:hAnsi="Times New Roman"/>
          <w:sz w:val="24"/>
          <w:szCs w:val="24"/>
        </w:rPr>
      </w:pPr>
      <w:r w:rsidRPr="00916566">
        <w:rPr>
          <w:rFonts w:ascii="Times New Roman" w:hAnsi="Times New Roman"/>
          <w:sz w:val="24"/>
          <w:szCs w:val="24"/>
        </w:rPr>
        <w:t>Bello, A. G., &amp; Ahmed, S. M. (2020). Geochemical evaluation of Asa clay for ceramic suitability.</w:t>
      </w:r>
      <w:r>
        <w:rPr>
          <w:rFonts w:ascii="Times New Roman" w:hAnsi="Times New Roman"/>
          <w:sz w:val="24"/>
          <w:szCs w:val="24"/>
        </w:rPr>
        <w:tab/>
      </w:r>
      <w:r w:rsidRPr="00916566">
        <w:rPr>
          <w:rFonts w:ascii="Times New Roman" w:hAnsi="Times New Roman"/>
          <w:sz w:val="24"/>
          <w:szCs w:val="24"/>
        </w:rPr>
        <w:t>Applied Geosciences Journal, Kwara State Polytechnic, 7(1), 22–29.</w:t>
      </w:r>
    </w:p>
    <w:p w14:paraId="090AE110" w14:textId="77777777" w:rsidR="00916566" w:rsidRDefault="00916566">
      <w:pPr>
        <w:spacing w:after="0" w:line="480" w:lineRule="auto"/>
        <w:jc w:val="both"/>
        <w:rPr>
          <w:rFonts w:ascii="Times New Roman" w:hAnsi="Times New Roman"/>
          <w:sz w:val="24"/>
          <w:szCs w:val="24"/>
        </w:rPr>
      </w:pPr>
      <w:r w:rsidRPr="00916566">
        <w:rPr>
          <w:rFonts w:ascii="Times New Roman" w:hAnsi="Times New Roman"/>
          <w:sz w:val="24"/>
          <w:szCs w:val="24"/>
        </w:rPr>
        <w:t>Ogunyemi, O. J. (2017). Utilization of local raw materials for industrial development in Nigeria:</w:t>
      </w:r>
      <w:r>
        <w:rPr>
          <w:rFonts w:ascii="Times New Roman" w:hAnsi="Times New Roman"/>
          <w:sz w:val="24"/>
          <w:szCs w:val="24"/>
        </w:rPr>
        <w:tab/>
      </w:r>
      <w:r w:rsidRPr="00916566">
        <w:rPr>
          <w:rFonts w:ascii="Times New Roman" w:hAnsi="Times New Roman"/>
          <w:sz w:val="24"/>
          <w:szCs w:val="24"/>
        </w:rPr>
        <w:t>A case study of Ilorin clay. Kwara Polytechnic Research Series, 4(3), 15–23.</w:t>
      </w:r>
    </w:p>
    <w:p w14:paraId="414FA60B" w14:textId="77777777" w:rsidR="00916566" w:rsidRDefault="00916566">
      <w:pPr>
        <w:spacing w:after="0" w:line="480" w:lineRule="auto"/>
        <w:jc w:val="both"/>
        <w:rPr>
          <w:rFonts w:ascii="Times New Roman" w:hAnsi="Times New Roman"/>
          <w:sz w:val="24"/>
          <w:szCs w:val="24"/>
        </w:rPr>
      </w:pPr>
      <w:r w:rsidRPr="00916566">
        <w:rPr>
          <w:rFonts w:ascii="Times New Roman" w:hAnsi="Times New Roman"/>
          <w:sz w:val="24"/>
          <w:szCs w:val="24"/>
        </w:rPr>
        <w:t>Salami, L. A., &amp; Kehinde, S. B. (2016). Potentials of clay resources in selected local governments</w:t>
      </w:r>
      <w:r>
        <w:rPr>
          <w:rFonts w:ascii="Times New Roman" w:hAnsi="Times New Roman"/>
          <w:sz w:val="24"/>
          <w:szCs w:val="24"/>
        </w:rPr>
        <w:tab/>
      </w:r>
      <w:r w:rsidRPr="00916566">
        <w:rPr>
          <w:rFonts w:ascii="Times New Roman" w:hAnsi="Times New Roman"/>
          <w:sz w:val="24"/>
          <w:szCs w:val="24"/>
        </w:rPr>
        <w:t>of Kwara State. Journal of Environmental Earth Science, 3(1), 30–38.</w:t>
      </w:r>
    </w:p>
    <w:p w14:paraId="4379A01B" w14:textId="77777777" w:rsidR="00916566" w:rsidRDefault="00916566">
      <w:pPr>
        <w:spacing w:after="0" w:line="480" w:lineRule="auto"/>
        <w:jc w:val="both"/>
        <w:rPr>
          <w:rFonts w:ascii="Times New Roman" w:hAnsi="Times New Roman"/>
          <w:sz w:val="24"/>
          <w:szCs w:val="24"/>
        </w:rPr>
      </w:pPr>
      <w:r w:rsidRPr="00916566">
        <w:rPr>
          <w:rFonts w:ascii="Times New Roman" w:hAnsi="Times New Roman"/>
          <w:sz w:val="24"/>
          <w:szCs w:val="24"/>
        </w:rPr>
        <w:t>Salawu, M. O., &amp; Adebayo, T. O. (2021). Trace element analysis of clay samples in Moro LGA</w:t>
      </w:r>
      <w:r>
        <w:rPr>
          <w:rFonts w:ascii="Times New Roman" w:hAnsi="Times New Roman"/>
          <w:sz w:val="24"/>
          <w:szCs w:val="24"/>
        </w:rPr>
        <w:tab/>
      </w:r>
      <w:r w:rsidRPr="00916566">
        <w:rPr>
          <w:rFonts w:ascii="Times New Roman" w:hAnsi="Times New Roman"/>
          <w:sz w:val="24"/>
          <w:szCs w:val="24"/>
        </w:rPr>
        <w:t>of Kwara State. Earth Materials Journal, Kwara State Polytechnic, 8(1), 10–19.</w:t>
      </w:r>
    </w:p>
    <w:p w14:paraId="62057801" w14:textId="77777777" w:rsidR="00916566" w:rsidRDefault="00916566">
      <w:pPr>
        <w:spacing w:after="0" w:line="480" w:lineRule="auto"/>
        <w:jc w:val="both"/>
        <w:rPr>
          <w:rFonts w:ascii="Times New Roman" w:hAnsi="Times New Roman"/>
          <w:sz w:val="24"/>
          <w:szCs w:val="24"/>
        </w:rPr>
      </w:pPr>
      <w:r w:rsidRPr="00916566">
        <w:rPr>
          <w:rFonts w:ascii="Times New Roman" w:hAnsi="Times New Roman"/>
          <w:sz w:val="24"/>
          <w:szCs w:val="24"/>
        </w:rPr>
        <w:t>Yusuf, M. A., &amp; Afolayan, R. I. (2018). Comparative analysis of Asa and Oyun clays for industrial</w:t>
      </w:r>
      <w:r>
        <w:rPr>
          <w:rFonts w:ascii="Times New Roman" w:hAnsi="Times New Roman"/>
          <w:sz w:val="24"/>
          <w:szCs w:val="24"/>
        </w:rPr>
        <w:tab/>
      </w:r>
      <w:r w:rsidRPr="00916566">
        <w:rPr>
          <w:rFonts w:ascii="Times New Roman" w:hAnsi="Times New Roman"/>
          <w:sz w:val="24"/>
          <w:szCs w:val="24"/>
        </w:rPr>
        <w:t>application. Journal of Geosciences and Mineral Resources, 5(4), 12–20.</w:t>
      </w:r>
    </w:p>
    <w:p w14:paraId="083EE6F5" w14:textId="77777777" w:rsidR="00916566" w:rsidRDefault="00916566">
      <w:pPr>
        <w:spacing w:after="0" w:line="480" w:lineRule="auto"/>
        <w:jc w:val="both"/>
        <w:rPr>
          <w:rFonts w:ascii="Times New Roman" w:hAnsi="Times New Roman"/>
          <w:sz w:val="24"/>
          <w:szCs w:val="24"/>
        </w:rPr>
      </w:pPr>
      <w:r w:rsidRPr="00916566">
        <w:rPr>
          <w:rFonts w:ascii="Times New Roman" w:hAnsi="Times New Roman"/>
          <w:sz w:val="24"/>
          <w:szCs w:val="24"/>
        </w:rPr>
        <w:t>Ige, R. A., &amp; Olanrewaju, M. A. (2015). Engineering properties and industrial significance of</w:t>
      </w:r>
      <w:r>
        <w:rPr>
          <w:rFonts w:ascii="Times New Roman" w:hAnsi="Times New Roman"/>
          <w:sz w:val="24"/>
          <w:szCs w:val="24"/>
        </w:rPr>
        <w:tab/>
      </w:r>
      <w:r w:rsidRPr="00916566">
        <w:rPr>
          <w:rFonts w:ascii="Times New Roman" w:hAnsi="Times New Roman"/>
          <w:sz w:val="24"/>
          <w:szCs w:val="24"/>
        </w:rPr>
        <w:t>selected clays in Ilorin East. Kwara State Polytechnic Journal of Engineering, 2(1), 19–28.</w:t>
      </w:r>
    </w:p>
    <w:p w14:paraId="45C86591" w14:textId="5566D3B3" w:rsidR="00306151" w:rsidRDefault="00916566">
      <w:pPr>
        <w:spacing w:after="0" w:line="480" w:lineRule="auto"/>
        <w:jc w:val="both"/>
        <w:rPr>
          <w:rFonts w:ascii="Times New Roman" w:hAnsi="Times New Roman"/>
          <w:sz w:val="24"/>
          <w:szCs w:val="24"/>
        </w:rPr>
      </w:pPr>
      <w:r w:rsidRPr="00916566">
        <w:rPr>
          <w:rFonts w:ascii="Times New Roman" w:hAnsi="Times New Roman"/>
          <w:sz w:val="24"/>
          <w:szCs w:val="24"/>
        </w:rPr>
        <w:t>Babatunde, A. M., &amp; Lawal, A. K. (2018). Physical and chemical properties of clay deposits in</w:t>
      </w:r>
      <w:r>
        <w:rPr>
          <w:rFonts w:ascii="Times New Roman" w:hAnsi="Times New Roman"/>
          <w:sz w:val="24"/>
          <w:szCs w:val="24"/>
        </w:rPr>
        <w:tab/>
      </w:r>
      <w:r w:rsidRPr="00916566">
        <w:rPr>
          <w:rFonts w:ascii="Times New Roman" w:hAnsi="Times New Roman"/>
          <w:sz w:val="24"/>
          <w:szCs w:val="24"/>
        </w:rPr>
        <w:t>Ifelodun and Irepodun LGAs of Kwara State. KwaraPoly Scientific Review, 6(3), 45–56.</w:t>
      </w:r>
    </w:p>
    <w:p w14:paraId="78649786" w14:textId="77777777" w:rsidR="00306151" w:rsidRDefault="00306151">
      <w:pPr>
        <w:jc w:val="center"/>
        <w:rPr>
          <w:rFonts w:ascii="Times New Roman" w:hAnsi="Times New Roman"/>
          <w:sz w:val="24"/>
          <w:szCs w:val="24"/>
        </w:rPr>
      </w:pPr>
    </w:p>
    <w:p w14:paraId="5227C847" w14:textId="77777777" w:rsidR="00306151" w:rsidRDefault="00306151">
      <w:pPr>
        <w:jc w:val="center"/>
        <w:rPr>
          <w:rFonts w:ascii="Times New Roman" w:hAnsi="Times New Roman"/>
          <w:sz w:val="24"/>
          <w:szCs w:val="24"/>
        </w:rPr>
      </w:pPr>
    </w:p>
    <w:p w14:paraId="0B0ABC64" w14:textId="77777777" w:rsidR="00306151" w:rsidRDefault="00306151">
      <w:pPr>
        <w:jc w:val="center"/>
        <w:rPr>
          <w:rFonts w:ascii="Times New Roman" w:hAnsi="Times New Roman"/>
          <w:sz w:val="24"/>
          <w:szCs w:val="24"/>
        </w:rPr>
      </w:pPr>
    </w:p>
    <w:p w14:paraId="6F4ADE87" w14:textId="77777777" w:rsidR="00306151" w:rsidRDefault="00306151">
      <w:pPr>
        <w:jc w:val="center"/>
        <w:rPr>
          <w:rFonts w:ascii="Times New Roman" w:hAnsi="Times New Roman"/>
          <w:sz w:val="24"/>
          <w:szCs w:val="24"/>
        </w:rPr>
      </w:pPr>
    </w:p>
    <w:p w14:paraId="2C45FA55" w14:textId="77777777" w:rsidR="00306151" w:rsidRDefault="00306151">
      <w:pPr>
        <w:jc w:val="center"/>
        <w:rPr>
          <w:rFonts w:ascii="Times New Roman" w:hAnsi="Times New Roman"/>
          <w:sz w:val="24"/>
          <w:szCs w:val="24"/>
        </w:rPr>
      </w:pPr>
    </w:p>
    <w:p w14:paraId="2DC5FFDC" w14:textId="77777777" w:rsidR="00306151" w:rsidRDefault="00306151">
      <w:pPr>
        <w:jc w:val="center"/>
        <w:rPr>
          <w:rFonts w:ascii="Times New Roman" w:hAnsi="Times New Roman"/>
          <w:sz w:val="24"/>
          <w:szCs w:val="24"/>
        </w:rPr>
      </w:pPr>
    </w:p>
    <w:p w14:paraId="2473A6B3" w14:textId="77777777" w:rsidR="00306151" w:rsidRDefault="00306151">
      <w:pPr>
        <w:jc w:val="center"/>
        <w:rPr>
          <w:rFonts w:ascii="Times New Roman" w:hAnsi="Times New Roman"/>
          <w:sz w:val="24"/>
          <w:szCs w:val="24"/>
        </w:rPr>
      </w:pPr>
    </w:p>
    <w:p w14:paraId="3BC521B7" w14:textId="71D25B0E" w:rsidR="00E150AD" w:rsidRDefault="00AA1020">
      <w:pPr>
        <w:jc w:val="center"/>
        <w:rPr>
          <w:rFonts w:ascii="Tahoma" w:hAnsi="Tahoma" w:cs="Tahoma"/>
          <w:b/>
          <w:bCs/>
          <w:sz w:val="20"/>
          <w:szCs w:val="20"/>
          <w:u w:val="single"/>
        </w:rPr>
      </w:pPr>
      <w:r>
        <w:rPr>
          <w:rFonts w:ascii="Times New Roman" w:hAnsi="Times New Roman"/>
          <w:b/>
          <w:bCs/>
          <w:sz w:val="24"/>
          <w:szCs w:val="24"/>
        </w:rPr>
        <w:lastRenderedPageBreak/>
        <w:t>APPENDIX</w:t>
      </w:r>
    </w:p>
    <w:p w14:paraId="14AB4BA4" w14:textId="77777777" w:rsidR="00E150AD" w:rsidRDefault="00AA1020">
      <w:pPr>
        <w:widowControl w:val="0"/>
        <w:tabs>
          <w:tab w:val="left" w:pos="3000"/>
        </w:tabs>
        <w:autoSpaceDE w:val="0"/>
        <w:autoSpaceDN w:val="0"/>
        <w:adjustRightInd w:val="0"/>
        <w:spacing w:after="0" w:line="360" w:lineRule="auto"/>
        <w:rPr>
          <w:rFonts w:ascii="Tahoma" w:hAnsi="Tahoma" w:cs="Tahoma"/>
          <w:b/>
          <w:bCs/>
          <w:sz w:val="20"/>
          <w:szCs w:val="20"/>
          <w:u w:val="single"/>
        </w:rPr>
      </w:pPr>
      <w:r>
        <w:rPr>
          <w:rFonts w:ascii="Tahoma" w:hAnsi="Tahoma" w:cs="Tahoma"/>
          <w:b/>
          <w:bCs/>
          <w:sz w:val="20"/>
          <w:szCs w:val="20"/>
          <w:u w:val="single"/>
        </w:rPr>
        <w:t>Anchor Scan Parameters</w:t>
      </w:r>
    </w:p>
    <w:p w14:paraId="0A81841C"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Dataset Name:</w:t>
      </w:r>
      <w:r>
        <w:rPr>
          <w:rFonts w:ascii="Tahoma" w:hAnsi="Tahoma" w:cs="Tahoma"/>
          <w:sz w:val="16"/>
          <w:szCs w:val="16"/>
        </w:rPr>
        <w:tab/>
        <w:t>A1</w:t>
      </w:r>
    </w:p>
    <w:p w14:paraId="25B5DC1F"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File name:</w:t>
      </w:r>
      <w:r>
        <w:rPr>
          <w:rFonts w:ascii="Tahoma" w:hAnsi="Tahoma" w:cs="Tahoma"/>
          <w:sz w:val="16"/>
          <w:szCs w:val="16"/>
        </w:rPr>
        <w:tab/>
        <w:t>C:\Users\USER\Downloads\THE 5 SAMPLES XRD (</w:t>
      </w:r>
      <w:r>
        <w:rPr>
          <w:rFonts w:ascii="Tahoma" w:hAnsi="Tahoma" w:cs="Tahoma"/>
          <w:sz w:val="16"/>
          <w:szCs w:val="16"/>
        </w:rPr>
        <w:t>1)\THE 5 SAMPLES XRD\A1.ASC</w:t>
      </w:r>
    </w:p>
    <w:p w14:paraId="4CCA62B5"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Raw Data Origin:</w:t>
      </w:r>
      <w:r>
        <w:rPr>
          <w:rFonts w:ascii="Tahoma" w:hAnsi="Tahoma" w:cs="Tahoma"/>
          <w:sz w:val="16"/>
          <w:szCs w:val="16"/>
        </w:rPr>
        <w:tab/>
        <w:t>ASCII-2Theta-Intensity (.ASC)</w:t>
      </w:r>
    </w:p>
    <w:p w14:paraId="0B39A49B"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Scan Axis:</w:t>
      </w:r>
      <w:r>
        <w:rPr>
          <w:rFonts w:ascii="Tahoma" w:hAnsi="Tahoma" w:cs="Tahoma"/>
          <w:sz w:val="16"/>
          <w:szCs w:val="16"/>
        </w:rPr>
        <w:tab/>
        <w:t>Gonio</w:t>
      </w:r>
    </w:p>
    <w:p w14:paraId="3D6C8289"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Start Position [°2Th.]:</w:t>
      </w:r>
      <w:r>
        <w:rPr>
          <w:rFonts w:ascii="Tahoma" w:hAnsi="Tahoma" w:cs="Tahoma"/>
          <w:sz w:val="16"/>
          <w:szCs w:val="16"/>
        </w:rPr>
        <w:tab/>
        <w:t>3.0000</w:t>
      </w:r>
    </w:p>
    <w:p w14:paraId="06D88C67"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End Position [°2Th.]:</w:t>
      </w:r>
      <w:r>
        <w:rPr>
          <w:rFonts w:ascii="Tahoma" w:hAnsi="Tahoma" w:cs="Tahoma"/>
          <w:sz w:val="16"/>
          <w:szCs w:val="16"/>
        </w:rPr>
        <w:tab/>
        <w:t>69.9900</w:t>
      </w:r>
    </w:p>
    <w:p w14:paraId="3C8EFB99"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Step Size [°2Th.]:</w:t>
      </w:r>
      <w:r>
        <w:rPr>
          <w:rFonts w:ascii="Tahoma" w:hAnsi="Tahoma" w:cs="Tahoma"/>
          <w:sz w:val="16"/>
          <w:szCs w:val="16"/>
        </w:rPr>
        <w:tab/>
        <w:t>0.0300</w:t>
      </w:r>
    </w:p>
    <w:p w14:paraId="5456EE8D"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Scan Step Time [s]:</w:t>
      </w:r>
      <w:r>
        <w:rPr>
          <w:rFonts w:ascii="Tahoma" w:hAnsi="Tahoma" w:cs="Tahoma"/>
          <w:sz w:val="16"/>
          <w:szCs w:val="16"/>
        </w:rPr>
        <w:tab/>
        <w:t>1.0000</w:t>
      </w:r>
    </w:p>
    <w:p w14:paraId="260A8C7D"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Scan Type:</w:t>
      </w:r>
      <w:r>
        <w:rPr>
          <w:rFonts w:ascii="Tahoma" w:hAnsi="Tahoma" w:cs="Tahoma"/>
          <w:sz w:val="16"/>
          <w:szCs w:val="16"/>
        </w:rPr>
        <w:tab/>
        <w:t>Pre-set time</w:t>
      </w:r>
    </w:p>
    <w:p w14:paraId="7DBC5526"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Offset [°2Th.]:</w:t>
      </w:r>
      <w:r>
        <w:rPr>
          <w:rFonts w:ascii="Tahoma" w:hAnsi="Tahoma" w:cs="Tahoma"/>
          <w:sz w:val="16"/>
          <w:szCs w:val="16"/>
        </w:rPr>
        <w:tab/>
        <w:t>0.0000</w:t>
      </w:r>
    </w:p>
    <w:p w14:paraId="3D1B866B"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Div</w:t>
      </w:r>
      <w:r>
        <w:rPr>
          <w:rFonts w:ascii="Tahoma" w:hAnsi="Tahoma" w:cs="Tahoma"/>
          <w:sz w:val="16"/>
          <w:szCs w:val="16"/>
        </w:rPr>
        <w:t>ergence Slit Type:</w:t>
      </w:r>
      <w:r>
        <w:rPr>
          <w:rFonts w:ascii="Tahoma" w:hAnsi="Tahoma" w:cs="Tahoma"/>
          <w:sz w:val="16"/>
          <w:szCs w:val="16"/>
        </w:rPr>
        <w:tab/>
        <w:t>Fixed</w:t>
      </w:r>
    </w:p>
    <w:p w14:paraId="64009B33"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Divergence Slit Size [°]:</w:t>
      </w:r>
      <w:r>
        <w:rPr>
          <w:rFonts w:ascii="Tahoma" w:hAnsi="Tahoma" w:cs="Tahoma"/>
          <w:sz w:val="16"/>
          <w:szCs w:val="16"/>
        </w:rPr>
        <w:tab/>
        <w:t>1.0000</w:t>
      </w:r>
    </w:p>
    <w:p w14:paraId="064ED5B0"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Specimen Length [mm]:</w:t>
      </w:r>
      <w:r>
        <w:rPr>
          <w:rFonts w:ascii="Tahoma" w:hAnsi="Tahoma" w:cs="Tahoma"/>
          <w:sz w:val="16"/>
          <w:szCs w:val="16"/>
        </w:rPr>
        <w:tab/>
        <w:t>10.00</w:t>
      </w:r>
    </w:p>
    <w:p w14:paraId="19687278"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Receiving Slit Size [mm]:</w:t>
      </w:r>
      <w:r>
        <w:rPr>
          <w:rFonts w:ascii="Tahoma" w:hAnsi="Tahoma" w:cs="Tahoma"/>
          <w:sz w:val="16"/>
          <w:szCs w:val="16"/>
        </w:rPr>
        <w:tab/>
        <w:t>0.1000</w:t>
      </w:r>
    </w:p>
    <w:p w14:paraId="56FC1B8B"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Measurement Temperature [°C]:</w:t>
      </w:r>
      <w:r>
        <w:rPr>
          <w:rFonts w:ascii="Tahoma" w:hAnsi="Tahoma" w:cs="Tahoma"/>
          <w:sz w:val="16"/>
          <w:szCs w:val="16"/>
        </w:rPr>
        <w:tab/>
        <w:t>25.00</w:t>
      </w:r>
    </w:p>
    <w:p w14:paraId="20B974F2"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Anode Material:</w:t>
      </w:r>
      <w:r>
        <w:rPr>
          <w:rFonts w:ascii="Tahoma" w:hAnsi="Tahoma" w:cs="Tahoma"/>
          <w:sz w:val="16"/>
          <w:szCs w:val="16"/>
        </w:rPr>
        <w:tab/>
        <w:t>Cu</w:t>
      </w:r>
    </w:p>
    <w:p w14:paraId="05C82C67"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K-Alpha1 [Å]:</w:t>
      </w:r>
      <w:r>
        <w:rPr>
          <w:rFonts w:ascii="Tahoma" w:hAnsi="Tahoma" w:cs="Tahoma"/>
          <w:sz w:val="16"/>
          <w:szCs w:val="16"/>
        </w:rPr>
        <w:tab/>
        <w:t>1.54060</w:t>
      </w:r>
    </w:p>
    <w:p w14:paraId="6B5C1FA4"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K-Alpha2 [Å]:</w:t>
      </w:r>
      <w:r>
        <w:rPr>
          <w:rFonts w:ascii="Tahoma" w:hAnsi="Tahoma" w:cs="Tahoma"/>
          <w:sz w:val="16"/>
          <w:szCs w:val="16"/>
        </w:rPr>
        <w:tab/>
        <w:t>1.54443</w:t>
      </w:r>
    </w:p>
    <w:p w14:paraId="4836C792"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K-Beta [Å]:</w:t>
      </w:r>
      <w:r>
        <w:rPr>
          <w:rFonts w:ascii="Tahoma" w:hAnsi="Tahoma" w:cs="Tahoma"/>
          <w:sz w:val="16"/>
          <w:szCs w:val="16"/>
        </w:rPr>
        <w:tab/>
        <w:t>1.39225</w:t>
      </w:r>
    </w:p>
    <w:p w14:paraId="78930294"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K-A2 / K-A1 Ratio:</w:t>
      </w:r>
      <w:r>
        <w:rPr>
          <w:rFonts w:ascii="Tahoma" w:hAnsi="Tahoma" w:cs="Tahoma"/>
          <w:sz w:val="16"/>
          <w:szCs w:val="16"/>
        </w:rPr>
        <w:tab/>
        <w:t>0.50000</w:t>
      </w:r>
    </w:p>
    <w:p w14:paraId="3AD6E01A"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Generator Settings:</w:t>
      </w:r>
      <w:r>
        <w:rPr>
          <w:rFonts w:ascii="Tahoma" w:hAnsi="Tahoma" w:cs="Tahoma"/>
          <w:sz w:val="16"/>
          <w:szCs w:val="16"/>
        </w:rPr>
        <w:tab/>
        <w:t>0 mA, 0 kV</w:t>
      </w:r>
    </w:p>
    <w:p w14:paraId="6060147E"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Diffractometer Number:</w:t>
      </w:r>
      <w:r>
        <w:rPr>
          <w:rFonts w:ascii="Tahoma" w:hAnsi="Tahoma" w:cs="Tahoma"/>
          <w:sz w:val="16"/>
          <w:szCs w:val="16"/>
        </w:rPr>
        <w:tab/>
        <w:t>0</w:t>
      </w:r>
    </w:p>
    <w:p w14:paraId="60FF17D0"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Goniometer Radius [mm]:</w:t>
      </w:r>
      <w:r>
        <w:rPr>
          <w:rFonts w:ascii="Tahoma" w:hAnsi="Tahoma" w:cs="Tahoma"/>
          <w:sz w:val="16"/>
          <w:szCs w:val="16"/>
        </w:rPr>
        <w:tab/>
        <w:t>240.00</w:t>
      </w:r>
    </w:p>
    <w:p w14:paraId="354171F0"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Dist. Focus-Diverg. Slit [mm]:</w:t>
      </w:r>
      <w:r>
        <w:rPr>
          <w:rFonts w:ascii="Tahoma" w:hAnsi="Tahoma" w:cs="Tahoma"/>
          <w:sz w:val="16"/>
          <w:szCs w:val="16"/>
        </w:rPr>
        <w:tab/>
        <w:t>91.00</w:t>
      </w:r>
    </w:p>
    <w:p w14:paraId="2ABCC2D4"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Incident Beam Monochromator:</w:t>
      </w:r>
      <w:r>
        <w:rPr>
          <w:rFonts w:ascii="Tahoma" w:hAnsi="Tahoma" w:cs="Tahoma"/>
          <w:sz w:val="16"/>
          <w:szCs w:val="16"/>
        </w:rPr>
        <w:tab/>
        <w:t>No</w:t>
      </w:r>
    </w:p>
    <w:p w14:paraId="268B1329" w14:textId="77777777" w:rsidR="00E150AD" w:rsidRDefault="00AA1020">
      <w:pPr>
        <w:widowControl w:val="0"/>
        <w:tabs>
          <w:tab w:val="left" w:pos="3000"/>
        </w:tabs>
        <w:autoSpaceDE w:val="0"/>
        <w:autoSpaceDN w:val="0"/>
        <w:adjustRightInd w:val="0"/>
        <w:spacing w:after="0" w:line="360" w:lineRule="auto"/>
        <w:ind w:left="3000" w:hanging="3000"/>
        <w:rPr>
          <w:rFonts w:ascii="Tahoma" w:hAnsi="Tahoma" w:cs="Tahoma"/>
          <w:sz w:val="16"/>
          <w:szCs w:val="16"/>
        </w:rPr>
      </w:pPr>
      <w:r>
        <w:rPr>
          <w:rFonts w:ascii="Tahoma" w:hAnsi="Tahoma" w:cs="Tahoma"/>
          <w:sz w:val="16"/>
          <w:szCs w:val="16"/>
        </w:rPr>
        <w:t>Spinning:</w:t>
      </w:r>
      <w:r>
        <w:rPr>
          <w:rFonts w:ascii="Tahoma" w:hAnsi="Tahoma" w:cs="Tahoma"/>
          <w:sz w:val="16"/>
          <w:szCs w:val="16"/>
        </w:rPr>
        <w:tab/>
        <w:t>No</w:t>
      </w:r>
    </w:p>
    <w:p w14:paraId="406AE50F" w14:textId="77777777" w:rsidR="00E150AD" w:rsidRDefault="00AA1020">
      <w:pPr>
        <w:spacing w:after="160" w:line="259" w:lineRule="auto"/>
        <w:rPr>
          <w:rFonts w:ascii="Tahoma" w:hAnsi="Tahoma" w:cs="Tahoma"/>
          <w:b/>
          <w:bCs/>
          <w:sz w:val="20"/>
          <w:szCs w:val="20"/>
          <w:u w:val="single"/>
        </w:rPr>
      </w:pPr>
      <w:r>
        <w:rPr>
          <w:rFonts w:ascii="Tahoma" w:hAnsi="Tahoma" w:cs="Tahoma"/>
          <w:b/>
          <w:bCs/>
          <w:sz w:val="20"/>
          <w:szCs w:val="20"/>
          <w:u w:val="single"/>
        </w:rPr>
        <w:br w:type="page"/>
      </w:r>
    </w:p>
    <w:p w14:paraId="5FE25022" w14:textId="77777777" w:rsidR="00E150AD" w:rsidRDefault="00AA1020">
      <w:pPr>
        <w:widowControl w:val="0"/>
        <w:tabs>
          <w:tab w:val="left" w:pos="3000"/>
        </w:tabs>
        <w:autoSpaceDE w:val="0"/>
        <w:autoSpaceDN w:val="0"/>
        <w:adjustRightInd w:val="0"/>
        <w:spacing w:after="0" w:line="360" w:lineRule="auto"/>
        <w:rPr>
          <w:rFonts w:ascii="Tahoma" w:hAnsi="Tahoma" w:cs="Tahoma"/>
          <w:b/>
          <w:bCs/>
          <w:sz w:val="20"/>
          <w:szCs w:val="20"/>
          <w:u w:val="single"/>
        </w:rPr>
      </w:pPr>
      <w:r>
        <w:rPr>
          <w:rFonts w:ascii="Tahoma" w:hAnsi="Tahoma" w:cs="Tahoma"/>
          <w:b/>
          <w:bCs/>
          <w:sz w:val="20"/>
          <w:szCs w:val="20"/>
          <w:u w:val="single"/>
        </w:rPr>
        <w:lastRenderedPageBreak/>
        <w:t>Graphics</w:t>
      </w:r>
    </w:p>
    <w:p w14:paraId="08290079" w14:textId="77777777" w:rsidR="00E150AD" w:rsidRDefault="00AA1020">
      <w:pPr>
        <w:widowControl w:val="0"/>
        <w:tabs>
          <w:tab w:val="left" w:pos="3000"/>
        </w:tabs>
        <w:autoSpaceDE w:val="0"/>
        <w:autoSpaceDN w:val="0"/>
        <w:adjustRightInd w:val="0"/>
        <w:spacing w:after="0" w:line="360" w:lineRule="auto"/>
        <w:rPr>
          <w:rFonts w:ascii="Tahoma" w:hAnsi="Tahoma" w:cs="Tahoma"/>
          <w:sz w:val="16"/>
          <w:szCs w:val="16"/>
        </w:rPr>
      </w:pPr>
      <w:r>
        <w:rPr>
          <w:rFonts w:ascii="Tahoma" w:hAnsi="Tahoma" w:cs="Tahoma"/>
          <w:sz w:val="16"/>
          <w:szCs w:val="16"/>
        </w:rPr>
        <w:t xml:space="preserve">     </w:t>
      </w:r>
      <w:r>
        <w:rPr>
          <w:rFonts w:ascii="Tahoma" w:hAnsi="Tahoma" w:cs="Tahoma"/>
          <w:noProof/>
          <w:sz w:val="16"/>
          <w:szCs w:val="16"/>
          <w:lang w:eastAsia="en-US"/>
        </w:rPr>
        <w:drawing>
          <wp:inline distT="0" distB="0" distL="0" distR="0" wp14:anchorId="64DED6BF" wp14:editId="53E14131">
            <wp:extent cx="4512420" cy="3312357"/>
            <wp:effectExtent l="0" t="0" r="2540" b="254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5" cstate="print"/>
                    <a:srcRect/>
                    <a:stretch/>
                  </pic:blipFill>
                  <pic:spPr>
                    <a:xfrm>
                      <a:off x="0" y="0"/>
                      <a:ext cx="4512420" cy="3312357"/>
                    </a:xfrm>
                    <a:prstGeom prst="rect">
                      <a:avLst/>
                    </a:prstGeom>
                    <a:ln>
                      <a:noFill/>
                    </a:ln>
                  </pic:spPr>
                </pic:pic>
              </a:graphicData>
            </a:graphic>
          </wp:inline>
        </w:drawing>
      </w:r>
    </w:p>
    <w:p w14:paraId="2803C673" w14:textId="77777777" w:rsidR="00E150AD" w:rsidRDefault="00E150AD">
      <w:pPr>
        <w:widowControl w:val="0"/>
        <w:tabs>
          <w:tab w:val="left" w:pos="3000"/>
        </w:tabs>
        <w:autoSpaceDE w:val="0"/>
        <w:autoSpaceDN w:val="0"/>
        <w:adjustRightInd w:val="0"/>
        <w:spacing w:after="0" w:line="360" w:lineRule="auto"/>
        <w:rPr>
          <w:rFonts w:ascii="Tahoma" w:hAnsi="Tahoma" w:cs="Tahoma"/>
          <w:sz w:val="16"/>
          <w:szCs w:val="16"/>
        </w:rPr>
      </w:pPr>
    </w:p>
    <w:p w14:paraId="33E0EEDD" w14:textId="77777777" w:rsidR="00E150AD" w:rsidRDefault="00AA1020">
      <w:pPr>
        <w:widowControl w:val="0"/>
        <w:tabs>
          <w:tab w:val="left" w:pos="3000"/>
        </w:tabs>
        <w:autoSpaceDE w:val="0"/>
        <w:autoSpaceDN w:val="0"/>
        <w:adjustRightInd w:val="0"/>
        <w:spacing w:after="0" w:line="360" w:lineRule="auto"/>
        <w:rPr>
          <w:rFonts w:ascii="Tahoma" w:hAnsi="Tahoma" w:cs="Tahoma"/>
          <w:b/>
          <w:bCs/>
          <w:sz w:val="20"/>
          <w:szCs w:val="20"/>
          <w:u w:val="single"/>
        </w:rPr>
      </w:pPr>
      <w:r>
        <w:rPr>
          <w:rFonts w:ascii="Tahoma" w:hAnsi="Tahoma" w:cs="Tahoma"/>
          <w:b/>
          <w:bCs/>
          <w:sz w:val="20"/>
          <w:szCs w:val="20"/>
          <w:u w:val="single"/>
        </w:rPr>
        <w:t>Peak List</w:t>
      </w:r>
    </w:p>
    <w:p w14:paraId="573859E4" w14:textId="77777777" w:rsidR="00E150AD" w:rsidRDefault="00E150AD">
      <w:pPr>
        <w:widowControl w:val="0"/>
        <w:tabs>
          <w:tab w:val="left" w:pos="3000"/>
        </w:tabs>
        <w:autoSpaceDE w:val="0"/>
        <w:autoSpaceDN w:val="0"/>
        <w:adjustRightInd w:val="0"/>
        <w:spacing w:after="0" w:line="360" w:lineRule="auto"/>
        <w:rPr>
          <w:rFonts w:ascii="Tahoma" w:hAnsi="Tahoma" w:cs="Tahoma"/>
          <w:sz w:val="16"/>
          <w:szCs w:val="16"/>
        </w:rPr>
      </w:pPr>
    </w:p>
    <w:p w14:paraId="27DD7637"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u w:val="single"/>
        </w:rPr>
      </w:pPr>
      <w:r>
        <w:rPr>
          <w:rFonts w:ascii="Courier New" w:hAnsi="Courier New" w:cs="Courier New"/>
          <w:sz w:val="20"/>
          <w:szCs w:val="20"/>
          <w:u w:val="single"/>
        </w:rPr>
        <w:t xml:space="preserve">Pos.[°2Th.]  Height [cts]  FWHMLeft[°2Th.]  </w:t>
      </w:r>
      <w:r>
        <w:rPr>
          <w:rFonts w:ascii="Courier New" w:hAnsi="Courier New" w:cs="Courier New"/>
          <w:sz w:val="20"/>
          <w:szCs w:val="20"/>
          <w:u w:val="single"/>
        </w:rPr>
        <w:t>d-spacing [Å]  Rel. Int. [%]</w:t>
      </w:r>
    </w:p>
    <w:p w14:paraId="760CF584"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3.4634          5.21           0.9446       25.51137           0.11  </w:t>
      </w:r>
    </w:p>
    <w:p w14:paraId="6A33CB7A"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8.1935        635.21           0.1476       10.79130          13.42  </w:t>
      </w:r>
    </w:p>
    <w:p w14:paraId="6011F158"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9.0497       4733.78           0.1181        9.77208         100.00  </w:t>
      </w:r>
    </w:p>
    <w:p w14:paraId="2B6497A2"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11.3217        216.38           0.3542        7.81568           4.57  </w:t>
      </w:r>
    </w:p>
    <w:p w14:paraId="4D19F373"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12.6090       1606.49           0.1476        7.02047          33.94  </w:t>
      </w:r>
    </w:p>
    <w:p w14:paraId="779D5532"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16.2176        254.30           0.1771        5.46556           5.37  </w:t>
      </w:r>
    </w:p>
    <w:p w14:paraId="69DA57DF"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17.9624       2277.40      </w:t>
      </w:r>
      <w:r>
        <w:rPr>
          <w:rFonts w:ascii="Courier New" w:hAnsi="Courier New" w:cs="Courier New"/>
          <w:sz w:val="20"/>
          <w:szCs w:val="20"/>
        </w:rPr>
        <w:t xml:space="preserve">     0.1181        4.93840          48.11  </w:t>
      </w:r>
    </w:p>
    <w:p w14:paraId="7869F7D3"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20.0851        653.30           0.1771        4.42102          13.80  </w:t>
      </w:r>
    </w:p>
    <w:p w14:paraId="1455567C"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20.5593        701.20           0.1771        4.32011          14.81  </w:t>
      </w:r>
    </w:p>
    <w:p w14:paraId="28E39E34"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21.5773        578.28           0.5904        4.11855     </w:t>
      </w:r>
      <w:r>
        <w:rPr>
          <w:rFonts w:ascii="Courier New" w:hAnsi="Courier New" w:cs="Courier New"/>
          <w:sz w:val="20"/>
          <w:szCs w:val="20"/>
        </w:rPr>
        <w:t xml:space="preserve">     12.22  </w:t>
      </w:r>
    </w:p>
    <w:p w14:paraId="3F38EB7C"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24.3624        627.83           0.1476        3.65366          13.26  </w:t>
      </w:r>
    </w:p>
    <w:p w14:paraId="05AECF8A"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25.0830       1409.09           0.2952        3.55031          29.77  </w:t>
      </w:r>
    </w:p>
    <w:p w14:paraId="1E5C8C4B"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27.0088       2738.38           0.2066        3.30137          57.85  </w:t>
      </w:r>
    </w:p>
    <w:p w14:paraId="5F7EE4B3"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27.9241       </w:t>
      </w:r>
      <w:r>
        <w:rPr>
          <w:rFonts w:ascii="Courier New" w:hAnsi="Courier New" w:cs="Courier New"/>
          <w:sz w:val="20"/>
          <w:szCs w:val="20"/>
        </w:rPr>
        <w:t xml:space="preserve"> 144.18           0.4723        3.19521           3.05  </w:t>
      </w:r>
    </w:p>
    <w:p w14:paraId="22187D7F"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35.1531        449.62           0.3542        2.55294           9.50  </w:t>
      </w:r>
    </w:p>
    <w:p w14:paraId="20933C24"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36.1038        619.16           0.2362        2.48787          13.08  </w:t>
      </w:r>
    </w:p>
    <w:p w14:paraId="4B770419"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38.5706        464.55           0.3542        2.33425           9.81  </w:t>
      </w:r>
    </w:p>
    <w:p w14:paraId="2FE516D0"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lastRenderedPageBreak/>
        <w:t xml:space="preserve">    40.9156        232.48           0.2362        2.20572           4.91  </w:t>
      </w:r>
    </w:p>
    <w:p w14:paraId="02A8FA57"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45.6469        685.54           0.1771        1.98750          14.48  </w:t>
      </w:r>
    </w:p>
    <w:p w14:paraId="279887BD"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50.2769         85.16      </w:t>
      </w:r>
      <w:r>
        <w:rPr>
          <w:rFonts w:ascii="Courier New" w:hAnsi="Courier New" w:cs="Courier New"/>
          <w:sz w:val="20"/>
          <w:szCs w:val="20"/>
        </w:rPr>
        <w:t xml:space="preserve">     0.2362        1.81479           1.80  </w:t>
      </w:r>
    </w:p>
    <w:p w14:paraId="219C36FB"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55.2008        181.43           0.5904        1.66400           3.83  </w:t>
      </w:r>
    </w:p>
    <w:p w14:paraId="00F5F316"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60.0408        152.45           0.2362        1.54092           3.22  </w:t>
      </w:r>
    </w:p>
    <w:p w14:paraId="767B336F"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61.6143         26.34           0.0886        1.50530     </w:t>
      </w:r>
      <w:r>
        <w:rPr>
          <w:rFonts w:ascii="Courier New" w:hAnsi="Courier New" w:cs="Courier New"/>
          <w:sz w:val="20"/>
          <w:szCs w:val="20"/>
        </w:rPr>
        <w:t xml:space="preserve">      0.56  </w:t>
      </w:r>
    </w:p>
    <w:p w14:paraId="6F711C1D"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62.3333        347.18           0.2362        1.48965           7.33  </w:t>
      </w:r>
    </w:p>
    <w:p w14:paraId="61507467" w14:textId="77777777" w:rsidR="00E150AD" w:rsidRDefault="00E150AD">
      <w:pPr>
        <w:widowControl w:val="0"/>
        <w:tabs>
          <w:tab w:val="left" w:pos="3000"/>
        </w:tabs>
        <w:autoSpaceDE w:val="0"/>
        <w:autoSpaceDN w:val="0"/>
        <w:adjustRightInd w:val="0"/>
        <w:spacing w:after="0" w:line="360" w:lineRule="auto"/>
        <w:rPr>
          <w:rFonts w:ascii="Tahoma" w:hAnsi="Tahoma" w:cs="Tahoma"/>
          <w:sz w:val="16"/>
          <w:szCs w:val="16"/>
        </w:rPr>
      </w:pPr>
    </w:p>
    <w:p w14:paraId="668E7499" w14:textId="77777777" w:rsidR="00E150AD" w:rsidRDefault="00E150AD">
      <w:pPr>
        <w:widowControl w:val="0"/>
        <w:tabs>
          <w:tab w:val="left" w:pos="3000"/>
        </w:tabs>
        <w:autoSpaceDE w:val="0"/>
        <w:autoSpaceDN w:val="0"/>
        <w:adjustRightInd w:val="0"/>
        <w:spacing w:after="0" w:line="360" w:lineRule="auto"/>
        <w:rPr>
          <w:rFonts w:ascii="Tahoma" w:hAnsi="Tahoma" w:cs="Tahoma"/>
          <w:sz w:val="16"/>
          <w:szCs w:val="16"/>
        </w:rPr>
      </w:pPr>
    </w:p>
    <w:p w14:paraId="021C01FB" w14:textId="77777777" w:rsidR="00E150AD" w:rsidRDefault="00AA1020">
      <w:pPr>
        <w:widowControl w:val="0"/>
        <w:tabs>
          <w:tab w:val="left" w:pos="3000"/>
        </w:tabs>
        <w:autoSpaceDE w:val="0"/>
        <w:autoSpaceDN w:val="0"/>
        <w:adjustRightInd w:val="0"/>
        <w:spacing w:after="0" w:line="360" w:lineRule="auto"/>
        <w:rPr>
          <w:rFonts w:ascii="Tahoma" w:hAnsi="Tahoma" w:cs="Tahoma"/>
          <w:b/>
          <w:bCs/>
          <w:sz w:val="20"/>
          <w:szCs w:val="20"/>
          <w:u w:val="single"/>
        </w:rPr>
      </w:pPr>
      <w:r>
        <w:rPr>
          <w:rFonts w:ascii="Tahoma" w:hAnsi="Tahoma" w:cs="Tahoma"/>
          <w:b/>
          <w:bCs/>
          <w:sz w:val="20"/>
          <w:szCs w:val="20"/>
          <w:u w:val="single"/>
        </w:rPr>
        <w:t>Pattern List</w:t>
      </w:r>
    </w:p>
    <w:p w14:paraId="078498FC" w14:textId="77777777" w:rsidR="00E150AD" w:rsidRDefault="00E150AD">
      <w:pPr>
        <w:widowControl w:val="0"/>
        <w:tabs>
          <w:tab w:val="left" w:pos="3000"/>
        </w:tabs>
        <w:autoSpaceDE w:val="0"/>
        <w:autoSpaceDN w:val="0"/>
        <w:adjustRightInd w:val="0"/>
        <w:spacing w:after="0" w:line="360" w:lineRule="auto"/>
        <w:rPr>
          <w:rFonts w:ascii="Tahoma" w:hAnsi="Tahoma" w:cs="Tahoma"/>
          <w:sz w:val="16"/>
          <w:szCs w:val="16"/>
        </w:rPr>
      </w:pPr>
    </w:p>
    <w:p w14:paraId="04EDA1C4"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u w:val="single"/>
        </w:rPr>
      </w:pPr>
      <w:r>
        <w:rPr>
          <w:rFonts w:ascii="Courier New" w:hAnsi="Courier New" w:cs="Courier New"/>
          <w:sz w:val="20"/>
          <w:szCs w:val="20"/>
          <w:u w:val="single"/>
        </w:rPr>
        <w:t xml:space="preserve">Visible  Ref.Code     Score    Compound Name         Displ.[°2Th]  Scale Fac.  Chem. Formula         </w:t>
      </w:r>
    </w:p>
    <w:p w14:paraId="2B6398BD"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96-900-5496       35  Phengite                     0.213       0.305  K1.90 Na0.10 Al9.1..  </w:t>
      </w:r>
    </w:p>
    <w:p w14:paraId="26E74C41"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96-900-9664       20  Albite                      -0.032       0.093  Na1.96 Ca0.04 Si5...  </w:t>
      </w:r>
    </w:p>
    <w:p w14:paraId="1265120A"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sz w:val="20"/>
          <w:szCs w:val="20"/>
        </w:rPr>
        <w:t xml:space="preserve">*        96-101-1046       36  Kaolinite 2M         </w:t>
      </w:r>
      <w:r>
        <w:rPr>
          <w:rFonts w:ascii="Courier New" w:hAnsi="Courier New" w:cs="Courier New"/>
          <w:sz w:val="20"/>
          <w:szCs w:val="20"/>
        </w:rPr>
        <w:t xml:space="preserve">        0.154       0.244  Al8.00 Si8.00 O36...  q</w:t>
      </w:r>
    </w:p>
    <w:p w14:paraId="4A71B47E" w14:textId="77777777" w:rsidR="00E150AD" w:rsidRDefault="00AA1020">
      <w:pPr>
        <w:widowControl w:val="0"/>
        <w:tabs>
          <w:tab w:val="left" w:pos="3000"/>
        </w:tabs>
        <w:autoSpaceDE w:val="0"/>
        <w:autoSpaceDN w:val="0"/>
        <w:adjustRightInd w:val="0"/>
        <w:spacing w:after="0" w:line="360" w:lineRule="auto"/>
        <w:rPr>
          <w:rFonts w:ascii="Courier New" w:hAnsi="Courier New" w:cs="Courier New"/>
          <w:sz w:val="20"/>
          <w:szCs w:val="20"/>
        </w:rPr>
      </w:pPr>
      <w:r>
        <w:rPr>
          <w:rFonts w:ascii="Courier New" w:hAnsi="Courier New" w:cs="Courier New"/>
          <w:noProof/>
          <w:sz w:val="20"/>
          <w:szCs w:val="20"/>
          <w:lang w:eastAsia="en-US"/>
        </w:rPr>
        <w:drawing>
          <wp:inline distT="0" distB="0" distL="0" distR="0" wp14:anchorId="038ECC8C" wp14:editId="1849BEE0">
            <wp:extent cx="5915770" cy="3874413"/>
            <wp:effectExtent l="0" t="0" r="8890" b="0"/>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6" cstate="print"/>
                    <a:srcRect/>
                    <a:stretch/>
                  </pic:blipFill>
                  <pic:spPr>
                    <a:xfrm>
                      <a:off x="0" y="0"/>
                      <a:ext cx="5915770" cy="3874413"/>
                    </a:xfrm>
                    <a:prstGeom prst="rect">
                      <a:avLst/>
                    </a:prstGeom>
                  </pic:spPr>
                </pic:pic>
              </a:graphicData>
            </a:graphic>
          </wp:inline>
        </w:drawing>
      </w:r>
      <w:bookmarkEnd w:id="1"/>
    </w:p>
    <w:p w14:paraId="07261BB8" w14:textId="77777777" w:rsidR="00E150AD" w:rsidRDefault="00E150AD">
      <w:pPr>
        <w:spacing w:after="0" w:line="480" w:lineRule="auto"/>
        <w:jc w:val="both"/>
        <w:rPr>
          <w:rFonts w:ascii="Times New Roman" w:hAnsi="Times New Roman"/>
          <w:sz w:val="24"/>
          <w:szCs w:val="24"/>
        </w:rPr>
      </w:pPr>
    </w:p>
    <w:sectPr w:rsidR="00E150A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003B3" w14:textId="77777777" w:rsidR="00AA1020" w:rsidRDefault="00AA1020">
      <w:pPr>
        <w:spacing w:after="0" w:line="240" w:lineRule="auto"/>
      </w:pPr>
      <w:r>
        <w:separator/>
      </w:r>
    </w:p>
  </w:endnote>
  <w:endnote w:type="continuationSeparator" w:id="0">
    <w:p w14:paraId="08D6B558" w14:textId="77777777" w:rsidR="00AA1020" w:rsidRDefault="00AA1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B82C" w14:textId="77777777" w:rsidR="00E150AD" w:rsidRDefault="00AA1020">
    <w:pPr>
      <w:pStyle w:val="Footer"/>
      <w:jc w:val="center"/>
    </w:pPr>
    <w:r>
      <w:fldChar w:fldCharType="begin"/>
    </w:r>
    <w:r>
      <w:instrText xml:space="preserve"> PAGE   \* MERGEFORMAT </w:instrText>
    </w:r>
    <w:r>
      <w:fldChar w:fldCharType="separate"/>
    </w:r>
    <w:r w:rsidR="00EA5213">
      <w:rPr>
        <w:noProof/>
      </w:rPr>
      <w:t>3</w:t>
    </w:r>
    <w:r>
      <w:rPr>
        <w:noProof/>
      </w:rPr>
      <w:fldChar w:fldCharType="end"/>
    </w:r>
  </w:p>
  <w:p w14:paraId="52E43A3D" w14:textId="77777777" w:rsidR="00E150AD" w:rsidRDefault="00E150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EC100" w14:textId="77777777" w:rsidR="00AA1020" w:rsidRDefault="00AA1020">
      <w:pPr>
        <w:spacing w:after="0" w:line="240" w:lineRule="auto"/>
      </w:pPr>
      <w:r>
        <w:separator/>
      </w:r>
    </w:p>
  </w:footnote>
  <w:footnote w:type="continuationSeparator" w:id="0">
    <w:p w14:paraId="7E509349" w14:textId="77777777" w:rsidR="00AA1020" w:rsidRDefault="00AA10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933284EE"/>
    <w:lvl w:ilvl="0" w:tplc="F702B4B2">
      <w:start w:val="1"/>
      <w:numFmt w:val="lowerRoman"/>
      <w:lvlText w:val="%1."/>
      <w:lvlJc w:val="righ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000002"/>
    <w:multiLevelType w:val="hybridMultilevel"/>
    <w:tmpl w:val="5536764A"/>
    <w:lvl w:ilvl="0" w:tplc="F702B4B2">
      <w:start w:val="1"/>
      <w:numFmt w:val="lowerRoman"/>
      <w:lvlText w:val="%1."/>
      <w:lvlJc w:val="right"/>
      <w:pPr>
        <w:ind w:left="1160" w:hanging="360"/>
      </w:pPr>
      <w:rPr>
        <w:rFonts w:hint="default"/>
        <w:b w:val="0"/>
        <w:bCs/>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2">
    <w:nsid w:val="00000003"/>
    <w:multiLevelType w:val="hybridMultilevel"/>
    <w:tmpl w:val="8A7E856C"/>
    <w:lvl w:ilvl="0" w:tplc="1F6E19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000004"/>
    <w:multiLevelType w:val="hybridMultilevel"/>
    <w:tmpl w:val="1122A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DFA8E492"/>
    <w:lvl w:ilvl="0" w:tplc="1F6E19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7A6DE5"/>
    <w:multiLevelType w:val="hybridMultilevel"/>
    <w:tmpl w:val="6802B64E"/>
    <w:lvl w:ilvl="0" w:tplc="1F6E195E">
      <w:start w:val="1"/>
      <w:numFmt w:val="lowerRoman"/>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0AD"/>
    <w:rsid w:val="00072F93"/>
    <w:rsid w:val="001C59E3"/>
    <w:rsid w:val="002773CB"/>
    <w:rsid w:val="00306151"/>
    <w:rsid w:val="00486805"/>
    <w:rsid w:val="00833F1D"/>
    <w:rsid w:val="00916566"/>
    <w:rsid w:val="00AA1020"/>
    <w:rsid w:val="00AA759E"/>
    <w:rsid w:val="00BB398C"/>
    <w:rsid w:val="00C33079"/>
    <w:rsid w:val="00E150AD"/>
    <w:rsid w:val="00E42784"/>
    <w:rsid w:val="00E57FD5"/>
    <w:rsid w:val="00EA5213"/>
    <w:rsid w:val="00FD13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97C36"/>
  <w15:docId w15:val="{694BCF3D-AA31-4C94-8108-E73AE0BBD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SimSun" w:cs="Times New Roman"/>
      <w:lang w:eastAsia="zh-CN"/>
    </w:rPr>
  </w:style>
  <w:style w:type="paragraph" w:styleId="Heading1">
    <w:name w:val="heading 1"/>
    <w:basedOn w:val="Normal"/>
    <w:next w:val="Normal"/>
    <w:link w:val="Heading1Char"/>
    <w:uiPriority w:val="9"/>
    <w:qFormat/>
    <w:pPr>
      <w:keepNext/>
      <w:keepLines/>
      <w:spacing w:before="360" w:after="80"/>
      <w:outlineLvl w:val="0"/>
    </w:pPr>
    <w:rPr>
      <w:rFonts w:ascii="Calibri Light" w:hAnsi="Calibri Light"/>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hAnsi="Calibri Light"/>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qFormat/>
    <w:pPr>
      <w:keepNext/>
      <w:keepLines/>
      <w:spacing w:before="40" w:after="0"/>
      <w:outlineLvl w:val="6"/>
    </w:pPr>
    <w:rPr>
      <w:color w:val="595959"/>
    </w:rPr>
  </w:style>
  <w:style w:type="paragraph" w:styleId="Heading8">
    <w:name w:val="heading 8"/>
    <w:basedOn w:val="Normal"/>
    <w:next w:val="Normal"/>
    <w:link w:val="Heading8Char"/>
    <w:uiPriority w:val="9"/>
    <w:qFormat/>
    <w:pPr>
      <w:keepNext/>
      <w:keepLines/>
      <w:spacing w:after="0"/>
      <w:outlineLvl w:val="7"/>
    </w:pPr>
    <w:rPr>
      <w:i/>
      <w:iCs/>
      <w:color w:val="272727"/>
    </w:rPr>
  </w:style>
  <w:style w:type="paragraph" w:styleId="Heading9">
    <w:name w:val="heading 9"/>
    <w:basedOn w:val="Normal"/>
    <w:next w:val="Normal"/>
    <w:link w:val="Heading9Char"/>
    <w:uiPriority w:val="9"/>
    <w:qFormat/>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Times New Roma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Times New Roman"/>
      <w:color w:val="2F5496"/>
      <w:sz w:val="32"/>
      <w:szCs w:val="32"/>
    </w:rPr>
  </w:style>
  <w:style w:type="character" w:customStyle="1" w:styleId="Heading3Char">
    <w:name w:val="Heading 3 Char"/>
    <w:basedOn w:val="DefaultParagraphFont"/>
    <w:link w:val="Heading3"/>
    <w:uiPriority w:val="9"/>
    <w:rPr>
      <w:rFonts w:eastAsia="SimSun" w:cs="Times New Roman"/>
      <w:color w:val="2F5496"/>
      <w:sz w:val="28"/>
      <w:szCs w:val="28"/>
    </w:rPr>
  </w:style>
  <w:style w:type="character" w:customStyle="1" w:styleId="Heading4Char">
    <w:name w:val="Heading 4 Char"/>
    <w:basedOn w:val="DefaultParagraphFont"/>
    <w:link w:val="Heading4"/>
    <w:uiPriority w:val="9"/>
    <w:rPr>
      <w:rFonts w:eastAsia="SimSun" w:cs="Times New Roman"/>
      <w:i/>
      <w:iCs/>
      <w:color w:val="2F5496"/>
    </w:rPr>
  </w:style>
  <w:style w:type="character" w:customStyle="1" w:styleId="Heading5Char">
    <w:name w:val="Heading 5 Char"/>
    <w:basedOn w:val="DefaultParagraphFont"/>
    <w:link w:val="Heading5"/>
    <w:uiPriority w:val="9"/>
    <w:rPr>
      <w:rFonts w:eastAsia="SimSun" w:cs="Times New Roman"/>
      <w:color w:val="2F5496"/>
    </w:rPr>
  </w:style>
  <w:style w:type="character" w:customStyle="1" w:styleId="Heading6Char">
    <w:name w:val="Heading 6 Char"/>
    <w:basedOn w:val="DefaultParagraphFont"/>
    <w:link w:val="Heading6"/>
    <w:uiPriority w:val="9"/>
    <w:rPr>
      <w:rFonts w:eastAsia="SimSun" w:cs="Times New Roman"/>
      <w:i/>
      <w:iCs/>
      <w:color w:val="595959"/>
    </w:rPr>
  </w:style>
  <w:style w:type="character" w:customStyle="1" w:styleId="Heading7Char">
    <w:name w:val="Heading 7 Char"/>
    <w:basedOn w:val="DefaultParagraphFont"/>
    <w:link w:val="Heading7"/>
    <w:uiPriority w:val="9"/>
    <w:rPr>
      <w:rFonts w:eastAsia="SimSun" w:cs="Times New Roman"/>
      <w:color w:val="595959"/>
    </w:rPr>
  </w:style>
  <w:style w:type="character" w:customStyle="1" w:styleId="Heading8Char">
    <w:name w:val="Heading 8 Char"/>
    <w:basedOn w:val="DefaultParagraphFont"/>
    <w:link w:val="Heading8"/>
    <w:uiPriority w:val="9"/>
    <w:rPr>
      <w:rFonts w:eastAsia="SimSun" w:cs="Times New Roman"/>
      <w:i/>
      <w:iCs/>
      <w:color w:val="272727"/>
    </w:rPr>
  </w:style>
  <w:style w:type="character" w:customStyle="1" w:styleId="Heading9Char">
    <w:name w:val="Heading 9 Char"/>
    <w:basedOn w:val="DefaultParagraphFont"/>
    <w:link w:val="Heading9"/>
    <w:uiPriority w:val="9"/>
    <w:rPr>
      <w:rFonts w:eastAsia="SimSun" w:cs="Times New Roman"/>
      <w:color w:val="272727"/>
    </w:rPr>
  </w:style>
  <w:style w:type="paragraph" w:styleId="Title">
    <w:name w:val="Title"/>
    <w:basedOn w:val="Normal"/>
    <w:next w:val="Normal"/>
    <w:link w:val="TitleChar"/>
    <w:uiPriority w:val="10"/>
    <w:qFormat/>
    <w:pPr>
      <w:spacing w:after="80" w:line="240" w:lineRule="auto"/>
      <w:contextualSpacing/>
    </w:pPr>
    <w:rPr>
      <w:rFonts w:ascii="Calibri Light"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Times New Roman"/>
      <w:spacing w:val="-10"/>
      <w:kern w:val="28"/>
      <w:sz w:val="56"/>
      <w:szCs w:val="56"/>
    </w:rPr>
  </w:style>
  <w:style w:type="paragraph" w:styleId="Subtitle">
    <w:name w:val="Subtitle"/>
    <w:basedOn w:val="Normal"/>
    <w:next w:val="Normal"/>
    <w:link w:val="SubtitleChar"/>
    <w:uiPriority w:val="11"/>
    <w:qFormat/>
    <w:pPr>
      <w:numPr>
        <w:ilvl w:val="1"/>
      </w:numPr>
    </w:pPr>
    <w:rPr>
      <w:color w:val="595959"/>
      <w:spacing w:val="15"/>
      <w:sz w:val="28"/>
      <w:szCs w:val="28"/>
    </w:rPr>
  </w:style>
  <w:style w:type="character" w:customStyle="1" w:styleId="SubtitleChar">
    <w:name w:val="Subtitle Char"/>
    <w:basedOn w:val="DefaultParagraphFont"/>
    <w:link w:val="Subtitle"/>
    <w:uiPriority w:val="11"/>
    <w:rPr>
      <w:rFonts w:eastAsia="SimSun"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SimSun" w:hAnsi="Calibri" w:cs="Times New Roman"/>
      <w:lang w:eastAsia="zh-C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SimSun" w:hAnsi="Calibri" w:cs="Times New Roman"/>
      <w:lang w:eastAsia="zh-CN"/>
    </w:rPr>
  </w:style>
  <w:style w:type="paragraph" w:styleId="NormalWeb">
    <w:name w:val="Normal (Web)"/>
    <w:basedOn w:val="Normal"/>
    <w:uiPriority w:val="9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8064</Words>
  <Characters>45965</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olaitan taiye</dc:creator>
  <cp:lastModifiedBy>USER</cp:lastModifiedBy>
  <cp:revision>2</cp:revision>
  <dcterms:created xsi:type="dcterms:W3CDTF">2025-09-01T11:56:00Z</dcterms:created>
  <dcterms:modified xsi:type="dcterms:W3CDTF">2025-09-01T11:56:00Z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6e5095fb8fe549fda23bd3f558842dfd</vt:lpwstr>
  </property>
</Properties>
</file>