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34" w:rsidRDefault="00CA64CC">
      <w:pPr>
        <w:spacing w:line="360" w:lineRule="auto"/>
        <w:ind w:firstLine="270"/>
        <w:jc w:val="center"/>
        <w:rPr>
          <w:rFonts w:ascii="Arial Black" w:hAnsi="Arial Black" w:cstheme="majorBidi"/>
          <w:b/>
          <w:sz w:val="16"/>
          <w:szCs w:val="16"/>
        </w:rPr>
      </w:pPr>
      <w:r>
        <w:rPr>
          <w:rFonts w:ascii="Times New Roman" w:hAnsi="Times New Roman" w:cs="Times New Roman"/>
          <w:b/>
          <w:sz w:val="24"/>
          <w:szCs w:val="24"/>
        </w:rPr>
        <w:t>COMPARATIVE STUDY ON THE QUALITY AND CONTAMINATION RISK OF GROUNDWATER AND STORED DRINKING WATER SOURCES (A CASE STUDY OF ELEKO)</w:t>
      </w:r>
    </w:p>
    <w:p w:rsidR="00252A34" w:rsidRDefault="00252A34">
      <w:pPr>
        <w:spacing w:line="360" w:lineRule="auto"/>
        <w:ind w:firstLine="270"/>
        <w:jc w:val="center"/>
        <w:rPr>
          <w:rFonts w:ascii="Arial Black" w:hAnsi="Arial Black" w:cstheme="majorBidi"/>
          <w:b/>
          <w:sz w:val="16"/>
          <w:szCs w:val="16"/>
        </w:rPr>
      </w:pP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252A34" w:rsidRDefault="00252A34">
      <w:pPr>
        <w:shd w:val="clear" w:color="auto" w:fill="FFFFFF"/>
        <w:spacing w:after="150" w:line="480" w:lineRule="auto"/>
        <w:jc w:val="center"/>
        <w:rPr>
          <w:rFonts w:ascii="Times New Roman" w:eastAsia="Times New Roman" w:hAnsi="Times New Roman" w:cs="Times New Roman"/>
          <w:b/>
          <w:sz w:val="16"/>
          <w:szCs w:val="24"/>
        </w:rPr>
      </w:pPr>
    </w:p>
    <w:p w:rsidR="00252A34" w:rsidRDefault="00CA64CC">
      <w:pPr>
        <w:shd w:val="clear" w:color="auto" w:fill="FFFFFF"/>
        <w:spacing w:after="15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OYENIWE FERANMI SAMSON</w:t>
      </w:r>
    </w:p>
    <w:p w:rsidR="00252A34" w:rsidRDefault="00CA64CC">
      <w:pPr>
        <w:shd w:val="clear" w:color="auto" w:fill="FFFFFF"/>
        <w:spacing w:after="15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HND/23/ABE/FT/0007</w:t>
      </w:r>
    </w:p>
    <w:p w:rsidR="00252A34" w:rsidRDefault="00252A34">
      <w:pPr>
        <w:shd w:val="clear" w:color="auto" w:fill="FFFFFF"/>
        <w:spacing w:after="150" w:line="480" w:lineRule="auto"/>
        <w:jc w:val="center"/>
        <w:rPr>
          <w:rFonts w:ascii="Times New Roman" w:eastAsia="Times New Roman" w:hAnsi="Times New Roman" w:cs="Times New Roman"/>
          <w:b/>
          <w:sz w:val="14"/>
          <w:szCs w:val="24"/>
        </w:rPr>
      </w:pP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w:t>
      </w: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AGRICULTURAL AND BIO-ENVIRONMENT ENGINEERING, INSTITUTE OF TECHNOLOGY, KWARA STATE POLYTECHNIC, ILORIN.</w:t>
      </w:r>
    </w:p>
    <w:p w:rsidR="00252A34" w:rsidRDefault="00252A34">
      <w:pPr>
        <w:shd w:val="clear" w:color="auto" w:fill="FFFFFF"/>
        <w:spacing w:after="150" w:line="480" w:lineRule="auto"/>
        <w:jc w:val="center"/>
        <w:rPr>
          <w:rFonts w:ascii="Times New Roman" w:eastAsia="Times New Roman" w:hAnsi="Times New Roman" w:cs="Times New Roman"/>
          <w:b/>
          <w:sz w:val="10"/>
          <w:szCs w:val="24"/>
        </w:rPr>
      </w:pPr>
    </w:p>
    <w:p w:rsidR="00252A34" w:rsidRDefault="00CA64CC">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HIGHER NATIONAL DIPLOMA IN AGRICULTURAL AND BIO-ENVIRONMENTAL ENGINEERING.</w:t>
      </w:r>
    </w:p>
    <w:p w:rsidR="00252A34" w:rsidRDefault="00252A34">
      <w:pPr>
        <w:spacing w:line="480" w:lineRule="auto"/>
        <w:jc w:val="both"/>
        <w:rPr>
          <w:rFonts w:ascii="Times New Roman" w:hAnsi="Times New Roman" w:cs="Times New Roman"/>
          <w:b/>
          <w:color w:val="000000" w:themeColor="text1"/>
          <w:sz w:val="4"/>
          <w:szCs w:val="24"/>
        </w:rPr>
      </w:pPr>
    </w:p>
    <w:p w:rsidR="00252A34" w:rsidRDefault="00252A34">
      <w:pPr>
        <w:spacing w:line="480" w:lineRule="auto"/>
        <w:jc w:val="both"/>
        <w:rPr>
          <w:rFonts w:ascii="Times New Roman" w:hAnsi="Times New Roman" w:cs="Times New Roman"/>
          <w:b/>
          <w:color w:val="000000" w:themeColor="text1"/>
          <w:sz w:val="4"/>
          <w:szCs w:val="24"/>
        </w:rPr>
      </w:pPr>
    </w:p>
    <w:p w:rsidR="00252A34" w:rsidRDefault="00CA64C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2024</w:t>
      </w: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Default="00252A34">
      <w:pPr>
        <w:pStyle w:val="ListParagraph"/>
        <w:jc w:val="center"/>
        <w:rPr>
          <w:rFonts w:eastAsiaTheme="minorEastAsia"/>
          <w:b/>
          <w:bCs/>
          <w:sz w:val="28"/>
        </w:rPr>
      </w:pPr>
    </w:p>
    <w:p w:rsidR="00252A34" w:rsidRPr="001F64FB" w:rsidRDefault="001F64FB" w:rsidP="001F64FB">
      <w:pPr>
        <w:jc w:val="both"/>
        <w:rPr>
          <w:rFonts w:ascii="Times New Roman" w:hAnsi="Times New Roman" w:cs="Times New Roman"/>
          <w:b/>
          <w:sz w:val="28"/>
          <w:szCs w:val="28"/>
        </w:rPr>
      </w:pPr>
      <w:r>
        <w:rPr>
          <w:rFonts w:ascii="Times New Roman" w:hAnsi="Times New Roman" w:cs="Times New Roman"/>
          <w:b/>
          <w:noProof/>
          <w:sz w:val="28"/>
          <w:szCs w:val="28"/>
          <w:lang w:eastAsia="en-US"/>
        </w:rPr>
        <w:lastRenderedPageBreak/>
        <w:drawing>
          <wp:anchor distT="0" distB="0" distL="114300" distR="114300" simplePos="0" relativeHeight="251658240" behindDoc="1" locked="0" layoutInCell="1" allowOverlap="1">
            <wp:simplePos x="0" y="0"/>
            <wp:positionH relativeFrom="column">
              <wp:posOffset>-220345</wp:posOffset>
            </wp:positionH>
            <wp:positionV relativeFrom="paragraph">
              <wp:posOffset>-510540</wp:posOffset>
            </wp:positionV>
            <wp:extent cx="5848985" cy="9048115"/>
            <wp:effectExtent l="19050" t="0" r="0" b="0"/>
            <wp:wrapTight wrapText="bothSides">
              <wp:wrapPolygon edited="0">
                <wp:start x="-70" y="0"/>
                <wp:lineTo x="-70" y="21556"/>
                <wp:lineTo x="21598" y="21556"/>
                <wp:lineTo x="21598" y="0"/>
                <wp:lineTo x="-70" y="0"/>
              </wp:wrapPolygon>
            </wp:wrapTight>
            <wp:docPr id="1" name="Picture 1" descr="C:\Users\HP\Desktop\WhatsApp Image 2025-09-03 at 15.42.13_11affa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WhatsApp Image 2025-09-03 at 15.42.13_11affadf.jpg"/>
                    <pic:cNvPicPr>
                      <a:picLocks noChangeAspect="1" noChangeArrowheads="1"/>
                    </pic:cNvPicPr>
                  </pic:nvPicPr>
                  <pic:blipFill>
                    <a:blip r:embed="rId8"/>
                    <a:srcRect/>
                    <a:stretch>
                      <a:fillRect/>
                    </a:stretch>
                  </pic:blipFill>
                  <pic:spPr bwMode="auto">
                    <a:xfrm>
                      <a:off x="0" y="0"/>
                      <a:ext cx="5848985" cy="9048115"/>
                    </a:xfrm>
                    <a:prstGeom prst="rect">
                      <a:avLst/>
                    </a:prstGeom>
                    <a:noFill/>
                    <a:ln w="9525">
                      <a:noFill/>
                      <a:miter lim="800000"/>
                      <a:headEnd/>
                      <a:tailEnd/>
                    </a:ln>
                  </pic:spPr>
                </pic:pic>
              </a:graphicData>
            </a:graphic>
          </wp:anchor>
        </w:drawing>
      </w:r>
    </w:p>
    <w:p w:rsidR="00252A34" w:rsidRDefault="00CA64CC">
      <w:pPr>
        <w:pStyle w:val="ListParagraph"/>
        <w:spacing w:line="480" w:lineRule="auto"/>
        <w:jc w:val="center"/>
        <w:rPr>
          <w:rFonts w:eastAsiaTheme="minorEastAsia"/>
          <w:b/>
          <w:bCs/>
        </w:rPr>
      </w:pPr>
      <w:r>
        <w:rPr>
          <w:rFonts w:eastAsiaTheme="minorEastAsia"/>
          <w:b/>
          <w:bCs/>
          <w:sz w:val="28"/>
        </w:rPr>
        <w:lastRenderedPageBreak/>
        <w:t>DEDICATION</w:t>
      </w:r>
    </w:p>
    <w:p w:rsidR="00252A34" w:rsidRDefault="00CA64CC">
      <w:pPr>
        <w:spacing w:line="480" w:lineRule="auto"/>
        <w:jc w:val="both"/>
        <w:rPr>
          <w:rFonts w:ascii="Times New Roman" w:eastAsia="Calibri" w:hAnsi="Times New Roman" w:cs="Times New Roman"/>
          <w:sz w:val="24"/>
          <w:szCs w:val="24"/>
        </w:rPr>
      </w:pPr>
      <w:r>
        <w:rPr>
          <w:rFonts w:ascii="Times New Roman" w:hAnsi="Times New Roman"/>
          <w:sz w:val="24"/>
          <w:szCs w:val="24"/>
        </w:rPr>
        <w:t>I dedicate this project to my parents Mr and Mrs Oyeniwe.</w:t>
      </w:r>
    </w:p>
    <w:p w:rsidR="00252A34" w:rsidRDefault="00252A34">
      <w:pPr>
        <w:spacing w:line="480" w:lineRule="auto"/>
        <w:jc w:val="both"/>
        <w:rPr>
          <w:rFonts w:ascii="Times New Roman" w:hAnsi="Times New Roman" w:cs="Times New Roman"/>
          <w:sz w:val="24"/>
          <w:szCs w:val="24"/>
        </w:rPr>
      </w:pPr>
    </w:p>
    <w:p w:rsidR="00252A34" w:rsidRDefault="00252A34">
      <w:pPr>
        <w:spacing w:line="480" w:lineRule="auto"/>
        <w:jc w:val="both"/>
        <w:rPr>
          <w:rFonts w:ascii="Times New Roman" w:hAnsi="Times New Roman" w:cs="Times New Roman"/>
          <w:sz w:val="24"/>
          <w:szCs w:val="24"/>
        </w:rPr>
      </w:pPr>
    </w:p>
    <w:p w:rsidR="00252A34" w:rsidRDefault="00252A34">
      <w:pPr>
        <w:pStyle w:val="ListParagraph"/>
        <w:spacing w:line="480" w:lineRule="auto"/>
        <w:jc w:val="both"/>
        <w:rPr>
          <w:rFonts w:eastAsiaTheme="minorEastAsia"/>
          <w:b/>
          <w:bCs/>
          <w:i/>
          <w:iCs/>
        </w:rPr>
      </w:pPr>
    </w:p>
    <w:p w:rsidR="00252A34" w:rsidRDefault="00CA64CC">
      <w:pPr>
        <w:spacing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252A34" w:rsidRDefault="00CA64CC">
      <w:pPr>
        <w:pStyle w:val="ListParagraph"/>
        <w:spacing w:line="480" w:lineRule="auto"/>
        <w:jc w:val="center"/>
        <w:rPr>
          <w:rFonts w:eastAsiaTheme="minorEastAsia"/>
          <w:b/>
          <w:bCs/>
        </w:rPr>
      </w:pPr>
      <w:r>
        <w:rPr>
          <w:rFonts w:eastAsiaTheme="minorEastAsia"/>
          <w:b/>
          <w:bCs/>
          <w:sz w:val="28"/>
        </w:rPr>
        <w:lastRenderedPageBreak/>
        <w:t>ACKNOWLEDGMENTS</w:t>
      </w:r>
    </w:p>
    <w:p w:rsidR="00252A34" w:rsidRDefault="00CA64CC">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I would like to express my deepest gratitude to God Almighty for strength and guidance throughout this journey.</w:t>
      </w:r>
    </w:p>
    <w:p w:rsidR="00252A34" w:rsidRDefault="00CA64CC">
      <w:pPr>
        <w:tabs>
          <w:tab w:val="left" w:pos="0"/>
        </w:tabs>
        <w:spacing w:line="480" w:lineRule="auto"/>
        <w:jc w:val="both"/>
        <w:rPr>
          <w:rFonts w:ascii="Times New Roman" w:hAnsi="Times New Roman"/>
          <w:sz w:val="24"/>
          <w:szCs w:val="24"/>
        </w:rPr>
      </w:pPr>
      <w:r>
        <w:rPr>
          <w:rFonts w:ascii="Times New Roman" w:hAnsi="Times New Roman"/>
          <w:sz w:val="24"/>
          <w:szCs w:val="24"/>
        </w:rPr>
        <w:tab/>
        <w:t xml:space="preserve">I am grateful to Many people who played various roles, in making me achieved my dreams. I wish to acknowledge my parents </w:t>
      </w:r>
      <w:r>
        <w:rPr>
          <w:rFonts w:ascii="Times New Roman" w:hAnsi="Times New Roman"/>
          <w:b/>
          <w:bCs/>
          <w:sz w:val="24"/>
          <w:szCs w:val="24"/>
        </w:rPr>
        <w:t>Mr and Mrs OYENIWE</w:t>
      </w:r>
      <w:r>
        <w:rPr>
          <w:rFonts w:ascii="Times New Roman" w:hAnsi="Times New Roman"/>
          <w:sz w:val="24"/>
          <w:szCs w:val="24"/>
        </w:rPr>
        <w:t>for their Support in my life. I pray you eat the fruit of your Labor(Amen)</w:t>
      </w:r>
    </w:p>
    <w:p w:rsidR="00252A34" w:rsidRDefault="00CA64CC">
      <w:pPr>
        <w:tabs>
          <w:tab w:val="left" w:pos="0"/>
        </w:tabs>
        <w:spacing w:line="480" w:lineRule="auto"/>
        <w:jc w:val="both"/>
        <w:rPr>
          <w:rFonts w:ascii="Times New Roman" w:hAnsi="Times New Roman"/>
          <w:sz w:val="24"/>
          <w:szCs w:val="24"/>
        </w:rPr>
      </w:pPr>
      <w:r>
        <w:rPr>
          <w:rFonts w:ascii="Times New Roman" w:hAnsi="Times New Roman"/>
          <w:sz w:val="24"/>
          <w:szCs w:val="24"/>
        </w:rPr>
        <w:tab/>
        <w:t>My profound appreciation goes to my project Supervisor</w:t>
      </w:r>
      <w:r>
        <w:rPr>
          <w:rFonts w:ascii="Times New Roman" w:hAnsi="Times New Roman" w:cs="Times New Roman"/>
          <w:b/>
          <w:bCs/>
          <w:sz w:val="24"/>
          <w:szCs w:val="24"/>
        </w:rPr>
        <w:t>Engr. (Mrs) Shuaib-Naallah, B.O</w:t>
      </w:r>
      <w:r>
        <w:tab/>
      </w:r>
      <w:r>
        <w:rPr>
          <w:rFonts w:ascii="Times New Roman" w:hAnsi="Times New Roman"/>
          <w:sz w:val="24"/>
          <w:szCs w:val="24"/>
        </w:rPr>
        <w:t xml:space="preserve"> and my Head of Department Engr. Dauda, K.A for his uncompromising support and effort has made this work a huge success, I pray that he shall eat the fruit of his Labor(Amen)</w:t>
      </w:r>
    </w:p>
    <w:p w:rsidR="00252A34" w:rsidRDefault="00CA64CC">
      <w:pPr>
        <w:tabs>
          <w:tab w:val="left" w:pos="0"/>
        </w:tabs>
        <w:spacing w:line="480" w:lineRule="auto"/>
        <w:jc w:val="both"/>
        <w:rPr>
          <w:rFonts w:ascii="Times New Roman" w:hAnsi="Times New Roman"/>
          <w:sz w:val="24"/>
          <w:szCs w:val="24"/>
        </w:rPr>
      </w:pPr>
      <w:r>
        <w:rPr>
          <w:rFonts w:ascii="Times New Roman" w:hAnsi="Times New Roman"/>
          <w:sz w:val="24"/>
          <w:szCs w:val="24"/>
        </w:rPr>
        <w:tab/>
        <w:t>Finally, I thank my family for their constant encouragement and understanding, which allowed me to focus on my work</w:t>
      </w:r>
    </w:p>
    <w:p w:rsidR="00252A34" w:rsidRDefault="00252A34">
      <w:pPr>
        <w:jc w:val="center"/>
        <w:rPr>
          <w:rFonts w:ascii="Times New Roman" w:hAnsi="Times New Roman" w:cs="Times New Roman"/>
          <w:sz w:val="24"/>
          <w:szCs w:val="24"/>
        </w:rPr>
      </w:pPr>
    </w:p>
    <w:p w:rsidR="00252A34" w:rsidRDefault="00252A34">
      <w:pPr>
        <w:jc w:val="center"/>
        <w:rPr>
          <w:rFonts w:ascii="Times New Roman" w:hAnsi="Times New Roman" w:cs="Times New Roman"/>
          <w:sz w:val="24"/>
          <w:szCs w:val="24"/>
        </w:rPr>
      </w:pPr>
      <w:bookmarkStart w:id="0" w:name="_GoBack"/>
      <w:bookmarkEnd w:id="0"/>
    </w:p>
    <w:p w:rsidR="00252A34" w:rsidRDefault="00252A34">
      <w:pPr>
        <w:jc w:val="center"/>
        <w:rPr>
          <w:rFonts w:ascii="Times New Roman" w:hAnsi="Times New Roman" w:cs="Times New Roman"/>
          <w:sz w:val="24"/>
          <w:szCs w:val="24"/>
        </w:rPr>
      </w:pPr>
    </w:p>
    <w:p w:rsidR="00252A34" w:rsidRDefault="00252A34">
      <w:pPr>
        <w:jc w:val="both"/>
        <w:rPr>
          <w:b/>
          <w:i/>
          <w:sz w:val="24"/>
          <w:szCs w:val="24"/>
        </w:rPr>
      </w:pPr>
    </w:p>
    <w:p w:rsidR="00252A34" w:rsidRDefault="00252A34">
      <w:pPr>
        <w:jc w:val="center"/>
        <w:rPr>
          <w:rFonts w:ascii="Times New Roman" w:hAnsi="Times New Roman" w:cs="Times New Roman"/>
          <w:b/>
          <w:sz w:val="24"/>
          <w:szCs w:val="24"/>
        </w:rPr>
      </w:pPr>
    </w:p>
    <w:p w:rsidR="00252A34" w:rsidRDefault="00252A34">
      <w:pPr>
        <w:jc w:val="center"/>
        <w:rPr>
          <w:rFonts w:ascii="Times New Roman" w:hAnsi="Times New Roman" w:cs="Times New Roman"/>
          <w:b/>
          <w:sz w:val="24"/>
          <w:szCs w:val="24"/>
        </w:rPr>
      </w:pPr>
    </w:p>
    <w:p w:rsidR="00252A34" w:rsidRDefault="00252A34">
      <w:pPr>
        <w:jc w:val="center"/>
        <w:rPr>
          <w:rFonts w:ascii="Times New Roman" w:hAnsi="Times New Roman" w:cs="Times New Roman"/>
          <w:b/>
          <w:sz w:val="24"/>
          <w:szCs w:val="24"/>
        </w:rPr>
      </w:pPr>
    </w:p>
    <w:p w:rsidR="00252A34" w:rsidRDefault="00252A34">
      <w:pPr>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252A34">
      <w:pPr>
        <w:spacing w:line="480" w:lineRule="auto"/>
        <w:jc w:val="center"/>
        <w:rPr>
          <w:rFonts w:ascii="Times New Roman" w:hAnsi="Times New Roman" w:cs="Times New Roman"/>
          <w:b/>
          <w:sz w:val="24"/>
          <w:szCs w:val="24"/>
        </w:rPr>
      </w:pPr>
    </w:p>
    <w:p w:rsidR="00252A34" w:rsidRDefault="00CA64C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252A34" w:rsidRDefault="00CA64CC">
      <w:pPr>
        <w:pStyle w:val="ListParagraph"/>
        <w:spacing w:line="480" w:lineRule="auto"/>
        <w:ind w:left="0"/>
        <w:jc w:val="both"/>
        <w:rPr>
          <w:rFonts w:eastAsiaTheme="minorEastAsia"/>
          <w:b/>
          <w:bCs/>
          <w:sz w:val="28"/>
        </w:rPr>
      </w:pPr>
      <w:r>
        <w:rPr>
          <w:i/>
          <w:iCs/>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samples.Groundwater quality values from wells and boreholes in urban areas often show elevated concentrations of, total dissolved solids (TDS) and total hardness (TH) in groundwater samples  surpass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counts  increase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w:t>
      </w:r>
    </w:p>
    <w:p w:rsidR="00252A34" w:rsidRDefault="00CA64CC">
      <w:pPr>
        <w:pStyle w:val="ListParagraph"/>
        <w:spacing w:line="480" w:lineRule="auto"/>
        <w:jc w:val="center"/>
        <w:rPr>
          <w:rFonts w:eastAsiaTheme="minorEastAsia"/>
          <w:b/>
          <w:bCs/>
          <w:sz w:val="28"/>
        </w:rPr>
      </w:pPr>
      <w:r>
        <w:rPr>
          <w:rFonts w:eastAsiaTheme="minorEastAsia"/>
          <w:b/>
          <w:bCs/>
          <w:sz w:val="28"/>
        </w:rPr>
        <w:lastRenderedPageBreak/>
        <w:t>TABLE OF CONTENTS</w:t>
      </w:r>
    </w:p>
    <w:p w:rsidR="00252A34" w:rsidRDefault="00CA64CC">
      <w:pPr>
        <w:pStyle w:val="ListParagraph"/>
        <w:tabs>
          <w:tab w:val="left" w:pos="90"/>
        </w:tabs>
        <w:spacing w:line="480" w:lineRule="auto"/>
        <w:ind w:hanging="630"/>
        <w:jc w:val="both"/>
        <w:rPr>
          <w:rFonts w:eastAsiaTheme="minorEastAsia"/>
        </w:rPr>
      </w:pPr>
      <w:r>
        <w:rPr>
          <w:rFonts w:eastAsiaTheme="minorEastAsia"/>
          <w:b/>
        </w:rPr>
        <w:t>TITLE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PAGE</w:t>
      </w:r>
    </w:p>
    <w:p w:rsidR="00252A34" w:rsidRDefault="00CA64CC">
      <w:pPr>
        <w:pStyle w:val="ListParagraph"/>
        <w:tabs>
          <w:tab w:val="left" w:pos="90"/>
        </w:tabs>
        <w:spacing w:line="480" w:lineRule="auto"/>
        <w:ind w:hanging="630"/>
        <w:jc w:val="both"/>
        <w:rPr>
          <w:rFonts w:eastAsiaTheme="minorEastAsia"/>
        </w:rPr>
      </w:pPr>
      <w:r>
        <w:rPr>
          <w:rFonts w:eastAsiaTheme="minorEastAsia"/>
        </w:rPr>
        <w:t>Title page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w:t>
      </w:r>
    </w:p>
    <w:p w:rsidR="00252A34" w:rsidRDefault="00CA64CC">
      <w:pPr>
        <w:pStyle w:val="ListParagraph"/>
        <w:tabs>
          <w:tab w:val="left" w:pos="90"/>
        </w:tabs>
        <w:spacing w:line="480" w:lineRule="auto"/>
        <w:ind w:hanging="630"/>
        <w:jc w:val="both"/>
        <w:rPr>
          <w:rFonts w:eastAsiaTheme="minorEastAsia"/>
        </w:rPr>
      </w:pPr>
      <w:r>
        <w:rPr>
          <w:rFonts w:eastAsiaTheme="minorEastAsia"/>
        </w:rPr>
        <w:t>Certification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ii</w:t>
      </w:r>
    </w:p>
    <w:p w:rsidR="00252A34" w:rsidRDefault="00CA64CC">
      <w:pPr>
        <w:pStyle w:val="ListParagraph"/>
        <w:tabs>
          <w:tab w:val="left" w:pos="90"/>
        </w:tabs>
        <w:spacing w:line="480" w:lineRule="auto"/>
        <w:ind w:hanging="630"/>
        <w:jc w:val="both"/>
        <w:rPr>
          <w:rFonts w:eastAsiaTheme="minorEastAsia"/>
        </w:rPr>
      </w:pPr>
      <w:r>
        <w:rPr>
          <w:rFonts w:eastAsiaTheme="minorEastAsia"/>
        </w:rPr>
        <w:t>Dedication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iii</w:t>
      </w:r>
    </w:p>
    <w:p w:rsidR="00252A34" w:rsidRDefault="00CA64CC">
      <w:pPr>
        <w:pStyle w:val="ListParagraph"/>
        <w:tabs>
          <w:tab w:val="left" w:pos="90"/>
        </w:tabs>
        <w:spacing w:line="480" w:lineRule="auto"/>
        <w:ind w:hanging="630"/>
        <w:jc w:val="both"/>
        <w:rPr>
          <w:rFonts w:eastAsiaTheme="minorEastAsia"/>
        </w:rPr>
      </w:pPr>
      <w:r>
        <w:rPr>
          <w:rFonts w:eastAsiaTheme="minorEastAsia"/>
        </w:rPr>
        <w:t>Acknowledgements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iv</w:t>
      </w:r>
    </w:p>
    <w:p w:rsidR="00252A34" w:rsidRDefault="00CA64CC">
      <w:pPr>
        <w:pStyle w:val="ListParagraph"/>
        <w:tabs>
          <w:tab w:val="left" w:pos="90"/>
        </w:tabs>
        <w:spacing w:line="480" w:lineRule="auto"/>
        <w:ind w:hanging="630"/>
        <w:jc w:val="both"/>
        <w:rPr>
          <w:rFonts w:eastAsiaTheme="minorEastAsia"/>
        </w:rPr>
      </w:pPr>
      <w:r>
        <w:rPr>
          <w:rFonts w:eastAsiaTheme="minorEastAsia"/>
        </w:rPr>
        <w:t xml:space="preserve">Abstract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v</w:t>
      </w:r>
    </w:p>
    <w:p w:rsidR="00252A34" w:rsidRDefault="00CA64CC">
      <w:pPr>
        <w:pStyle w:val="ListParagraph"/>
        <w:tabs>
          <w:tab w:val="left" w:pos="90"/>
        </w:tabs>
        <w:spacing w:line="480" w:lineRule="auto"/>
        <w:ind w:hanging="630"/>
        <w:jc w:val="both"/>
        <w:rPr>
          <w:rFonts w:eastAsiaTheme="minorEastAsia"/>
        </w:rPr>
      </w:pPr>
      <w:r>
        <w:rPr>
          <w:rFonts w:eastAsiaTheme="minorEastAsia"/>
        </w:rPr>
        <w:t>Table of Contents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vi</w:t>
      </w:r>
    </w:p>
    <w:p w:rsidR="00252A34" w:rsidRDefault="00CA64CC">
      <w:pPr>
        <w:pStyle w:val="ListParagraph"/>
        <w:tabs>
          <w:tab w:val="left" w:pos="90"/>
        </w:tabs>
        <w:spacing w:line="480" w:lineRule="auto"/>
        <w:ind w:hanging="630"/>
        <w:jc w:val="both"/>
        <w:rPr>
          <w:rFonts w:eastAsiaTheme="minorEastAsia"/>
        </w:rPr>
      </w:pPr>
      <w:r>
        <w:rPr>
          <w:rFonts w:eastAsiaTheme="minorEastAsia"/>
        </w:rPr>
        <w:t>List of Tables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x</w:t>
      </w:r>
    </w:p>
    <w:p w:rsidR="00252A34" w:rsidRDefault="00CA64CC">
      <w:pPr>
        <w:pStyle w:val="ListParagraph"/>
        <w:tabs>
          <w:tab w:val="left" w:pos="90"/>
        </w:tabs>
        <w:spacing w:line="480" w:lineRule="auto"/>
        <w:ind w:hanging="630"/>
        <w:jc w:val="both"/>
        <w:rPr>
          <w:rFonts w:eastAsiaTheme="minorEastAsia"/>
        </w:rPr>
      </w:pPr>
      <w:r>
        <w:rPr>
          <w:rFonts w:eastAsiaTheme="minorEastAsia"/>
        </w:rPr>
        <w:t>List of Figure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xi</w:t>
      </w:r>
    </w:p>
    <w:p w:rsidR="00252A34" w:rsidRDefault="00CA64CC">
      <w:pPr>
        <w:tabs>
          <w:tab w:val="left" w:pos="162"/>
        </w:tabs>
        <w:autoSpaceDE w:val="0"/>
        <w:autoSpaceDN w:val="0"/>
        <w:adjustRightInd w:val="0"/>
        <w:spacing w:line="480" w:lineRule="auto"/>
        <w:rPr>
          <w:rFonts w:ascii="Times New Roman" w:eastAsia="Calibri" w:hAnsi="Times New Roman" w:cs="Times New Roman"/>
          <w:b/>
        </w:rPr>
      </w:pPr>
      <w:r>
        <w:rPr>
          <w:rFonts w:ascii="Times New Roman" w:eastAsia="Calibri" w:hAnsi="Times New Roman" w:cs="Times New Roman"/>
          <w:b/>
          <w:sz w:val="24"/>
          <w:szCs w:val="24"/>
        </w:rPr>
        <w:t>CHAPTER ONE: INTRODUCTION</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1</w:t>
      </w:r>
    </w:p>
    <w:p w:rsidR="00252A34" w:rsidRDefault="00CA64CC">
      <w:pPr>
        <w:spacing w:line="480" w:lineRule="auto"/>
        <w:jc w:val="both"/>
        <w:rPr>
          <w:rFonts w:ascii="Times New Roman" w:eastAsia="NimbusSanL-Bold" w:hAnsi="Times New Roman" w:cs="Times New Roman"/>
          <w:color w:val="000000" w:themeColor="text1"/>
          <w:sz w:val="24"/>
          <w:szCs w:val="24"/>
          <w:lang/>
        </w:rPr>
      </w:pPr>
      <w:r>
        <w:rPr>
          <w:rFonts w:ascii="Times New Roman" w:eastAsia="NimbusSanL-Bold" w:hAnsi="Times New Roman" w:cs="Times New Roman"/>
          <w:color w:val="000000" w:themeColor="text1"/>
          <w:sz w:val="24"/>
          <w:szCs w:val="24"/>
          <w:lang/>
        </w:rPr>
        <w:t>1.1</w:t>
      </w:r>
      <w:r>
        <w:rPr>
          <w:rFonts w:ascii="Times New Roman" w:eastAsia="NimbusSanL-Bold" w:hAnsi="Times New Roman" w:cs="Times New Roman"/>
          <w:color w:val="000000" w:themeColor="text1"/>
          <w:sz w:val="24"/>
          <w:szCs w:val="24"/>
          <w:lang/>
        </w:rPr>
        <w:tab/>
        <w:t>Background of the Study</w:t>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r>
      <w:r>
        <w:rPr>
          <w:rFonts w:ascii="Times New Roman" w:eastAsia="NimbusSanL-Bold" w:hAnsi="Times New Roman" w:cs="Times New Roman"/>
          <w:color w:val="000000" w:themeColor="text1"/>
          <w:sz w:val="24"/>
          <w:szCs w:val="24"/>
          <w:lang/>
        </w:rPr>
        <w:tab/>
        <w:t>1</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1.2</w:t>
      </w:r>
      <w:r>
        <w:rPr>
          <w:rStyle w:val="Strong"/>
          <w:rFonts w:ascii="Times New Roman" w:hAnsi="Times New Roman" w:hint="default"/>
          <w:color w:val="000000" w:themeColor="text1"/>
          <w:sz w:val="24"/>
          <w:szCs w:val="24"/>
        </w:rPr>
        <w:tab/>
        <w:t>Problem Statement of the Project</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4</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1,3</w:t>
      </w:r>
      <w:r>
        <w:rPr>
          <w:rStyle w:val="Strong"/>
          <w:rFonts w:ascii="Times New Roman" w:hAnsi="Times New Roman" w:hint="default"/>
          <w:color w:val="000000" w:themeColor="text1"/>
          <w:sz w:val="24"/>
          <w:szCs w:val="24"/>
        </w:rPr>
        <w:tab/>
        <w:t>Aims and Objective</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4</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1.4</w:t>
      </w:r>
      <w:r>
        <w:rPr>
          <w:rStyle w:val="Strong"/>
          <w:rFonts w:ascii="Times New Roman" w:hAnsi="Times New Roman" w:hint="default"/>
          <w:color w:val="000000" w:themeColor="text1"/>
          <w:sz w:val="24"/>
          <w:szCs w:val="24"/>
        </w:rPr>
        <w:tab/>
        <w:t xml:space="preserve">Scope of the Study </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5</w:t>
      </w:r>
    </w:p>
    <w:p w:rsidR="00252A34" w:rsidRDefault="00CA64CC">
      <w:pPr>
        <w:pStyle w:val="Heading3"/>
        <w:spacing w:line="480" w:lineRule="auto"/>
        <w:jc w:val="both"/>
        <w:rPr>
          <w:rFonts w:ascii="Times New Roman" w:hAnsi="Times New Roman" w:hint="default"/>
          <w:b w:val="0"/>
          <w:bCs w:val="0"/>
          <w:color w:val="000000" w:themeColor="text1"/>
          <w:sz w:val="24"/>
          <w:szCs w:val="24"/>
        </w:rPr>
      </w:pPr>
      <w:r>
        <w:rPr>
          <w:rStyle w:val="Strong"/>
          <w:rFonts w:ascii="Times New Roman" w:hAnsi="Times New Roman" w:hint="default"/>
          <w:color w:val="000000" w:themeColor="text1"/>
          <w:sz w:val="24"/>
          <w:szCs w:val="24"/>
        </w:rPr>
        <w:t>1.5</w:t>
      </w:r>
      <w:r>
        <w:rPr>
          <w:rStyle w:val="Strong"/>
          <w:rFonts w:ascii="Times New Roman" w:hAnsi="Times New Roman" w:hint="default"/>
          <w:color w:val="000000" w:themeColor="text1"/>
          <w:sz w:val="24"/>
          <w:szCs w:val="24"/>
        </w:rPr>
        <w:tab/>
        <w:t>Justification of the Project</w:t>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r>
      <w:r>
        <w:rPr>
          <w:rStyle w:val="Strong"/>
          <w:rFonts w:ascii="Times New Roman" w:hAnsi="Times New Roman" w:hint="default"/>
          <w:color w:val="000000" w:themeColor="text1"/>
          <w:sz w:val="24"/>
          <w:szCs w:val="24"/>
        </w:rPr>
        <w:tab/>
        <w:t>5</w:t>
      </w:r>
    </w:p>
    <w:p w:rsidR="00252A34" w:rsidRDefault="00CA64CC">
      <w:pPr>
        <w:pStyle w:val="NormalWeb"/>
        <w:tabs>
          <w:tab w:val="left" w:pos="162"/>
        </w:tabs>
        <w:autoSpaceDE w:val="0"/>
        <w:autoSpaceDN w:val="0"/>
        <w:adjustRightInd w:val="0"/>
        <w:spacing w:beforeAutospacing="0" w:afterAutospacing="0" w:line="480" w:lineRule="auto"/>
        <w:rPr>
          <w:rFonts w:eastAsia="Calibri"/>
          <w:b/>
        </w:rPr>
      </w:pPr>
      <w:r>
        <w:rPr>
          <w:rFonts w:eastAsia="Calibri"/>
          <w:b/>
        </w:rPr>
        <w:t>CHAPTER TWO: LITERATURE REVIEW</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rPr>
        <w:t>7</w:t>
      </w:r>
    </w:p>
    <w:p w:rsidR="00252A34" w:rsidRDefault="00CA64C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Pr>
          <w:rFonts w:ascii="Times New Roman" w:hAnsi="Times New Roman" w:cs="Times New Roman"/>
          <w:color w:val="000000" w:themeColor="text1"/>
          <w:sz w:val="24"/>
          <w:szCs w:val="24"/>
        </w:rPr>
        <w:tab/>
        <w:t xml:space="preserve">Preamble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252A34" w:rsidRDefault="00CA64CC">
      <w:pPr>
        <w:pStyle w:val="Heading2"/>
        <w:shd w:val="clear" w:color="auto" w:fill="FFFFFF"/>
        <w:spacing w:beforeAutospacing="0" w:afterAutospacing="0" w:line="480" w:lineRule="auto"/>
        <w:jc w:val="both"/>
        <w:rPr>
          <w:rFonts w:ascii="Times New Roman" w:eastAsia="sans-serif" w:hAnsi="Times New Roman" w:hint="default"/>
          <w:b w:val="0"/>
          <w:bCs w:val="0"/>
          <w:color w:val="000000" w:themeColor="text1"/>
          <w:spacing w:val="-6"/>
          <w:sz w:val="24"/>
          <w:szCs w:val="24"/>
        </w:rPr>
      </w:pPr>
      <w:r>
        <w:rPr>
          <w:rFonts w:ascii="Times New Roman" w:eastAsia="sans-serif" w:hAnsi="Times New Roman" w:hint="default"/>
          <w:b w:val="0"/>
          <w:bCs w:val="0"/>
          <w:color w:val="000000" w:themeColor="text1"/>
          <w:spacing w:val="-6"/>
          <w:sz w:val="24"/>
          <w:szCs w:val="24"/>
          <w:shd w:val="clear" w:color="auto" w:fill="FFFFFF"/>
        </w:rPr>
        <w:t>2.2</w:t>
      </w:r>
      <w:r>
        <w:rPr>
          <w:rFonts w:ascii="Times New Roman" w:eastAsia="sans-serif" w:hAnsi="Times New Roman" w:hint="default"/>
          <w:b w:val="0"/>
          <w:bCs w:val="0"/>
          <w:color w:val="000000" w:themeColor="text1"/>
          <w:spacing w:val="-6"/>
          <w:sz w:val="24"/>
          <w:szCs w:val="24"/>
          <w:shd w:val="clear" w:color="auto" w:fill="FFFFFF"/>
        </w:rPr>
        <w:tab/>
        <w:t>Sources of Water Contamination</w:t>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t>8</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2.2.1</w:t>
      </w:r>
      <w:r>
        <w:rPr>
          <w:rFonts w:ascii="Times New Roman" w:eastAsia="sans-serif" w:hAnsi="Times New Roman" w:cs="Times New Roman"/>
          <w:color w:val="000000" w:themeColor="text1"/>
          <w:spacing w:val="-6"/>
          <w:sz w:val="24"/>
          <w:szCs w:val="24"/>
          <w:shd w:val="clear" w:color="auto" w:fill="FFFFFF"/>
        </w:rPr>
        <w:tab/>
        <w:t>Agricultural Activities</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2.2.2</w:t>
      </w:r>
      <w:r>
        <w:rPr>
          <w:rFonts w:ascii="Times New Roman" w:eastAsia="sans-serif" w:hAnsi="Times New Roman" w:cs="Times New Roman"/>
          <w:color w:val="000000" w:themeColor="text1"/>
          <w:spacing w:val="-6"/>
          <w:sz w:val="24"/>
          <w:szCs w:val="24"/>
          <w:shd w:val="clear" w:color="auto" w:fill="FFFFFF"/>
        </w:rPr>
        <w:tab/>
        <w:t>Industrial Waste</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2.2.3</w:t>
      </w:r>
      <w:r>
        <w:rPr>
          <w:rFonts w:ascii="Times New Roman" w:eastAsia="sans-serif" w:hAnsi="Times New Roman" w:cs="Times New Roman"/>
          <w:color w:val="000000" w:themeColor="text1"/>
          <w:spacing w:val="-6"/>
          <w:sz w:val="24"/>
          <w:szCs w:val="24"/>
          <w:shd w:val="clear" w:color="auto" w:fill="FFFFFF"/>
        </w:rPr>
        <w:tab/>
        <w:t>Sewage</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t>2.2.4</w:t>
      </w:r>
      <w:r>
        <w:rPr>
          <w:rFonts w:ascii="Times New Roman" w:eastAsia="sans-serif" w:hAnsi="Times New Roman" w:cs="Times New Roman"/>
          <w:color w:val="000000" w:themeColor="text1"/>
          <w:spacing w:val="-6"/>
          <w:sz w:val="24"/>
          <w:szCs w:val="24"/>
          <w:shd w:val="clear" w:color="auto" w:fill="FFFFFF"/>
        </w:rPr>
        <w:tab/>
        <w:t>Natural Events</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9</w:t>
      </w:r>
    </w:p>
    <w:p w:rsidR="00252A34" w:rsidRDefault="00CA64CC">
      <w:pPr>
        <w:spacing w:line="480" w:lineRule="auto"/>
      </w:pPr>
      <w:r>
        <w:rPr>
          <w:rFonts w:ascii="Times New Roman" w:eastAsia="sans-serif" w:hAnsi="Times New Roman" w:cs="Times New Roman"/>
          <w:color w:val="000000" w:themeColor="text1"/>
          <w:spacing w:val="-6"/>
          <w:sz w:val="24"/>
          <w:szCs w:val="24"/>
          <w:shd w:val="clear" w:color="auto" w:fill="FFFFFF"/>
        </w:rPr>
        <w:lastRenderedPageBreak/>
        <w:t>2.2.5</w:t>
      </w:r>
      <w:r>
        <w:rPr>
          <w:rFonts w:ascii="Times New Roman" w:eastAsia="sans-serif" w:hAnsi="Times New Roman" w:cs="Times New Roman"/>
          <w:color w:val="000000" w:themeColor="text1"/>
          <w:spacing w:val="-6"/>
          <w:sz w:val="24"/>
          <w:szCs w:val="24"/>
          <w:shd w:val="clear" w:color="auto" w:fill="FFFFFF"/>
        </w:rPr>
        <w:tab/>
        <w:t>Mining</w:t>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10</w:t>
      </w:r>
    </w:p>
    <w:p w:rsidR="00252A34" w:rsidRDefault="00CA64CC">
      <w:pPr>
        <w:pStyle w:val="Heading2"/>
        <w:shd w:val="clear" w:color="auto" w:fill="FFFFFF"/>
        <w:spacing w:beforeAutospacing="0" w:line="480" w:lineRule="auto"/>
        <w:jc w:val="both"/>
        <w:rPr>
          <w:rFonts w:ascii="Times New Roman" w:eastAsia="sans-serif" w:hAnsi="Times New Roman" w:hint="default"/>
          <w:b w:val="0"/>
          <w:bCs w:val="0"/>
          <w:color w:val="000000" w:themeColor="text1"/>
          <w:spacing w:val="-6"/>
          <w:sz w:val="24"/>
          <w:szCs w:val="24"/>
        </w:rPr>
      </w:pPr>
      <w:r>
        <w:rPr>
          <w:rFonts w:ascii="Times New Roman" w:eastAsia="sans-serif" w:hAnsi="Times New Roman" w:hint="default"/>
          <w:b w:val="0"/>
          <w:bCs w:val="0"/>
          <w:color w:val="000000" w:themeColor="text1"/>
          <w:spacing w:val="-6"/>
          <w:sz w:val="24"/>
          <w:szCs w:val="24"/>
          <w:shd w:val="clear" w:color="auto" w:fill="FFFFFF"/>
        </w:rPr>
        <w:t>2.2.6</w:t>
      </w:r>
      <w:r>
        <w:rPr>
          <w:rFonts w:ascii="Times New Roman" w:eastAsia="sans-serif" w:hAnsi="Times New Roman" w:hint="default"/>
          <w:b w:val="0"/>
          <w:bCs w:val="0"/>
          <w:color w:val="000000" w:themeColor="text1"/>
          <w:spacing w:val="-6"/>
          <w:sz w:val="24"/>
          <w:szCs w:val="24"/>
          <w:shd w:val="clear" w:color="auto" w:fill="FFFFFF"/>
        </w:rPr>
        <w:tab/>
        <w:t>Public Water Regulation</w:t>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t>10</w:t>
      </w:r>
    </w:p>
    <w:p w:rsidR="00252A34" w:rsidRDefault="00CA64CC">
      <w:pPr>
        <w:pStyle w:val="Heading2"/>
        <w:shd w:val="clear" w:color="auto" w:fill="FFFFFF"/>
        <w:spacing w:beforeAutospacing="0" w:line="480" w:lineRule="auto"/>
        <w:jc w:val="both"/>
        <w:rPr>
          <w:rFonts w:ascii="Times New Roman" w:eastAsia="sans-serif" w:hAnsi="Times New Roman" w:hint="default"/>
          <w:b w:val="0"/>
          <w:bCs w:val="0"/>
          <w:color w:val="000000" w:themeColor="text1"/>
          <w:spacing w:val="-6"/>
          <w:sz w:val="24"/>
          <w:szCs w:val="24"/>
        </w:rPr>
      </w:pPr>
      <w:r>
        <w:rPr>
          <w:rFonts w:ascii="Times New Roman" w:eastAsia="sans-serif" w:hAnsi="Times New Roman" w:hint="default"/>
          <w:b w:val="0"/>
          <w:bCs w:val="0"/>
          <w:color w:val="000000" w:themeColor="text1"/>
          <w:spacing w:val="-6"/>
          <w:sz w:val="24"/>
          <w:szCs w:val="24"/>
          <w:shd w:val="clear" w:color="auto" w:fill="FFFFFF"/>
        </w:rPr>
        <w:t>2.3</w:t>
      </w:r>
      <w:r>
        <w:rPr>
          <w:rFonts w:ascii="Times New Roman" w:eastAsia="sans-serif" w:hAnsi="Times New Roman" w:hint="default"/>
          <w:b w:val="0"/>
          <w:bCs w:val="0"/>
          <w:color w:val="000000" w:themeColor="text1"/>
          <w:spacing w:val="-6"/>
          <w:sz w:val="24"/>
          <w:szCs w:val="24"/>
          <w:shd w:val="clear" w:color="auto" w:fill="FFFFFF"/>
        </w:rPr>
        <w:tab/>
        <w:t>Effects of The Most Common Drinking Water Contaminants</w:t>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r>
      <w:r>
        <w:rPr>
          <w:rFonts w:ascii="Times New Roman" w:eastAsia="sans-serif" w:hAnsi="Times New Roman" w:hint="default"/>
          <w:b w:val="0"/>
          <w:bCs w:val="0"/>
          <w:color w:val="000000" w:themeColor="text1"/>
          <w:spacing w:val="-6"/>
          <w:sz w:val="24"/>
          <w:szCs w:val="24"/>
          <w:shd w:val="clear" w:color="auto" w:fill="FFFFFF"/>
        </w:rPr>
        <w:tab/>
        <w:t>10</w:t>
      </w:r>
    </w:p>
    <w:p w:rsidR="00252A34" w:rsidRDefault="00CA64CC">
      <w:pPr>
        <w:pStyle w:val="Heading2"/>
        <w:shd w:val="clear" w:color="auto" w:fill="FFFFFF"/>
        <w:spacing w:beforeAutospacing="0" w:after="84" w:afterAutospacing="0" w:line="480" w:lineRule="auto"/>
        <w:jc w:val="both"/>
        <w:rPr>
          <w:rFonts w:hint="default"/>
          <w:b w:val="0"/>
          <w:bCs w:val="0"/>
          <w:color w:val="000000" w:themeColor="text1"/>
          <w:sz w:val="24"/>
          <w:szCs w:val="24"/>
        </w:rPr>
      </w:pPr>
      <w:r>
        <w:rPr>
          <w:rFonts w:ascii="Times New Roman" w:eastAsia="sans-serif" w:hAnsi="Times New Roman" w:hint="default"/>
          <w:b w:val="0"/>
          <w:bCs w:val="0"/>
          <w:color w:val="000000" w:themeColor="text1"/>
          <w:spacing w:val="-15"/>
          <w:sz w:val="24"/>
          <w:szCs w:val="24"/>
          <w:shd w:val="clear" w:color="auto" w:fill="FFFFFF"/>
        </w:rPr>
        <w:t>2.4</w:t>
      </w:r>
      <w:r>
        <w:rPr>
          <w:rFonts w:ascii="Times New Roman" w:eastAsia="sans-serif" w:hAnsi="Times New Roman" w:hint="default"/>
          <w:b w:val="0"/>
          <w:bCs w:val="0"/>
          <w:color w:val="000000" w:themeColor="text1"/>
          <w:spacing w:val="-15"/>
          <w:sz w:val="24"/>
          <w:szCs w:val="24"/>
          <w:shd w:val="clear" w:color="auto" w:fill="FFFFFF"/>
        </w:rPr>
        <w:tab/>
        <w:t>Types of Microorganisms in Water</w:t>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r>
      <w:r>
        <w:rPr>
          <w:rFonts w:ascii="Times New Roman" w:eastAsia="sans-serif" w:hAnsi="Times New Roman" w:hint="default"/>
          <w:b w:val="0"/>
          <w:bCs w:val="0"/>
          <w:color w:val="000000" w:themeColor="text1"/>
          <w:spacing w:val="-15"/>
          <w:sz w:val="24"/>
          <w:szCs w:val="24"/>
          <w:shd w:val="clear" w:color="auto" w:fill="FFFFFF"/>
        </w:rPr>
        <w:tab/>
        <w:t>11</w:t>
      </w:r>
    </w:p>
    <w:p w:rsidR="00252A34" w:rsidRDefault="00CA64CC">
      <w:pPr>
        <w:pStyle w:val="NormalWeb"/>
        <w:shd w:val="clear" w:color="auto" w:fill="FFFFFF"/>
        <w:spacing w:beforeAutospacing="0" w:afterAutospacing="0" w:line="480" w:lineRule="auto"/>
        <w:jc w:val="both"/>
        <w:rPr>
          <w:rFonts w:eastAsia="sans-serif"/>
          <w:color w:val="000000" w:themeColor="text1"/>
          <w:spacing w:val="-15"/>
        </w:rPr>
      </w:pPr>
      <w:r>
        <w:rPr>
          <w:color w:val="000000" w:themeColor="text1"/>
        </w:rPr>
        <w:t>2.5</w:t>
      </w:r>
      <w:r>
        <w:rPr>
          <w:color w:val="000000" w:themeColor="text1"/>
        </w:rPr>
        <w:tab/>
      </w:r>
      <w:r>
        <w:rPr>
          <w:rStyle w:val="Strong"/>
          <w:rFonts w:eastAsia="sans-serif"/>
          <w:b w:val="0"/>
          <w:bCs w:val="0"/>
          <w:color w:val="000000" w:themeColor="text1"/>
          <w:spacing w:val="-15"/>
          <w:shd w:val="clear" w:color="auto" w:fill="FFFFFF"/>
        </w:rPr>
        <w:t>Types of Pathogens Found  in Water</w:t>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r>
      <w:r>
        <w:rPr>
          <w:rStyle w:val="Strong"/>
          <w:rFonts w:eastAsia="sans-serif"/>
          <w:b w:val="0"/>
          <w:bCs w:val="0"/>
          <w:color w:val="000000" w:themeColor="text1"/>
          <w:spacing w:val="-15"/>
          <w:shd w:val="clear" w:color="auto" w:fill="FFFFFF"/>
        </w:rPr>
        <w:tab/>
        <w:t>12</w:t>
      </w:r>
    </w:p>
    <w:p w:rsidR="00252A34" w:rsidRDefault="00CA64CC">
      <w:pPr>
        <w:pStyle w:val="Heading2"/>
        <w:shd w:val="clear" w:color="auto" w:fill="FFFFFF"/>
        <w:spacing w:before="168" w:beforeAutospacing="0" w:after="84" w:afterAutospacing="0" w:line="480" w:lineRule="auto"/>
        <w:jc w:val="both"/>
        <w:rPr>
          <w:rFonts w:ascii="Times New Roman" w:eastAsia="sans-serif" w:hAnsi="Times New Roman" w:hint="default"/>
          <w:b w:val="0"/>
          <w:bCs w:val="0"/>
          <w:caps/>
          <w:color w:val="000000" w:themeColor="text1"/>
          <w:spacing w:val="-15"/>
          <w:sz w:val="24"/>
          <w:szCs w:val="24"/>
        </w:rPr>
      </w:pPr>
      <w:r>
        <w:rPr>
          <w:rStyle w:val="Strong"/>
          <w:rFonts w:ascii="Times New Roman" w:eastAsia="sans-serif" w:hAnsi="Times New Roman" w:hint="default"/>
          <w:caps/>
          <w:color w:val="000000" w:themeColor="text1"/>
          <w:spacing w:val="-15"/>
          <w:sz w:val="24"/>
          <w:szCs w:val="24"/>
          <w:shd w:val="clear" w:color="auto" w:fill="FFFFFF"/>
        </w:rPr>
        <w:t>2.6</w:t>
      </w:r>
      <w:r>
        <w:rPr>
          <w:rStyle w:val="Strong"/>
          <w:rFonts w:ascii="Times New Roman" w:eastAsia="sans-serif" w:hAnsi="Times New Roman" w:hint="default"/>
          <w:caps/>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Roleof Microorganismsin Water</w:t>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r>
      <w:r>
        <w:rPr>
          <w:rStyle w:val="Strong"/>
          <w:rFonts w:ascii="Times New Roman" w:eastAsia="sans-serif" w:hAnsi="Times New Roman" w:hint="default"/>
          <w:color w:val="000000" w:themeColor="text1"/>
          <w:spacing w:val="-15"/>
          <w:sz w:val="24"/>
          <w:szCs w:val="24"/>
          <w:shd w:val="clear" w:color="auto" w:fill="FFFFFF"/>
        </w:rPr>
        <w:tab/>
        <w:t>12</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w:t>
      </w:r>
      <w:r>
        <w:rPr>
          <w:color w:val="000000" w:themeColor="text1"/>
        </w:rPr>
        <w:tab/>
        <w:t xml:space="preserve">Health Effects of Bacterial Toxins in Drinking </w:t>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2.7.1</w:t>
      </w:r>
      <w:r>
        <w:rPr>
          <w:color w:val="000000" w:themeColor="text1"/>
        </w:rPr>
        <w:tab/>
        <w:t>Gastrointestinal Disorders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2.7.2</w:t>
      </w:r>
      <w:r>
        <w:rPr>
          <w:color w:val="000000" w:themeColor="text1"/>
        </w:rPr>
        <w:tab/>
        <w:t>Hepatitis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2.7.3</w:t>
      </w:r>
      <w:r>
        <w:rPr>
          <w:color w:val="000000" w:themeColor="text1"/>
        </w:rPr>
        <w:tab/>
        <w:t xml:space="preserve">Acute Kidney Injury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2.7.4</w:t>
      </w:r>
      <w:r>
        <w:rPr>
          <w:color w:val="000000" w:themeColor="text1"/>
        </w:rPr>
        <w:tab/>
        <w:t>Respiratory Conditions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2.7.5</w:t>
      </w:r>
      <w:r>
        <w:rPr>
          <w:color w:val="000000" w:themeColor="text1"/>
        </w:rPr>
        <w:tab/>
        <w:t>Neuro logical Disorders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2.7.6</w:t>
      </w:r>
      <w:r>
        <w:rPr>
          <w:color w:val="000000" w:themeColor="text1"/>
        </w:rPr>
        <w:tab/>
        <w:t>Gastrointestinal Disorders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252A34" w:rsidRDefault="00CA64CC">
      <w:pPr>
        <w:pStyle w:val="Heading1"/>
        <w:shd w:val="clear" w:color="auto" w:fill="FFFFFF"/>
        <w:spacing w:beforeAutospacing="0" w:afterAutospacing="0" w:line="480" w:lineRule="auto"/>
        <w:jc w:val="both"/>
        <w:rPr>
          <w:rFonts w:ascii="Times New Roman" w:eastAsia="Georgia" w:hAnsi="Times New Roman" w:hint="default"/>
          <w:b w:val="0"/>
          <w:bCs w:val="0"/>
          <w:color w:val="000000" w:themeColor="text1"/>
          <w:sz w:val="24"/>
          <w:szCs w:val="24"/>
        </w:rPr>
      </w:pPr>
      <w:r>
        <w:rPr>
          <w:rFonts w:ascii="Times New Roman" w:eastAsia="Georgia" w:hAnsi="Times New Roman" w:hint="default"/>
          <w:b w:val="0"/>
          <w:bCs w:val="0"/>
          <w:color w:val="000000" w:themeColor="text1"/>
          <w:sz w:val="24"/>
          <w:szCs w:val="24"/>
          <w:shd w:val="clear" w:color="auto" w:fill="FFFFFF"/>
        </w:rPr>
        <w:t>2.8</w:t>
      </w:r>
      <w:r>
        <w:rPr>
          <w:rFonts w:ascii="Times New Roman" w:eastAsia="Georgia" w:hAnsi="Times New Roman" w:hint="default"/>
          <w:b w:val="0"/>
          <w:bCs w:val="0"/>
          <w:color w:val="000000" w:themeColor="text1"/>
          <w:sz w:val="24"/>
          <w:szCs w:val="24"/>
          <w:shd w:val="clear" w:color="auto" w:fill="FFFFFF"/>
        </w:rPr>
        <w:tab/>
        <w:t>Drinking Water Quality Standards</w:t>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r>
      <w:r>
        <w:rPr>
          <w:rFonts w:ascii="Times New Roman" w:eastAsia="Georgia" w:hAnsi="Times New Roman" w:hint="default"/>
          <w:b w:val="0"/>
          <w:bCs w:val="0"/>
          <w:color w:val="000000" w:themeColor="text1"/>
          <w:sz w:val="24"/>
          <w:szCs w:val="24"/>
          <w:shd w:val="clear" w:color="auto" w:fill="FFFFFF"/>
        </w:rPr>
        <w:tab/>
        <w:t>14</w:t>
      </w:r>
    </w:p>
    <w:p w:rsidR="00252A34" w:rsidRDefault="00CA64CC">
      <w:pPr>
        <w:pStyle w:val="NormalWeb"/>
        <w:shd w:val="clear" w:color="auto" w:fill="FFFFFF"/>
        <w:spacing w:before="105" w:beforeAutospacing="0" w:after="210" w:afterAutospacing="0" w:line="480" w:lineRule="auto"/>
        <w:jc w:val="both"/>
        <w:rPr>
          <w:color w:val="000000" w:themeColor="text1"/>
        </w:rPr>
      </w:pPr>
      <w:r>
        <w:rPr>
          <w:color w:val="000000" w:themeColor="text1"/>
        </w:rPr>
        <w:t>2.9</w:t>
      </w:r>
      <w:r>
        <w:rPr>
          <w:color w:val="000000" w:themeColor="text1"/>
        </w:rPr>
        <w:tab/>
        <w:t>Methods of Detecting Bacteria in Water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15</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2.9.1</w:t>
      </w:r>
      <w:r>
        <w:rPr>
          <w:rFonts w:ascii="Times New Roman" w:hAnsi="Times New Roman" w:hint="default"/>
          <w:b w:val="0"/>
          <w:bCs w:val="0"/>
          <w:color w:val="000000" w:themeColor="text1"/>
          <w:sz w:val="24"/>
          <w:szCs w:val="24"/>
          <w:shd w:val="clear" w:color="auto" w:fill="FFFFFF"/>
        </w:rPr>
        <w:tab/>
        <w:t>Multiple tube method</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16</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2.9.2</w:t>
      </w:r>
      <w:r>
        <w:rPr>
          <w:rFonts w:ascii="Times New Roman" w:hAnsi="Times New Roman" w:hint="default"/>
          <w:b w:val="0"/>
          <w:bCs w:val="0"/>
          <w:color w:val="000000" w:themeColor="text1"/>
          <w:sz w:val="24"/>
          <w:szCs w:val="24"/>
          <w:shd w:val="clear" w:color="auto" w:fill="FFFFFF"/>
        </w:rPr>
        <w:tab/>
        <w:t>ATP testing</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16</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2.9.3</w:t>
      </w:r>
      <w:r>
        <w:rPr>
          <w:rFonts w:ascii="Times New Roman" w:hAnsi="Times New Roman" w:hint="default"/>
          <w:b w:val="0"/>
          <w:bCs w:val="0"/>
          <w:color w:val="000000" w:themeColor="text1"/>
          <w:sz w:val="24"/>
          <w:szCs w:val="24"/>
          <w:shd w:val="clear" w:color="auto" w:fill="FFFFFF"/>
        </w:rPr>
        <w:tab/>
        <w:t>Plate count</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17</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2.9.4</w:t>
      </w:r>
      <w:r>
        <w:rPr>
          <w:rFonts w:ascii="Times New Roman" w:hAnsi="Times New Roman" w:hint="default"/>
          <w:b w:val="0"/>
          <w:bCs w:val="0"/>
          <w:color w:val="000000" w:themeColor="text1"/>
          <w:sz w:val="24"/>
          <w:szCs w:val="24"/>
          <w:shd w:val="clear" w:color="auto" w:fill="FFFFFF"/>
        </w:rPr>
        <w:tab/>
        <w:t>Membrane filtration</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18</w:t>
      </w:r>
    </w:p>
    <w:p w:rsidR="00252A34" w:rsidRDefault="00CA64CC">
      <w:pPr>
        <w:pStyle w:val="Heading3"/>
        <w:spacing w:before="52" w:beforeAutospacing="0" w:after="106" w:afterAutospacing="0" w:line="480" w:lineRule="auto"/>
        <w:jc w:val="both"/>
        <w:rPr>
          <w:rFonts w:ascii="Times New Roman" w:eastAsia="sans-serif" w:hAnsi="Times New Roman" w:hint="default"/>
          <w:b w:val="0"/>
          <w:bCs w:val="0"/>
          <w:color w:val="000000" w:themeColor="text1"/>
          <w:sz w:val="24"/>
          <w:szCs w:val="24"/>
        </w:rPr>
      </w:pPr>
      <w:r>
        <w:rPr>
          <w:rFonts w:ascii="Times New Roman" w:hAnsi="Times New Roman" w:hint="default"/>
          <w:b w:val="0"/>
          <w:bCs w:val="0"/>
          <w:color w:val="000000" w:themeColor="text1"/>
          <w:sz w:val="24"/>
          <w:szCs w:val="24"/>
          <w:shd w:val="clear" w:color="auto" w:fill="FFFFFF"/>
        </w:rPr>
        <w:t>2.9.5</w:t>
      </w:r>
      <w:r>
        <w:rPr>
          <w:rFonts w:ascii="Times New Roman" w:hAnsi="Times New Roman" w:hint="default"/>
          <w:b w:val="0"/>
          <w:bCs w:val="0"/>
          <w:color w:val="000000" w:themeColor="text1"/>
          <w:sz w:val="24"/>
          <w:szCs w:val="24"/>
          <w:shd w:val="clear" w:color="auto" w:fill="FFFFFF"/>
        </w:rPr>
        <w:tab/>
        <w:t>Pour plate method</w:t>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r>
      <w:r>
        <w:rPr>
          <w:rFonts w:ascii="Times New Roman" w:hAnsi="Times New Roman" w:hint="default"/>
          <w:b w:val="0"/>
          <w:bCs w:val="0"/>
          <w:color w:val="000000" w:themeColor="text1"/>
          <w:sz w:val="24"/>
          <w:szCs w:val="24"/>
          <w:shd w:val="clear" w:color="auto" w:fill="FFFFFF"/>
        </w:rPr>
        <w:tab/>
        <w:t>18</w:t>
      </w:r>
    </w:p>
    <w:p w:rsidR="00252A34" w:rsidRDefault="00CA64CC">
      <w:pPr>
        <w:pStyle w:val="NormalWeb"/>
        <w:shd w:val="clear" w:color="auto" w:fill="FFFFFF"/>
        <w:spacing w:beforeAutospacing="0" w:afterAutospacing="0" w:line="480" w:lineRule="auto"/>
        <w:jc w:val="both"/>
        <w:rPr>
          <w:color w:val="000000" w:themeColor="text1"/>
        </w:rPr>
      </w:pPr>
      <w:r>
        <w:rPr>
          <w:color w:val="000000" w:themeColor="text1"/>
        </w:rPr>
        <w:t>2.10</w:t>
      </w:r>
      <w:r>
        <w:rPr>
          <w:color w:val="000000" w:themeColor="text1"/>
        </w:rPr>
        <w:tab/>
        <w:t>Review of Past Related 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19</w:t>
      </w:r>
    </w:p>
    <w:p w:rsidR="00252A34" w:rsidRDefault="00252A34">
      <w:pPr>
        <w:pStyle w:val="NormalWeb"/>
        <w:shd w:val="clear" w:color="auto" w:fill="FFFFFF"/>
        <w:spacing w:beforeAutospacing="0" w:afterAutospacing="0" w:line="480" w:lineRule="auto"/>
        <w:jc w:val="both"/>
        <w:rPr>
          <w:color w:val="000000" w:themeColor="text1"/>
        </w:rPr>
      </w:pPr>
    </w:p>
    <w:p w:rsidR="00252A34" w:rsidRDefault="00CA64CC">
      <w:pPr>
        <w:spacing w:line="480" w:lineRule="auto"/>
        <w:rPr>
          <w:rFonts w:ascii="Times New Roman" w:eastAsia="Calibri" w:hAnsi="Times New Roman" w:cs="Times New Roman"/>
          <w:bCs/>
          <w:sz w:val="28"/>
          <w:szCs w:val="28"/>
          <w:lang w:eastAsia="en-US"/>
        </w:rPr>
      </w:pPr>
      <w:r>
        <w:rPr>
          <w:rFonts w:ascii="Times New Roman" w:eastAsia="Calibri" w:hAnsi="Times New Roman" w:cs="Times New Roman"/>
          <w:b/>
          <w:sz w:val="28"/>
          <w:szCs w:val="28"/>
        </w:rPr>
        <w:lastRenderedPageBreak/>
        <w:t>CHAPTER THREE</w:t>
      </w:r>
    </w:p>
    <w:p w:rsidR="00252A34" w:rsidRDefault="00CA64CC">
      <w:pPr>
        <w:spacing w:line="48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3.1 Location of the Study Area </w:t>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t>21</w:t>
      </w:r>
    </w:p>
    <w:p w:rsidR="00252A34" w:rsidRDefault="00CA64CC">
      <w:pPr>
        <w:spacing w:line="48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3.2 Water Sampling Procedure </w:t>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t>21</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3.3 Laboratory Analysis of the Water Samples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 Analysis of parameters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3.4.1 Physical parameters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3.4.2.1 Temperature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3.4.2.2 Color / Odor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3.4.2.3 </w:t>
      </w:r>
      <w:r w:rsidRPr="003D3E51">
        <w:rPr>
          <w:rFonts w:ascii="Times New Roman" w:hAnsi="Times New Roman"/>
          <w:bCs/>
          <w:color w:val="000000" w:themeColor="text1"/>
          <w:sz w:val="28"/>
          <w:szCs w:val="28"/>
        </w:rPr>
        <w:t>P</w:t>
      </w:r>
      <w:r w:rsidRPr="003D3E51">
        <w:rPr>
          <w:rFonts w:ascii="Times New Roman" w:hAnsi="Times New Roman"/>
          <w:bCs/>
          <w:color w:val="000000" w:themeColor="text1"/>
          <w:sz w:val="28"/>
          <w:szCs w:val="28"/>
          <w:vertAlign w:val="superscript"/>
        </w:rPr>
        <w:t>H</w:t>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vertAlign w:val="superscript"/>
        </w:rPr>
        <w:tab/>
      </w:r>
      <w:r>
        <w:rPr>
          <w:rFonts w:ascii="Times New Roman" w:hAnsi="Times New Roman"/>
          <w:bCs/>
          <w:color w:val="000000" w:themeColor="text1"/>
          <w:sz w:val="24"/>
          <w:szCs w:val="24"/>
        </w:rPr>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3.4.2.4 Filterable solids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 Chemical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3.4.3.1 Total hardness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3.4.3.2 Chloride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22</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3.4.3.3 Sulphate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3.4.3.4 Nitrate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3.4.3.5 Trace Elements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 Biological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3.4.4.1  Total Viable Counts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3.4.4.2 Coliform Counts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23</w:t>
      </w:r>
    </w:p>
    <w:p w:rsidR="00252A34" w:rsidRDefault="00CA64CC">
      <w:pPr>
        <w:spacing w:line="480" w:lineRule="auto"/>
        <w:ind w:left="-5"/>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3.4.4.3 E. Coli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24</w:t>
      </w:r>
    </w:p>
    <w:p w:rsidR="00252A34" w:rsidRDefault="00CA64CC">
      <w:pPr>
        <w:spacing w:line="480" w:lineRule="auto"/>
        <w:ind w:right="24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3.4.4.4 Streptococcus Feacalis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 xml:space="preserve">          24</w:t>
      </w:r>
    </w:p>
    <w:p w:rsidR="00252A34" w:rsidRDefault="00CA64C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3.5 Methods Of Data Analysis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24</w:t>
      </w:r>
    </w:p>
    <w:p w:rsidR="00252A34" w:rsidRDefault="00CA64CC">
      <w:pPr>
        <w:pStyle w:val="NormalWeb"/>
        <w:tabs>
          <w:tab w:val="left" w:pos="162"/>
        </w:tabs>
        <w:autoSpaceDE w:val="0"/>
        <w:autoSpaceDN w:val="0"/>
        <w:adjustRightInd w:val="0"/>
        <w:spacing w:line="480" w:lineRule="auto"/>
        <w:rPr>
          <w:rFonts w:eastAsia="Calibri"/>
          <w:b/>
        </w:rPr>
      </w:pPr>
      <w:r>
        <w:rPr>
          <w:rFonts w:eastAsia="Calibri"/>
          <w:b/>
        </w:rPr>
        <w:t xml:space="preserve">CHAPTER FOUR: RESULTS AND DISCUSSION </w:t>
      </w:r>
      <w:r>
        <w:rPr>
          <w:rFonts w:eastAsia="Calibri"/>
          <w:b/>
        </w:rPr>
        <w:tab/>
      </w:r>
      <w:r>
        <w:rPr>
          <w:rFonts w:eastAsia="Calibri"/>
          <w:b/>
        </w:rPr>
        <w:tab/>
      </w:r>
      <w:r>
        <w:rPr>
          <w:rFonts w:eastAsia="Calibri"/>
          <w:b/>
        </w:rPr>
        <w:tab/>
      </w:r>
      <w:r>
        <w:rPr>
          <w:rFonts w:eastAsia="Calibri"/>
          <w:b/>
        </w:rPr>
        <w:tab/>
      </w:r>
      <w:r>
        <w:rPr>
          <w:rFonts w:eastAsia="Calibri"/>
        </w:rPr>
        <w:t>25</w:t>
      </w:r>
    </w:p>
    <w:p w:rsidR="00252A34" w:rsidRDefault="00CA64CC">
      <w:pPr>
        <w:spacing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252A34" w:rsidRDefault="00CA64CC">
      <w:pPr>
        <w:spacing w:line="480" w:lineRule="auto"/>
        <w:jc w:val="both"/>
        <w:rPr>
          <w:rFonts w:ascii="Times New Roman" w:hAnsi="Times New Roman"/>
          <w:sz w:val="24"/>
          <w:szCs w:val="24"/>
        </w:rPr>
      </w:pPr>
      <w:r>
        <w:rPr>
          <w:rFonts w:ascii="Times New Roman" w:hAnsi="Times New Roman"/>
          <w:sz w:val="24"/>
          <w:szCs w:val="24"/>
        </w:rPr>
        <w:lastRenderedPageBreak/>
        <w:t>4.2</w:t>
      </w:r>
      <w:r>
        <w:rPr>
          <w:rFonts w:ascii="Times New Roman" w:hAnsi="Times New Roman"/>
          <w:sz w:val="24"/>
          <w:szCs w:val="24"/>
        </w:rPr>
        <w:tab/>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4.2.1 Comparative Analysis of Raw and Stored Water color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4.2.2  Comparative Analysis of Raw and Stored Water Turbidity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4.2.3 Comparative Analysis of Raw and Stored Water TDS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4.2.4 Comparative Analysis of Raw and Stored Water Electrical Conductivity</w:t>
      </w:r>
      <w:r>
        <w:rPr>
          <w:rFonts w:ascii="Times New Roman" w:hAnsi="Times New Roman" w:cs="Times New Roman"/>
          <w:sz w:val="24"/>
          <w:szCs w:val="24"/>
        </w:rPr>
        <w:tab/>
        <w:t>27</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4.2.5  Comparative Analysis of Raw and Stored Water Iron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4.2.6  Comparative Analysis of Raw and Stored Water 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4.2.7  Comparative Analysis of Raw and Stored Water Nitrate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4.2.8 Comparative Analysis of Raw and Stored Water Nitrite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4.2.9  Comparative Analysis of Raw and Stored Water Total Hardness</w:t>
      </w:r>
      <w:r>
        <w:rPr>
          <w:rFonts w:ascii="Times New Roman" w:hAnsi="Times New Roman" w:cs="Times New Roman"/>
          <w:sz w:val="24"/>
          <w:szCs w:val="24"/>
        </w:rPr>
        <w:tab/>
      </w:r>
      <w:r>
        <w:rPr>
          <w:rFonts w:ascii="Times New Roman" w:hAnsi="Times New Roman" w:cs="Times New Roman"/>
          <w:sz w:val="24"/>
          <w:szCs w:val="24"/>
        </w:rPr>
        <w:tab/>
        <w:t>30</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4.2.10 Comparative Analysis of Raw and Stored Water Coliforms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4.2.11 Comparative Analysis of Raw and Stored Water E. coli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52A34" w:rsidRDefault="00CA64CC">
      <w:pPr>
        <w:pStyle w:val="NormalWeb"/>
        <w:tabs>
          <w:tab w:val="left" w:pos="162"/>
        </w:tabs>
        <w:autoSpaceDE w:val="0"/>
        <w:autoSpaceDN w:val="0"/>
        <w:adjustRightInd w:val="0"/>
        <w:spacing w:beforeAutospacing="0" w:afterAutospacing="0" w:line="480" w:lineRule="auto"/>
        <w:rPr>
          <w:rFonts w:eastAsia="Calibri"/>
          <w:b/>
        </w:rPr>
      </w:pPr>
      <w:r>
        <w:rPr>
          <w:rFonts w:eastAsia="Calibri"/>
          <w:b/>
        </w:rPr>
        <w:t>CHAPTER FIVE: CONCLUSIONS AND RECOMMENDATIONS</w:t>
      </w:r>
      <w:r>
        <w:rPr>
          <w:rFonts w:eastAsia="Calibri"/>
          <w:b/>
        </w:rPr>
        <w:tab/>
      </w:r>
      <w:r>
        <w:rPr>
          <w:rFonts w:eastAsia="Calibri"/>
          <w:b/>
        </w:rPr>
        <w:tab/>
      </w:r>
    </w:p>
    <w:p w:rsidR="00252A34" w:rsidRDefault="00CA64CC">
      <w:pPr>
        <w:pStyle w:val="NormalWeb"/>
        <w:tabs>
          <w:tab w:val="left" w:pos="162"/>
        </w:tabs>
        <w:autoSpaceDE w:val="0"/>
        <w:autoSpaceDN w:val="0"/>
        <w:adjustRightInd w:val="0"/>
        <w:spacing w:beforeAutospacing="0" w:afterAutospacing="0" w:line="480" w:lineRule="auto"/>
        <w:rPr>
          <w:rFonts w:eastAsia="Calibri"/>
        </w:rPr>
      </w:pPr>
      <w:r>
        <w:rPr>
          <w:rFonts w:eastAsia="Calibri"/>
        </w:rPr>
        <w:t>5.1</w:t>
      </w:r>
      <w:r>
        <w:rPr>
          <w:rFonts w:eastAsia="Calibri"/>
        </w:rPr>
        <w:tab/>
        <w:t>Conclusions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39</w:t>
      </w:r>
    </w:p>
    <w:p w:rsidR="00252A34" w:rsidRDefault="00CA64CC">
      <w:pPr>
        <w:pStyle w:val="NormalWeb"/>
        <w:tabs>
          <w:tab w:val="left" w:pos="162"/>
        </w:tabs>
        <w:autoSpaceDE w:val="0"/>
        <w:autoSpaceDN w:val="0"/>
        <w:adjustRightInd w:val="0"/>
        <w:spacing w:beforeAutospacing="0" w:afterAutospacing="0" w:line="480" w:lineRule="auto"/>
        <w:rPr>
          <w:rFonts w:eastAsia="Calibri"/>
        </w:rPr>
      </w:pPr>
      <w:r>
        <w:rPr>
          <w:rFonts w:eastAsia="Calibri"/>
        </w:rPr>
        <w:t>5.2</w:t>
      </w:r>
      <w:r>
        <w:rPr>
          <w:rFonts w:eastAsia="Calibri"/>
        </w:rPr>
        <w:tab/>
        <w:t>Recommendation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39</w:t>
      </w:r>
    </w:p>
    <w:p w:rsidR="00252A34" w:rsidRDefault="00CA64CC">
      <w:pPr>
        <w:pStyle w:val="NormalWeb"/>
        <w:tabs>
          <w:tab w:val="left" w:pos="162"/>
        </w:tabs>
        <w:autoSpaceDE w:val="0"/>
        <w:autoSpaceDN w:val="0"/>
        <w:adjustRightInd w:val="0"/>
        <w:spacing w:line="480" w:lineRule="auto"/>
        <w:rPr>
          <w:rFonts w:eastAsia="Calibri"/>
        </w:rPr>
      </w:pPr>
      <w:r>
        <w:rPr>
          <w:rFonts w:eastAsia="Calibri"/>
        </w:rPr>
        <w:tab/>
      </w:r>
      <w:r>
        <w:rPr>
          <w:rFonts w:eastAsia="Calibri"/>
        </w:rPr>
        <w:tab/>
        <w:t>References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41</w:t>
      </w: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252A34">
      <w:pPr>
        <w:spacing w:line="480" w:lineRule="auto"/>
        <w:jc w:val="both"/>
        <w:rPr>
          <w:rFonts w:ascii="Times New Roman" w:hAnsi="Times New Roman" w:cs="Times New Roman"/>
          <w:b/>
          <w:bCs/>
          <w:iCs/>
          <w:sz w:val="28"/>
          <w:szCs w:val="28"/>
        </w:rPr>
      </w:pPr>
    </w:p>
    <w:p w:rsidR="00252A34" w:rsidRDefault="00CA64CC">
      <w:pPr>
        <w:spacing w:line="48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LIST OF TABLES</w:t>
      </w:r>
    </w:p>
    <w:p w:rsidR="00C87902" w:rsidRDefault="00C87902">
      <w:pPr>
        <w:spacing w:line="480" w:lineRule="auto"/>
        <w:jc w:val="both"/>
        <w:rPr>
          <w:rStyle w:val="Strong"/>
          <w:rFonts w:ascii="Times New Roman" w:eastAsia="sans-serif" w:hAnsi="Times New Roman" w:cs="Times New Roman"/>
          <w:b w:val="0"/>
          <w:bCs w:val="0"/>
          <w:color w:val="000000" w:themeColor="text1"/>
          <w:spacing w:val="-15"/>
          <w:sz w:val="24"/>
          <w:szCs w:val="24"/>
          <w:shd w:val="clear" w:color="auto" w:fill="FFFFFF"/>
        </w:rPr>
      </w:pPr>
      <w:r>
        <w:rPr>
          <w:rStyle w:val="Strong"/>
          <w:rFonts w:ascii="Times New Roman" w:eastAsia="sans-serif" w:hAnsi="Times New Roman" w:cs="Times New Roman"/>
          <w:b w:val="0"/>
          <w:bCs w:val="0"/>
          <w:color w:val="000000" w:themeColor="text1"/>
          <w:spacing w:val="-15"/>
          <w:sz w:val="24"/>
          <w:szCs w:val="24"/>
          <w:shd w:val="clear" w:color="auto" w:fill="FFFFFF"/>
        </w:rPr>
        <w:t>Table No</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 xml:space="preserve">Title </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Page No</w:t>
      </w:r>
    </w:p>
    <w:p w:rsidR="00252A34" w:rsidRPr="00C87902" w:rsidRDefault="00CA64CC">
      <w:pPr>
        <w:spacing w:line="480" w:lineRule="auto"/>
        <w:jc w:val="both"/>
        <w:rPr>
          <w:rFonts w:ascii="Times New Roman" w:hAnsi="Times New Roman"/>
          <w:b/>
          <w:sz w:val="24"/>
          <w:szCs w:val="24"/>
        </w:rPr>
      </w:pPr>
      <w:r w:rsidRPr="00C87902">
        <w:rPr>
          <w:rStyle w:val="Strong"/>
          <w:rFonts w:ascii="Times New Roman" w:eastAsia="sans-serif" w:hAnsi="Times New Roman" w:cs="Times New Roman"/>
          <w:b w:val="0"/>
          <w:bCs w:val="0"/>
          <w:color w:val="000000" w:themeColor="text1"/>
          <w:spacing w:val="-15"/>
          <w:sz w:val="24"/>
          <w:szCs w:val="24"/>
          <w:shd w:val="clear" w:color="auto" w:fill="FFFFFF"/>
        </w:rPr>
        <w:t>2.1: Pathogens  in Water</w:t>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r>
      <w:r w:rsidRPr="00C87902">
        <w:rPr>
          <w:rStyle w:val="Strong"/>
          <w:rFonts w:ascii="Times New Roman" w:eastAsia="sans-serif" w:hAnsi="Times New Roman" w:cs="Times New Roman"/>
          <w:b w:val="0"/>
          <w:bCs w:val="0"/>
          <w:color w:val="000000" w:themeColor="text1"/>
          <w:spacing w:val="-15"/>
          <w:sz w:val="24"/>
          <w:szCs w:val="24"/>
          <w:shd w:val="clear" w:color="auto" w:fill="FFFFFF"/>
        </w:rPr>
        <w:tab/>
        <w:t>11</w:t>
      </w:r>
    </w:p>
    <w:p w:rsidR="00252A34" w:rsidRDefault="00CA64CC">
      <w:pPr>
        <w:spacing w:line="480" w:lineRule="auto"/>
        <w:jc w:val="both"/>
        <w:rPr>
          <w:rFonts w:ascii="Times New Roman" w:eastAsia="Times New Roman" w:hAnsi="Times New Roman" w:cs="Times New Roman"/>
          <w:sz w:val="24"/>
          <w:szCs w:val="24"/>
        </w:rPr>
      </w:pPr>
      <w:r>
        <w:rPr>
          <w:rFonts w:ascii="Times New Roman" w:hAnsi="Times New Roman"/>
          <w:b/>
          <w:sz w:val="24"/>
          <w:szCs w:val="24"/>
        </w:rPr>
        <w:t>4.1:</w:t>
      </w:r>
      <w:r>
        <w:rPr>
          <w:rFonts w:ascii="Times New Roman" w:eastAsia="Times New Roman" w:hAnsi="Times New Roman" w:cs="Times New Roman"/>
          <w:sz w:val="24"/>
          <w:szCs w:val="24"/>
        </w:rPr>
        <w:t xml:space="preserve"> Comparative Study on the Quality and Contamination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252A34" w:rsidRDefault="00C87902" w:rsidP="00C8790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64CC">
        <w:rPr>
          <w:rFonts w:ascii="Times New Roman" w:eastAsia="Times New Roman" w:hAnsi="Times New Roman" w:cs="Times New Roman"/>
          <w:sz w:val="24"/>
          <w:szCs w:val="24"/>
        </w:rPr>
        <w:t xml:space="preserve">Risks of Groundwater </w:t>
      </w:r>
    </w:p>
    <w:p w:rsidR="00252A34" w:rsidRDefault="00CA64CC">
      <w:pPr>
        <w:pStyle w:val="NormalWeb"/>
        <w:shd w:val="clear" w:color="auto" w:fill="FFFFFF"/>
        <w:spacing w:beforeAutospacing="0" w:afterAutospacing="0" w:line="480" w:lineRule="auto"/>
        <w:jc w:val="both"/>
        <w:rPr>
          <w:rStyle w:val="Strong"/>
          <w:rFonts w:eastAsia="sans-serif"/>
          <w:b w:val="0"/>
          <w:bCs w:val="0"/>
          <w:color w:val="000000" w:themeColor="text1"/>
          <w:spacing w:val="-15"/>
          <w:sz w:val="28"/>
          <w:szCs w:val="28"/>
          <w:shd w:val="clear" w:color="auto" w:fill="FFFFFF"/>
        </w:rPr>
      </w:pPr>
      <w:r>
        <w:rPr>
          <w:rStyle w:val="Strong"/>
          <w:rFonts w:eastAsia="sans-serif"/>
          <w:b w:val="0"/>
          <w:bCs w:val="0"/>
          <w:color w:val="000000" w:themeColor="text1"/>
          <w:spacing w:val="-15"/>
          <w:sz w:val="28"/>
          <w:szCs w:val="28"/>
          <w:shd w:val="clear" w:color="auto" w:fill="FFFFFF"/>
        </w:rPr>
        <w:tab/>
      </w:r>
      <w:r>
        <w:rPr>
          <w:rStyle w:val="Strong"/>
          <w:rFonts w:eastAsia="sans-serif"/>
          <w:b w:val="0"/>
          <w:bCs w:val="0"/>
          <w:color w:val="000000" w:themeColor="text1"/>
          <w:spacing w:val="-15"/>
          <w:sz w:val="28"/>
          <w:szCs w:val="28"/>
          <w:shd w:val="clear" w:color="auto" w:fill="FFFFFF"/>
        </w:rPr>
        <w:tab/>
      </w:r>
      <w:r>
        <w:rPr>
          <w:rStyle w:val="Strong"/>
          <w:rFonts w:eastAsia="sans-serif"/>
          <w:b w:val="0"/>
          <w:bCs w:val="0"/>
          <w:color w:val="000000" w:themeColor="text1"/>
          <w:spacing w:val="-15"/>
          <w:sz w:val="28"/>
          <w:szCs w:val="28"/>
          <w:shd w:val="clear" w:color="auto" w:fill="FFFFFF"/>
        </w:rPr>
        <w:tab/>
      </w:r>
      <w:r>
        <w:rPr>
          <w:rStyle w:val="Strong"/>
          <w:rFonts w:eastAsia="sans-serif"/>
          <w:b w:val="0"/>
          <w:bCs w:val="0"/>
          <w:color w:val="000000" w:themeColor="text1"/>
          <w:spacing w:val="-15"/>
          <w:sz w:val="28"/>
          <w:szCs w:val="28"/>
          <w:shd w:val="clear" w:color="auto" w:fill="FFFFFF"/>
        </w:rPr>
        <w:tab/>
      </w:r>
    </w:p>
    <w:p w:rsidR="00252A34" w:rsidRDefault="00252A34">
      <w:pPr>
        <w:spacing w:line="480" w:lineRule="auto"/>
        <w:jc w:val="both"/>
        <w:rPr>
          <w:rFonts w:ascii="Times New Roman" w:eastAsia="Times New Roman" w:hAnsi="Times New Roman" w:cs="Times New Roman"/>
          <w:sz w:val="24"/>
          <w:szCs w:val="24"/>
        </w:rPr>
      </w:pPr>
    </w:p>
    <w:p w:rsidR="00252A34" w:rsidRDefault="00CA64CC">
      <w:pPr>
        <w:spacing w:line="480" w:lineRule="auto"/>
        <w:rPr>
          <w:rFonts w:ascii="Times New Roman" w:hAnsi="Times New Roman" w:cs="Times New Roman"/>
          <w:bCs/>
          <w:iCs/>
          <w:sz w:val="28"/>
          <w:szCs w:val="28"/>
        </w:rPr>
      </w:pPr>
      <w:r>
        <w:rPr>
          <w:rFonts w:ascii="Times New Roman" w:hAnsi="Times New Roman" w:cs="Times New Roman"/>
          <w:kern w:val="36"/>
          <w:sz w:val="24"/>
          <w:szCs w:val="24"/>
        </w:rPr>
        <w:tab/>
      </w:r>
      <w:r>
        <w:rPr>
          <w:rFonts w:ascii="Times New Roman" w:hAnsi="Times New Roman" w:cs="Times New Roman"/>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iCs/>
          <w:sz w:val="24"/>
          <w:szCs w:val="28"/>
        </w:rPr>
        <w:tab/>
      </w:r>
      <w:r>
        <w:rPr>
          <w:rFonts w:ascii="Times New Roman" w:hAnsi="Times New Roman" w:cs="Times New Roman"/>
          <w:bCs/>
          <w:iCs/>
          <w:sz w:val="24"/>
          <w:szCs w:val="28"/>
        </w:rPr>
        <w:tab/>
      </w: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252A34">
      <w:pPr>
        <w:spacing w:line="480" w:lineRule="auto"/>
        <w:rPr>
          <w:rFonts w:ascii="Times New Roman" w:hAnsi="Times New Roman" w:cs="Times New Roman"/>
          <w:bCs/>
          <w:iCs/>
          <w:sz w:val="28"/>
          <w:szCs w:val="28"/>
        </w:rPr>
      </w:pPr>
    </w:p>
    <w:p w:rsidR="00252A34" w:rsidRDefault="00CA64CC">
      <w:pPr>
        <w:spacing w:line="480" w:lineRule="auto"/>
        <w:jc w:val="center"/>
        <w:rPr>
          <w:rFonts w:ascii="Times New Roman" w:hAnsi="Times New Roman" w:cs="Times New Roman"/>
          <w:b/>
          <w:bCs/>
          <w:iCs/>
          <w:sz w:val="28"/>
          <w:szCs w:val="28"/>
        </w:rPr>
      </w:pPr>
      <w:r>
        <w:rPr>
          <w:rFonts w:ascii="Times New Roman" w:hAnsi="Times New Roman" w:cs="Times New Roman"/>
          <w:b/>
          <w:bCs/>
          <w:iCs/>
          <w:sz w:val="28"/>
          <w:szCs w:val="28"/>
        </w:rPr>
        <w:t>LIST OF FIGURES</w:t>
      </w:r>
    </w:p>
    <w:p w:rsidR="00C87902" w:rsidRPr="00C87902" w:rsidRDefault="00C87902" w:rsidP="00C87902">
      <w:pPr>
        <w:spacing w:line="480" w:lineRule="auto"/>
        <w:jc w:val="both"/>
        <w:rPr>
          <w:rFonts w:ascii="Times New Roman" w:eastAsia="sans-serif" w:hAnsi="Times New Roman" w:cs="Times New Roman"/>
          <w:color w:val="000000" w:themeColor="text1"/>
          <w:spacing w:val="-15"/>
          <w:sz w:val="24"/>
          <w:szCs w:val="24"/>
          <w:shd w:val="clear" w:color="auto" w:fill="FFFFFF"/>
        </w:rPr>
      </w:pPr>
      <w:r>
        <w:rPr>
          <w:rStyle w:val="Strong"/>
          <w:rFonts w:ascii="Times New Roman" w:eastAsia="sans-serif" w:hAnsi="Times New Roman" w:cs="Times New Roman"/>
          <w:b w:val="0"/>
          <w:bCs w:val="0"/>
          <w:color w:val="000000" w:themeColor="text1"/>
          <w:spacing w:val="-15"/>
          <w:sz w:val="24"/>
          <w:szCs w:val="24"/>
          <w:shd w:val="clear" w:color="auto" w:fill="FFFFFF"/>
        </w:rPr>
        <w:t>Figure No</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 xml:space="preserve">Title </w:t>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r>
      <w:r>
        <w:rPr>
          <w:rStyle w:val="Strong"/>
          <w:rFonts w:ascii="Times New Roman" w:eastAsia="sans-serif" w:hAnsi="Times New Roman" w:cs="Times New Roman"/>
          <w:b w:val="0"/>
          <w:bCs w:val="0"/>
          <w:color w:val="000000" w:themeColor="text1"/>
          <w:spacing w:val="-15"/>
          <w:sz w:val="24"/>
          <w:szCs w:val="24"/>
          <w:shd w:val="clear" w:color="auto" w:fill="FFFFFF"/>
        </w:rPr>
        <w:tab/>
        <w:t>Page No</w:t>
      </w:r>
    </w:p>
    <w:p w:rsidR="00252A34" w:rsidRDefault="00C87902">
      <w:pPr>
        <w:spacing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4.0 </w:t>
      </w:r>
      <w:r w:rsidR="00CA64CC">
        <w:rPr>
          <w:rFonts w:ascii="Times New Roman" w:eastAsia="Calibri" w:hAnsi="Times New Roman"/>
          <w:sz w:val="24"/>
          <w:szCs w:val="24"/>
          <w:lang w:eastAsia="en-US"/>
        </w:rPr>
        <w:t>Satellite imagery of  the study area</w:t>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r>
      <w:r w:rsidR="00CA64CC">
        <w:rPr>
          <w:rFonts w:ascii="Times New Roman" w:eastAsia="Calibri" w:hAnsi="Times New Roman"/>
          <w:sz w:val="24"/>
          <w:szCs w:val="24"/>
          <w:lang w:eastAsia="en-US"/>
        </w:rPr>
        <w:tab/>
        <w:t>32</w:t>
      </w:r>
    </w:p>
    <w:p w:rsidR="00252A34" w:rsidRDefault="00CA64CC">
      <w:pPr>
        <w:spacing w:line="480" w:lineRule="auto"/>
        <w:rPr>
          <w:sz w:val="24"/>
          <w:szCs w:val="24"/>
        </w:rPr>
      </w:pPr>
      <w:r>
        <w:rPr>
          <w:rFonts w:ascii="Times New Roman" w:hAnsi="Times New Roman" w:cs="Times New Roman"/>
          <w:sz w:val="24"/>
          <w:szCs w:val="24"/>
        </w:rPr>
        <w:t xml:space="preserve">4.1 Contamination risk of groundwater and stored drinking water </w:t>
      </w:r>
      <w:r>
        <w:rPr>
          <w:rFonts w:ascii="Times New Roman" w:hAnsi="Times New Roman" w:cs="Times New Roman"/>
          <w:sz w:val="24"/>
          <w:szCs w:val="24"/>
        </w:rPr>
        <w:tab/>
      </w:r>
      <w:r w:rsidR="00C87902">
        <w:rPr>
          <w:rFonts w:ascii="Times New Roman" w:hAnsi="Times New Roman" w:cs="Times New Roman"/>
          <w:sz w:val="24"/>
          <w:szCs w:val="24"/>
        </w:rPr>
        <w:tab/>
      </w:r>
      <w:r>
        <w:rPr>
          <w:rFonts w:ascii="Times New Roman" w:hAnsi="Times New Roman" w:cs="Times New Roman"/>
          <w:sz w:val="24"/>
          <w:szCs w:val="24"/>
        </w:rPr>
        <w:tab/>
        <w:t>32</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4.2 Contamination risk of groundwater and stored drinking water </w:t>
      </w:r>
      <w:r w:rsidR="00C8790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33</w:t>
      </w:r>
    </w:p>
    <w:p w:rsidR="00252A34" w:rsidRDefault="00CA64CC">
      <w:pPr>
        <w:spacing w:line="480" w:lineRule="auto"/>
        <w:rPr>
          <w:sz w:val="24"/>
          <w:szCs w:val="24"/>
        </w:rPr>
      </w:pPr>
      <w:r>
        <w:rPr>
          <w:rFonts w:ascii="Times New Roman" w:hAnsi="Times New Roman" w:cs="Times New Roman"/>
          <w:sz w:val="24"/>
          <w:szCs w:val="24"/>
        </w:rPr>
        <w:t xml:space="preserve">4.3 Contamination risk of groundwater and stored drinking water </w:t>
      </w:r>
      <w:r>
        <w:rPr>
          <w:rFonts w:ascii="Times New Roman" w:hAnsi="Times New Roman" w:cs="Times New Roman"/>
          <w:sz w:val="24"/>
          <w:szCs w:val="24"/>
        </w:rPr>
        <w:tab/>
      </w:r>
      <w:r w:rsidR="00C87902">
        <w:rPr>
          <w:rFonts w:ascii="Times New Roman" w:hAnsi="Times New Roman" w:cs="Times New Roman"/>
          <w:sz w:val="24"/>
          <w:szCs w:val="24"/>
        </w:rPr>
        <w:tab/>
      </w:r>
      <w:r>
        <w:rPr>
          <w:rFonts w:ascii="Times New Roman" w:hAnsi="Times New Roman" w:cs="Times New Roman"/>
          <w:sz w:val="24"/>
          <w:szCs w:val="24"/>
        </w:rPr>
        <w:tab/>
        <w:t>33</w:t>
      </w:r>
    </w:p>
    <w:p w:rsidR="00252A34" w:rsidRDefault="00CA64CC">
      <w:pPr>
        <w:spacing w:line="480" w:lineRule="auto"/>
        <w:rPr>
          <w:sz w:val="24"/>
          <w:szCs w:val="24"/>
        </w:rPr>
      </w:pPr>
      <w:r>
        <w:rPr>
          <w:rFonts w:ascii="Times New Roman" w:hAnsi="Times New Roman" w:cs="Times New Roman"/>
          <w:sz w:val="24"/>
          <w:szCs w:val="24"/>
        </w:rPr>
        <w:t xml:space="preserve">4.4 Contamination risk of ground 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34</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4.5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34</w:t>
      </w:r>
    </w:p>
    <w:p w:rsidR="00252A34" w:rsidRDefault="00CA64CC">
      <w:pPr>
        <w:spacing w:line="480" w:lineRule="auto"/>
        <w:rPr>
          <w:sz w:val="24"/>
          <w:szCs w:val="24"/>
        </w:rPr>
      </w:pPr>
      <w:r>
        <w:rPr>
          <w:rFonts w:ascii="Times New Roman" w:hAnsi="Times New Roman" w:cs="Times New Roman"/>
          <w:sz w:val="24"/>
          <w:szCs w:val="24"/>
        </w:rPr>
        <w:t xml:space="preserve">4.6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35</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4.7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35</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4.8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36</w:t>
      </w:r>
    </w:p>
    <w:p w:rsidR="00252A34" w:rsidRDefault="00CA64CC">
      <w:pPr>
        <w:spacing w:line="480" w:lineRule="auto"/>
        <w:rPr>
          <w:sz w:val="24"/>
          <w:szCs w:val="24"/>
        </w:rPr>
      </w:pPr>
      <w:r>
        <w:rPr>
          <w:rFonts w:ascii="Times New Roman" w:hAnsi="Times New Roman" w:cs="Times New Roman"/>
          <w:sz w:val="24"/>
          <w:szCs w:val="24"/>
        </w:rPr>
        <w:t xml:space="preserve">4.9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r>
      <w:r w:rsidR="003D3E51">
        <w:rPr>
          <w:rFonts w:ascii="Times New Roman" w:hAnsi="Times New Roman" w:cs="Times New Roman"/>
          <w:sz w:val="24"/>
          <w:szCs w:val="24"/>
        </w:rPr>
        <w:tab/>
      </w:r>
      <w:r>
        <w:rPr>
          <w:rFonts w:ascii="Times New Roman" w:hAnsi="Times New Roman" w:cs="Times New Roman"/>
          <w:sz w:val="24"/>
          <w:szCs w:val="24"/>
        </w:rPr>
        <w:t>36</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4.10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t>37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4.11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t>37</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4.12 Contamination risk of groundwater and stored drinking water  </w:t>
      </w:r>
      <w:r>
        <w:rPr>
          <w:rFonts w:ascii="Times New Roman" w:hAnsi="Times New Roman" w:cs="Times New Roman"/>
          <w:sz w:val="24"/>
          <w:szCs w:val="24"/>
        </w:rPr>
        <w:tab/>
      </w:r>
      <w:r>
        <w:rPr>
          <w:rFonts w:ascii="Times New Roman" w:hAnsi="Times New Roman" w:cs="Times New Roman"/>
          <w:sz w:val="24"/>
          <w:szCs w:val="24"/>
        </w:rPr>
        <w:tab/>
        <w:t>38</w:t>
      </w:r>
    </w:p>
    <w:p w:rsidR="00252A34" w:rsidRDefault="00252A34">
      <w:pPr>
        <w:spacing w:line="480" w:lineRule="auto"/>
        <w:jc w:val="both"/>
        <w:rPr>
          <w:rFonts w:ascii="Times New Roman" w:eastAsia="Calibri" w:hAnsi="Times New Roman"/>
          <w:sz w:val="24"/>
          <w:szCs w:val="24"/>
          <w:lang w:eastAsia="en-US"/>
        </w:rPr>
      </w:pPr>
    </w:p>
    <w:p w:rsidR="00252A34" w:rsidRDefault="00252A34">
      <w:pPr>
        <w:autoSpaceDE w:val="0"/>
        <w:autoSpaceDN w:val="0"/>
        <w:adjustRightInd w:val="0"/>
        <w:spacing w:line="480" w:lineRule="auto"/>
        <w:jc w:val="both"/>
        <w:rPr>
          <w:rFonts w:ascii="Times New Roman" w:hAnsi="Times New Roman"/>
          <w:sz w:val="24"/>
        </w:rPr>
      </w:pPr>
    </w:p>
    <w:p w:rsidR="00252A34" w:rsidRDefault="00CA64CC">
      <w:pPr>
        <w:spacing w:line="480" w:lineRule="auto"/>
        <w:rPr>
          <w:rFonts w:ascii="Times New Roman" w:hAnsi="Times New Roman" w:cs="Times New Roman"/>
          <w:bCs/>
          <w:iCs/>
          <w:sz w:val="24"/>
          <w:szCs w:val="28"/>
        </w:rPr>
      </w:pPr>
      <w:r>
        <w:rPr>
          <w:rFonts w:ascii="Times New Roman" w:hAnsi="Times New Roman" w:cs="Times New Roman"/>
          <w:bCs/>
          <w:iCs/>
          <w:sz w:val="24"/>
          <w:szCs w:val="28"/>
        </w:rPr>
        <w:tab/>
      </w:r>
    </w:p>
    <w:p w:rsidR="00252A34" w:rsidRDefault="00252A34">
      <w:pPr>
        <w:spacing w:line="480" w:lineRule="auto"/>
        <w:jc w:val="center"/>
        <w:rPr>
          <w:rFonts w:ascii="Times New Roman" w:eastAsia="NimbusSanL-Bold" w:hAnsi="Times New Roman" w:cs="Times New Roman"/>
          <w:b/>
          <w:bCs/>
          <w:color w:val="000000" w:themeColor="text1"/>
          <w:sz w:val="24"/>
          <w:szCs w:val="24"/>
          <w:lang/>
        </w:rPr>
        <w:sectPr w:rsidR="00252A34">
          <w:footerReference w:type="default" r:id="rId9"/>
          <w:pgSz w:w="11906" w:h="16838"/>
          <w:pgMar w:top="1440" w:right="1800" w:bottom="1440" w:left="1800" w:header="720" w:footer="720" w:gutter="0"/>
          <w:pgNumType w:fmt="upperRoman"/>
          <w:cols w:space="720"/>
          <w:docGrid w:linePitch="360"/>
        </w:sectPr>
      </w:pPr>
    </w:p>
    <w:p w:rsidR="00252A34" w:rsidRDefault="00CA64CC">
      <w:pPr>
        <w:spacing w:line="480" w:lineRule="auto"/>
        <w:jc w:val="center"/>
        <w:rPr>
          <w:rFonts w:ascii="Times New Roman" w:eastAsia="NimbusSanL-Bold" w:hAnsi="Times New Roman" w:cs="Times New Roman"/>
          <w:b/>
          <w:bCs/>
          <w:color w:val="000000" w:themeColor="text1"/>
          <w:sz w:val="24"/>
          <w:szCs w:val="24"/>
          <w:lang/>
        </w:rPr>
      </w:pPr>
      <w:r>
        <w:rPr>
          <w:rFonts w:ascii="Times New Roman" w:eastAsia="NimbusSanL-Bold" w:hAnsi="Times New Roman" w:cs="Times New Roman"/>
          <w:b/>
          <w:bCs/>
          <w:color w:val="000000" w:themeColor="text1"/>
          <w:sz w:val="24"/>
          <w:szCs w:val="24"/>
          <w:lang/>
        </w:rPr>
        <w:lastRenderedPageBreak/>
        <w:t>CHAPTER ONE</w:t>
      </w:r>
    </w:p>
    <w:p w:rsidR="00252A34" w:rsidRDefault="00CA64CC">
      <w:pPr>
        <w:spacing w:line="480" w:lineRule="auto"/>
        <w:jc w:val="center"/>
        <w:rPr>
          <w:rFonts w:ascii="Times New Roman" w:eastAsia="NimbusSanL-Bold" w:hAnsi="Times New Roman" w:cs="Times New Roman"/>
          <w:b/>
          <w:bCs/>
          <w:color w:val="000000" w:themeColor="text1"/>
          <w:sz w:val="24"/>
          <w:szCs w:val="24"/>
          <w:lang/>
        </w:rPr>
      </w:pPr>
      <w:r>
        <w:rPr>
          <w:rFonts w:ascii="Times New Roman" w:eastAsia="NimbusSanL-Bold" w:hAnsi="Times New Roman" w:cs="Times New Roman"/>
          <w:b/>
          <w:bCs/>
          <w:color w:val="000000" w:themeColor="text1"/>
          <w:sz w:val="24"/>
          <w:szCs w:val="24"/>
          <w:lang/>
        </w:rPr>
        <w:t>INTRODUCTION</w:t>
      </w:r>
    </w:p>
    <w:p w:rsidR="00252A34" w:rsidRDefault="00CA64CC">
      <w:pPr>
        <w:spacing w:line="480" w:lineRule="auto"/>
        <w:jc w:val="both"/>
        <w:rPr>
          <w:rFonts w:ascii="Times New Roman" w:eastAsia="NimbusSanL-Bold" w:hAnsi="Times New Roman" w:cs="Times New Roman"/>
          <w:b/>
          <w:bCs/>
          <w:color w:val="000000" w:themeColor="text1"/>
          <w:sz w:val="24"/>
          <w:szCs w:val="24"/>
          <w:lang/>
        </w:rPr>
      </w:pPr>
      <w:r>
        <w:rPr>
          <w:rFonts w:ascii="Times New Roman" w:eastAsia="NimbusSanL-Bold" w:hAnsi="Times New Roman" w:cs="Times New Roman"/>
          <w:b/>
          <w:bCs/>
          <w:color w:val="000000" w:themeColor="text1"/>
          <w:sz w:val="24"/>
          <w:szCs w:val="24"/>
          <w:lang/>
        </w:rPr>
        <w:t>1.1</w:t>
      </w:r>
      <w:r>
        <w:rPr>
          <w:rFonts w:ascii="Times New Roman" w:eastAsia="NimbusSanL-Bold" w:hAnsi="Times New Roman" w:cs="Times New Roman"/>
          <w:b/>
          <w:bCs/>
          <w:color w:val="000000" w:themeColor="text1"/>
          <w:sz w:val="24"/>
          <w:szCs w:val="24"/>
          <w:lang/>
        </w:rPr>
        <w:tab/>
        <w:t>Background of the Study</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Water is a vital resources needed for the sustenance of life (Anake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2013). Water in its pure form should be colourless, odourless, tasteless and sparkling in nature (Egereonu, 2006). Like other developing countries, the issue of access to healthy water is very significant in Nigeria, where 48% (about 67 million Nigerians) depend on surface water source for domestic use, 57% (79 million) use hand dug wells, 20% (27.8 million) harvested rain, 14% (19.5 million) have access to pipe borne water, and 14% have access to borehole water sources (FGN, 2007).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An estimate of over 2 billion people live in water-stressed countries, which is expected to be exacerbated in some regions as a result of climate change and population growth. At least 2 billion people use a drinking water source contaminated with faeces. Also, some 829 000 people are estimated to die each year from diarrhoea as a result of unsafe drinking water, sanitation and hand hygiene (WHO, 2022). This situation is worse in developing countries, where 60% of their population do not have access to healthy drinking water (Karanis, 2006;).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In the context of international regulations, the contamination of water bodies by organic micro-pollutants is the subject of constant interest and is always under investigation. Studies have shown the enormous roles played by water in the transmission of enteric and other waterborne diseases from one point to another </w:t>
      </w:r>
      <w:r>
        <w:rPr>
          <w:rFonts w:ascii="Times New Roman" w:eastAsia="BookAntiqua-Bold" w:hAnsi="Times New Roman" w:cs="Times New Roman"/>
          <w:b/>
          <w:bCs/>
          <w:color w:val="000000" w:themeColor="text1"/>
          <w:sz w:val="24"/>
          <w:szCs w:val="24"/>
          <w:lang/>
        </w:rPr>
        <w:t>(</w:t>
      </w:r>
      <w:r>
        <w:rPr>
          <w:rFonts w:ascii="Times New Roman" w:eastAsia="Book Antiqua" w:hAnsi="Times New Roman" w:cs="Times New Roman"/>
          <w:color w:val="000000" w:themeColor="text1"/>
          <w:sz w:val="24"/>
          <w:szCs w:val="24"/>
          <w:lang/>
        </w:rPr>
        <w:t xml:space="preserve">Nnadozie and Abu, 2015). </w:t>
      </w:r>
    </w:p>
    <w:p w:rsidR="00252A34" w:rsidRDefault="00CA64CC">
      <w:pPr>
        <w:spacing w:line="480" w:lineRule="auto"/>
        <w:ind w:firstLine="720"/>
        <w:jc w:val="both"/>
        <w:rPr>
          <w:rFonts w:ascii="Times New Roman" w:eastAsia="Book Antiqua" w:hAnsi="Times New Roman" w:cs="Times New Roman"/>
          <w:color w:val="000000" w:themeColor="text1"/>
          <w:sz w:val="24"/>
          <w:szCs w:val="24"/>
          <w:lang/>
        </w:rPr>
      </w:pPr>
      <w:r>
        <w:rPr>
          <w:rFonts w:ascii="Times New Roman" w:eastAsia="Book Antiqua" w:hAnsi="Times New Roman" w:cs="Times New Roman"/>
          <w:color w:val="000000" w:themeColor="text1"/>
          <w:sz w:val="24"/>
          <w:szCs w:val="24"/>
          <w:lang/>
        </w:rPr>
        <w:t xml:space="preserve">Basically, microorganisms play a major role in determining water quality. Some of the microorganisms that are concerned with waterborne diseases include: Salmonella </w:t>
      </w:r>
      <w:r>
        <w:rPr>
          <w:rFonts w:ascii="Times New Roman" w:eastAsia="BookAntiqua-Italic" w:hAnsi="Times New Roman" w:cs="Times New Roman"/>
          <w:i/>
          <w:iCs/>
          <w:color w:val="000000" w:themeColor="text1"/>
          <w:sz w:val="24"/>
          <w:szCs w:val="24"/>
          <w:lang/>
        </w:rPr>
        <w:t xml:space="preserve">spp, </w:t>
      </w:r>
      <w:r>
        <w:rPr>
          <w:rFonts w:ascii="Times New Roman" w:eastAsia="Book Antiqua" w:hAnsi="Times New Roman" w:cs="Times New Roman"/>
          <w:color w:val="000000" w:themeColor="text1"/>
          <w:sz w:val="24"/>
          <w:szCs w:val="24"/>
          <w:lang/>
        </w:rPr>
        <w:t xml:space="preserve">Shigella </w:t>
      </w:r>
      <w:r>
        <w:rPr>
          <w:rFonts w:ascii="Times New Roman" w:eastAsia="BookAntiqua-Italic" w:hAnsi="Times New Roman" w:cs="Times New Roman"/>
          <w:i/>
          <w:iCs/>
          <w:color w:val="000000" w:themeColor="text1"/>
          <w:sz w:val="24"/>
          <w:szCs w:val="24"/>
          <w:lang/>
        </w:rPr>
        <w:t>spp</w:t>
      </w:r>
      <w:r>
        <w:rPr>
          <w:rFonts w:ascii="Times New Roman" w:eastAsia="Book Antiqua" w:hAnsi="Times New Roman" w:cs="Times New Roman"/>
          <w:color w:val="000000" w:themeColor="text1"/>
          <w:sz w:val="24"/>
          <w:szCs w:val="24"/>
          <w:lang/>
        </w:rPr>
        <w:t xml:space="preserve">, </w:t>
      </w:r>
      <w:r>
        <w:rPr>
          <w:rFonts w:ascii="Times New Roman" w:eastAsia="BookAntiqua-Italic" w:hAnsi="Times New Roman" w:cs="Times New Roman"/>
          <w:i/>
          <w:iCs/>
          <w:color w:val="000000" w:themeColor="text1"/>
          <w:sz w:val="24"/>
          <w:szCs w:val="24"/>
          <w:lang/>
        </w:rPr>
        <w:t>Escherichia coli</w:t>
      </w:r>
      <w:r>
        <w:rPr>
          <w:rFonts w:ascii="Times New Roman" w:eastAsia="Book Antiqua" w:hAnsi="Times New Roman" w:cs="Times New Roman"/>
          <w:color w:val="000000" w:themeColor="text1"/>
          <w:sz w:val="24"/>
          <w:szCs w:val="24"/>
          <w:lang/>
        </w:rPr>
        <w:t xml:space="preserve">, Klebsella and </w:t>
      </w:r>
      <w:r>
        <w:rPr>
          <w:rFonts w:ascii="Times New Roman" w:eastAsia="BookAntiqua-Italic" w:hAnsi="Times New Roman" w:cs="Times New Roman"/>
          <w:i/>
          <w:iCs/>
          <w:color w:val="000000" w:themeColor="text1"/>
          <w:sz w:val="24"/>
          <w:szCs w:val="24"/>
          <w:lang/>
        </w:rPr>
        <w:t xml:space="preserve">Vibrio cholera </w:t>
      </w:r>
      <w:r>
        <w:rPr>
          <w:rFonts w:ascii="Times New Roman" w:eastAsia="BookAntiqua-Bold" w:hAnsi="Times New Roman" w:cs="Times New Roman"/>
          <w:b/>
          <w:bCs/>
          <w:color w:val="000000" w:themeColor="text1"/>
          <w:sz w:val="24"/>
          <w:szCs w:val="24"/>
          <w:lang/>
        </w:rPr>
        <w:lastRenderedPageBreak/>
        <w:t>(</w:t>
      </w:r>
      <w:r>
        <w:rPr>
          <w:rFonts w:ascii="Times New Roman" w:eastAsia="Book Antiqua" w:hAnsi="Times New Roman" w:cs="Times New Roman"/>
          <w:color w:val="000000" w:themeColor="text1"/>
          <w:sz w:val="24"/>
          <w:szCs w:val="24"/>
          <w:lang/>
        </w:rPr>
        <w:t xml:space="preserve">Adetunde and Glover, 2010).All these cause diseases like typhoid fever, diarrhoea, dysentery, gastroenteritis and cholera. Similarly, the consumption of water containing parasites has been attributed to be a major source of </w:t>
      </w:r>
      <w:r>
        <w:rPr>
          <w:rFonts w:ascii="Times New Roman" w:eastAsia="BookAntiqua-Italic" w:hAnsi="Times New Roman" w:cs="Times New Roman"/>
          <w:i/>
          <w:iCs/>
          <w:color w:val="000000" w:themeColor="text1"/>
          <w:sz w:val="24"/>
          <w:szCs w:val="24"/>
          <w:lang/>
        </w:rPr>
        <w:t xml:space="preserve">Giardia lamblia, Crysptosporidium parvum, Entamoeba histolytica, Isospora beli and Microsporidium </w:t>
      </w:r>
      <w:r>
        <w:rPr>
          <w:rFonts w:ascii="Times New Roman" w:eastAsia="Book Antiqua" w:hAnsi="Times New Roman" w:cs="Times New Roman"/>
          <w:color w:val="000000" w:themeColor="text1"/>
          <w:sz w:val="24"/>
          <w:szCs w:val="24"/>
          <w:lang/>
        </w:rPr>
        <w:t xml:space="preserve">spp infections in various outbreaks or epidemics (Odikamnoro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2014). Common water-related diseases caused by parasites include schistosomiasis, amoebiasis, cryptosporidiosis and giardiasis. People become infected with these diseases when they drink or have contact with water that has been contaminated with the causative parasites. For example, individuals drinking water contaminated with fecal matter containing the amoeba, </w:t>
      </w:r>
      <w:r>
        <w:rPr>
          <w:rFonts w:ascii="Times New Roman" w:eastAsia="BookAntiqua-Italic" w:hAnsi="Times New Roman" w:cs="Times New Roman"/>
          <w:i/>
          <w:iCs/>
          <w:color w:val="000000" w:themeColor="text1"/>
          <w:sz w:val="24"/>
          <w:szCs w:val="24"/>
          <w:lang/>
        </w:rPr>
        <w:t xml:space="preserve">Entamoeba histolytica </w:t>
      </w:r>
      <w:r>
        <w:rPr>
          <w:rFonts w:ascii="Times New Roman" w:eastAsia="Book Antiqua" w:hAnsi="Times New Roman" w:cs="Times New Roman"/>
          <w:color w:val="000000" w:themeColor="text1"/>
          <w:sz w:val="24"/>
          <w:szCs w:val="24"/>
          <w:lang/>
        </w:rPr>
        <w:t xml:space="preserve">can get amoebic dysentery (amebiasis). An individual can get Guinea worm disease when they drink water that contains the parasite </w:t>
      </w:r>
      <w:r>
        <w:rPr>
          <w:rFonts w:ascii="Times New Roman" w:eastAsia="BookAntiqua-Italic" w:hAnsi="Times New Roman" w:cs="Times New Roman"/>
          <w:i/>
          <w:iCs/>
          <w:color w:val="000000" w:themeColor="text1"/>
          <w:sz w:val="24"/>
          <w:szCs w:val="24"/>
          <w:lang/>
        </w:rPr>
        <w:t xml:space="preserve">Dracunculus medinensis. </w:t>
      </w:r>
      <w:r>
        <w:rPr>
          <w:rFonts w:ascii="Times New Roman" w:eastAsia="Book Antiqua" w:hAnsi="Times New Roman" w:cs="Times New Roman"/>
          <w:color w:val="000000" w:themeColor="text1"/>
          <w:sz w:val="24"/>
          <w:szCs w:val="24"/>
          <w:lang/>
        </w:rPr>
        <w:t xml:space="preserve">Globally, about 80% of all diseases and death in third world are water-related due to pollution of water sources (Aderibigbe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2008; Ayeni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2011).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Book Antiqua" w:hAnsi="Times New Roman" w:cs="Times New Roman"/>
          <w:color w:val="000000" w:themeColor="text1"/>
          <w:sz w:val="24"/>
          <w:szCs w:val="24"/>
          <w:lang/>
        </w:rPr>
        <w:t xml:space="preserve">The numbers of outbreaks of water-related diseases that have been reported in Nigeria indicate that transmission of pathogens by drinking water constitutes a major cause of illnesses (Nwidu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2008). A number of studies pointed out that the lack of awareness as regards the significance of maintaining clean and hygienic stored water contributes to increasing waterborne diseases (Bello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2017; Andersson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2018; Mark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 xml:space="preserve">2019; Rubino </w:t>
      </w:r>
      <w:r>
        <w:rPr>
          <w:rFonts w:ascii="Times New Roman" w:eastAsia="BookAntiqua-Italic" w:hAnsi="Times New Roman" w:cs="Times New Roman"/>
          <w:i/>
          <w:iCs/>
          <w:color w:val="000000" w:themeColor="text1"/>
          <w:sz w:val="24"/>
          <w:szCs w:val="24"/>
          <w:lang/>
        </w:rPr>
        <w:t xml:space="preserve">et al., </w:t>
      </w:r>
      <w:r>
        <w:rPr>
          <w:rFonts w:ascii="Times New Roman" w:eastAsia="Book Antiqua" w:hAnsi="Times New Roman" w:cs="Times New Roman"/>
          <w:color w:val="000000" w:themeColor="text1"/>
          <w:sz w:val="24"/>
          <w:szCs w:val="24"/>
          <w:lang/>
        </w:rPr>
        <w:t>2019).</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NimbusRomNo9L" w:hAnsi="Times New Roman" w:cs="Times New Roman"/>
          <w:color w:val="000000" w:themeColor="text1"/>
          <w:sz w:val="24"/>
          <w:szCs w:val="24"/>
          <w:lang/>
        </w:rPr>
        <w:t xml:space="preserve">Water is considered as the essence of life and access to safe drinking water is a basic human right essential to all. Although water is necessary for the welfare of humankind and for sustainable development, a large proportion of the world’s population do not have access to microbiologically safe sources of water for drinking and other essential purposes (WHO/UNICEF, 2000). Safe drinking water should not </w:t>
      </w:r>
      <w:r>
        <w:rPr>
          <w:rFonts w:ascii="Times New Roman" w:eastAsia="NimbusRomNo9L" w:hAnsi="Times New Roman" w:cs="Times New Roman"/>
          <w:color w:val="000000" w:themeColor="text1"/>
          <w:sz w:val="24"/>
          <w:szCs w:val="24"/>
          <w:lang/>
        </w:rPr>
        <w:lastRenderedPageBreak/>
        <w:t xml:space="preserve">represent any significant risk to health over a lifetime of consumption, including different sensitivities that may occur between life stages (WHO, 2006). </w:t>
      </w:r>
    </w:p>
    <w:p w:rsidR="00252A34" w:rsidRDefault="00CA64CC">
      <w:pPr>
        <w:spacing w:line="480" w:lineRule="auto"/>
        <w:ind w:firstLine="720"/>
        <w:jc w:val="both"/>
        <w:rPr>
          <w:rFonts w:ascii="Times New Roman" w:eastAsia="NimbusRomNo9L" w:hAnsi="Times New Roman" w:cs="Times New Roman"/>
          <w:color w:val="000000" w:themeColor="text1"/>
          <w:sz w:val="24"/>
          <w:szCs w:val="24"/>
          <w:lang/>
        </w:rPr>
      </w:pPr>
      <w:r>
        <w:rPr>
          <w:rFonts w:ascii="Times New Roman" w:eastAsia="NimbusRomNo9L" w:hAnsi="Times New Roman" w:cs="Times New Roman"/>
          <w:color w:val="000000" w:themeColor="text1"/>
          <w:sz w:val="24"/>
          <w:szCs w:val="24"/>
          <w:lang/>
        </w:rPr>
        <w:t xml:space="preserve">Sources of drinking water include piped water, rivers, reservoirs, springs, streams, wells, ponds and rain. Studies have shown that the way water is collected, handled after collection and stored at home cause quality deterioration to such an extent that the water poses potential risks of infection to consumers (Ampofo and Karikari, 2006). Microbial guidelines seek to ensure that drinking water is free of microorganisms that can cause disease. Microbial hazards are said to represent an overall greater threat than chemical hazards, and in developing countries account for 5.7% of the total global burden of disease (Larmie and Paintsil, 1996). </w:t>
      </w:r>
      <w:r>
        <w:rPr>
          <w:rFonts w:ascii="Times New Roman" w:eastAsia="NimbusRomNo9L" w:hAnsi="Times New Roman" w:cs="Times New Roman"/>
          <w:color w:val="000000" w:themeColor="text1"/>
          <w:sz w:val="24"/>
          <w:szCs w:val="24"/>
          <w:lang/>
        </w:rPr>
        <w:tab/>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NimbusRomNo9L" w:hAnsi="Times New Roman" w:cs="Times New Roman"/>
          <w:color w:val="000000" w:themeColor="text1"/>
          <w:sz w:val="24"/>
          <w:szCs w:val="24"/>
          <w:lang/>
        </w:rPr>
        <w:t xml:space="preserve">The lack of microbiologically safe drinking water and adequate sanitation measures leads to a number of diseases including cholera, dysentery, salmonellosis, typhoid, and every year millions of lives are lost in developing countries. For the 1.1 billion people who lack access to improved water supplies, and many more with contaminated water, diarrhoeal disease is highly endemic (Clasen et al., 2007). Diarrhoea is a major cause for the death of more than 2 million people per year worldwide, mostly children under the age of five. It is the symptom of infection or the result of a combination of a variety of enteric pathogens (Zamxaka et al., 2004). </w:t>
      </w:r>
    </w:p>
    <w:p w:rsidR="00252A34" w:rsidRDefault="00CA64CC">
      <w:pPr>
        <w:spacing w:line="480" w:lineRule="auto"/>
        <w:ind w:firstLine="720"/>
        <w:jc w:val="both"/>
        <w:rPr>
          <w:rFonts w:ascii="Times New Roman" w:eastAsia="NimbusRomNo9L" w:hAnsi="Times New Roman" w:cs="Times New Roman"/>
          <w:color w:val="000000" w:themeColor="text1"/>
          <w:sz w:val="24"/>
          <w:szCs w:val="24"/>
          <w:lang/>
        </w:rPr>
      </w:pPr>
      <w:r>
        <w:rPr>
          <w:rFonts w:ascii="Times New Roman" w:eastAsia="NimbusRomNo9L" w:hAnsi="Times New Roman" w:cs="Times New Roman"/>
          <w:color w:val="000000" w:themeColor="text1"/>
          <w:sz w:val="24"/>
          <w:szCs w:val="24"/>
          <w:lang/>
        </w:rPr>
        <w:t>Improving access to safe drinking water and sanitation are the ways of achieving the objectives of the United Nations Millennium Development Goals (MDGs). The MDGs target for water is to ‘half by 2015 the proportion of people without sustainable access to safe drinking water and basic sanitation’ (WHO/UNICEF, 2004).</w:t>
      </w:r>
    </w:p>
    <w:p w:rsidR="00252A34" w:rsidRDefault="00252A34">
      <w:pPr>
        <w:spacing w:line="480" w:lineRule="auto"/>
        <w:ind w:firstLine="720"/>
        <w:jc w:val="both"/>
        <w:rPr>
          <w:rFonts w:ascii="Times New Roman" w:eastAsia="NimbusRomNo9L" w:hAnsi="Times New Roman" w:cs="Times New Roman"/>
          <w:color w:val="000000" w:themeColor="text1"/>
          <w:sz w:val="24"/>
          <w:szCs w:val="24"/>
          <w:lang/>
        </w:rPr>
      </w:pPr>
    </w:p>
    <w:p w:rsidR="00252A34" w:rsidRDefault="00252A34">
      <w:pPr>
        <w:spacing w:line="480" w:lineRule="auto"/>
        <w:ind w:firstLine="720"/>
        <w:jc w:val="both"/>
        <w:rPr>
          <w:rFonts w:ascii="Times New Roman" w:eastAsia="NimbusRomNo9L" w:hAnsi="Times New Roman" w:cs="Times New Roman"/>
          <w:color w:val="000000" w:themeColor="text1"/>
          <w:sz w:val="24"/>
          <w:szCs w:val="24"/>
          <w:lang/>
        </w:rPr>
      </w:pP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1.2 Aims and Objectives</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aim of the project is to evaluate and compare the physical, chemical and microbial quality of ground water and stored drinking water in Eleko While;</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Specific Objective</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specific objective of the project are to</w:t>
      </w:r>
    </w:p>
    <w:p w:rsidR="00252A34" w:rsidRDefault="00CA64CC">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collect and analyze groundwater and stored drinking water samples using standard method</w:t>
      </w:r>
    </w:p>
    <w:p w:rsidR="00252A34" w:rsidRDefault="00CA64CC">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determine the physical, chemical, and microbial parameters of the water samples</w:t>
      </w:r>
    </w:p>
    <w:p w:rsidR="00252A34" w:rsidRDefault="00CA64CC">
      <w:pPr>
        <w:numPr>
          <w:ilvl w:val="0"/>
          <w:numId w:val="1"/>
        </w:num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compare contamination levels between the groundwater sources and the stored water</w:t>
      </w: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1.3</w:t>
      </w:r>
      <w:r>
        <w:rPr>
          <w:rFonts w:ascii="Times New Roman" w:hAnsi="Times New Roman"/>
          <w:b/>
          <w:bCs/>
          <w:color w:val="000000" w:themeColor="text1"/>
          <w:sz w:val="24"/>
          <w:szCs w:val="24"/>
        </w:rPr>
        <w:tab/>
        <w:t xml:space="preserve"> Scope of the Study</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This study focuses on assessing and comparing the quality of groundwater sources (wells and boreholes) and household-stored drinking water in an urban setting. The assessment is based on one-time sampling of five source points — three wells and two boreholes — and their corresponding stored water samples collected from households after one week of storage.</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covers both physicochemical parameters (such as pH, turbidity, total dissolved solids, electrical conductivity, and selected chemical constituents) and microbial contamination indicators (such as Escherichia coli and total coliforms). Laboratory analysis is conducted to evaluate these parameters against established water quality standards.</w:t>
      </w:r>
    </w:p>
    <w:p w:rsidR="00252A34" w:rsidRDefault="00CA64CC">
      <w:pPr>
        <w:spacing w:beforeAutospacing="1" w:afterAutospacing="1"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Additionally, the study investigates possible changes in water quality during household storage and identifies storage-related factors that may contribute to contamination.</w:t>
      </w: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1.4 </w:t>
      </w:r>
      <w:r>
        <w:rPr>
          <w:rFonts w:ascii="Times New Roman" w:hAnsi="Times New Roman"/>
          <w:b/>
          <w:bCs/>
          <w:color w:val="000000" w:themeColor="text1"/>
          <w:sz w:val="24"/>
          <w:szCs w:val="24"/>
        </w:rPr>
        <w:tab/>
        <w:t>Problem Statement of the Study</w:t>
      </w:r>
    </w:p>
    <w:p w:rsidR="00252A34" w:rsidRDefault="00CA64CC" w:rsidP="00960FF4">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w:t>
      </w:r>
      <w:r w:rsidR="00960FF4">
        <w:rPr>
          <w:rFonts w:ascii="Times New Roman" w:hAnsi="Times New Roman"/>
          <w:color w:val="000000" w:themeColor="text1"/>
          <w:sz w:val="24"/>
          <w:szCs w:val="24"/>
        </w:rPr>
        <w:t xml:space="preserve"> </w:t>
      </w:r>
      <w:r>
        <w:rPr>
          <w:rFonts w:ascii="Times New Roman" w:hAnsi="Times New Roman"/>
          <w:color w:val="000000" w:themeColor="text1"/>
          <w:sz w:val="24"/>
          <w:szCs w:val="24"/>
        </w:rPr>
        <w:t>Compounding the issue, water that is stored in households for later consumption is frequently subjected to secondary contamination due to unhygienic handling and storage practices.</w:t>
      </w:r>
    </w:p>
    <w:p w:rsidR="00252A34" w:rsidRDefault="00CA64CC" w:rsidP="00960FF4">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vulnerable to waterborne diseases, and interventions cannot be effectively targeted.</w:t>
      </w:r>
    </w:p>
    <w:p w:rsidR="00252A34" w:rsidRDefault="00CA64CC">
      <w:pPr>
        <w:spacing w:beforeAutospacing="1" w:afterAutospacing="1"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1.5</w:t>
      </w:r>
      <w:r>
        <w:rPr>
          <w:rFonts w:ascii="Times New Roman" w:hAnsi="Times New Roman"/>
          <w:b/>
          <w:bCs/>
          <w:color w:val="000000" w:themeColor="text1"/>
          <w:sz w:val="24"/>
          <w:szCs w:val="24"/>
        </w:rPr>
        <w:tab/>
        <w:t xml:space="preserve"> Justification of the Study</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necessary to provide a comprehensive understanding of the quality of drinking water from source to point-of-use in urban households. By comparing groundwater (from wells and boreholes) with household-stored water, the </w:t>
      </w:r>
      <w:r>
        <w:rPr>
          <w:rFonts w:ascii="Times New Roman" w:hAnsi="Times New Roman"/>
          <w:color w:val="000000" w:themeColor="text1"/>
          <w:sz w:val="24"/>
          <w:szCs w:val="24"/>
        </w:rPr>
        <w:lastRenderedPageBreak/>
        <w:t>research aims to identify the extent and nature of contamination introduced during storage. The findings will help uncover critical gaps in household water safety practices and inform public health strategies aimed at reducing the risk of waterborne diseases.</w:t>
      </w:r>
    </w:p>
    <w:p w:rsidR="00252A34" w:rsidRDefault="00CA64CC">
      <w:pPr>
        <w:spacing w:beforeAutospacing="1" w:afterAutospacing="1"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rsidR="00252A34" w:rsidRDefault="00CA64CC">
      <w:pPr>
        <w:spacing w:beforeAutospacing="1" w:afterAutospacing="1" w:line="480" w:lineRule="auto"/>
        <w:ind w:firstLine="720"/>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This study will provide evidence-based insights that can support policymakers, water authorities, and health agencies in designing targeted interventions for improving water quality and safeguarding urban public health.</w:t>
      </w: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ind w:firstLine="720"/>
        <w:jc w:val="both"/>
        <w:rPr>
          <w:rFonts w:ascii="Times New Roman" w:hAnsi="Times New Roman" w:cs="Times New Roman"/>
          <w:color w:val="000000" w:themeColor="text1"/>
          <w:sz w:val="24"/>
          <w:szCs w:val="24"/>
        </w:rPr>
      </w:pPr>
    </w:p>
    <w:p w:rsidR="00960FF4" w:rsidRDefault="00960FF4">
      <w:pPr>
        <w:spacing w:beforeAutospacing="1" w:afterAutospacing="1" w:line="480" w:lineRule="auto"/>
        <w:ind w:firstLine="720"/>
        <w:jc w:val="both"/>
        <w:rPr>
          <w:rFonts w:ascii="Times New Roman" w:hAnsi="Times New Roman" w:cs="Times New Roman"/>
          <w:color w:val="000000" w:themeColor="text1"/>
          <w:sz w:val="24"/>
          <w:szCs w:val="24"/>
        </w:rPr>
      </w:pPr>
    </w:p>
    <w:p w:rsidR="00960FF4" w:rsidRDefault="00960FF4">
      <w:pPr>
        <w:spacing w:beforeAutospacing="1" w:afterAutospacing="1" w:line="480" w:lineRule="auto"/>
        <w:ind w:firstLine="720"/>
        <w:jc w:val="both"/>
        <w:rPr>
          <w:rFonts w:ascii="Times New Roman" w:hAnsi="Times New Roman" w:cs="Times New Roman"/>
          <w:color w:val="000000" w:themeColor="text1"/>
          <w:sz w:val="24"/>
          <w:szCs w:val="24"/>
        </w:rPr>
      </w:pPr>
    </w:p>
    <w:p w:rsidR="00960FF4" w:rsidRDefault="00960FF4">
      <w:pPr>
        <w:spacing w:beforeAutospacing="1" w:afterAutospacing="1" w:line="480" w:lineRule="auto"/>
        <w:ind w:firstLine="720"/>
        <w:jc w:val="both"/>
        <w:rPr>
          <w:rFonts w:ascii="Times New Roman" w:hAnsi="Times New Roman" w:cs="Times New Roman"/>
          <w:color w:val="000000" w:themeColor="text1"/>
          <w:sz w:val="24"/>
          <w:szCs w:val="24"/>
        </w:rPr>
      </w:pPr>
    </w:p>
    <w:p w:rsidR="00252A34" w:rsidRDefault="00252A34">
      <w:pPr>
        <w:spacing w:beforeAutospacing="1" w:afterAutospacing="1" w:line="480" w:lineRule="auto"/>
        <w:jc w:val="both"/>
        <w:rPr>
          <w:rFonts w:ascii="Times New Roman" w:hAnsi="Times New Roman" w:cs="Times New Roman"/>
          <w:color w:val="000000" w:themeColor="text1"/>
          <w:sz w:val="24"/>
          <w:szCs w:val="24"/>
        </w:rPr>
      </w:pPr>
    </w:p>
    <w:p w:rsidR="00252A34" w:rsidRDefault="00CA64CC">
      <w:pPr>
        <w:spacing w:beforeAutospacing="1" w:afterAutospacing="1" w:line="480" w:lineRule="auto"/>
        <w:ind w:firstLine="72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TWO</w:t>
      </w:r>
    </w:p>
    <w:p w:rsidR="00252A34" w:rsidRDefault="00CA64CC">
      <w:pPr>
        <w:spacing w:beforeAutospacing="1" w:afterAutospacing="1"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LITERATURE REVIEW</w:t>
      </w:r>
    </w:p>
    <w:p w:rsidR="00252A34" w:rsidRDefault="00CA64CC">
      <w:pPr>
        <w:spacing w:beforeAutospacing="1" w:afterAutospacing="1"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2.1 </w:t>
      </w:r>
      <w:r>
        <w:rPr>
          <w:rFonts w:ascii="Times New Roman" w:hAnsi="Times New Roman" w:cs="Times New Roman"/>
          <w:b/>
          <w:bCs/>
          <w:color w:val="000000" w:themeColor="text1"/>
          <w:sz w:val="24"/>
          <w:szCs w:val="24"/>
        </w:rPr>
        <w:tab/>
        <w:t xml:space="preserve">Preamble </w:t>
      </w:r>
    </w:p>
    <w:p w:rsidR="00252A34" w:rsidRDefault="00CA64CC">
      <w:pPr>
        <w:spacing w:line="480" w:lineRule="auto"/>
        <w:ind w:firstLine="720"/>
        <w:jc w:val="both"/>
        <w:rPr>
          <w:rFonts w:ascii="Times New Roman" w:eastAsia="Cambria" w:hAnsi="Times New Roman" w:cs="Times New Roman"/>
          <w:color w:val="000000" w:themeColor="text1"/>
          <w:sz w:val="24"/>
          <w:szCs w:val="24"/>
          <w:lang/>
        </w:rPr>
      </w:pPr>
      <w:r>
        <w:rPr>
          <w:rFonts w:ascii="Times New Roman" w:eastAsia="Cambria" w:hAnsi="Times New Roman" w:cs="Times New Roman"/>
          <w:color w:val="000000" w:themeColor="text1"/>
          <w:sz w:val="24"/>
          <w:szCs w:val="24"/>
          <w:lang/>
        </w:rPr>
        <w:t xml:space="preserve">Drinking water contains bacterial toxins that can harm the health of a person and the community in general. Such toxins may originate from untreated sewage and even from treatment and distribution of water. The above contaminants can be fatal in our water supply that can lead to numerous health conditions of various degrees of severity, including lifethreatening ones Karri, </w:t>
      </w:r>
      <w:r>
        <w:rPr>
          <w:rFonts w:ascii="Times New Roman" w:eastAsia="Cambria" w:hAnsi="Times New Roman" w:cs="Times New Roman"/>
          <w:i/>
          <w:iCs/>
          <w:color w:val="000000" w:themeColor="text1"/>
          <w:sz w:val="24"/>
          <w:szCs w:val="24"/>
          <w:lang/>
        </w:rPr>
        <w:t>et al.,</w:t>
      </w:r>
      <w:r>
        <w:rPr>
          <w:rFonts w:ascii="Times New Roman" w:eastAsia="Cambria" w:hAnsi="Times New Roman" w:cs="Times New Roman"/>
          <w:color w:val="000000" w:themeColor="text1"/>
          <w:sz w:val="24"/>
          <w:szCs w:val="24"/>
          <w:lang/>
        </w:rPr>
        <w:t xml:space="preserve"> (2021). Types of Bacterial Toxins Bacterial toxins in drinking water can be divided into two main categories: endotoxins and exotoxins.</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 xml:space="preserve"> Endotoxins are products known as lipopolysaccharides situated on the outer membrane of bacteria cells but are primarily on gram negative bacteria. These toxins are produced to environment when bacteria die or are killed. If ingested, they can lead to various diseases and conditions, for instance, respiratory conditions, Gastro illness and septicemia to mention but a few. While exotoxins are protein substances usually secreted by some bacteria to counteract other microorganisms in the environment. To humans, they are also dangerous and can lead to food poisoning, toxic shock syndrome or meningitis Wang., and Quinn,  (2010). </w:t>
      </w:r>
    </w:p>
    <w:p w:rsidR="00252A34" w:rsidRDefault="00CA64CC">
      <w:pPr>
        <w:spacing w:line="480" w:lineRule="auto"/>
        <w:ind w:firstLine="720"/>
        <w:jc w:val="both"/>
        <w:rPr>
          <w:rFonts w:ascii="Times New Roman" w:eastAsia="Cambria" w:hAnsi="Times New Roman" w:cs="Times New Roman"/>
          <w:color w:val="000000" w:themeColor="text1"/>
          <w:sz w:val="24"/>
          <w:szCs w:val="24"/>
          <w:lang/>
        </w:rPr>
      </w:pPr>
      <w:r>
        <w:rPr>
          <w:rFonts w:ascii="Times New Roman" w:eastAsia="Cambria" w:hAnsi="Times New Roman" w:cs="Times New Roman"/>
          <w:color w:val="000000" w:themeColor="text1"/>
          <w:sz w:val="24"/>
          <w:szCs w:val="24"/>
          <w:lang/>
        </w:rPr>
        <w:t xml:space="preserve">However, having said this it is important to stress again that not all bacteria are pathogenic; some of the bacteria produce toxins which are potent, and which can be fatal to humans. Indeed, some are useful, as they contribute to the regulation of the correct ratio of microflora in the human body Morrissey Donohue, and Orme‐Zavaleta. (2003). </w:t>
      </w:r>
    </w:p>
    <w:p w:rsidR="00252A34" w:rsidRDefault="00CA64CC">
      <w:pPr>
        <w:spacing w:line="480" w:lineRule="auto"/>
        <w:ind w:firstLine="720"/>
        <w:jc w:val="both"/>
        <w:rPr>
          <w:rFonts w:ascii="Times New Roman" w:eastAsia="Cambria" w:hAnsi="Times New Roman" w:cs="Times New Roman"/>
          <w:color w:val="000000" w:themeColor="text1"/>
          <w:sz w:val="24"/>
          <w:szCs w:val="24"/>
          <w:lang/>
        </w:rPr>
      </w:pPr>
      <w:r>
        <w:rPr>
          <w:rFonts w:ascii="Times New Roman" w:eastAsia="Cambria" w:hAnsi="Times New Roman" w:cs="Times New Roman"/>
          <w:color w:val="000000" w:themeColor="text1"/>
          <w:sz w:val="24"/>
          <w:szCs w:val="24"/>
          <w:lang/>
        </w:rPr>
        <w:lastRenderedPageBreak/>
        <w:t xml:space="preserve">Sustaining the quality of drinking water is the paramount role in the agenda of health for public good since the contamination of chemicals and microbes present dangers to the well-being of the people. One of the most concerning problems among all noted is the waterborne bacterial toxins as their influence can be dreadful for the person Decharat,  and Pan-In, (2020).. One of the critical professions is toxicologists who help in determining the risks resulting from chemical contaminants in water and providing measures that can guarantee the safety of the source of water Van Leeuwen,. (2009).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 xml:space="preserve">Drinking water naturally contains chemicals; it is polluted and treated with various substances, all of which can cause the water to contain toxic </w:t>
      </w:r>
    </w:p>
    <w:p w:rsidR="00252A34" w:rsidRDefault="00CA64CC">
      <w:pPr>
        <w:spacing w:line="480" w:lineRule="auto"/>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 xml:space="preserve">elements Tracy, (2020). Decayed and neglected population groups or communities register highest rates of chemical infiltration in their drinking water, owing to compromised exposures, limited access to chemical analysis and water purification, and inherently inferior standard health Amrose,  </w:t>
      </w:r>
      <w:r>
        <w:rPr>
          <w:rFonts w:ascii="Times New Roman" w:eastAsia="Cambria" w:hAnsi="Times New Roman" w:cs="Times New Roman"/>
          <w:i/>
          <w:iCs/>
          <w:color w:val="000000" w:themeColor="text1"/>
          <w:sz w:val="24"/>
          <w:szCs w:val="24"/>
          <w:lang/>
        </w:rPr>
        <w:t xml:space="preserve">et al., </w:t>
      </w:r>
      <w:r>
        <w:rPr>
          <w:rFonts w:ascii="Times New Roman" w:eastAsia="Cambria" w:hAnsi="Times New Roman" w:cs="Times New Roman"/>
          <w:color w:val="000000" w:themeColor="text1"/>
          <w:sz w:val="24"/>
          <w:szCs w:val="24"/>
          <w:lang/>
        </w:rPr>
        <w:t xml:space="preserve">(2020). </w:t>
      </w:r>
    </w:p>
    <w:p w:rsidR="00252A34" w:rsidRDefault="00CA64CC">
      <w:pPr>
        <w:spacing w:line="480" w:lineRule="auto"/>
        <w:ind w:firstLine="720"/>
        <w:jc w:val="both"/>
        <w:rPr>
          <w:rFonts w:ascii="Times New Roman" w:hAnsi="Times New Roman" w:cs="Times New Roman"/>
          <w:color w:val="000000" w:themeColor="text1"/>
          <w:sz w:val="24"/>
          <w:szCs w:val="24"/>
        </w:rPr>
      </w:pPr>
      <w:r>
        <w:rPr>
          <w:rFonts w:ascii="Times New Roman" w:eastAsia="Cambria" w:hAnsi="Times New Roman" w:cs="Times New Roman"/>
          <w:color w:val="000000" w:themeColor="text1"/>
          <w:sz w:val="24"/>
          <w:szCs w:val="24"/>
          <w:lang/>
        </w:rPr>
        <w:t>It is projected that chemical pollution in drinking water shall continue to increase in the next few decades due to factors like climate change, industrialization, and an enhanced ability to determine the concentration effects of some of these chemicals on human health McIntyre, J. K. To address this challenge, there is a need for proper water treatment, the strengthening of water monitoring and regulation as well as various targeted strategies to support vulnerable groups of the population</w:t>
      </w:r>
    </w:p>
    <w:p w:rsidR="00252A34" w:rsidRDefault="00CA64CC">
      <w:pPr>
        <w:pStyle w:val="Heading2"/>
        <w:shd w:val="clear" w:color="auto" w:fill="FFFFFF"/>
        <w:spacing w:beforeAutospacing="0" w:line="480" w:lineRule="auto"/>
        <w:jc w:val="both"/>
        <w:rPr>
          <w:rFonts w:ascii="Times New Roman" w:eastAsia="sans-serif" w:hAnsi="Times New Roman" w:hint="default"/>
          <w:color w:val="000000" w:themeColor="text1"/>
          <w:spacing w:val="-6"/>
          <w:sz w:val="24"/>
          <w:szCs w:val="24"/>
        </w:rPr>
      </w:pPr>
      <w:r>
        <w:rPr>
          <w:rFonts w:ascii="Times New Roman" w:eastAsia="sans-serif" w:hAnsi="Times New Roman" w:hint="default"/>
          <w:color w:val="000000" w:themeColor="text1"/>
          <w:spacing w:val="-6"/>
          <w:sz w:val="24"/>
          <w:szCs w:val="24"/>
          <w:shd w:val="clear" w:color="auto" w:fill="FFFFFF"/>
        </w:rPr>
        <w:t>2.2</w:t>
      </w:r>
      <w:r>
        <w:rPr>
          <w:rFonts w:ascii="Times New Roman" w:eastAsia="sans-serif" w:hAnsi="Times New Roman" w:hint="default"/>
          <w:color w:val="000000" w:themeColor="text1"/>
          <w:spacing w:val="-6"/>
          <w:sz w:val="24"/>
          <w:szCs w:val="24"/>
          <w:shd w:val="clear" w:color="auto" w:fill="FFFFFF"/>
        </w:rPr>
        <w:tab/>
        <w:t>Sources of Water Contamination</w:t>
      </w:r>
    </w:p>
    <w:p w:rsidR="00252A34" w:rsidRDefault="00CA64CC">
      <w:pPr>
        <w:pStyle w:val="NormalWeb"/>
        <w:shd w:val="clear" w:color="auto" w:fill="FFFFFF"/>
        <w:spacing w:beforeAutospacing="0" w:after="525" w:afterAutospacing="0" w:line="480" w:lineRule="auto"/>
        <w:ind w:firstLine="720"/>
        <w:jc w:val="both"/>
        <w:rPr>
          <w:rFonts w:eastAsia="sans-serif"/>
          <w:color w:val="000000" w:themeColor="text1"/>
          <w:spacing w:val="-6"/>
        </w:rPr>
      </w:pPr>
      <w:r>
        <w:rPr>
          <w:rFonts w:eastAsia="sans-serif"/>
          <w:color w:val="000000" w:themeColor="text1"/>
          <w:spacing w:val="-6"/>
          <w:shd w:val="clear" w:color="auto" w:fill="FFFFFF"/>
        </w:rPr>
        <w:t>The main causes of water contamination are due to human activities which result in pollution, but natural events also play a role</w:t>
      </w:r>
      <w:r>
        <w:rPr>
          <w:color w:val="000000" w:themeColor="text1"/>
        </w:rPr>
        <w:t>(WHO, 2017)</w:t>
      </w:r>
      <w:r>
        <w:rPr>
          <w:rFonts w:eastAsia="sans-serif"/>
          <w:color w:val="000000" w:themeColor="text1"/>
          <w:spacing w:val="-6"/>
          <w:shd w:val="clear" w:color="auto" w:fill="FFFFFF"/>
        </w:rPr>
        <w:t>. The risk and type of contamination often depend on the quality and management of the water source. Some significant </w:t>
      </w:r>
      <w:hyperlink r:id="rId10" w:history="1">
        <w:r>
          <w:rPr>
            <w:rStyle w:val="Hyperlink"/>
            <w:rFonts w:eastAsia="sans-serif"/>
            <w:color w:val="000000" w:themeColor="text1"/>
            <w:spacing w:val="-6"/>
            <w:u w:val="none"/>
            <w:shd w:val="clear" w:color="auto" w:fill="FFFFFF"/>
          </w:rPr>
          <w:t>sources of water contamination</w:t>
        </w:r>
      </w:hyperlink>
      <w:r>
        <w:rPr>
          <w:rFonts w:eastAsia="sans-serif"/>
          <w:color w:val="000000" w:themeColor="text1"/>
          <w:spacing w:val="-6"/>
          <w:shd w:val="clear" w:color="auto" w:fill="FFFFFF"/>
        </w:rPr>
        <w:t> include:</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lastRenderedPageBreak/>
        <w:t>2.2.1</w:t>
      </w:r>
      <w:r>
        <w:rPr>
          <w:rFonts w:ascii="Times New Roman" w:eastAsia="sans-serif" w:hAnsi="Times New Roman" w:cs="Times New Roman"/>
          <w:b/>
          <w:bCs/>
          <w:color w:val="000000" w:themeColor="text1"/>
          <w:spacing w:val="-6"/>
          <w:sz w:val="24"/>
          <w:szCs w:val="24"/>
          <w:shd w:val="clear" w:color="auto" w:fill="FFFFFF"/>
        </w:rPr>
        <w:tab/>
        <w:t>Agricultural Activities</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Pesticides, fertilizers, and poorly managed animal waste contaminate water through runoff and leaching. Rain washes chemicals from fields into streams, rivers, and groundwater</w:t>
      </w:r>
      <w:r>
        <w:rPr>
          <w:rFonts w:ascii="Times New Roman" w:eastAsia="SimSun" w:hAnsi="Times New Roman" w:cs="Times New Roman"/>
          <w:color w:val="000000" w:themeColor="text1"/>
          <w:sz w:val="24"/>
          <w:szCs w:val="24"/>
        </w:rPr>
        <w:t>(EPA, 2023a).</w:t>
      </w:r>
      <w:r>
        <w:rPr>
          <w:rFonts w:ascii="Times New Roman" w:eastAsia="sans-serif" w:hAnsi="Times New Roman" w:cs="Times New Roman"/>
          <w:color w:val="000000" w:themeColor="text1"/>
          <w:spacing w:val="-6"/>
          <w:sz w:val="24"/>
          <w:szCs w:val="24"/>
          <w:shd w:val="clear" w:color="auto" w:fill="FFFFFF"/>
        </w:rPr>
        <w:t>. Animal waste from farms can introduce bacteria, viruses, and parasites into water if not properly contained.</w:t>
      </w:r>
      <w:r>
        <w:rPr>
          <w:rFonts w:ascii="Times New Roman" w:eastAsia="SimSun" w:hAnsi="Times New Roman" w:cs="Times New Roman"/>
          <w:color w:val="000000" w:themeColor="text1"/>
          <w:sz w:val="24"/>
          <w:szCs w:val="24"/>
        </w:rPr>
        <w:t>(FAO, 2020).</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2.2.2</w:t>
      </w:r>
      <w:r>
        <w:rPr>
          <w:rFonts w:ascii="Times New Roman" w:eastAsia="sans-serif" w:hAnsi="Times New Roman" w:cs="Times New Roman"/>
          <w:b/>
          <w:bCs/>
          <w:color w:val="000000" w:themeColor="text1"/>
          <w:spacing w:val="-6"/>
          <w:sz w:val="24"/>
          <w:szCs w:val="24"/>
          <w:shd w:val="clear" w:color="auto" w:fill="FFFFFF"/>
        </w:rPr>
        <w:tab/>
        <w:t>Industrial Waste</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 xml:space="preserve">Industries release chemicals and heavy metals as byproducts. Improper disposal or storage allows these pollutants to seep into nearby water sources. </w:t>
      </w:r>
      <w:r>
        <w:rPr>
          <w:rFonts w:ascii="Times New Roman" w:eastAsia="SimSun" w:hAnsi="Times New Roman" w:cs="Times New Roman"/>
          <w:color w:val="000000" w:themeColor="text1"/>
          <w:sz w:val="24"/>
          <w:szCs w:val="24"/>
        </w:rPr>
        <w:t xml:space="preserve">(Saha </w:t>
      </w:r>
      <w:r>
        <w:rPr>
          <w:rFonts w:ascii="Times New Roman" w:eastAsia="SimSun" w:hAnsi="Times New Roman" w:cs="Times New Roman"/>
          <w:i/>
          <w:iCs/>
          <w:color w:val="000000" w:themeColor="text1"/>
          <w:sz w:val="24"/>
          <w:szCs w:val="24"/>
        </w:rPr>
        <w:t xml:space="preserve">etal., </w:t>
      </w:r>
      <w:r>
        <w:rPr>
          <w:rFonts w:ascii="Times New Roman" w:eastAsia="SimSun" w:hAnsi="Times New Roman" w:cs="Times New Roman"/>
          <w:color w:val="000000" w:themeColor="text1"/>
          <w:sz w:val="24"/>
          <w:szCs w:val="24"/>
        </w:rPr>
        <w:t>2011)</w:t>
      </w:r>
      <w:r>
        <w:rPr>
          <w:rFonts w:ascii="Times New Roman" w:eastAsia="sans-serif" w:hAnsi="Times New Roman" w:cs="Times New Roman"/>
          <w:color w:val="000000" w:themeColor="text1"/>
          <w:spacing w:val="-6"/>
          <w:sz w:val="24"/>
          <w:szCs w:val="24"/>
          <w:shd w:val="clear" w:color="auto" w:fill="FFFFFF"/>
        </w:rPr>
        <w:t>Underground tanks storing gasoline or oil can also leak, polluting groundwater.</w:t>
      </w:r>
      <w:r>
        <w:rPr>
          <w:rFonts w:ascii="Times New Roman" w:eastAsia="SimSun" w:hAnsi="Times New Roman" w:cs="Times New Roman"/>
          <w:color w:val="000000" w:themeColor="text1"/>
          <w:sz w:val="24"/>
          <w:szCs w:val="24"/>
        </w:rPr>
        <w:t>(EPA, 2023b).</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2.2.3</w:t>
      </w:r>
      <w:r>
        <w:rPr>
          <w:rFonts w:ascii="Times New Roman" w:eastAsia="sans-serif" w:hAnsi="Times New Roman" w:cs="Times New Roman"/>
          <w:b/>
          <w:bCs/>
          <w:color w:val="000000" w:themeColor="text1"/>
          <w:spacing w:val="-6"/>
          <w:sz w:val="24"/>
          <w:szCs w:val="24"/>
          <w:shd w:val="clear" w:color="auto" w:fill="FFFFFF"/>
        </w:rPr>
        <w:tab/>
        <w:t>Sewage</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Human and industrial waste can enter water systems through discharges from sewage plants or septic systems. When not properly treated, sewage introduces harmful bacteria, viruses, and chemicals into the environment.</w:t>
      </w:r>
      <w:r>
        <w:rPr>
          <w:rFonts w:ascii="Times New Roman" w:eastAsia="SimSun" w:hAnsi="Times New Roman" w:cs="Times New Roman"/>
          <w:color w:val="000000" w:themeColor="text1"/>
          <w:sz w:val="24"/>
          <w:szCs w:val="24"/>
        </w:rPr>
        <w:t>(WHO, 2019).</w:t>
      </w:r>
    </w:p>
    <w:p w:rsidR="00252A34" w:rsidRDefault="00CA64CC">
      <w:pPr>
        <w:spacing w:beforeAutospacing="1" w:after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2.2.4</w:t>
      </w:r>
      <w:r>
        <w:rPr>
          <w:rFonts w:ascii="Times New Roman" w:eastAsia="sans-serif" w:hAnsi="Times New Roman" w:cs="Times New Roman"/>
          <w:b/>
          <w:bCs/>
          <w:color w:val="000000" w:themeColor="text1"/>
          <w:spacing w:val="-6"/>
          <w:sz w:val="24"/>
          <w:szCs w:val="24"/>
          <w:shd w:val="clear" w:color="auto" w:fill="FFFFFF"/>
        </w:rPr>
        <w:tab/>
        <w:t>Natural Events</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Storms, earthquakes, and volcanic eruptions can disrupt water systems, causing sediment and pollutants to enter water sources. Climate change and poor land use often worsen these events. They may also damage water treatment infrastructure, hampering safe water supply.</w:t>
      </w:r>
      <w:r>
        <w:rPr>
          <w:rFonts w:ascii="Times New Roman" w:eastAsia="SimSun" w:hAnsi="Times New Roman" w:cs="Times New Roman"/>
          <w:color w:val="000000" w:themeColor="text1"/>
          <w:sz w:val="24"/>
          <w:szCs w:val="24"/>
        </w:rPr>
        <w:t>(IPCC, 2021)</w:t>
      </w:r>
    </w:p>
    <w:p w:rsidR="00252A34" w:rsidRDefault="00CA64CC">
      <w:pPr>
        <w:spacing w:beforeAutospacing="1" w:line="480" w:lineRule="auto"/>
        <w:ind w:left="-60"/>
        <w:jc w:val="both"/>
        <w:rPr>
          <w:rFonts w:ascii="Times New Roman" w:hAnsi="Times New Roman" w:cs="Times New Roman"/>
          <w:color w:val="000000" w:themeColor="text1"/>
          <w:sz w:val="24"/>
          <w:szCs w:val="24"/>
        </w:rPr>
      </w:pPr>
      <w:r>
        <w:rPr>
          <w:rFonts w:ascii="Times New Roman" w:eastAsia="sans-serif" w:hAnsi="Times New Roman" w:cs="Times New Roman"/>
          <w:b/>
          <w:bCs/>
          <w:color w:val="000000" w:themeColor="text1"/>
          <w:spacing w:val="-6"/>
          <w:sz w:val="24"/>
          <w:szCs w:val="24"/>
          <w:shd w:val="clear" w:color="auto" w:fill="FFFFFF"/>
        </w:rPr>
        <w:t>2.2.5</w:t>
      </w:r>
      <w:r>
        <w:rPr>
          <w:rFonts w:ascii="Times New Roman" w:eastAsia="sans-serif" w:hAnsi="Times New Roman" w:cs="Times New Roman"/>
          <w:b/>
          <w:bCs/>
          <w:color w:val="000000" w:themeColor="text1"/>
          <w:spacing w:val="-6"/>
          <w:sz w:val="24"/>
          <w:szCs w:val="24"/>
          <w:shd w:val="clear" w:color="auto" w:fill="FFFFFF"/>
        </w:rPr>
        <w:tab/>
        <w:t>Mining</w:t>
      </w:r>
      <w:r>
        <w:rPr>
          <w:rFonts w:ascii="Times New Roman" w:eastAsia="sans-serif" w:hAnsi="Times New Roman" w:cs="Times New Roman"/>
          <w:color w:val="000000" w:themeColor="text1"/>
          <w:spacing w:val="-6"/>
          <w:sz w:val="24"/>
          <w:szCs w:val="24"/>
          <w:shd w:val="clear" w:color="auto" w:fill="FFFFFF"/>
        </w:rPr>
        <w:br/>
      </w:r>
      <w:r>
        <w:rPr>
          <w:rFonts w:ascii="Times New Roman" w:eastAsia="sans-serif" w:hAnsi="Times New Roman" w:cs="Times New Roman"/>
          <w:color w:val="000000" w:themeColor="text1"/>
          <w:spacing w:val="-6"/>
          <w:sz w:val="24"/>
          <w:szCs w:val="24"/>
          <w:shd w:val="clear" w:color="auto" w:fill="FFFFFF"/>
        </w:rPr>
        <w:tab/>
      </w:r>
      <w:r>
        <w:rPr>
          <w:rFonts w:ascii="Times New Roman" w:eastAsia="sans-serif" w:hAnsi="Times New Roman" w:cs="Times New Roman"/>
          <w:color w:val="000000" w:themeColor="text1"/>
          <w:spacing w:val="-6"/>
          <w:sz w:val="24"/>
          <w:szCs w:val="24"/>
          <w:shd w:val="clear" w:color="auto" w:fill="FFFFFF"/>
        </w:rPr>
        <w:tab/>
        <w:t>Mining uses large volumes of water and releases toxic byproducts. During extraction, heavy metals and contaminants can leak into nearby water, posing environmental and health risks.</w:t>
      </w:r>
      <w:r>
        <w:rPr>
          <w:rFonts w:ascii="Times New Roman" w:eastAsia="SimSun" w:hAnsi="Times New Roman" w:cs="Times New Roman"/>
          <w:color w:val="000000" w:themeColor="text1"/>
          <w:sz w:val="24"/>
          <w:szCs w:val="24"/>
        </w:rPr>
        <w:t>(Younger, 2001)</w:t>
      </w:r>
    </w:p>
    <w:p w:rsidR="00252A34" w:rsidRDefault="00CA64CC">
      <w:pPr>
        <w:pStyle w:val="Heading2"/>
        <w:shd w:val="clear" w:color="auto" w:fill="FFFFFF"/>
        <w:spacing w:beforeAutospacing="0" w:line="360" w:lineRule="auto"/>
        <w:jc w:val="both"/>
        <w:rPr>
          <w:rFonts w:ascii="Times New Roman" w:eastAsia="sans-serif" w:hAnsi="Times New Roman" w:hint="default"/>
          <w:color w:val="000000" w:themeColor="text1"/>
          <w:spacing w:val="-6"/>
          <w:sz w:val="24"/>
          <w:szCs w:val="24"/>
        </w:rPr>
      </w:pPr>
      <w:r>
        <w:rPr>
          <w:rFonts w:ascii="Times New Roman" w:eastAsia="sans-serif" w:hAnsi="Times New Roman" w:hint="default"/>
          <w:color w:val="000000" w:themeColor="text1"/>
          <w:spacing w:val="-6"/>
          <w:sz w:val="24"/>
          <w:szCs w:val="24"/>
          <w:shd w:val="clear" w:color="auto" w:fill="FFFFFF"/>
        </w:rPr>
        <w:lastRenderedPageBreak/>
        <w:t>2.2.6</w:t>
      </w:r>
      <w:r>
        <w:rPr>
          <w:rFonts w:ascii="Times New Roman" w:eastAsia="sans-serif" w:hAnsi="Times New Roman" w:hint="default"/>
          <w:color w:val="000000" w:themeColor="text1"/>
          <w:spacing w:val="-6"/>
          <w:sz w:val="24"/>
          <w:szCs w:val="24"/>
          <w:shd w:val="clear" w:color="auto" w:fill="FFFFFF"/>
        </w:rPr>
        <w:tab/>
        <w:t>Public Water Regulation</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Public water systems in the United States are subject to strict regulation under the Safe Drinking Water Act (SDWA), which empowers the Environmental Protection Agency (EPA) to set and enforce national drinking water standards. These standards are designed to protect public health by limiting the levels of specific contaminants in tap water provided by public water systems. The EPA regularly reviews and updates the Contaminant Candidate List, which identifies new and emerging substances that may pose health risks and require regulation.</w:t>
      </w:r>
      <w:r>
        <w:rPr>
          <w:color w:val="000000" w:themeColor="text1"/>
        </w:rPr>
        <w:t>(EPA, 2022).</w:t>
      </w:r>
    </w:p>
    <w:p w:rsidR="00252A34" w:rsidRDefault="00CA64CC">
      <w:pPr>
        <w:pStyle w:val="Heading2"/>
        <w:shd w:val="clear" w:color="auto" w:fill="FFFFFF"/>
        <w:spacing w:beforeAutospacing="0" w:line="360" w:lineRule="auto"/>
        <w:jc w:val="both"/>
        <w:rPr>
          <w:rFonts w:ascii="Times New Roman" w:eastAsia="sans-serif" w:hAnsi="Times New Roman" w:hint="default"/>
          <w:color w:val="000000" w:themeColor="text1"/>
          <w:spacing w:val="-6"/>
          <w:sz w:val="24"/>
          <w:szCs w:val="24"/>
        </w:rPr>
      </w:pPr>
      <w:r>
        <w:rPr>
          <w:rFonts w:ascii="Times New Roman" w:eastAsia="sans-serif" w:hAnsi="Times New Roman" w:hint="default"/>
          <w:color w:val="000000" w:themeColor="text1"/>
          <w:spacing w:val="-6"/>
          <w:sz w:val="24"/>
          <w:szCs w:val="24"/>
          <w:shd w:val="clear" w:color="auto" w:fill="FFFFFF"/>
        </w:rPr>
        <w:t>2.3</w:t>
      </w:r>
      <w:r>
        <w:rPr>
          <w:rFonts w:ascii="Times New Roman" w:eastAsia="sans-serif" w:hAnsi="Times New Roman" w:hint="default"/>
          <w:color w:val="000000" w:themeColor="text1"/>
          <w:spacing w:val="-6"/>
          <w:sz w:val="24"/>
          <w:szCs w:val="24"/>
          <w:shd w:val="clear" w:color="auto" w:fill="FFFFFF"/>
        </w:rPr>
        <w:tab/>
        <w:t>Effects of The Most Common Drinking Water Contaminants</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t>All water contaminants negatively affect human activity, as well as the rest of the biosphere. Health risks are a particularly high concern, as some contaminants can pose serious health risks, including illness, disease, and even death. Contaminants like bacteria and viruses can cause disease outbreaks, while chemicals and heavy chemicals can cause long-term declines in human health and birth defects that are only noticed when it is too late. Keeping water safe requires regular monitoring and treatment to ensure it is free from harmful contaminants and safe to consume.</w:t>
      </w:r>
      <w:r>
        <w:rPr>
          <w:color w:val="000000" w:themeColor="text1"/>
        </w:rPr>
        <w:t>(WHO, 2017).</w:t>
      </w:r>
    </w:p>
    <w:p w:rsidR="00252A34" w:rsidRDefault="00CA64CC">
      <w:pPr>
        <w:pStyle w:val="NormalWeb"/>
        <w:shd w:val="clear" w:color="auto" w:fill="FFFFFF"/>
        <w:spacing w:beforeAutospacing="0" w:afterAutospacing="0" w:line="480" w:lineRule="auto"/>
        <w:ind w:firstLine="720"/>
        <w:jc w:val="both"/>
        <w:rPr>
          <w:rFonts w:eastAsia="sans-serif"/>
          <w:color w:val="000000" w:themeColor="text1"/>
          <w:spacing w:val="-6"/>
          <w:shd w:val="clear" w:color="auto" w:fill="FFFFFF"/>
        </w:rPr>
      </w:pPr>
      <w:r>
        <w:rPr>
          <w:rFonts w:eastAsia="sans-serif"/>
          <w:color w:val="000000" w:themeColor="text1"/>
          <w:spacing w:val="-6"/>
          <w:shd w:val="clear" w:color="auto" w:fill="FFFFFF"/>
        </w:rPr>
        <w:t>Contaminants can also have negative impacts on the health of ecosystems, such as killing aquatic life and harming wildlife. For example, microplastics found in both freshwater and seawater have been observed to affect the development and behavior of both plankton and fish. </w:t>
      </w:r>
      <w:hyperlink r:id="rId11" w:history="1">
        <w:r>
          <w:rPr>
            <w:rStyle w:val="Hyperlink"/>
            <w:rFonts w:eastAsia="sans-serif"/>
            <w:color w:val="000000" w:themeColor="text1"/>
            <w:spacing w:val="-6"/>
            <w:u w:val="none"/>
            <w:shd w:val="clear" w:color="auto" w:fill="FFFFFF"/>
          </w:rPr>
          <w:t>Algal blooms</w:t>
        </w:r>
      </w:hyperlink>
      <w:r>
        <w:rPr>
          <w:rFonts w:eastAsia="sans-serif"/>
          <w:color w:val="000000" w:themeColor="text1"/>
          <w:spacing w:val="-6"/>
          <w:shd w:val="clear" w:color="auto" w:fill="FFFFFF"/>
        </w:rPr>
        <w:t> caused by agricultural runoff can decimate entire lakes, and these </w:t>
      </w:r>
      <w:hyperlink r:id="rId12" w:history="1">
        <w:r>
          <w:rPr>
            <w:rStyle w:val="Hyperlink"/>
            <w:rFonts w:eastAsia="sans-serif"/>
            <w:color w:val="000000" w:themeColor="text1"/>
            <w:spacing w:val="-6"/>
            <w:u w:val="none"/>
            <w:shd w:val="clear" w:color="auto" w:fill="FFFFFF"/>
          </w:rPr>
          <w:t>algae can then produce toxins</w:t>
        </w:r>
      </w:hyperlink>
      <w:r>
        <w:rPr>
          <w:rFonts w:eastAsia="sans-serif"/>
          <w:color w:val="000000" w:themeColor="text1"/>
          <w:spacing w:val="-6"/>
          <w:shd w:val="clear" w:color="auto" w:fill="FFFFFF"/>
        </w:rPr>
        <w:t> which then threaten humans.(</w:t>
      </w:r>
      <w:r>
        <w:rPr>
          <w:color w:val="000000" w:themeColor="text1"/>
        </w:rPr>
        <w:t>WHO, 2017).</w:t>
      </w:r>
      <w:r>
        <w:rPr>
          <w:rFonts w:eastAsia="sans-serif"/>
          <w:color w:val="000000" w:themeColor="text1"/>
          <w:spacing w:val="-6"/>
          <w:shd w:val="clear" w:color="auto" w:fill="FFFFFF"/>
        </w:rPr>
        <w:t>Contaminated water can affect the </w:t>
      </w:r>
      <w:hyperlink r:id="rId13" w:history="1">
        <w:r>
          <w:rPr>
            <w:rStyle w:val="Hyperlink"/>
            <w:rFonts w:eastAsia="sans-serif"/>
            <w:color w:val="000000" w:themeColor="text1"/>
            <w:spacing w:val="-6"/>
            <w:u w:val="none"/>
            <w:shd w:val="clear" w:color="auto" w:fill="FFFFFF"/>
          </w:rPr>
          <w:t>taste, odor, and appearance of water</w:t>
        </w:r>
      </w:hyperlink>
      <w:r>
        <w:rPr>
          <w:rFonts w:eastAsia="sans-serif"/>
          <w:color w:val="000000" w:themeColor="text1"/>
          <w:spacing w:val="-6"/>
          <w:shd w:val="clear" w:color="auto" w:fill="FFFFFF"/>
        </w:rPr>
        <w:t xml:space="preserve">, making it unpleasant for drinking, cooking, and bathing, leading to decreased quality of life. It puts a higher burden on medical systems, requires more expensive treatment, and can affect economic activities, such as agriculture and water tourism. </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6"/>
          <w:shd w:val="clear" w:color="auto" w:fill="FFFFFF"/>
        </w:rPr>
        <w:lastRenderedPageBreak/>
        <w:t>This can lead to a vicious cycle, where people who afford to decide to leave affected communities, resulting in further economic and social damage, which means the community has even less chances to deal with contamination. Regular monitoring is essential to identify and address these contaminants. Tests mandated by regulatory agencies like the EPA play a crucial role in detecting contaminants and ensuring compliance with safety standards, helping to keep water safe for public consumption.(</w:t>
      </w:r>
      <w:r>
        <w:rPr>
          <w:color w:val="000000" w:themeColor="text1"/>
        </w:rPr>
        <w:t>WHO, 2017).</w:t>
      </w:r>
    </w:p>
    <w:p w:rsidR="00252A34" w:rsidRDefault="00CA64CC">
      <w:pPr>
        <w:pStyle w:val="Heading2"/>
        <w:shd w:val="clear" w:color="auto" w:fill="FFFFFF"/>
        <w:spacing w:before="168" w:beforeAutospacing="0" w:after="84" w:afterAutospacing="0" w:line="480" w:lineRule="auto"/>
        <w:jc w:val="both"/>
        <w:rPr>
          <w:rFonts w:ascii="Times New Roman" w:eastAsia="sans-serif" w:hAnsi="Times New Roman" w:hint="default"/>
          <w:color w:val="000000" w:themeColor="text1"/>
          <w:spacing w:val="-15"/>
          <w:sz w:val="24"/>
          <w:szCs w:val="24"/>
        </w:rPr>
      </w:pPr>
      <w:r>
        <w:rPr>
          <w:rFonts w:ascii="Times New Roman" w:eastAsia="sans-serif" w:hAnsi="Times New Roman" w:hint="default"/>
          <w:color w:val="000000" w:themeColor="text1"/>
          <w:spacing w:val="-15"/>
          <w:sz w:val="24"/>
          <w:szCs w:val="24"/>
          <w:shd w:val="clear" w:color="auto" w:fill="FFFFFF"/>
        </w:rPr>
        <w:t>2.4</w:t>
      </w:r>
      <w:r>
        <w:rPr>
          <w:rFonts w:ascii="Times New Roman" w:eastAsia="sans-serif" w:hAnsi="Times New Roman" w:hint="default"/>
          <w:color w:val="000000" w:themeColor="text1"/>
          <w:spacing w:val="-15"/>
          <w:sz w:val="24"/>
          <w:szCs w:val="24"/>
          <w:shd w:val="clear" w:color="auto" w:fill="FFFFFF"/>
        </w:rPr>
        <w:tab/>
        <w:t>Types of Microorganisms in Water</w:t>
      </w:r>
    </w:p>
    <w:p w:rsidR="00252A34" w:rsidRDefault="00CA64CC">
      <w:pPr>
        <w:pStyle w:val="NormalWeb"/>
        <w:shd w:val="clear" w:color="auto" w:fill="FFFFFF"/>
        <w:spacing w:beforeAutospacing="0" w:afterAutospacing="0" w:line="480" w:lineRule="auto"/>
        <w:ind w:firstLine="720"/>
        <w:jc w:val="both"/>
        <w:rPr>
          <w:rFonts w:eastAsia="sans-serif"/>
          <w:color w:val="000000" w:themeColor="text1"/>
          <w:spacing w:val="-7"/>
        </w:rPr>
      </w:pPr>
      <w:r>
        <w:rPr>
          <w:rFonts w:eastAsia="sans-serif"/>
          <w:color w:val="000000" w:themeColor="text1"/>
          <w:spacing w:val="-7"/>
          <w:shd w:val="clear" w:color="auto" w:fill="FFFFFF"/>
        </w:rPr>
        <w:t>Water contains a diverse range of microorganisms, each with unique characteristics and implications for water quality. The most common types include:</w:t>
      </w:r>
    </w:p>
    <w:p w:rsidR="00252A34" w:rsidRDefault="00CA64CC">
      <w:pPr>
        <w:pStyle w:val="NormalWeb"/>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1. Bacteria: These are single-celled organisms that can either be beneficial or harmful. Pathogenic bacteria, such as E. coli and Salmonella, can cause serious diseases if present in high concentrations. However, many bacteria play beneficial roles, such as breaking down organic matter and aiding in nutrient cycling.</w:t>
      </w:r>
    </w:p>
    <w:p w:rsidR="00252A34" w:rsidRDefault="00CA64CC">
      <w:pPr>
        <w:pStyle w:val="NormalWeb"/>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2. Viruses: Viruses are much smaller than bacteria and can only reproduce inside a host cell. Waterborne viruses like noroviruses and hepatitis A can cause gastrointestinal illnesses and other health issues. Due to their small size and resistance to many conventional water treatments, they can be challenging to detect and remove.</w:t>
      </w:r>
    </w:p>
    <w:p w:rsidR="00252A34" w:rsidRDefault="00CA64CC">
      <w:pPr>
        <w:pStyle w:val="NormalWeb"/>
        <w:shd w:val="clear" w:color="auto" w:fill="FFFFFF"/>
        <w:spacing w:beforeAutospacing="0" w:afterAutospacing="0" w:line="480" w:lineRule="auto"/>
        <w:jc w:val="both"/>
        <w:rPr>
          <w:rFonts w:eastAsia="sans-serif"/>
          <w:color w:val="000000" w:themeColor="text1"/>
          <w:spacing w:val="-7"/>
        </w:rPr>
      </w:pPr>
      <w:r>
        <w:rPr>
          <w:rFonts w:eastAsia="sans-serif"/>
          <w:color w:val="000000" w:themeColor="text1"/>
          <w:spacing w:val="-7"/>
          <w:shd w:val="clear" w:color="auto" w:fill="FFFFFF"/>
        </w:rPr>
        <w:t>3. Protozoa: These are single-celled organisms that can be free-living or parasitic. Some protozoa, like Giardia and Cryptosporidium, can cause gastrointestinal diseases and are resistant to chlorine disinfection, making them a concern for water safety.</w:t>
      </w:r>
    </w:p>
    <w:p w:rsidR="00252A34" w:rsidRDefault="00CA64CC">
      <w:pPr>
        <w:pStyle w:val="NormalWeb"/>
        <w:shd w:val="clear" w:color="auto" w:fill="FFFFFF"/>
        <w:spacing w:beforeAutospacing="0" w:afterAutospacing="0" w:line="480" w:lineRule="auto"/>
        <w:jc w:val="both"/>
        <w:rPr>
          <w:color w:val="000000" w:themeColor="text1"/>
        </w:rPr>
      </w:pPr>
      <w:r>
        <w:rPr>
          <w:rFonts w:eastAsia="sans-serif"/>
          <w:color w:val="000000" w:themeColor="text1"/>
          <w:spacing w:val="-7"/>
          <w:shd w:val="clear" w:color="auto" w:fill="FFFFFF"/>
        </w:rPr>
        <w:t>4. Fungi: Fungi in water include yeasts and molds, which can contribute to biofilm formation and may cause taste and odor issues. While not typically pathogenic, certain fungi can produce mycotoxins that might pose health risks under specific conditions.</w:t>
      </w:r>
      <w:r>
        <w:rPr>
          <w:color w:val="000000" w:themeColor="text1"/>
        </w:rPr>
        <w:t>WHO, 2017).</w:t>
      </w:r>
    </w:p>
    <w:p w:rsidR="00252A34" w:rsidRDefault="00252A34">
      <w:pPr>
        <w:pStyle w:val="NormalWeb"/>
        <w:shd w:val="clear" w:color="auto" w:fill="FFFFFF"/>
        <w:spacing w:beforeAutospacing="0" w:afterAutospacing="0" w:line="480" w:lineRule="auto"/>
        <w:jc w:val="both"/>
        <w:rPr>
          <w:b/>
          <w:bCs/>
          <w:color w:val="000000" w:themeColor="text1"/>
        </w:rPr>
      </w:pPr>
    </w:p>
    <w:p w:rsidR="00252A34" w:rsidRDefault="00252A34">
      <w:pPr>
        <w:pStyle w:val="NormalWeb"/>
        <w:shd w:val="clear" w:color="auto" w:fill="FFFFFF"/>
        <w:spacing w:beforeAutospacing="0" w:afterAutospacing="0" w:line="480" w:lineRule="auto"/>
        <w:jc w:val="both"/>
        <w:rPr>
          <w:b/>
          <w:bCs/>
          <w:color w:val="000000" w:themeColor="text1"/>
        </w:rPr>
      </w:pPr>
    </w:p>
    <w:p w:rsidR="00252A34" w:rsidRDefault="00CA64CC">
      <w:pPr>
        <w:pStyle w:val="NormalWeb"/>
        <w:shd w:val="clear" w:color="auto" w:fill="FFFFFF"/>
        <w:spacing w:beforeAutospacing="0" w:afterAutospacing="0" w:line="480" w:lineRule="auto"/>
        <w:jc w:val="both"/>
        <w:rPr>
          <w:rStyle w:val="Strong"/>
          <w:rFonts w:eastAsia="sans-serif"/>
          <w:color w:val="000000" w:themeColor="text1"/>
          <w:spacing w:val="-15"/>
          <w:shd w:val="clear" w:color="auto" w:fill="FFFFFF"/>
        </w:rPr>
      </w:pPr>
      <w:r>
        <w:rPr>
          <w:b/>
          <w:bCs/>
          <w:color w:val="000000" w:themeColor="text1"/>
        </w:rPr>
        <w:lastRenderedPageBreak/>
        <w:t>2.5</w:t>
      </w:r>
      <w:r>
        <w:rPr>
          <w:b/>
          <w:bCs/>
          <w:color w:val="000000" w:themeColor="text1"/>
        </w:rPr>
        <w:tab/>
      </w:r>
      <w:r>
        <w:rPr>
          <w:rStyle w:val="Strong"/>
          <w:rFonts w:eastAsia="sans-serif"/>
          <w:color w:val="000000" w:themeColor="text1"/>
          <w:spacing w:val="-15"/>
          <w:shd w:val="clear" w:color="auto" w:fill="FFFFFF"/>
        </w:rPr>
        <w:t>Types of Pathogens Found  in Water</w:t>
      </w:r>
    </w:p>
    <w:p w:rsidR="00252A34" w:rsidRDefault="00252A34">
      <w:pPr>
        <w:pStyle w:val="NormalWeb"/>
        <w:shd w:val="clear" w:color="auto" w:fill="FFFFFF"/>
        <w:spacing w:beforeAutospacing="0" w:afterAutospacing="0" w:line="480" w:lineRule="auto"/>
        <w:jc w:val="both"/>
        <w:rPr>
          <w:rStyle w:val="Strong"/>
          <w:rFonts w:eastAsia="sans-serif"/>
          <w:color w:val="000000" w:themeColor="text1"/>
          <w:spacing w:val="-15"/>
          <w:sz w:val="28"/>
          <w:szCs w:val="28"/>
          <w:shd w:val="clear" w:color="auto" w:fill="FFFFFF"/>
        </w:rPr>
      </w:pPr>
      <w:r w:rsidRPr="00252A34">
        <w:rPr>
          <w:sz w:val="28"/>
          <w:szCs w:val="28"/>
        </w:rPr>
        <w:pict>
          <v:line id="_x0000_s2052" style="position:absolute;left:0;text-align:left;z-index:251652608" from="-7.45pt,25.6pt" to="423.8pt,28.4pt" o:gfxdata="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eO3j2QAA&#10;AAkBAAAPAAAAAAAAAAEAIAAAACIAAABkcnMvZG93bnJldi54bWxQSwECFAAUAAAACACHTuJAKxZ6&#10;yOQBAADFAwAADgAAAAAAAAABACAAAAAoAQAAZHJzL2Uyb0RvYy54bWxQSwUGAAAAAAYABgBZAQAA&#10;fgUAAAAA&#10;" strokecolor="black [3213]" strokeweight="1pt">
            <v:stroke joinstyle="miter"/>
          </v:line>
        </w:pict>
      </w:r>
      <w:r w:rsidR="00CA64CC">
        <w:rPr>
          <w:rStyle w:val="Strong"/>
          <w:rFonts w:eastAsia="sans-serif"/>
          <w:color w:val="000000" w:themeColor="text1"/>
          <w:spacing w:val="-15"/>
          <w:sz w:val="28"/>
          <w:szCs w:val="28"/>
          <w:shd w:val="clear" w:color="auto" w:fill="FFFFFF"/>
        </w:rPr>
        <w:t>Table 2.1: Pathogens  in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0"/>
        <w:gridCol w:w="2130"/>
        <w:gridCol w:w="2131"/>
        <w:gridCol w:w="2131"/>
      </w:tblGrid>
      <w:tr w:rsidR="00252A34">
        <w:tc>
          <w:tcPr>
            <w:tcW w:w="2130" w:type="dxa"/>
            <w:tcBorders>
              <w:tl2br w:val="nil"/>
              <w:tr2bl w:val="nil"/>
            </w:tcBorders>
          </w:tcPr>
          <w:p w:rsidR="00252A34" w:rsidRDefault="00252A34">
            <w:pPr>
              <w:pStyle w:val="NormalWeb"/>
              <w:widowControl/>
              <w:spacing w:beforeAutospacing="0" w:afterAutospacing="0" w:line="360" w:lineRule="auto"/>
              <w:jc w:val="both"/>
              <w:rPr>
                <w:color w:val="000000" w:themeColor="text1"/>
              </w:rPr>
            </w:pPr>
            <w:r w:rsidRPr="00252A34">
              <w:pict>
                <v:line id="_x0000_s2051" style="position:absolute;left:0;text-align:left;z-index:251653632" from="-7.6pt,39.5pt" to="423.65pt,42.3pt" o:gfxdata="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noIl9oAAAAJAQAADwAAAAAA&#10;AAABACAAAAAiAAAAZHJzL2Rvd25yZXYueG1sUEsBAhQAFAAAAAgAh07iQKIm+HHYAQAAuQMAAA4A&#10;AAAAAAAAAQAgAAAAKQEAAGRycy9lMm9Eb2MueG1sUEsFBgAAAAAGAAYAWQEAAHMFAAAAAA==&#10;" strokecolor="black [3213]" strokeweight="1pt">
                  <v:stroke joinstyle="miter"/>
                </v:line>
              </w:pict>
            </w:r>
            <w:r w:rsidR="00CA64CC">
              <w:rPr>
                <w:rFonts w:eastAsia="sans-serif"/>
                <w:b/>
                <w:bCs/>
                <w:color w:val="000000" w:themeColor="text1"/>
                <w:spacing w:val="-7"/>
                <w:shd w:val="clear" w:color="auto" w:fill="FFFFFF"/>
              </w:rPr>
              <w:t>Type of Pathogen</w:t>
            </w:r>
          </w:p>
        </w:tc>
        <w:tc>
          <w:tcPr>
            <w:tcW w:w="2130" w:type="dxa"/>
            <w:tcBorders>
              <w:tl2br w:val="nil"/>
              <w:tr2bl w:val="nil"/>
            </w:tcBorders>
          </w:tcPr>
          <w:p w:rsidR="00252A34" w:rsidRDefault="00CA64CC">
            <w:pPr>
              <w:pStyle w:val="NormalWeb"/>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Examples</w:t>
            </w:r>
          </w:p>
        </w:tc>
        <w:tc>
          <w:tcPr>
            <w:tcW w:w="2131" w:type="dxa"/>
            <w:tcBorders>
              <w:tl2br w:val="nil"/>
              <w:tr2bl w:val="nil"/>
            </w:tcBorders>
          </w:tcPr>
          <w:p w:rsidR="00252A34" w:rsidRDefault="00CA64CC">
            <w:pPr>
              <w:pStyle w:val="NormalWeb"/>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Description</w:t>
            </w:r>
          </w:p>
        </w:tc>
        <w:tc>
          <w:tcPr>
            <w:tcW w:w="2131" w:type="dxa"/>
            <w:tcBorders>
              <w:tl2br w:val="nil"/>
              <w:tr2bl w:val="nil"/>
            </w:tcBorders>
          </w:tcPr>
          <w:p w:rsidR="00252A34" w:rsidRDefault="00CA64CC">
            <w:pPr>
              <w:pStyle w:val="NormalWeb"/>
              <w:widowControl/>
              <w:spacing w:beforeAutospacing="0" w:afterAutospacing="0" w:line="360" w:lineRule="auto"/>
              <w:jc w:val="both"/>
              <w:rPr>
                <w:color w:val="000000" w:themeColor="text1"/>
              </w:rPr>
            </w:pPr>
            <w:r>
              <w:rPr>
                <w:rFonts w:eastAsia="sans-serif"/>
                <w:b/>
                <w:bCs/>
                <w:color w:val="000000" w:themeColor="text1"/>
                <w:spacing w:val="-7"/>
                <w:shd w:val="clear" w:color="auto" w:fill="FFFFFF"/>
              </w:rPr>
              <w:t>Common Diseases or Symptoms</w:t>
            </w: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Bacteria</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Escherichia coli (E. coli), Salmonella, Vibrio cholerae</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b/>
                <w:bCs/>
                <w:color w:val="000000" w:themeColor="text1"/>
                <w:spacing w:val="-7"/>
                <w:shd w:val="clear" w:color="auto" w:fill="FFFFFF"/>
              </w:rPr>
            </w:pPr>
            <w:r>
              <w:rPr>
                <w:rFonts w:eastAsia="sans-serif"/>
                <w:color w:val="000000" w:themeColor="text1"/>
                <w:spacing w:val="-7"/>
                <w:shd w:val="clear" w:color="auto" w:fill="FFFFFF"/>
              </w:rPr>
              <w:t>Single-celled microorganisms that can cause various infections when ingested through contaminated water.</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Diarrhea, cholera, typhoid fever, gastroenteritis</w:t>
            </w:r>
          </w:p>
          <w:p w:rsidR="00252A34" w:rsidRDefault="00252A34">
            <w:pPr>
              <w:pStyle w:val="NormalWeb"/>
              <w:widowControl/>
              <w:spacing w:beforeAutospacing="0" w:afterAutospacing="0" w:line="360" w:lineRule="auto"/>
              <w:jc w:val="both"/>
              <w:rPr>
                <w:rFonts w:eastAsia="sans-serif"/>
                <w:color w:val="000000" w:themeColor="text1"/>
                <w:spacing w:val="-7"/>
                <w:shd w:val="clear" w:color="auto" w:fill="FFFFFF"/>
              </w:rPr>
            </w:pP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Viruses</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Norovirus, Hepatitis A, Rotavirus</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Submicroscopic infectious agents that require a host cell to replicate, causing a range of diseases.</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Gastroenteritis, hepatitis, viral gastroenteritis</w:t>
            </w: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Protozoa</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Giardia lamblia, Cryptosporidium, Entamoeba histolytica</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Single-celled eukaryotes that can cause infections, often through cysts that survive in water.</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Giardiasis, cryptosporidiosis, amoebic dysentery</w:t>
            </w:r>
          </w:p>
        </w:tc>
      </w:tr>
      <w:tr w:rsidR="00252A34">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Parasites</w:t>
            </w:r>
          </w:p>
        </w:tc>
        <w:tc>
          <w:tcPr>
            <w:tcW w:w="2130"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Schistosoma, Dracunculus medinensis (Guinea worm)</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Multicellular organisms that can live in or on a host, causing various diseases.</w:t>
            </w:r>
          </w:p>
        </w:tc>
        <w:tc>
          <w:tcPr>
            <w:tcW w:w="2131" w:type="dxa"/>
            <w:tcBorders>
              <w:tl2br w:val="nil"/>
              <w:tr2bl w:val="nil"/>
            </w:tcBorders>
          </w:tcPr>
          <w:p w:rsidR="00252A34" w:rsidRDefault="00CA64CC">
            <w:pPr>
              <w:pStyle w:val="NormalWeb"/>
              <w:widowControl/>
              <w:spacing w:beforeAutospacing="0" w:afterAutospacing="0" w:line="360" w:lineRule="auto"/>
              <w:jc w:val="both"/>
              <w:rPr>
                <w:rFonts w:eastAsia="sans-serif"/>
                <w:color w:val="000000" w:themeColor="text1"/>
                <w:spacing w:val="-7"/>
                <w:shd w:val="clear" w:color="auto" w:fill="FFFFFF"/>
              </w:rPr>
            </w:pPr>
            <w:r>
              <w:rPr>
                <w:rFonts w:eastAsia="sans-serif"/>
                <w:color w:val="000000" w:themeColor="text1"/>
                <w:spacing w:val="-7"/>
                <w:shd w:val="clear" w:color="auto" w:fill="FFFFFF"/>
              </w:rPr>
              <w:t>Schistosomiasis, dracunculiasis (Guinea worm disease)</w:t>
            </w:r>
          </w:p>
        </w:tc>
      </w:tr>
    </w:tbl>
    <w:p w:rsidR="00252A34" w:rsidRDefault="00252A34">
      <w:pPr>
        <w:pStyle w:val="NormalWeb"/>
        <w:shd w:val="clear" w:color="auto" w:fill="FFFFFF"/>
        <w:spacing w:before="525" w:beforeAutospacing="0" w:after="525" w:afterAutospacing="0" w:line="360" w:lineRule="auto"/>
        <w:jc w:val="both"/>
        <w:rPr>
          <w:color w:val="000000" w:themeColor="text1"/>
        </w:rPr>
      </w:pPr>
      <w:r w:rsidRPr="00252A34">
        <w:pict>
          <v:line id="_x0000_s2050" style="position:absolute;left:0;text-align:left;z-index:251654656;mso-position-horizontal-relative:text;mso-position-vertical-relative:text" from="-5.9pt,.85pt" to="425.35pt,3.65pt" o:gfxdata="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AgDB+1gAAAAcBAAAPAAAAAAAAAAEA&#10;IAAAACIAAABkcnMvZG93bnJldi54bWxQSwECFAAUAAAACACHTuJA6y2aftgBAAC5AwAADgAAAAAA&#10;AAABACAAAAAlAQAAZHJzL2Uyb0RvYy54bWxQSwUGAAAAAAYABgBZAQAAbwUAAAAA&#10;" strokecolor="black [3213]" strokeweight="1pt">
            <v:stroke joinstyle="miter"/>
          </v:line>
        </w:pict>
      </w:r>
      <w:r w:rsidR="00CA64CC">
        <w:rPr>
          <w:color w:val="000000" w:themeColor="text1"/>
        </w:rPr>
        <w:t>(WHO, 2017).</w:t>
      </w:r>
    </w:p>
    <w:p w:rsidR="00252A34" w:rsidRDefault="00CA64CC">
      <w:pPr>
        <w:pStyle w:val="Heading2"/>
        <w:shd w:val="clear" w:color="auto" w:fill="FFFFFF"/>
        <w:spacing w:before="168" w:beforeAutospacing="0" w:after="84" w:afterAutospacing="0" w:line="360" w:lineRule="auto"/>
        <w:jc w:val="both"/>
        <w:rPr>
          <w:rFonts w:ascii="Times New Roman" w:eastAsia="sans-serif" w:hAnsi="Times New Roman" w:hint="default"/>
          <w:caps/>
          <w:color w:val="000000" w:themeColor="text1"/>
          <w:spacing w:val="-15"/>
          <w:sz w:val="24"/>
          <w:szCs w:val="24"/>
        </w:rPr>
      </w:pPr>
      <w:r>
        <w:rPr>
          <w:rStyle w:val="Strong"/>
          <w:rFonts w:ascii="Times New Roman" w:eastAsia="sans-serif" w:hAnsi="Times New Roman" w:hint="default"/>
          <w:b/>
          <w:bCs/>
          <w:caps/>
          <w:color w:val="000000" w:themeColor="text1"/>
          <w:spacing w:val="-15"/>
          <w:sz w:val="24"/>
          <w:szCs w:val="24"/>
          <w:shd w:val="clear" w:color="auto" w:fill="FFFFFF"/>
        </w:rPr>
        <w:t>2.6</w:t>
      </w:r>
      <w:r>
        <w:rPr>
          <w:rStyle w:val="Strong"/>
          <w:rFonts w:ascii="Times New Roman" w:eastAsia="sans-serif" w:hAnsi="Times New Roman" w:hint="default"/>
          <w:b/>
          <w:bCs/>
          <w:caps/>
          <w:color w:val="000000" w:themeColor="text1"/>
          <w:spacing w:val="-15"/>
          <w:sz w:val="24"/>
          <w:szCs w:val="24"/>
          <w:shd w:val="clear" w:color="auto" w:fill="FFFFFF"/>
        </w:rPr>
        <w:tab/>
      </w:r>
      <w:r>
        <w:rPr>
          <w:rStyle w:val="Strong"/>
          <w:rFonts w:ascii="Times New Roman" w:eastAsia="sans-serif" w:hAnsi="Times New Roman" w:hint="default"/>
          <w:b/>
          <w:bCs/>
          <w:color w:val="000000" w:themeColor="text1"/>
          <w:spacing w:val="-15"/>
          <w:sz w:val="24"/>
          <w:szCs w:val="24"/>
          <w:shd w:val="clear" w:color="auto" w:fill="FFFFFF"/>
        </w:rPr>
        <w:t>Roleof Microorganismsin Water</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sans-serif"/>
          <w:color w:val="000000" w:themeColor="text1"/>
          <w:spacing w:val="-7"/>
          <w:shd w:val="clear" w:color="auto" w:fill="FFFFFF"/>
        </w:rPr>
        <w:t xml:space="preserve">Microorganisms play crucial roles in water ecosystems by contributing to nutrient cycling and maintaining ecological balance. Beneficial bacteria decompose organic matter, </w:t>
      </w:r>
      <w:r>
        <w:rPr>
          <w:rFonts w:eastAsia="sans-serif"/>
          <w:color w:val="000000" w:themeColor="text1"/>
          <w:spacing w:val="-7"/>
          <w:shd w:val="clear" w:color="auto" w:fill="FFFFFF"/>
        </w:rPr>
        <w:lastRenderedPageBreak/>
        <w:t>recycle nutrients, and help purify water by breaking down pollutants. Protozoa and fungi also play significant roles in the decomposition of organic materials and the breakdown of complex compounds. Algae, including cyanobacteria, contribute to oxygen production through photosynthesis, supporting aquatic life. However, some microorganisms, especially pathogenic ones, can pose health risks if present in high concentrations. (</w:t>
      </w:r>
      <w:r>
        <w:rPr>
          <w:color w:val="000000" w:themeColor="text1"/>
        </w:rPr>
        <w:t xml:space="preserve">Madigan, </w:t>
      </w:r>
      <w:r>
        <w:rPr>
          <w:i/>
          <w:iCs/>
          <w:color w:val="000000" w:themeColor="text1"/>
        </w:rPr>
        <w:t xml:space="preserve">et al., </w:t>
      </w:r>
      <w:r>
        <w:rPr>
          <w:color w:val="000000" w:themeColor="text1"/>
        </w:rPr>
        <w:t>2018)</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w:t>
      </w:r>
      <w:r>
        <w:rPr>
          <w:b/>
          <w:bCs/>
          <w:color w:val="000000" w:themeColor="text1"/>
        </w:rPr>
        <w:tab/>
        <w:t xml:space="preserve">Health Effects of Bacterial Toxins in Drinking </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Water Bacterial toxins present in drinking water can have a wide range of health effects, depending on the type of toxin and the individual's susceptibility. Some common attacks such toxins can cause include: Mustafa Ali Muhammad, (2017) </w:t>
      </w:r>
      <w:r>
        <w:rPr>
          <w:color w:val="000000" w:themeColor="text1"/>
        </w:rPr>
        <w:t xml:space="preserve"> </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2.7.1</w:t>
      </w:r>
      <w:r>
        <w:rPr>
          <w:b/>
          <w:bCs/>
          <w:color w:val="000000" w:themeColor="text1"/>
        </w:rPr>
        <w:tab/>
        <w:t>Gastrointestinal Disorders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The presence of bacterial toxins in the water causes numerous diseases that may relay with vomiting, diarrhea, and abdominal pain. These symptoms are normally not very serious, however there are instances where they may become very serious causing the patients to suffer from severe dehydration and electrolyte imbalance.</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2.7.2</w:t>
      </w:r>
      <w:r>
        <w:rPr>
          <w:b/>
          <w:bCs/>
          <w:color w:val="000000" w:themeColor="text1"/>
        </w:rPr>
        <w:tab/>
        <w:t>Hepatitis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 It is seen that some of the bacterial toxins like hepatitis A virus if consumed through contaminated water can lead to liver disorder such as hepatitis. This can result in fever, fatigue and jaundice and in severe manifestation liver failure can occur. </w:t>
      </w:r>
      <w:r>
        <w:rPr>
          <w:color w:val="000000" w:themeColor="text1"/>
        </w:rPr>
        <w:t xml:space="preserve"> </w:t>
      </w:r>
    </w:p>
    <w:p w:rsidR="00252A34" w:rsidRDefault="00CA64CC">
      <w:pPr>
        <w:pStyle w:val="NormalWeb"/>
        <w:shd w:val="clear" w:color="auto" w:fill="FFFFFF"/>
        <w:spacing w:beforeAutospacing="0" w:afterAutospacing="0" w:line="480" w:lineRule="auto"/>
        <w:jc w:val="both"/>
        <w:rPr>
          <w:color w:val="000000" w:themeColor="text1"/>
        </w:rPr>
      </w:pPr>
      <w:r>
        <w:rPr>
          <w:b/>
          <w:bCs/>
          <w:color w:val="000000" w:themeColor="text1"/>
        </w:rPr>
        <w:t>2.7.3</w:t>
      </w:r>
      <w:r>
        <w:rPr>
          <w:b/>
          <w:bCs/>
          <w:color w:val="000000" w:themeColor="text1"/>
        </w:rPr>
        <w:tab/>
        <w:t>Acute Kidney Injury</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There are some bacterial toxins, which exist in drinking water that has been associated with acute kidney injury which is a condition whereby kidneys perform their functions abnormally at a given period of time. Some of the manifestations of the condition are a reduced amount of urine passed, accumulation of fluid, difficulty </w:t>
      </w:r>
      <w:r>
        <w:rPr>
          <w:color w:val="000000" w:themeColor="text1"/>
        </w:rPr>
        <w:lastRenderedPageBreak/>
        <w:t xml:space="preserve">in breathing and discomfort in the chest. Chronic exposure to these toxins poses a threat to the kidney where some may cause renal damage and or kidney failure. </w:t>
      </w:r>
      <w:r>
        <w:rPr>
          <w:color w:val="000000" w:themeColor="text1"/>
        </w:rPr>
        <w:t></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2.7.4</w:t>
      </w:r>
      <w:r>
        <w:rPr>
          <w:b/>
          <w:bCs/>
          <w:color w:val="000000" w:themeColor="text1"/>
        </w:rPr>
        <w:tab/>
        <w:t>Respiratory Conditions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Intake of water with bacterial toxins can at times be inhaled and thus leads to irritation and inflammation of the bronchial tubes. This might cause such signs as coughing, wheezing, and shortness of breath. It could also cause allergic reactions where individuals who could have been sensitive to sand would begin experiencing allergic reactions or worsen their asthma or COPD accustomed to developing during the dusty season. </w:t>
      </w:r>
      <w:r>
        <w:rPr>
          <w:color w:val="000000" w:themeColor="text1"/>
        </w:rPr>
        <w:t></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2.7.5</w:t>
      </w:r>
      <w:r>
        <w:rPr>
          <w:b/>
          <w:bCs/>
          <w:color w:val="000000" w:themeColor="text1"/>
        </w:rPr>
        <w:tab/>
        <w:t>Neuro logical Disorders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There is progressive indication that bacterial toxins in drinking water cause diseases affecting the nervous system including meningitis and encephalitis. These toxins have been discovered to lead to swelling in the brain and spinal cord, and some of the symptoms include headaches, fever, seizures, and in worse cases, comas. Investigations on this connection are still being conducted, and more work is being done towards gaining more insight on the neurological effects of bacterial toxins in the nati</w:t>
      </w:r>
      <w:r w:rsidR="003D3E51">
        <w:rPr>
          <w:color w:val="000000" w:themeColor="text1"/>
        </w:rPr>
        <w:t xml:space="preserve">onal supply of drinking water. </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2.7.6</w:t>
      </w:r>
      <w:r>
        <w:rPr>
          <w:b/>
          <w:bCs/>
          <w:color w:val="000000" w:themeColor="text1"/>
        </w:rPr>
        <w:tab/>
        <w:t>Gastrointestinal Disorders</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 xml:space="preserve">Ingestion of drinking water that contains bacterial toxins affects the uncomfortable of the gastrointestinal. Such toxins cause manifestations like abdominal pain, nausea and vomiting, diarrhea and resulting dehydration. At worse, they can lead to more severe diseases such as cholera and salmonellosis.Mustafa Ali Muhammad,. (2017) </w:t>
      </w:r>
    </w:p>
    <w:p w:rsidR="00252A34" w:rsidRDefault="00252A34">
      <w:pPr>
        <w:pStyle w:val="NormalWeb"/>
        <w:shd w:val="clear" w:color="auto" w:fill="FFFFFF"/>
        <w:spacing w:beforeAutospacing="0" w:afterAutospacing="0" w:line="480" w:lineRule="auto"/>
        <w:ind w:firstLine="720"/>
        <w:jc w:val="both"/>
        <w:rPr>
          <w:color w:val="000000" w:themeColor="text1"/>
        </w:rPr>
      </w:pPr>
    </w:p>
    <w:p w:rsidR="00252A34" w:rsidRDefault="00252A34">
      <w:pPr>
        <w:pStyle w:val="NormalWeb"/>
        <w:shd w:val="clear" w:color="auto" w:fill="FFFFFF"/>
        <w:spacing w:beforeAutospacing="0" w:afterAutospacing="0" w:line="480" w:lineRule="auto"/>
        <w:ind w:firstLine="720"/>
        <w:jc w:val="both"/>
        <w:rPr>
          <w:color w:val="000000" w:themeColor="text1"/>
        </w:rPr>
      </w:pPr>
    </w:p>
    <w:p w:rsidR="00252A34" w:rsidRDefault="00CA64CC">
      <w:pPr>
        <w:pStyle w:val="Heading1"/>
        <w:shd w:val="clear" w:color="auto" w:fill="FFFFFF"/>
        <w:spacing w:beforeAutospacing="0" w:afterAutospacing="0" w:line="480" w:lineRule="auto"/>
        <w:jc w:val="both"/>
        <w:rPr>
          <w:rFonts w:ascii="Times New Roman" w:eastAsia="Georgia" w:hAnsi="Times New Roman" w:hint="default"/>
          <w:color w:val="000000" w:themeColor="text1"/>
          <w:sz w:val="24"/>
          <w:szCs w:val="24"/>
        </w:rPr>
      </w:pPr>
      <w:r>
        <w:rPr>
          <w:rFonts w:ascii="Times New Roman" w:eastAsia="Georgia" w:hAnsi="Times New Roman" w:hint="default"/>
          <w:color w:val="000000" w:themeColor="text1"/>
          <w:sz w:val="24"/>
          <w:szCs w:val="24"/>
          <w:shd w:val="clear" w:color="auto" w:fill="FFFFFF"/>
        </w:rPr>
        <w:lastRenderedPageBreak/>
        <w:t>2.8</w:t>
      </w:r>
      <w:r>
        <w:rPr>
          <w:rFonts w:ascii="Times New Roman" w:eastAsia="Georgia" w:hAnsi="Times New Roman" w:hint="default"/>
          <w:color w:val="000000" w:themeColor="text1"/>
          <w:sz w:val="24"/>
          <w:szCs w:val="24"/>
          <w:shd w:val="clear" w:color="auto" w:fill="FFFFFF"/>
        </w:rPr>
        <w:tab/>
        <w:t>Drinking Water Quality Standards</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Drinking water quality standards describes the quality </w:t>
      </w:r>
      <w:hyperlink r:id="rId14" w:anchor="Environmental_science" w:tooltip="Parameter" w:history="1">
        <w:r>
          <w:rPr>
            <w:rStyle w:val="Hyperlink"/>
            <w:rFonts w:eastAsia="sans-serif"/>
            <w:color w:val="000000" w:themeColor="text1"/>
            <w:u w:val="none"/>
            <w:shd w:val="clear" w:color="auto" w:fill="FFFFFF"/>
          </w:rPr>
          <w:t>parameters</w:t>
        </w:r>
      </w:hyperlink>
      <w:r>
        <w:rPr>
          <w:rFonts w:eastAsia="sans-serif"/>
          <w:color w:val="000000" w:themeColor="text1"/>
          <w:shd w:val="clear" w:color="auto" w:fill="FFFFFF"/>
        </w:rPr>
        <w:t> set for </w:t>
      </w:r>
      <w:hyperlink r:id="rId15" w:tooltip="Drinking water" w:history="1">
        <w:r>
          <w:rPr>
            <w:rStyle w:val="Hyperlink"/>
            <w:rFonts w:eastAsia="sans-serif"/>
            <w:color w:val="000000" w:themeColor="text1"/>
            <w:u w:val="none"/>
            <w:shd w:val="clear" w:color="auto" w:fill="FFFFFF"/>
          </w:rPr>
          <w:t>drinking water</w:t>
        </w:r>
      </w:hyperlink>
      <w:r>
        <w:rPr>
          <w:rFonts w:eastAsia="sans-serif"/>
          <w:color w:val="000000" w:themeColor="text1"/>
          <w:shd w:val="clear" w:color="auto" w:fill="FFFFFF"/>
        </w:rPr>
        <w:t>. Water may contain many </w:t>
      </w:r>
      <w:hyperlink r:id="rId16" w:tooltip="Water pollution" w:history="1">
        <w:r>
          <w:rPr>
            <w:rStyle w:val="Hyperlink"/>
            <w:rFonts w:eastAsia="sans-serif"/>
            <w:color w:val="000000" w:themeColor="text1"/>
            <w:u w:val="none"/>
            <w:shd w:val="clear" w:color="auto" w:fill="FFFFFF"/>
          </w:rPr>
          <w:t>harmful constituents</w:t>
        </w:r>
      </w:hyperlink>
      <w:r>
        <w:rPr>
          <w:rFonts w:eastAsia="sans-serif"/>
          <w:color w:val="000000" w:themeColor="text1"/>
          <w:shd w:val="clear" w:color="auto" w:fill="FFFFFF"/>
        </w:rPr>
        <w:t>, yet there are no universally recognized and accepted international standards for drinking water. Even where standards do exist, the permitted concentration of individual constituents may vary by up to ten times from one set of standards to another. Many countries specify standards to be applied in their own country. In Europe, this includes the (</w:t>
      </w:r>
      <w:hyperlink r:id="rId17" w:tooltip="Drinking water directive" w:history="1">
        <w:r>
          <w:rPr>
            <w:rStyle w:val="Hyperlink"/>
            <w:rFonts w:eastAsia="sans-serif"/>
            <w:color w:val="000000" w:themeColor="text1"/>
            <w:u w:val="none"/>
            <w:shd w:val="clear" w:color="auto" w:fill="FFFFFF"/>
          </w:rPr>
          <w:t>European Drinking Water Directive</w:t>
        </w:r>
      </w:hyperlink>
      <w:r>
        <w:rPr>
          <w:rFonts w:eastAsia="sans-serif"/>
          <w:color w:val="000000" w:themeColor="text1"/>
          <w:shd w:val="clear" w:color="auto" w:fill="FFFFFF"/>
        </w:rPr>
        <w:t xml:space="preserve"> 2025) and in the United States, the </w:t>
      </w:r>
      <w:hyperlink r:id="rId18" w:tooltip="United States Environmental Protection Agency" w:history="1">
        <w:r>
          <w:rPr>
            <w:rStyle w:val="Hyperlink"/>
            <w:rFonts w:eastAsia="sans-serif"/>
            <w:color w:val="000000" w:themeColor="text1"/>
            <w:u w:val="none"/>
            <w:shd w:val="clear" w:color="auto" w:fill="FFFFFF"/>
          </w:rPr>
          <w:t>United States Environmental Protection Agency</w:t>
        </w:r>
      </w:hyperlink>
      <w:r>
        <w:rPr>
          <w:rFonts w:eastAsia="sans-serif"/>
          <w:color w:val="000000" w:themeColor="text1"/>
          <w:shd w:val="clear" w:color="auto" w:fill="FFFFFF"/>
        </w:rPr>
        <w:t> (EPA) establishes standards as required by the </w:t>
      </w:r>
      <w:hyperlink r:id="rId19" w:tooltip="Safe Drinking Water Act" w:history="1">
        <w:r>
          <w:rPr>
            <w:rStyle w:val="Hyperlink"/>
            <w:rFonts w:eastAsia="sans-serif"/>
            <w:color w:val="000000" w:themeColor="text1"/>
            <w:u w:val="none"/>
            <w:shd w:val="clear" w:color="auto" w:fill="FFFFFF"/>
          </w:rPr>
          <w:t>Safe Drinking Water Act</w:t>
        </w:r>
      </w:hyperlink>
      <w:r>
        <w:rPr>
          <w:rFonts w:eastAsia="sans-serif"/>
          <w:color w:val="000000" w:themeColor="text1"/>
          <w:shd w:val="clear" w:color="auto" w:fill="FFFFFF"/>
        </w:rPr>
        <w:t>. China adopted its own drinking water standard GB3838-2002 (Type II) enacted by </w:t>
      </w:r>
      <w:hyperlink r:id="rId20" w:tooltip="Ministry of Environmental Protection of the People's Republic of China" w:history="1">
        <w:r>
          <w:rPr>
            <w:rStyle w:val="Hyperlink"/>
            <w:rFonts w:eastAsia="sans-serif"/>
            <w:color w:val="000000" w:themeColor="text1"/>
            <w:u w:val="none"/>
            <w:shd w:val="clear" w:color="auto" w:fill="FFFFFF"/>
          </w:rPr>
          <w:t>Ministry of Environmental Protection</w:t>
        </w:r>
      </w:hyperlink>
      <w:r>
        <w:rPr>
          <w:rFonts w:eastAsia="sans-serif"/>
          <w:color w:val="000000" w:themeColor="text1"/>
          <w:shd w:val="clear" w:color="auto" w:fill="FFFFFF"/>
        </w:rPr>
        <w:t> in (2002). For countries without a legislative or administrative framework for such standards, the </w:t>
      </w:r>
      <w:hyperlink r:id="rId21" w:tooltip="World Health Organization" w:history="1">
        <w:r>
          <w:rPr>
            <w:rStyle w:val="Hyperlink"/>
            <w:rFonts w:eastAsia="sans-serif"/>
            <w:color w:val="000000" w:themeColor="text1"/>
            <w:u w:val="none"/>
            <w:shd w:val="clear" w:color="auto" w:fill="FFFFFF"/>
          </w:rPr>
          <w:t>World Health Organization</w:t>
        </w:r>
      </w:hyperlink>
      <w:r>
        <w:rPr>
          <w:rFonts w:eastAsia="sans-serif"/>
          <w:color w:val="000000" w:themeColor="text1"/>
          <w:shd w:val="clear" w:color="auto" w:fill="FFFFFF"/>
        </w:rPr>
        <w:t> (WHO) publishes guidelines on the standards that should be achieved. (2022)</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shd w:val="clear" w:color="auto" w:fill="FFFFFF"/>
        </w:rPr>
      </w:pPr>
      <w:r>
        <w:rPr>
          <w:rFonts w:eastAsia="sans-serif"/>
          <w:color w:val="000000" w:themeColor="text1"/>
          <w:shd w:val="clear" w:color="auto" w:fill="FFFFFF"/>
        </w:rPr>
        <w:t>Where drinking water quality standards do exist, most are expressed as guidelines or targets rather than requirements, and very few water standards have any legal basis or, are subject to enforcement. Two exceptions are the European Drinking Water Directive and the Safe Drinking Water Act in the United States, (2022) which require legal compliance with specific standards. In Europe, this includes a requirement for member states to enact appropriate local legislation to mandate the directive in each country. Routine inspection and, where required, enforcement is enacted by means of penalties imposed by the </w:t>
      </w:r>
      <w:hyperlink r:id="rId22" w:tooltip="European Commission" w:history="1">
        <w:r>
          <w:rPr>
            <w:rStyle w:val="Hyperlink"/>
            <w:rFonts w:eastAsia="sans-serif"/>
            <w:color w:val="000000" w:themeColor="text1"/>
            <w:u w:val="none"/>
            <w:shd w:val="clear" w:color="auto" w:fill="FFFFFF"/>
          </w:rPr>
          <w:t>European Commission</w:t>
        </w:r>
      </w:hyperlink>
      <w:r>
        <w:rPr>
          <w:rFonts w:eastAsia="sans-serif"/>
          <w:color w:val="000000" w:themeColor="text1"/>
          <w:shd w:val="clear" w:color="auto" w:fill="FFFFFF"/>
        </w:rPr>
        <w:t> on non-compliant nations.</w:t>
      </w:r>
    </w:p>
    <w:p w:rsidR="00252A34" w:rsidRDefault="00252A34">
      <w:pPr>
        <w:pStyle w:val="NormalWeb"/>
        <w:shd w:val="clear" w:color="auto" w:fill="FFFFFF"/>
        <w:spacing w:before="105" w:beforeAutospacing="0" w:after="210" w:afterAutospacing="0" w:line="480" w:lineRule="auto"/>
        <w:ind w:firstLine="720"/>
        <w:jc w:val="both"/>
        <w:rPr>
          <w:rFonts w:eastAsia="sans-serif"/>
          <w:color w:val="000000" w:themeColor="text1"/>
          <w:shd w:val="clear" w:color="auto" w:fill="FFFFFF"/>
        </w:rPr>
      </w:pPr>
    </w:p>
    <w:p w:rsidR="00252A34" w:rsidRDefault="00CA64CC">
      <w:pPr>
        <w:pStyle w:val="NormalWeb"/>
        <w:shd w:val="clear" w:color="auto" w:fill="FFFFFF"/>
        <w:spacing w:before="105" w:beforeAutospacing="0" w:after="210" w:afterAutospacing="0" w:line="480" w:lineRule="auto"/>
        <w:jc w:val="both"/>
        <w:rPr>
          <w:color w:val="000000" w:themeColor="text1"/>
        </w:rPr>
      </w:pPr>
      <w:r>
        <w:rPr>
          <w:b/>
          <w:bCs/>
          <w:color w:val="000000" w:themeColor="text1"/>
        </w:rPr>
        <w:lastRenderedPageBreak/>
        <w:t>2.9</w:t>
      </w:r>
      <w:r>
        <w:rPr>
          <w:b/>
          <w:bCs/>
          <w:color w:val="000000" w:themeColor="text1"/>
        </w:rPr>
        <w:tab/>
        <w:t>Methods of Detecting Bacteria in Water</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most reliable methods are direct plate count method and membrane filtration method. mEndo Agar is used in the membrane filtration while VRBA Agar is used in the direct plate count method. VRBA stands for violet red bile agar. A media that contains bile salts which promotes the growth of gram negative and has inhibitory characteristic to gram positive although not complete inhibitory.</w:t>
      </w:r>
    </w:p>
    <w:p w:rsidR="00252A34" w:rsidRDefault="00CA64CC">
      <w:pPr>
        <w:pStyle w:val="NormalWeb"/>
        <w:shd w:val="clear" w:color="auto" w:fill="FFFFFF"/>
        <w:spacing w:before="105" w:beforeAutospacing="0" w:after="210" w:afterAutospacing="0" w:line="480" w:lineRule="auto"/>
        <w:jc w:val="both"/>
        <w:rPr>
          <w:rFonts w:eastAsia="sans-serif"/>
          <w:color w:val="000000" w:themeColor="text1"/>
        </w:rPr>
      </w:pPr>
      <w:r>
        <w:rPr>
          <w:rFonts w:eastAsia="sans-serif"/>
          <w:color w:val="000000" w:themeColor="text1"/>
          <w:shd w:val="clear" w:color="auto" w:fill="FFFFFF"/>
        </w:rPr>
        <w:t>These media contain lactose which is usually fermented by lactose fermenting bacteria producing colonies that can be identified and characterised. Lactose fermenting produce colored colonies while non lactose fermenting produce colorless ones. Because the analysis is always based on a very small sample taken from a very large volume of water, all methods rely on statistical principles.</w:t>
      </w:r>
      <w:r>
        <w:rPr>
          <w:rStyle w:val="HTMLCite"/>
          <w:rFonts w:eastAsia="sans-serif"/>
          <w:i w:val="0"/>
          <w:iCs w:val="0"/>
          <w:color w:val="000000" w:themeColor="text1"/>
          <w:shd w:val="clear" w:color="auto" w:fill="FFFFFF"/>
        </w:rPr>
        <w:t>(EPA}. (2004)</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2.9.1</w:t>
      </w:r>
      <w:r>
        <w:rPr>
          <w:rFonts w:ascii="Times New Roman" w:hAnsi="Times New Roman" w:hint="default"/>
          <w:color w:val="000000" w:themeColor="text1"/>
          <w:sz w:val="24"/>
          <w:szCs w:val="24"/>
          <w:shd w:val="clear" w:color="auto" w:fill="FFFFFF"/>
        </w:rPr>
        <w:tab/>
        <w:t xml:space="preserve">Multiple tube </w:t>
      </w:r>
      <w:r w:rsidR="003D3E51">
        <w:rPr>
          <w:rFonts w:ascii="Times New Roman" w:hAnsi="Times New Roman" w:hint="default"/>
          <w:color w:val="000000" w:themeColor="text1"/>
          <w:sz w:val="24"/>
          <w:szCs w:val="24"/>
          <w:shd w:val="clear" w:color="auto" w:fill="FFFFFF"/>
        </w:rPr>
        <w:t>Method</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One of the oldest methods is the multiple tube method.</w:t>
      </w:r>
      <w:r>
        <w:rPr>
          <w:rStyle w:val="HTMLCite"/>
          <w:rFonts w:eastAsia="sans-serif"/>
          <w:i w:val="0"/>
          <w:iCs w:val="0"/>
          <w:color w:val="000000" w:themeColor="text1"/>
          <w:shd w:val="clear" w:color="auto" w:fill="FFFFFF"/>
        </w:rPr>
        <w:t>(EPA.  2002).</w:t>
      </w:r>
      <w:r>
        <w:rPr>
          <w:rFonts w:eastAsia="sans-serif"/>
          <w:color w:val="000000" w:themeColor="text1"/>
          <w:shd w:val="clear" w:color="auto" w:fill="FFFFFF"/>
        </w:rPr>
        <w:t> In this method a measured sub-sample (perhaps 10 ml) is diluted with 100 ml of sterile growth medium and an </w:t>
      </w:r>
      <w:hyperlink r:id="rId23" w:anchor="Aliquot_part" w:tooltip="Sample (material)" w:history="1">
        <w:r>
          <w:rPr>
            <w:rStyle w:val="Hyperlink"/>
            <w:rFonts w:eastAsia="sans-serif"/>
            <w:color w:val="000000" w:themeColor="text1"/>
            <w:u w:val="none"/>
            <w:shd w:val="clear" w:color="auto" w:fill="FFFFFF"/>
          </w:rPr>
          <w:t>aliquot</w:t>
        </w:r>
      </w:hyperlink>
      <w:r>
        <w:rPr>
          <w:rFonts w:eastAsia="sans-serif"/>
          <w:color w:val="000000" w:themeColor="text1"/>
          <w:shd w:val="clear" w:color="auto" w:fill="FFFFFF"/>
        </w:rPr>
        <w:t> of 10 ml is then decanted into each of ten tubes. The remaining 10 ml is then diluted again and the process repeated. At the end of 5 dilutions this produces 50 tubes covering the dilution range of 1:10 through to 1:10000.</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tubes are then incubated at a pre-set temperature for a specified time and at the end of the process the number of tubes with growth in is counted for each dilution. Statistical tables are then used to derive the concentration of organisms in the original sample. This method can be enhanced by using indicator medium which changes colour when acid forming species are present and by including a tiny inverted tube called a </w:t>
      </w:r>
      <w:hyperlink r:id="rId24" w:tooltip="Durham tube" w:history="1">
        <w:r>
          <w:rPr>
            <w:rStyle w:val="Hyperlink"/>
            <w:rFonts w:eastAsia="sans-serif"/>
            <w:color w:val="000000" w:themeColor="text1"/>
            <w:u w:val="none"/>
            <w:shd w:val="clear" w:color="auto" w:fill="FFFFFF"/>
          </w:rPr>
          <w:t>Durham tube</w:t>
        </w:r>
      </w:hyperlink>
      <w:r>
        <w:rPr>
          <w:rFonts w:eastAsia="sans-serif"/>
          <w:color w:val="000000" w:themeColor="text1"/>
          <w:shd w:val="clear" w:color="auto" w:fill="FFFFFF"/>
        </w:rPr>
        <w:t xml:space="preserve"> in each sample tube. The Durham inverted tube catches </w:t>
      </w:r>
      <w:r>
        <w:rPr>
          <w:rFonts w:eastAsia="sans-serif"/>
          <w:color w:val="000000" w:themeColor="text1"/>
          <w:shd w:val="clear" w:color="auto" w:fill="FFFFFF"/>
        </w:rPr>
        <w:lastRenderedPageBreak/>
        <w:t>any gas produced. The production of gas at 37 degrees Celsius is a strong indication of the presence of </w:t>
      </w:r>
      <w:hyperlink r:id="rId25" w:tooltip="Escherichia coli (molecular biology)" w:history="1">
        <w:r>
          <w:rPr>
            <w:rStyle w:val="Hyperlink"/>
            <w:rFonts w:eastAsia="sans-serif"/>
            <w:i/>
            <w:iCs/>
            <w:color w:val="000000" w:themeColor="text1"/>
            <w:u w:val="none"/>
            <w:shd w:val="clear" w:color="auto" w:fill="FFFFFF"/>
          </w:rPr>
          <w:t>Escherichia coli</w:t>
        </w:r>
      </w:hyperlink>
      <w:r>
        <w:rPr>
          <w:rFonts w:eastAsia="sans-serif"/>
          <w:color w:val="000000" w:themeColor="text1"/>
          <w:shd w:val="clear" w:color="auto" w:fill="FFFFFF"/>
        </w:rPr>
        <w:t>.</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2.9.2</w:t>
      </w:r>
      <w:r>
        <w:rPr>
          <w:rFonts w:ascii="Times New Roman" w:hAnsi="Times New Roman" w:hint="default"/>
          <w:color w:val="000000" w:themeColor="text1"/>
          <w:sz w:val="24"/>
          <w:szCs w:val="24"/>
          <w:shd w:val="clear" w:color="auto" w:fill="FFFFFF"/>
        </w:rPr>
        <w:tab/>
        <w:t xml:space="preserve">ATP </w:t>
      </w:r>
      <w:r w:rsidR="003D3E51">
        <w:rPr>
          <w:rFonts w:ascii="Times New Roman" w:hAnsi="Times New Roman" w:hint="default"/>
          <w:color w:val="000000" w:themeColor="text1"/>
          <w:sz w:val="24"/>
          <w:szCs w:val="24"/>
          <w:shd w:val="clear" w:color="auto" w:fill="FFFFFF"/>
        </w:rPr>
        <w:t>Testing</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An </w:t>
      </w:r>
      <w:hyperlink r:id="rId26" w:tooltip="ATP test" w:history="1">
        <w:r>
          <w:rPr>
            <w:rStyle w:val="Hyperlink"/>
            <w:rFonts w:eastAsia="sans-serif"/>
            <w:color w:val="000000" w:themeColor="text1"/>
            <w:u w:val="none"/>
            <w:shd w:val="clear" w:color="auto" w:fill="FFFFFF"/>
          </w:rPr>
          <w:t>ATP test</w:t>
        </w:r>
      </w:hyperlink>
      <w:r>
        <w:rPr>
          <w:rFonts w:eastAsia="sans-serif"/>
          <w:color w:val="000000" w:themeColor="text1"/>
          <w:shd w:val="clear" w:color="auto" w:fill="FFFFFF"/>
        </w:rPr>
        <w:t> is the process of rapidly measuring active microorganisms in water through detection </w:t>
      </w:r>
      <w:hyperlink r:id="rId27" w:tooltip="Adenosine triphosphate" w:history="1">
        <w:r>
          <w:rPr>
            <w:rStyle w:val="Hyperlink"/>
            <w:rFonts w:eastAsia="sans-serif"/>
            <w:color w:val="000000" w:themeColor="text1"/>
            <w:u w:val="none"/>
            <w:shd w:val="clear" w:color="auto" w:fill="FFFFFF"/>
          </w:rPr>
          <w:t>adenosine triphosphate</w:t>
        </w:r>
      </w:hyperlink>
      <w:r>
        <w:rPr>
          <w:rFonts w:eastAsia="sans-serif"/>
          <w:color w:val="000000" w:themeColor="text1"/>
          <w:shd w:val="clear" w:color="auto" w:fill="FFFFFF"/>
        </w:rPr>
        <w:t> (ATP). ATP is a molecule found only in and around living cells, and as such it gives a direct measure of biological concentration and health. ATP is quantified by measuring the light produced through its reaction with the naturally occurring enzyme </w:t>
      </w:r>
      <w:hyperlink r:id="rId28" w:tooltip="Firefly luciferase" w:history="1">
        <w:r>
          <w:rPr>
            <w:rStyle w:val="Hyperlink"/>
            <w:rFonts w:eastAsia="sans-serif"/>
            <w:color w:val="000000" w:themeColor="text1"/>
            <w:u w:val="none"/>
            <w:shd w:val="clear" w:color="auto" w:fill="FFFFFF"/>
          </w:rPr>
          <w:t>firefly luciferase</w:t>
        </w:r>
      </w:hyperlink>
      <w:r>
        <w:rPr>
          <w:rFonts w:eastAsia="sans-serif"/>
          <w:color w:val="000000" w:themeColor="text1"/>
          <w:shd w:val="clear" w:color="auto" w:fill="FFFFFF"/>
        </w:rPr>
        <w:t> using a </w:t>
      </w:r>
      <w:hyperlink r:id="rId29" w:tooltip="Luminometer" w:history="1">
        <w:r>
          <w:rPr>
            <w:rStyle w:val="Hyperlink"/>
            <w:rFonts w:eastAsia="sans-serif"/>
            <w:color w:val="000000" w:themeColor="text1"/>
            <w:u w:val="none"/>
            <w:shd w:val="clear" w:color="auto" w:fill="FFFFFF"/>
          </w:rPr>
          <w:t>luminometer</w:t>
        </w:r>
      </w:hyperlink>
      <w:r>
        <w:rPr>
          <w:rFonts w:eastAsia="sans-serif"/>
          <w:color w:val="000000" w:themeColor="text1"/>
          <w:shd w:val="clear" w:color="auto" w:fill="FFFFFF"/>
        </w:rPr>
        <w:t>. The amount of light produced is directly proportional to the amount of biological energy present in the sample.</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Second generation ATP tests are specifically designed for water, </w:t>
      </w:r>
      <w:hyperlink r:id="rId30" w:tooltip="Wastewater" w:history="1">
        <w:r>
          <w:rPr>
            <w:rStyle w:val="Hyperlink"/>
            <w:rFonts w:eastAsia="sans-serif"/>
            <w:color w:val="000000" w:themeColor="text1"/>
            <w:u w:val="none"/>
            <w:shd w:val="clear" w:color="auto" w:fill="FFFFFF"/>
          </w:rPr>
          <w:t>wastewater</w:t>
        </w:r>
      </w:hyperlink>
      <w:r>
        <w:rPr>
          <w:rFonts w:eastAsia="sans-serif"/>
          <w:color w:val="000000" w:themeColor="text1"/>
          <w:shd w:val="clear" w:color="auto" w:fill="FFFFFF"/>
        </w:rPr>
        <w:t> and industrial applications where, for the most part, samples contain a variety of components that can interfere with the ATP assay.</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2.9.3</w:t>
      </w:r>
      <w:r>
        <w:rPr>
          <w:rFonts w:ascii="Times New Roman" w:hAnsi="Times New Roman" w:hint="default"/>
          <w:color w:val="000000" w:themeColor="text1"/>
          <w:sz w:val="24"/>
          <w:szCs w:val="24"/>
          <w:shd w:val="clear" w:color="auto" w:fill="FFFFFF"/>
        </w:rPr>
        <w:tab/>
        <w:t xml:space="preserve">Plate </w:t>
      </w:r>
      <w:r w:rsidR="003D3E51">
        <w:rPr>
          <w:rFonts w:ascii="Times New Roman" w:hAnsi="Times New Roman" w:hint="default"/>
          <w:color w:val="000000" w:themeColor="text1"/>
          <w:sz w:val="24"/>
          <w:szCs w:val="24"/>
          <w:shd w:val="clear" w:color="auto" w:fill="FFFFFF"/>
        </w:rPr>
        <w:t>Count</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 xml:space="preserve">The plate count method relies on bacteria growing a colony on a nutrient medium so that the colony becomes visible to the naked eye and the number of colonies on a plate can be counted. To be effective, the dilution of the original sample must be arranged so that on average between 30 and 300 colonies of the target bacterium are grown. Fewer than 30 colonies makes the interpretation statistically unsound whilst greater than 300 colonies often results in overlapping colonies and imprecision in the count. To ensure that an appropriate number of colonies will be generated several dilutions are normally cultured. This approach is widely utilised for the evaluation of the effectiveness of water treatment by the inactivation of </w:t>
      </w:r>
      <w:r>
        <w:rPr>
          <w:rFonts w:eastAsia="sans-serif"/>
          <w:color w:val="000000" w:themeColor="text1"/>
          <w:shd w:val="clear" w:color="auto" w:fill="FFFFFF"/>
        </w:rPr>
        <w:lastRenderedPageBreak/>
        <w:t>representative microbial contaminants such as </w:t>
      </w:r>
      <w:r>
        <w:rPr>
          <w:rFonts w:eastAsia="sans-serif"/>
          <w:i/>
          <w:iCs/>
          <w:color w:val="000000" w:themeColor="text1"/>
          <w:shd w:val="clear" w:color="auto" w:fill="FFFFFF"/>
        </w:rPr>
        <w:t>E. coli</w:t>
      </w:r>
      <w:r>
        <w:rPr>
          <w:rFonts w:eastAsia="sans-serif"/>
          <w:color w:val="000000" w:themeColor="text1"/>
          <w:shd w:val="clear" w:color="auto" w:fill="FFFFFF"/>
        </w:rPr>
        <w:t> following ASTM D5465.</w:t>
      </w:r>
      <w:r>
        <w:rPr>
          <w:rStyle w:val="HTMLCite"/>
          <w:rFonts w:eastAsia="sans-serif"/>
          <w:i w:val="0"/>
          <w:iCs w:val="0"/>
          <w:color w:val="000000" w:themeColor="text1"/>
          <w:shd w:val="clear" w:color="auto" w:fill="FFFFFF"/>
        </w:rPr>
        <w:t>Hanaor</w:t>
      </w:r>
      <w:r>
        <w:rPr>
          <w:rStyle w:val="HTMLCite"/>
          <w:rFonts w:eastAsia="sans-serif"/>
          <w:color w:val="000000" w:themeColor="text1"/>
          <w:shd w:val="clear" w:color="auto" w:fill="FFFFFF"/>
        </w:rPr>
        <w:t xml:space="preserve"> et al.,</w:t>
      </w:r>
      <w:r>
        <w:rPr>
          <w:rStyle w:val="HTMLCite"/>
          <w:rFonts w:eastAsia="sans-serif"/>
          <w:i w:val="0"/>
          <w:iCs w:val="0"/>
          <w:color w:val="000000" w:themeColor="text1"/>
          <w:shd w:val="clear" w:color="auto" w:fill="FFFFFF"/>
        </w:rPr>
        <w:t xml:space="preserve"> (2014)</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The laboratory procedure involves making serial dilutions of the sample (1:10, 1:100, 1:1000, etc.) in sterile water and cultivating these on </w:t>
      </w:r>
      <w:hyperlink r:id="rId31" w:tooltip="Nutrient" w:history="1">
        <w:r>
          <w:rPr>
            <w:rStyle w:val="Hyperlink"/>
            <w:rFonts w:eastAsia="sans-serif"/>
            <w:color w:val="000000" w:themeColor="text1"/>
            <w:u w:val="none"/>
            <w:shd w:val="clear" w:color="auto" w:fill="FFFFFF"/>
          </w:rPr>
          <w:t>nutrient</w:t>
        </w:r>
      </w:hyperlink>
      <w:r>
        <w:rPr>
          <w:rFonts w:eastAsia="sans-serif"/>
          <w:color w:val="000000" w:themeColor="text1"/>
          <w:shd w:val="clear" w:color="auto" w:fill="FFFFFF"/>
        </w:rPr>
        <w:t> agar in a dish that is sealed and incubated. Typical media include </w:t>
      </w:r>
      <w:hyperlink r:id="rId32" w:tooltip="Plate count agar" w:history="1">
        <w:r>
          <w:rPr>
            <w:rStyle w:val="Hyperlink"/>
            <w:rFonts w:eastAsia="sans-serif"/>
            <w:color w:val="000000" w:themeColor="text1"/>
            <w:u w:val="none"/>
            <w:shd w:val="clear" w:color="auto" w:fill="FFFFFF"/>
          </w:rPr>
          <w:t>plate count agar</w:t>
        </w:r>
      </w:hyperlink>
      <w:r>
        <w:rPr>
          <w:rFonts w:eastAsia="sans-serif"/>
          <w:color w:val="000000" w:themeColor="text1"/>
          <w:shd w:val="clear" w:color="auto" w:fill="FFFFFF"/>
        </w:rPr>
        <w:t> for a general count or </w:t>
      </w:r>
      <w:hyperlink r:id="rId33" w:tooltip="MacConkey agar" w:history="1">
        <w:r>
          <w:rPr>
            <w:rStyle w:val="Hyperlink"/>
            <w:rFonts w:eastAsia="sans-serif"/>
            <w:color w:val="000000" w:themeColor="text1"/>
            <w:u w:val="none"/>
            <w:shd w:val="clear" w:color="auto" w:fill="FFFFFF"/>
          </w:rPr>
          <w:t>MacConkey agar</w:t>
        </w:r>
      </w:hyperlink>
      <w:r>
        <w:rPr>
          <w:rFonts w:eastAsia="sans-serif"/>
          <w:color w:val="000000" w:themeColor="text1"/>
          <w:shd w:val="clear" w:color="auto" w:fill="FFFFFF"/>
        </w:rPr>
        <w:t> to count </w:t>
      </w:r>
      <w:hyperlink r:id="rId34" w:tooltip="Gram-negative bacteria" w:history="1">
        <w:r>
          <w:rPr>
            <w:rStyle w:val="Hyperlink"/>
            <w:rFonts w:eastAsia="sans-serif"/>
            <w:color w:val="000000" w:themeColor="text1"/>
            <w:u w:val="none"/>
            <w:shd w:val="clear" w:color="auto" w:fill="FFFFFF"/>
          </w:rPr>
          <w:t>Gram-negative bacteria</w:t>
        </w:r>
      </w:hyperlink>
      <w:r>
        <w:rPr>
          <w:rFonts w:eastAsia="sans-serif"/>
          <w:color w:val="000000" w:themeColor="text1"/>
          <w:shd w:val="clear" w:color="auto" w:fill="FFFFFF"/>
        </w:rPr>
        <w:t> such as </w:t>
      </w:r>
      <w:r>
        <w:rPr>
          <w:rFonts w:eastAsia="sans-serif"/>
          <w:i/>
          <w:iCs/>
          <w:color w:val="000000" w:themeColor="text1"/>
          <w:shd w:val="clear" w:color="auto" w:fill="FFFFFF"/>
        </w:rPr>
        <w:t>E. coli</w:t>
      </w:r>
      <w:r>
        <w:rPr>
          <w:rFonts w:eastAsia="sans-serif"/>
          <w:color w:val="000000" w:themeColor="text1"/>
          <w:shd w:val="clear" w:color="auto" w:fill="FFFFFF"/>
        </w:rPr>
        <w:t>. Typically one set of plates is incubated at 22 °C and for 24 hours and a second set at 37 °C for 24 hours. The composition of the nutrient usually includes </w:t>
      </w:r>
      <w:hyperlink r:id="rId35" w:tooltip="Reagent" w:history="1">
        <w:r>
          <w:rPr>
            <w:rStyle w:val="Hyperlink"/>
            <w:rFonts w:eastAsia="sans-serif"/>
            <w:color w:val="000000" w:themeColor="text1"/>
            <w:u w:val="none"/>
            <w:shd w:val="clear" w:color="auto" w:fill="FFFFFF"/>
          </w:rPr>
          <w:t>reagents</w:t>
        </w:r>
      </w:hyperlink>
      <w:r>
        <w:rPr>
          <w:rFonts w:eastAsia="sans-serif"/>
          <w:color w:val="000000" w:themeColor="text1"/>
          <w:shd w:val="clear" w:color="auto" w:fill="FFFFFF"/>
        </w:rPr>
        <w:t> that resist the growth of non-target organisms and make the target organism easily identified, often by a colour change in the medium. Some recent methods include a fluorescent agent so that counting of the colonies can be automated. At the end of the incubation period the colonies are counted by eye, a procedure that takes a few moments and does not require a </w:t>
      </w:r>
      <w:hyperlink r:id="rId36" w:tooltip="Microscope" w:history="1">
        <w:r>
          <w:rPr>
            <w:rStyle w:val="Hyperlink"/>
            <w:rFonts w:eastAsia="sans-serif"/>
            <w:color w:val="000000" w:themeColor="text1"/>
            <w:u w:val="none"/>
            <w:shd w:val="clear" w:color="auto" w:fill="FFFFFF"/>
          </w:rPr>
          <w:t>microscope</w:t>
        </w:r>
      </w:hyperlink>
      <w:r>
        <w:rPr>
          <w:rFonts w:eastAsia="sans-serif"/>
          <w:color w:val="000000" w:themeColor="text1"/>
          <w:shd w:val="clear" w:color="auto" w:fill="FFFFFF"/>
        </w:rPr>
        <w:t> as the colonies are typically a few millimetres across.</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2.9.4</w:t>
      </w:r>
      <w:r>
        <w:rPr>
          <w:rFonts w:ascii="Times New Roman" w:hAnsi="Times New Roman" w:hint="default"/>
          <w:color w:val="000000" w:themeColor="text1"/>
          <w:sz w:val="24"/>
          <w:szCs w:val="24"/>
          <w:shd w:val="clear" w:color="auto" w:fill="FFFFFF"/>
        </w:rPr>
        <w:tab/>
        <w:t xml:space="preserve">Membrane </w:t>
      </w:r>
      <w:r w:rsidR="003D3E51">
        <w:rPr>
          <w:rFonts w:ascii="Times New Roman" w:hAnsi="Times New Roman" w:hint="default"/>
          <w:color w:val="000000" w:themeColor="text1"/>
          <w:sz w:val="24"/>
          <w:szCs w:val="24"/>
          <w:shd w:val="clear" w:color="auto" w:fill="FFFFFF"/>
        </w:rPr>
        <w:t>Filtration</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Most modern laboratories use a refinement of total plate count in which serial dilutions of the sample are vacuum filtered through purpose made </w:t>
      </w:r>
      <w:hyperlink r:id="rId37" w:tooltip="Membrane filter" w:history="1">
        <w:r>
          <w:rPr>
            <w:rStyle w:val="Hyperlink"/>
            <w:rFonts w:eastAsia="sans-serif"/>
            <w:color w:val="000000" w:themeColor="text1"/>
            <w:u w:val="none"/>
            <w:shd w:val="clear" w:color="auto" w:fill="FFFFFF"/>
          </w:rPr>
          <w:t>membrane filters</w:t>
        </w:r>
      </w:hyperlink>
      <w:r>
        <w:rPr>
          <w:rFonts w:eastAsia="sans-serif"/>
          <w:color w:val="000000" w:themeColor="text1"/>
          <w:shd w:val="clear" w:color="auto" w:fill="FFFFFF"/>
        </w:rPr>
        <w:t> and these filters are themselves laid on nutrient medium within sealed plates. (</w:t>
      </w:r>
      <w:r>
        <w:rPr>
          <w:rStyle w:val="HTMLCite"/>
          <w:rFonts w:eastAsia="sans-serif"/>
          <w:i w:val="0"/>
          <w:iCs w:val="0"/>
          <w:color w:val="000000" w:themeColor="text1"/>
          <w:shd w:val="clear" w:color="auto" w:fill="FFFFFF"/>
        </w:rPr>
        <w:t>EPA. 2002.)</w:t>
      </w:r>
      <w:r>
        <w:rPr>
          <w:rFonts w:eastAsia="sans-serif"/>
          <w:color w:val="000000" w:themeColor="text1"/>
          <w:shd w:val="clear" w:color="auto" w:fill="FFFFFF"/>
        </w:rPr>
        <w:t> The methodology is otherwise similar to conventional total plate counts. Membranes have a printed millimetre grid printed on and can be reliably used to count the number of colonies under a binocular microscope.</w:t>
      </w:r>
    </w:p>
    <w:p w:rsidR="00252A34" w:rsidRDefault="00CA64CC">
      <w:pPr>
        <w:pStyle w:val="Heading3"/>
        <w:spacing w:before="52" w:beforeAutospacing="0" w:after="106" w:afterAutospacing="0" w:line="480" w:lineRule="auto"/>
        <w:jc w:val="both"/>
        <w:rPr>
          <w:rFonts w:ascii="Times New Roman" w:eastAsia="sans-serif" w:hAnsi="Times New Roman" w:hint="default"/>
          <w:color w:val="000000" w:themeColor="text1"/>
          <w:sz w:val="24"/>
          <w:szCs w:val="24"/>
        </w:rPr>
      </w:pPr>
      <w:r>
        <w:rPr>
          <w:rFonts w:ascii="Times New Roman" w:hAnsi="Times New Roman" w:hint="default"/>
          <w:color w:val="000000" w:themeColor="text1"/>
          <w:sz w:val="24"/>
          <w:szCs w:val="24"/>
          <w:shd w:val="clear" w:color="auto" w:fill="FFFFFF"/>
        </w:rPr>
        <w:t>2.9.5</w:t>
      </w:r>
      <w:r>
        <w:rPr>
          <w:rFonts w:ascii="Times New Roman" w:hAnsi="Times New Roman" w:hint="default"/>
          <w:color w:val="000000" w:themeColor="text1"/>
          <w:sz w:val="24"/>
          <w:szCs w:val="24"/>
          <w:shd w:val="clear" w:color="auto" w:fill="FFFFFF"/>
        </w:rPr>
        <w:tab/>
        <w:t xml:space="preserve">Pour </w:t>
      </w:r>
      <w:r w:rsidR="00960FF4">
        <w:rPr>
          <w:rFonts w:ascii="Times New Roman" w:hAnsi="Times New Roman" w:hint="default"/>
          <w:color w:val="000000" w:themeColor="text1"/>
          <w:sz w:val="24"/>
          <w:szCs w:val="24"/>
          <w:shd w:val="clear" w:color="auto" w:fill="FFFFFF"/>
        </w:rPr>
        <w:t xml:space="preserve">Plate </w:t>
      </w:r>
      <w:r w:rsidR="003D3E51">
        <w:rPr>
          <w:rFonts w:ascii="Times New Roman" w:hAnsi="Times New Roman" w:hint="default"/>
          <w:color w:val="000000" w:themeColor="text1"/>
          <w:sz w:val="24"/>
          <w:szCs w:val="24"/>
          <w:shd w:val="clear" w:color="auto" w:fill="FFFFFF"/>
        </w:rPr>
        <w:t>Method</w:t>
      </w:r>
    </w:p>
    <w:p w:rsidR="00252A34" w:rsidRDefault="00CA64CC">
      <w:pPr>
        <w:pStyle w:val="NormalWeb"/>
        <w:shd w:val="clear" w:color="auto" w:fill="FFFFFF"/>
        <w:spacing w:before="105" w:beforeAutospacing="0" w:after="210" w:afterAutospacing="0" w:line="480" w:lineRule="auto"/>
        <w:ind w:firstLine="720"/>
        <w:jc w:val="both"/>
        <w:rPr>
          <w:rFonts w:eastAsia="sans-serif"/>
          <w:color w:val="000000" w:themeColor="text1"/>
        </w:rPr>
      </w:pPr>
      <w:r>
        <w:rPr>
          <w:rFonts w:eastAsia="sans-serif"/>
          <w:color w:val="000000" w:themeColor="text1"/>
          <w:shd w:val="clear" w:color="auto" w:fill="FFFFFF"/>
        </w:rPr>
        <w:t xml:space="preserve">When the analysis is looking for bacterial species that grow poorly in air, the initial analysis is done by mixing serial dilutions of the sample in liquid nutrient agar which is then poured into bottles which are then sealed and laid on their sides to </w:t>
      </w:r>
      <w:r>
        <w:rPr>
          <w:rFonts w:eastAsia="sans-serif"/>
          <w:color w:val="000000" w:themeColor="text1"/>
          <w:shd w:val="clear" w:color="auto" w:fill="FFFFFF"/>
        </w:rPr>
        <w:lastRenderedPageBreak/>
        <w:t>produce a sloping agar surface. Colonies that develop in the body of the medium can be counted by eye after incubation.</w:t>
      </w:r>
    </w:p>
    <w:p w:rsidR="00252A34" w:rsidRDefault="00CA64CC">
      <w:pPr>
        <w:pStyle w:val="NormalWeb"/>
        <w:shd w:val="clear" w:color="auto" w:fill="FFFFFF"/>
        <w:spacing w:before="105" w:beforeAutospacing="0" w:after="210" w:afterAutospacing="0" w:line="480" w:lineRule="auto"/>
        <w:jc w:val="both"/>
        <w:rPr>
          <w:color w:val="000000" w:themeColor="text1"/>
        </w:rPr>
      </w:pPr>
      <w:r>
        <w:rPr>
          <w:rFonts w:eastAsia="sans-serif"/>
          <w:color w:val="000000" w:themeColor="text1"/>
          <w:shd w:val="clear" w:color="auto" w:fill="FFFFFF"/>
        </w:rPr>
        <w:t>The total number of colonies is referred to as the </w:t>
      </w:r>
      <w:hyperlink r:id="rId38" w:tooltip="Total viable count" w:history="1">
        <w:r>
          <w:rPr>
            <w:rStyle w:val="Hyperlink"/>
            <w:rFonts w:eastAsia="sans-serif"/>
            <w:color w:val="000000" w:themeColor="text1"/>
            <w:u w:val="none"/>
            <w:shd w:val="clear" w:color="auto" w:fill="FFFFFF"/>
          </w:rPr>
          <w:t>total viable count</w:t>
        </w:r>
      </w:hyperlink>
      <w:r>
        <w:rPr>
          <w:rFonts w:eastAsia="sans-serif"/>
          <w:color w:val="000000" w:themeColor="text1"/>
          <w:shd w:val="clear" w:color="auto" w:fill="FFFFFF"/>
        </w:rPr>
        <w:t> (TVC). The unit of measurement is cfu/ml (or colony forming units per millilitre) and relates to the original sample. Calculation of this is a multiple of the counted number of colonies multiplied by the dilution used</w:t>
      </w:r>
    </w:p>
    <w:p w:rsidR="00252A34" w:rsidRDefault="00CA64CC">
      <w:pPr>
        <w:pStyle w:val="NormalWeb"/>
        <w:shd w:val="clear" w:color="auto" w:fill="FFFFFF"/>
        <w:spacing w:beforeAutospacing="0" w:afterAutospacing="0" w:line="480" w:lineRule="auto"/>
        <w:jc w:val="both"/>
        <w:rPr>
          <w:b/>
          <w:bCs/>
          <w:color w:val="000000" w:themeColor="text1"/>
        </w:rPr>
      </w:pPr>
      <w:r>
        <w:rPr>
          <w:b/>
          <w:bCs/>
          <w:color w:val="000000" w:themeColor="text1"/>
        </w:rPr>
        <w:t>2.10</w:t>
      </w:r>
      <w:r>
        <w:rPr>
          <w:b/>
          <w:bCs/>
          <w:color w:val="000000" w:themeColor="text1"/>
        </w:rPr>
        <w:tab/>
        <w:t>Review of Past Related Work</w:t>
      </w:r>
    </w:p>
    <w:p w:rsidR="00252A34" w:rsidRDefault="00CA64CC">
      <w:pPr>
        <w:pStyle w:val="NormalWeb"/>
        <w:shd w:val="clear" w:color="auto" w:fill="FFFFFF"/>
        <w:spacing w:beforeAutospacing="0" w:afterAutospacing="0" w:line="480" w:lineRule="auto"/>
        <w:ind w:firstLine="720"/>
        <w:jc w:val="both"/>
        <w:rPr>
          <w:color w:val="000000" w:themeColor="text1"/>
        </w:rPr>
      </w:pPr>
      <w:r>
        <w:rPr>
          <w:color w:val="000000" w:themeColor="text1"/>
        </w:rPr>
        <w:t>Shara  and Wasan (2024) review that Contamination of drinking water is one of the major concern’s that affect the health of the community due to bacterial toxins. This research paper focuses on the impact of these toxins in human health, and the available ways of tracking and controlling their distribution in water resources. This paper will therefore consider a literature review that will help in the generation of epidemiological data from different studies done on bacterial toxins in drinking water. The figures and levels of pathogenic bacteria, viruses, and protozoa in water make their presence or absence affect the lives of people all over the world. Waterborne pathogens can affect humanity through drinking water, fresh produce and raw foods, processed foods, or water for recreation. This increased chemical exposure has led to drinking water becoming a large source of chemical exposure despite drinking water treatment research mainly concentrating on microbial contaminants because of the large burden of diseases caused and high childhood mortality among the victims. Consequently, use of water polluted with heavy metals and bacterial toxins leads to high morbidity and mortality coefficient in various regions of the world.</w:t>
      </w:r>
    </w:p>
    <w:p w:rsidR="00252A34" w:rsidRDefault="00CA64CC">
      <w:pPr>
        <w:pStyle w:val="NormalWeb"/>
        <w:shd w:val="clear" w:color="auto" w:fill="FFFFFF"/>
        <w:spacing w:beforeAutospacing="0" w:afterAutospacing="0" w:line="480" w:lineRule="auto"/>
        <w:ind w:firstLine="720"/>
        <w:jc w:val="both"/>
        <w:rPr>
          <w:color w:val="000000" w:themeColor="text1"/>
        </w:rPr>
      </w:pPr>
      <w:r>
        <w:rPr>
          <w:rFonts w:eastAsia="Helvetica"/>
          <w:color w:val="000000" w:themeColor="text1"/>
          <w:shd w:val="clear" w:color="auto" w:fill="FFFFFF"/>
        </w:rPr>
        <w:t xml:space="preserve"> Omari, and Yeboah-Manu.(2012)determining the presence, type, count and causes of bacterial contamination of water used for drinking and other domestic purposes in Mpraeso. Fifty-four (54) water samples (48 from 8 groundwater wells and </w:t>
      </w:r>
      <w:r>
        <w:rPr>
          <w:rFonts w:eastAsia="Helvetica"/>
          <w:color w:val="000000" w:themeColor="text1"/>
          <w:shd w:val="clear" w:color="auto" w:fill="FFFFFF"/>
        </w:rPr>
        <w:lastRenderedPageBreak/>
        <w:t>6 from a stream) were collected and analyzed for six months (both during the dry and raining seasons). The results showed that groundwater sources were as polluted as surface water. The detection of bacterial cells in the water sources means that some forms of treatment needed to be done before consumption. The mean count of total coliform and faecal coliform ranged from 299 - 2267 MPN colonies/100 ml water sample and 111 – 1235 MPN colonies/100 ml water sample, respectively. For the groundwater sources, the enterobacteriaceae species detected were </w:t>
      </w:r>
      <w:r>
        <w:rPr>
          <w:color w:val="000000" w:themeColor="text1"/>
        </w:rPr>
        <w:t>Escherichia coli</w:t>
      </w:r>
      <w:r>
        <w:rPr>
          <w:rFonts w:eastAsia="Helvetica"/>
          <w:color w:val="000000" w:themeColor="text1"/>
          <w:shd w:val="clear" w:color="auto" w:fill="FFFFFF"/>
        </w:rPr>
        <w:t> (8 wells), </w:t>
      </w:r>
      <w:r>
        <w:rPr>
          <w:color w:val="000000" w:themeColor="text1"/>
        </w:rPr>
        <w:t>Enterococcus faecalis</w:t>
      </w:r>
      <w:r>
        <w:rPr>
          <w:rFonts w:eastAsia="Helvetica"/>
          <w:color w:val="000000" w:themeColor="text1"/>
          <w:shd w:val="clear" w:color="auto" w:fill="FFFFFF"/>
        </w:rPr>
        <w:t> (8 wells), </w:t>
      </w:r>
      <w:r>
        <w:rPr>
          <w:color w:val="000000" w:themeColor="text1"/>
        </w:rPr>
        <w:t>Klebsiella pneumoniae</w:t>
      </w:r>
      <w:r>
        <w:rPr>
          <w:rFonts w:eastAsia="Helvetica"/>
          <w:color w:val="000000" w:themeColor="text1"/>
          <w:shd w:val="clear" w:color="auto" w:fill="FFFFFF"/>
        </w:rPr>
        <w:t> (6 wells), </w:t>
      </w:r>
      <w:r>
        <w:rPr>
          <w:color w:val="000000" w:themeColor="text1"/>
        </w:rPr>
        <w:t>Enterobacter cloacae</w:t>
      </w:r>
      <w:r>
        <w:rPr>
          <w:rFonts w:eastAsia="Helvetica"/>
          <w:color w:val="000000" w:themeColor="text1"/>
          <w:shd w:val="clear" w:color="auto" w:fill="FFFFFF"/>
        </w:rPr>
        <w:t> (5), </w:t>
      </w:r>
      <w:r>
        <w:rPr>
          <w:color w:val="000000" w:themeColor="text1"/>
        </w:rPr>
        <w:t>Pseudomonas aeruginosa</w:t>
      </w:r>
      <w:r>
        <w:rPr>
          <w:rFonts w:eastAsia="Helvetica"/>
          <w:color w:val="000000" w:themeColor="text1"/>
          <w:shd w:val="clear" w:color="auto" w:fill="FFFFFF"/>
        </w:rPr>
        <w:t> (3), and </w:t>
      </w:r>
      <w:r>
        <w:rPr>
          <w:color w:val="000000" w:themeColor="text1"/>
        </w:rPr>
        <w:t>Proteus mirabilis</w:t>
      </w:r>
      <w:r>
        <w:rPr>
          <w:rFonts w:eastAsia="Helvetica"/>
          <w:color w:val="000000" w:themeColor="text1"/>
          <w:shd w:val="clear" w:color="auto" w:fill="FFFFFF"/>
        </w:rPr>
        <w:t> (3). All these bacterial species were detected in the surface water samples.</w:t>
      </w: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CA64CC">
      <w:pPr>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CHAPTER THREE</w:t>
      </w:r>
    </w:p>
    <w:p w:rsidR="00252A34" w:rsidRDefault="00CA64CC">
      <w:pPr>
        <w:spacing w:line="48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3.1 Location of the Study Area </w:t>
      </w:r>
    </w:p>
    <w:p w:rsidR="00252A34" w:rsidRDefault="00CA64CC">
      <w:pPr>
        <w:spacing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Eleko community is located in Moro L.G.A of Kwara State, Nigeria. It lies </w:t>
      </w:r>
      <w:r>
        <w:rPr>
          <w:rFonts w:ascii="Times New Roman" w:hAnsi="Times New Roman"/>
          <w:sz w:val="24"/>
          <w:szCs w:val="24"/>
        </w:rPr>
        <w:t>between latitude 08</w:t>
      </w:r>
      <w:r>
        <w:rPr>
          <w:rFonts w:ascii="Times New Roman" w:hAnsi="Times New Roman"/>
          <w:sz w:val="24"/>
          <w:szCs w:val="24"/>
          <w:vertAlign w:val="superscript"/>
        </w:rPr>
        <w:t>o</w:t>
      </w:r>
      <w:r>
        <w:rPr>
          <w:rFonts w:ascii="Times New Roman" w:hAnsi="Times New Roman"/>
          <w:sz w:val="24"/>
          <w:szCs w:val="24"/>
        </w:rPr>
        <w:t xml:space="preserve"> 33' 16.4" N and longitude 04</w:t>
      </w:r>
      <w:r>
        <w:rPr>
          <w:rFonts w:ascii="Times New Roman" w:hAnsi="Times New Roman"/>
          <w:sz w:val="24"/>
          <w:szCs w:val="24"/>
          <w:vertAlign w:val="superscript"/>
        </w:rPr>
        <w:t xml:space="preserve"> o</w:t>
      </w:r>
      <w:r>
        <w:rPr>
          <w:rFonts w:ascii="Times New Roman" w:hAnsi="Times New Roman"/>
          <w:sz w:val="24"/>
          <w:szCs w:val="24"/>
        </w:rPr>
        <w:t xml:space="preserve"> 38' 04.2"E and latitude 08</w:t>
      </w:r>
      <w:r>
        <w:rPr>
          <w:rFonts w:ascii="Times New Roman" w:hAnsi="Times New Roman"/>
          <w:sz w:val="24"/>
          <w:szCs w:val="24"/>
          <w:vertAlign w:val="superscript"/>
        </w:rPr>
        <w:t xml:space="preserve">o </w:t>
      </w:r>
      <w:r>
        <w:rPr>
          <w:rFonts w:ascii="Times New Roman" w:hAnsi="Times New Roman"/>
          <w:sz w:val="24"/>
          <w:szCs w:val="24"/>
        </w:rPr>
        <w:t>33' 38.4"N and 04</w:t>
      </w:r>
      <w:r>
        <w:rPr>
          <w:rFonts w:ascii="Times New Roman" w:hAnsi="Times New Roman"/>
          <w:sz w:val="24"/>
          <w:szCs w:val="24"/>
          <w:vertAlign w:val="superscript"/>
        </w:rPr>
        <w:t>o</w:t>
      </w:r>
      <w:r>
        <w:rPr>
          <w:rFonts w:ascii="Times New Roman" w:hAnsi="Times New Roman"/>
          <w:sz w:val="24"/>
          <w:szCs w:val="24"/>
        </w:rPr>
        <w:t xml:space="preserve"> 38' 20.6" E of the Greenwich meridian.</w:t>
      </w:r>
      <w:r>
        <w:rPr>
          <w:rFonts w:ascii="Times New Roman" w:eastAsia="Calibri" w:hAnsi="Times New Roman"/>
          <w:sz w:val="24"/>
          <w:szCs w:val="24"/>
          <w:lang w:eastAsia="en-US"/>
        </w:rPr>
        <w:t xml:space="preserve"> It lies on altitude of </w:t>
      </w:r>
      <w:r>
        <w:rPr>
          <w:rFonts w:ascii="Times New Roman" w:hAnsi="Times New Roman"/>
          <w:sz w:val="24"/>
          <w:szCs w:val="24"/>
        </w:rPr>
        <w:t xml:space="preserve">approximately </w:t>
      </w:r>
      <w:r>
        <w:rPr>
          <w:rFonts w:ascii="Times New Roman" w:eastAsia="Calibri" w:hAnsi="Times New Roman"/>
          <w:sz w:val="24"/>
          <w:szCs w:val="24"/>
          <w:lang w:eastAsia="en-US"/>
        </w:rPr>
        <w:t>372m which is about 1,220 feet. Figure 1 is the satellite imagery Eleko community.</w:t>
      </w:r>
    </w:p>
    <w:p w:rsidR="00252A34" w:rsidRDefault="00CA64CC">
      <w:pPr>
        <w:spacing w:line="360" w:lineRule="auto"/>
        <w:jc w:val="both"/>
        <w:rPr>
          <w:rFonts w:ascii="Times New Roman" w:hAnsi="Times New Roman"/>
          <w:sz w:val="24"/>
          <w:szCs w:val="24"/>
        </w:rPr>
      </w:pPr>
      <w:r>
        <w:rPr>
          <w:rFonts w:ascii="Times New Roman" w:eastAsia="Calibri" w:hAnsi="Times New Roman"/>
          <w:noProof/>
          <w:sz w:val="24"/>
          <w:szCs w:val="24"/>
          <w:lang w:eastAsia="en-US"/>
        </w:rPr>
        <w:drawing>
          <wp:inline distT="0" distB="0" distL="0" distR="0">
            <wp:extent cx="5292725" cy="3286125"/>
            <wp:effectExtent l="19050" t="0" r="2674" b="0"/>
            <wp:docPr id="5" name="Picture 5" descr="C:\Users\hp\Desktop\Ara Com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Ara Comm 2.jpg"/>
                    <pic:cNvPicPr>
                      <a:picLocks noChangeAspect="1" noChangeArrowheads="1"/>
                    </pic:cNvPicPr>
                  </pic:nvPicPr>
                  <pic:blipFill>
                    <a:blip r:embed="rId3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96693" cy="3288278"/>
                    </a:xfrm>
                    <a:prstGeom prst="rect">
                      <a:avLst/>
                    </a:prstGeom>
                    <a:noFill/>
                    <a:ln>
                      <a:noFill/>
                    </a:ln>
                  </pic:spPr>
                </pic:pic>
              </a:graphicData>
            </a:graphic>
          </wp:inline>
        </w:drawing>
      </w:r>
    </w:p>
    <w:p w:rsidR="00252A34" w:rsidRDefault="00CA64CC">
      <w:pPr>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Figure 1: Satellite imagery of  the study area</w:t>
      </w:r>
    </w:p>
    <w:p w:rsidR="00252A34" w:rsidRDefault="00CA64CC">
      <w:pPr>
        <w:spacing w:after="16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Source: </w:t>
      </w:r>
      <w:hyperlink r:id="rId40" w:history="1">
        <w:r>
          <w:rPr>
            <w:rStyle w:val="Hyperlink"/>
            <w:rFonts w:ascii="Times New Roman" w:eastAsia="Calibri" w:hAnsi="Times New Roman"/>
            <w:sz w:val="24"/>
            <w:szCs w:val="24"/>
            <w:lang w:eastAsia="en-US"/>
          </w:rPr>
          <w:t>www.goggle,com</w:t>
        </w:r>
      </w:hyperlink>
    </w:p>
    <w:p w:rsidR="00252A34" w:rsidRDefault="00CA64CC">
      <w:pPr>
        <w:spacing w:line="48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3.2 Water Sampling Procedure </w:t>
      </w:r>
    </w:p>
    <w:p w:rsidR="00252A34" w:rsidRDefault="00CA64CC">
      <w:pPr>
        <w:spacing w:line="480" w:lineRule="auto"/>
        <w:ind w:firstLine="720"/>
        <w:jc w:val="both"/>
        <w:rPr>
          <w:rFonts w:ascii="Times New Roman" w:eastAsia="Calibri" w:hAnsi="Times New Roman"/>
          <w:b/>
          <w:sz w:val="24"/>
          <w:szCs w:val="24"/>
          <w:lang w:eastAsia="en-US"/>
        </w:rPr>
      </w:pPr>
      <w:r>
        <w:rPr>
          <w:rFonts w:ascii="Times New Roman" w:eastAsia="Calibri" w:hAnsi="Times New Roman"/>
          <w:sz w:val="24"/>
          <w:szCs w:val="24"/>
          <w:lang w:eastAsia="en-US"/>
        </w:rPr>
        <w:t xml:space="preserve">Selection of water sources was done by random sampling procedure. A total number of five groundwater samples were collected within Ara community: Two wells and three boreholes. The samples were collected separately in a sterilized bottle for rain season and dry season respectively. Before collecting the water samples, the bottle container was washed and rinsed thoroughly with water. The water samples collected were taken to the laboratory for analysis using standard methods. The </w:t>
      </w:r>
      <w:r>
        <w:rPr>
          <w:rFonts w:ascii="Times New Roman" w:eastAsia="Calibri" w:hAnsi="Times New Roman"/>
          <w:sz w:val="24"/>
          <w:szCs w:val="24"/>
          <w:lang w:eastAsia="en-US"/>
        </w:rPr>
        <w:lastRenderedPageBreak/>
        <w:t>Global Position System (GPS) was used to determine the coordinates of the sampled points.</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3.3 Laboratory Analysis of the Water Samples </w:t>
      </w:r>
    </w:p>
    <w:p w:rsidR="00252A34" w:rsidRDefault="00CA64CC" w:rsidP="003D3E51">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The Laboratory analysis of the water samples was carried out at Fisbol Geosciences and analytical service sabo oke ilorin, kwara state. The water samples were tested for selected physical, chemical and biological.</w:t>
      </w:r>
    </w:p>
    <w:p w:rsidR="00252A34" w:rsidRDefault="00CA64CC">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laboratory analysis was carried out using standard analytical methods and physical procedures for water quantity analysis.</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 Analysis of </w:t>
      </w:r>
      <w:r w:rsidR="003D3E51">
        <w:rPr>
          <w:rFonts w:ascii="Times New Roman" w:hAnsi="Times New Roman"/>
          <w:b/>
          <w:bCs/>
          <w:color w:val="000000" w:themeColor="text1"/>
          <w:sz w:val="24"/>
          <w:szCs w:val="24"/>
        </w:rPr>
        <w:t xml:space="preserve">Parameters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3.4.1 Physical </w:t>
      </w:r>
      <w:r w:rsidR="003D3E51">
        <w:rPr>
          <w:rFonts w:ascii="Times New Roman" w:hAnsi="Times New Roman"/>
          <w:b/>
          <w:bCs/>
          <w:color w:val="000000" w:themeColor="text1"/>
          <w:sz w:val="24"/>
          <w:szCs w:val="24"/>
        </w:rPr>
        <w:t xml:space="preserve">Parameters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 number of tests were carried out to determine physically parameters and there quantities in each ground water samples</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3.4.2.1 Temperature</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temperature of each sample was measured directly at the collection site from the boreholes and wells using a thermometer.</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3.4.2.2 Color / Odor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Equipment use in determine color is colorimeter and odor is odor panel</w:t>
      </w:r>
    </w:p>
    <w:p w:rsidR="00252A34" w:rsidRDefault="00CA64CC">
      <w:pPr>
        <w:spacing w:line="480" w:lineRule="auto"/>
        <w:jc w:val="both"/>
        <w:rPr>
          <w:rFonts w:ascii="Times New Roman" w:hAnsi="Times New Roman"/>
          <w:b/>
          <w:bCs/>
          <w:color w:val="000000" w:themeColor="text1"/>
          <w:sz w:val="24"/>
          <w:szCs w:val="24"/>
          <w:vertAlign w:val="superscript"/>
        </w:rPr>
      </w:pPr>
      <w:r>
        <w:rPr>
          <w:rFonts w:ascii="Times New Roman" w:hAnsi="Times New Roman"/>
          <w:b/>
          <w:bCs/>
          <w:color w:val="000000" w:themeColor="text1"/>
          <w:sz w:val="24"/>
          <w:szCs w:val="24"/>
        </w:rPr>
        <w:t xml:space="preserve">3.4.2.3 </w:t>
      </w:r>
      <w:r w:rsidRPr="003D3E51">
        <w:rPr>
          <w:rFonts w:ascii="Times New Roman" w:hAnsi="Times New Roman"/>
          <w:b/>
          <w:bCs/>
          <w:color w:val="000000" w:themeColor="text1"/>
          <w:sz w:val="28"/>
          <w:szCs w:val="28"/>
        </w:rPr>
        <w:t>P</w:t>
      </w:r>
      <w:r w:rsidRPr="003D3E51">
        <w:rPr>
          <w:rFonts w:ascii="Times New Roman" w:hAnsi="Times New Roman"/>
          <w:b/>
          <w:bCs/>
          <w:color w:val="000000" w:themeColor="text1"/>
          <w:sz w:val="28"/>
          <w:szCs w:val="28"/>
          <w:vertAlign w:val="superscript"/>
        </w:rPr>
        <w:t>H</w:t>
      </w:r>
    </w:p>
    <w:p w:rsidR="00252A34" w:rsidRDefault="00CA64CC" w:rsidP="003D3E51">
      <w:pPr>
        <w:spacing w:line="480" w:lineRule="auto"/>
        <w:ind w:left="-5" w:firstLine="725"/>
        <w:jc w:val="both"/>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The Equipment for the P</w:t>
      </w:r>
      <w:r>
        <w:rPr>
          <w:rFonts w:ascii="Times New Roman" w:hAnsi="Times New Roman"/>
          <w:color w:val="000000" w:themeColor="text1"/>
          <w:sz w:val="24"/>
          <w:szCs w:val="24"/>
          <w:vertAlign w:val="superscript"/>
        </w:rPr>
        <w:t xml:space="preserve">H </w:t>
      </w:r>
      <w:r>
        <w:rPr>
          <w:rFonts w:ascii="Times New Roman" w:hAnsi="Times New Roman"/>
          <w:color w:val="000000" w:themeColor="text1"/>
          <w:sz w:val="24"/>
          <w:szCs w:val="24"/>
        </w:rPr>
        <w:t>is  pH meter.</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3.4.2.4 Filterable </w:t>
      </w:r>
      <w:r w:rsidR="003D3E51">
        <w:rPr>
          <w:rFonts w:ascii="Times New Roman" w:hAnsi="Times New Roman"/>
          <w:b/>
          <w:bCs/>
          <w:color w:val="000000" w:themeColor="text1"/>
          <w:sz w:val="24"/>
          <w:szCs w:val="24"/>
        </w:rPr>
        <w:t xml:space="preserve">Solids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Determined by filtering the sample through a filter and then measuring the solids present in the filtrate.</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 Chemical Analysis </w:t>
      </w:r>
    </w:p>
    <w:p w:rsidR="00252A34" w:rsidRDefault="00CA64CC" w:rsidP="003D3E51">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Tests varying in equipment and reagent used were carried out to analyze samples for chemical parameters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3.4.3.1 Total </w:t>
      </w:r>
      <w:r w:rsidR="003D3E51">
        <w:rPr>
          <w:rFonts w:ascii="Times New Roman" w:hAnsi="Times New Roman"/>
          <w:b/>
          <w:bCs/>
          <w:color w:val="000000" w:themeColor="text1"/>
          <w:sz w:val="24"/>
          <w:szCs w:val="24"/>
        </w:rPr>
        <w:t xml:space="preserve">Hardness </w:t>
      </w:r>
    </w:p>
    <w:p w:rsidR="00252A34" w:rsidRDefault="00CA64CC" w:rsidP="003D3E51">
      <w:pPr>
        <w:spacing w:line="480" w:lineRule="auto"/>
        <w:ind w:left="-5" w:firstLine="725"/>
        <w:jc w:val="both"/>
        <w:rPr>
          <w:rFonts w:ascii="Times New Roman" w:hAnsi="Times New Roman"/>
          <w:b/>
          <w:bCs/>
          <w:color w:val="000000" w:themeColor="text1"/>
          <w:sz w:val="24"/>
          <w:szCs w:val="24"/>
        </w:rPr>
      </w:pPr>
      <w:r>
        <w:rPr>
          <w:rFonts w:ascii="Times New Roman" w:hAnsi="Times New Roman"/>
          <w:color w:val="000000" w:themeColor="text1"/>
          <w:sz w:val="24"/>
          <w:szCs w:val="24"/>
        </w:rPr>
        <w:t>The total hardness, which includes both temporary and permanent hardness, was determined using the EDTA titrimetric method.</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3.4.3.2 Chloride </w:t>
      </w:r>
    </w:p>
    <w:p w:rsidR="00252A34" w:rsidRDefault="00CA64CC" w:rsidP="003D3E51">
      <w:pPr>
        <w:spacing w:line="480" w:lineRule="auto"/>
        <w:ind w:left="-5" w:firstLine="725"/>
        <w:jc w:val="both"/>
        <w:rPr>
          <w:rFonts w:ascii="Times New Roman" w:hAnsi="Times New Roman"/>
          <w:b/>
          <w:bCs/>
          <w:color w:val="000000" w:themeColor="text1"/>
          <w:sz w:val="24"/>
          <w:szCs w:val="24"/>
        </w:rPr>
      </w:pPr>
      <w:r>
        <w:rPr>
          <w:rFonts w:ascii="Times New Roman" w:hAnsi="Times New Roman"/>
          <w:color w:val="000000" w:themeColor="text1"/>
          <w:sz w:val="24"/>
          <w:szCs w:val="24"/>
        </w:rPr>
        <w:t>Chloride concentration was determined using the Mohr titration method. Silver nitrate was titrated against the water sample, with potassium chromate (K,CrO4) used as the indicator.</w:t>
      </w: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3.4.3.3 Sulphate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Sulphate levels in water samples were determined using the turbidimetric method. The results were measured with a SpectroMec 20 Atomic Absorption Spectrophotometer and subsequently converted to mg/L.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3.4.3.4 Nitrate </w:t>
      </w:r>
    </w:p>
    <w:p w:rsidR="00252A34" w:rsidRDefault="00CA64CC" w:rsidP="003D3E51">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Sulphate levels in water samples were determined using the turbidimetric method. The results were measured with a SpectroMec 20 Atomic Absorption Spectrophotometer and subsequently converted to mg/L.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3.4.3.5 Trace Elements </w:t>
      </w:r>
    </w:p>
    <w:p w:rsidR="00252A34" w:rsidRDefault="00CA64CC" w:rsidP="003D3E51">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Zinc, Iron, copper, manganese, The results were directly obtained from the Atomic Absorption Spectrophotometer, Spectronic 20 model.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 Biological Analysis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3.4.4.1  Total Viable Counts </w:t>
      </w:r>
    </w:p>
    <w:p w:rsidR="00252A34" w:rsidRDefault="00CA64CC" w:rsidP="003D3E51">
      <w:pPr>
        <w:spacing w:after="366"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rsidR="00252A34" w:rsidRDefault="00252A34">
      <w:pPr>
        <w:spacing w:after="366" w:line="480" w:lineRule="auto"/>
        <w:ind w:left="-5"/>
        <w:jc w:val="both"/>
        <w:rPr>
          <w:rFonts w:ascii="Times New Roman" w:hAnsi="Times New Roman"/>
          <w:color w:val="000000" w:themeColor="text1"/>
          <w:sz w:val="24"/>
          <w:szCs w:val="24"/>
        </w:rPr>
      </w:pPr>
    </w:p>
    <w:p w:rsidR="00252A34" w:rsidRDefault="00CA64CC">
      <w:pPr>
        <w:spacing w:line="480" w:lineRule="auto"/>
        <w:ind w:left="-5"/>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3.4.4.2 Coliform Counts </w:t>
      </w:r>
    </w:p>
    <w:p w:rsidR="00252A34" w:rsidRDefault="00CA64CC" w:rsidP="003D3E51">
      <w:pPr>
        <w:spacing w:line="480" w:lineRule="auto"/>
        <w:ind w:firstLine="720"/>
        <w:jc w:val="both"/>
        <w:rPr>
          <w:rFonts w:ascii="Times New Roman" w:hAnsi="Times New Roman"/>
          <w:b/>
          <w:bCs/>
          <w:color w:val="000000" w:themeColor="text1"/>
          <w:sz w:val="24"/>
          <w:szCs w:val="24"/>
        </w:rPr>
      </w:pPr>
      <w:r>
        <w:rPr>
          <w:rFonts w:ascii="Times New Roman" w:hAnsi="Times New Roman"/>
          <w:color w:val="000000" w:themeColor="text1"/>
          <w:sz w:val="24"/>
          <w:szCs w:val="24"/>
        </w:rPr>
        <w:t>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warmblooded animals. Their presence indicates potential contamination with fecal material.</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3.4.4.3 E. Coli </w:t>
      </w:r>
    </w:p>
    <w:p w:rsidR="00252A34" w:rsidRDefault="00CA64CC" w:rsidP="003D3E51">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Escherichia coli (E. coli) is a type of bacterium commonly found in the intestines of warm-blooded animals, including humans. It is a versatile organism used in research, biotechnology, and medicine.</w:t>
      </w:r>
    </w:p>
    <w:p w:rsidR="00252A34" w:rsidRDefault="00CA64CC">
      <w:pPr>
        <w:spacing w:line="480" w:lineRule="auto"/>
        <w:ind w:right="24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3.4.4.4 Streptococcus Feacalis </w:t>
      </w:r>
    </w:p>
    <w:p w:rsidR="00252A34" w:rsidRDefault="00CA64CC" w:rsidP="00960FF4">
      <w:pPr>
        <w:spacing w:line="480" w:lineRule="auto"/>
        <w:ind w:left="-5" w:right="240"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Streptococcus faecalis (now more commonly known as Enterococcus faecalis) is a type of bacterium that is part of the normal flora of the gastrointestinal tract in humans and animals. It is also known for its role in both health and disease. </w:t>
      </w:r>
    </w:p>
    <w:p w:rsidR="00252A34" w:rsidRDefault="00CA64CC">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3.5 Methods Of Data Analysis </w:t>
      </w:r>
    </w:p>
    <w:p w:rsidR="00252A34" w:rsidRDefault="00CA64CC" w:rsidP="00960FF4">
      <w:pPr>
        <w:spacing w:line="480" w:lineRule="auto"/>
        <w:ind w:left="-5" w:firstLine="7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data that were collected from the laboratory analysis of the water samples were further analyzed using statistical tools and the results obtained were presented in tables and graph. </w:t>
      </w:r>
    </w:p>
    <w:p w:rsidR="00252A34" w:rsidRDefault="00252A34">
      <w:pPr>
        <w:spacing w:line="480" w:lineRule="auto"/>
        <w:jc w:val="center"/>
        <w:rPr>
          <w:rFonts w:ascii="Times New Roman" w:hAnsi="Times New Roman"/>
          <w:b/>
          <w:bCs/>
        </w:rPr>
      </w:pPr>
      <w:bookmarkStart w:id="1" w:name="_Hlk203471727"/>
      <w:bookmarkEnd w:id="1"/>
    </w:p>
    <w:p w:rsidR="00252A34" w:rsidRDefault="00252A34">
      <w:pPr>
        <w:spacing w:line="480" w:lineRule="auto"/>
        <w:jc w:val="center"/>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252A34">
      <w:pPr>
        <w:spacing w:line="480" w:lineRule="auto"/>
        <w:jc w:val="center"/>
        <w:rPr>
          <w:rFonts w:ascii="Times New Roman" w:hAnsi="Times New Roman"/>
          <w:b/>
          <w:bCs/>
        </w:rPr>
      </w:pPr>
    </w:p>
    <w:p w:rsidR="00252A34" w:rsidRDefault="00CA64CC">
      <w:pPr>
        <w:spacing w:line="480" w:lineRule="auto"/>
        <w:jc w:val="center"/>
        <w:rPr>
          <w:rFonts w:ascii="Times New Roman" w:hAnsi="Times New Roman"/>
          <w:b/>
          <w:bCs/>
        </w:rPr>
      </w:pPr>
      <w:r>
        <w:rPr>
          <w:rFonts w:ascii="Times New Roman" w:hAnsi="Times New Roman"/>
          <w:b/>
          <w:bCs/>
        </w:rPr>
        <w:lastRenderedPageBreak/>
        <w:t>CHAPTER FOUR</w:t>
      </w:r>
    </w:p>
    <w:p w:rsidR="00252A34" w:rsidRDefault="00CA64CC">
      <w:pPr>
        <w:spacing w:line="480" w:lineRule="auto"/>
        <w:jc w:val="center"/>
        <w:rPr>
          <w:rFonts w:ascii="Times New Roman" w:hAnsi="Times New Roman"/>
          <w:b/>
          <w:bCs/>
        </w:rPr>
      </w:pPr>
      <w:r>
        <w:rPr>
          <w:rFonts w:ascii="Times New Roman" w:hAnsi="Times New Roman"/>
          <w:b/>
          <w:bCs/>
        </w:rPr>
        <w:t>RESULT AND DISCUSSION</w:t>
      </w:r>
    </w:p>
    <w:p w:rsidR="00252A34" w:rsidRDefault="00CA64CC">
      <w:pPr>
        <w:spacing w:line="480"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
          <w:bCs/>
          <w:sz w:val="24"/>
          <w:szCs w:val="24"/>
        </w:rPr>
        <w:tab/>
        <w:t>Resu</w:t>
      </w:r>
      <w:r>
        <w:rPr>
          <w:rFonts w:ascii="Times New Roman" w:hAnsi="Times New Roman"/>
          <w:sz w:val="24"/>
          <w:szCs w:val="24"/>
        </w:rPr>
        <w:t>lt</w:t>
      </w:r>
    </w:p>
    <w:p w:rsidR="00252A34" w:rsidRDefault="00CA64CC" w:rsidP="00960FF4">
      <w:pPr>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Table 4.1: show the </w:t>
      </w:r>
      <w:r>
        <w:rPr>
          <w:rFonts w:ascii="Times New Roman" w:eastAsia="Times New Roman" w:hAnsi="Times New Roman" w:cs="Times New Roman"/>
          <w:sz w:val="24"/>
          <w:szCs w:val="24"/>
        </w:rPr>
        <w:t>Comparative Study on the Quality and Contamination Risks of Groundwater and Stored Drinking Water Sources</w:t>
      </w:r>
    </w:p>
    <w:tbl>
      <w:tblPr>
        <w:tblpPr w:leftFromText="180" w:rightFromText="180" w:vertAnchor="text" w:horzAnchor="page" w:tblpX="1235" w:tblpY="249"/>
        <w:tblOverlap w:val="never"/>
        <w:tblW w:w="9926" w:type="dxa"/>
        <w:tblLayout w:type="fixed"/>
        <w:tblCellMar>
          <w:left w:w="0" w:type="dxa"/>
          <w:right w:w="0" w:type="dxa"/>
        </w:tblCellMar>
        <w:tblLook w:val="04A0"/>
      </w:tblPr>
      <w:tblGrid>
        <w:gridCol w:w="606"/>
        <w:gridCol w:w="1170"/>
        <w:gridCol w:w="900"/>
        <w:gridCol w:w="810"/>
        <w:gridCol w:w="810"/>
        <w:gridCol w:w="630"/>
        <w:gridCol w:w="720"/>
        <w:gridCol w:w="500"/>
        <w:gridCol w:w="990"/>
        <w:gridCol w:w="900"/>
        <w:gridCol w:w="900"/>
        <w:gridCol w:w="990"/>
      </w:tblGrid>
      <w:tr w:rsidR="00252A34">
        <w:trPr>
          <w:trHeight w:val="279"/>
        </w:trPr>
        <w:tc>
          <w:tcPr>
            <w:tcW w:w="606" w:type="dxa"/>
            <w:tcBorders>
              <w:top w:val="single" w:sz="4" w:space="0" w:color="auto"/>
              <w:bottom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rPr>
              <w:t>S/N</w:t>
            </w:r>
          </w:p>
        </w:tc>
        <w:tc>
          <w:tcPr>
            <w:tcW w:w="1170" w:type="dxa"/>
            <w:tcBorders>
              <w:top w:val="single" w:sz="4" w:space="0" w:color="auto"/>
              <w:bottom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rPr>
              <w:t>Parameter</w:t>
            </w:r>
          </w:p>
        </w:tc>
        <w:tc>
          <w:tcPr>
            <w:tcW w:w="900" w:type="dxa"/>
            <w:tcBorders>
              <w:top w:val="single" w:sz="4" w:space="0" w:color="auto"/>
              <w:bottom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b/>
                <w:bCs/>
                <w:color w:val="000000"/>
                <w:kern w:val="28"/>
              </w:rPr>
            </w:pPr>
            <w:r>
              <w:rPr>
                <w:rFonts w:ascii="Times New Roman" w:hAnsi="Times New Roman" w:cs="Times New Roman"/>
                <w:b/>
                <w:bCs/>
                <w:color w:val="000000"/>
                <w:kern w:val="28"/>
              </w:rPr>
              <w:t xml:space="preserve"> A1</w:t>
            </w:r>
          </w:p>
        </w:tc>
        <w:tc>
          <w:tcPr>
            <w:tcW w:w="810" w:type="dxa"/>
            <w:tcBorders>
              <w:top w:val="single" w:sz="4" w:space="0" w:color="auto"/>
              <w:bottom w:val="single" w:sz="4" w:space="0" w:color="auto"/>
            </w:tcBorders>
          </w:tcPr>
          <w:p w:rsidR="00252A34" w:rsidRDefault="00CA64CC">
            <w:pPr>
              <w:widowControl w:val="0"/>
              <w:rPr>
                <w:rFonts w:ascii="Times New Roman" w:hAnsi="Times New Roman" w:cs="Times New Roman"/>
                <w:b/>
                <w:bCs/>
                <w:color w:val="000000"/>
                <w:kern w:val="28"/>
              </w:rPr>
            </w:pPr>
            <w:r>
              <w:rPr>
                <w:rFonts w:ascii="Times New Roman" w:hAnsi="Times New Roman" w:cs="Times New Roman"/>
                <w:b/>
                <w:bCs/>
                <w:color w:val="000000"/>
                <w:kern w:val="28"/>
              </w:rPr>
              <w:t xml:space="preserve"> A2</w:t>
            </w:r>
          </w:p>
        </w:tc>
        <w:tc>
          <w:tcPr>
            <w:tcW w:w="81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color w:val="000000"/>
                <w:kern w:val="28"/>
              </w:rPr>
              <w:t>B1</w:t>
            </w:r>
          </w:p>
        </w:tc>
        <w:tc>
          <w:tcPr>
            <w:tcW w:w="63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color w:val="000000"/>
                <w:kern w:val="28"/>
              </w:rPr>
              <w:t>B2</w:t>
            </w:r>
          </w:p>
        </w:tc>
        <w:tc>
          <w:tcPr>
            <w:tcW w:w="72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color w:val="000000"/>
                <w:kern w:val="28"/>
              </w:rPr>
            </w:pPr>
            <w:r>
              <w:rPr>
                <w:rFonts w:ascii="Times New Roman" w:hAnsi="Times New Roman" w:cs="Times New Roman"/>
                <w:b/>
                <w:bCs/>
              </w:rPr>
              <w:t>C1</w:t>
            </w:r>
          </w:p>
        </w:tc>
        <w:tc>
          <w:tcPr>
            <w:tcW w:w="50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C2</w:t>
            </w:r>
          </w:p>
        </w:tc>
        <w:tc>
          <w:tcPr>
            <w:tcW w:w="99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D1</w:t>
            </w:r>
          </w:p>
        </w:tc>
        <w:tc>
          <w:tcPr>
            <w:tcW w:w="90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D2</w:t>
            </w:r>
          </w:p>
        </w:tc>
        <w:tc>
          <w:tcPr>
            <w:tcW w:w="90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E1</w:t>
            </w:r>
          </w:p>
        </w:tc>
        <w:tc>
          <w:tcPr>
            <w:tcW w:w="990" w:type="dxa"/>
            <w:tcBorders>
              <w:top w:val="single" w:sz="4" w:space="0" w:color="auto"/>
              <w:bottom w:val="single" w:sz="4" w:space="0" w:color="auto"/>
            </w:tcBorders>
          </w:tcPr>
          <w:p w:rsidR="00252A34" w:rsidRDefault="00CA64CC">
            <w:pPr>
              <w:widowControl w:val="0"/>
              <w:jc w:val="center"/>
              <w:rPr>
                <w:rFonts w:ascii="Times New Roman" w:hAnsi="Times New Roman" w:cs="Times New Roman"/>
                <w:b/>
                <w:bCs/>
              </w:rPr>
            </w:pPr>
            <w:r>
              <w:rPr>
                <w:rFonts w:ascii="Times New Roman" w:hAnsi="Times New Roman" w:cs="Times New Roman"/>
                <w:b/>
                <w:bCs/>
              </w:rPr>
              <w:t>E2</w:t>
            </w:r>
          </w:p>
        </w:tc>
      </w:tr>
      <w:tr w:rsidR="00252A34">
        <w:trPr>
          <w:trHeight w:val="134"/>
        </w:trPr>
        <w:tc>
          <w:tcPr>
            <w:tcW w:w="606" w:type="dxa"/>
            <w:tcBorders>
              <w:top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w:t>
            </w:r>
          </w:p>
        </w:tc>
        <w:tc>
          <w:tcPr>
            <w:tcW w:w="1170" w:type="dxa"/>
            <w:tcBorders>
              <w:top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Temperature ˚C</w:t>
            </w:r>
          </w:p>
        </w:tc>
        <w:tc>
          <w:tcPr>
            <w:tcW w:w="900" w:type="dxa"/>
            <w:tcBorders>
              <w:top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30.2</w:t>
            </w:r>
          </w:p>
        </w:tc>
        <w:tc>
          <w:tcPr>
            <w:tcW w:w="81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31.6</w:t>
            </w:r>
          </w:p>
        </w:tc>
        <w:tc>
          <w:tcPr>
            <w:tcW w:w="81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30.4</w:t>
            </w:r>
          </w:p>
        </w:tc>
        <w:tc>
          <w:tcPr>
            <w:tcW w:w="63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30.6</w:t>
            </w:r>
          </w:p>
        </w:tc>
        <w:tc>
          <w:tcPr>
            <w:tcW w:w="72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30.6</w:t>
            </w:r>
          </w:p>
        </w:tc>
        <w:tc>
          <w:tcPr>
            <w:tcW w:w="50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31.2</w:t>
            </w:r>
          </w:p>
        </w:tc>
        <w:tc>
          <w:tcPr>
            <w:tcW w:w="99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31.8</w:t>
            </w:r>
          </w:p>
        </w:tc>
        <w:tc>
          <w:tcPr>
            <w:tcW w:w="90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30.8</w:t>
            </w:r>
          </w:p>
        </w:tc>
        <w:tc>
          <w:tcPr>
            <w:tcW w:w="90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30.9</w:t>
            </w:r>
          </w:p>
        </w:tc>
        <w:tc>
          <w:tcPr>
            <w:tcW w:w="990" w:type="dxa"/>
            <w:tcBorders>
              <w:top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30.9</w:t>
            </w:r>
          </w:p>
        </w:tc>
      </w:tr>
      <w:tr w:rsidR="00252A34">
        <w:trPr>
          <w:trHeight w:val="170"/>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2.</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Colour units</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39.8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17.0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15.5</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12.0</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63.4</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48.6</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r>
      <w:tr w:rsidR="00252A34">
        <w:trPr>
          <w:trHeight w:val="270"/>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bookmarkStart w:id="2" w:name="_Hlk203472635"/>
            <w:r>
              <w:rPr>
                <w:rFonts w:ascii="Times New Roman" w:hAnsi="Times New Roman" w:cs="Times New Roman"/>
              </w:rPr>
              <w:t>3.</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Turbidity N.T.U</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8.5</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67</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r>
      <w:bookmarkEnd w:id="2"/>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4.</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Ph</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7.6</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7.3</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7.2</w:t>
            </w:r>
          </w:p>
        </w:tc>
      </w:tr>
      <w:tr w:rsidR="00252A34">
        <w:trPr>
          <w:trHeight w:val="2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5.</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 xml:space="preserve">TDS </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980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104.1</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790</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879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710.5</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110.5</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6.</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Electrical Cond.</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1176</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118.6</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1850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246.2</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1568</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346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1758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150.8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1419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1419</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7.</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Filterable solids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240</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391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358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358</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8.</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Total alkalinity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40.6</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54.1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82</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71.6</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68</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9.</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Chloride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38</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64</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29.7</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45</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30.7</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30.7</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10.</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Fluoride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0.10</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0.31</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0.04</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0.21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0.18</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11.</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Manganese Mn</w:t>
            </w:r>
            <w:r>
              <w:rPr>
                <w:rFonts w:ascii="Times New Roman" w:hAnsi="Times New Roman" w:cs="Times New Roman"/>
                <w:vertAlign w:val="superscript"/>
              </w:rPr>
              <w:t>2+</w:t>
            </w:r>
            <w:r>
              <w:rPr>
                <w:rFonts w:ascii="Times New Roman" w:hAnsi="Times New Roman" w:cs="Times New Roman"/>
              </w:rPr>
              <w:t xml:space="preserv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0.7</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0.60</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12.</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color w:val="000000"/>
                <w:kern w:val="28"/>
              </w:rPr>
              <w:t>Iron</w:t>
            </w:r>
            <w:r>
              <w:rPr>
                <w:rFonts w:ascii="Times New Roman" w:hAnsi="Times New Roman" w:cs="Times New Roman"/>
              </w:rPr>
              <w:t xml:space="preserve"> Fe</w:t>
            </w:r>
            <w:r>
              <w:rPr>
                <w:rFonts w:ascii="Times New Roman" w:hAnsi="Times New Roman" w:cs="Times New Roman"/>
                <w:vertAlign w:val="superscript"/>
              </w:rPr>
              <w:t>3+</w:t>
            </w:r>
            <w:r>
              <w:rPr>
                <w:rFonts w:ascii="Times New Roman" w:hAnsi="Times New Roman" w:cs="Times New Roman"/>
              </w:rPr>
              <w:t xml:space="preserv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0.62</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0.02</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0.75</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0.36</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13.</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Sulphate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16.7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17</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28.3</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34</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64</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34</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14.</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Nitrate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18.4</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24.1</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9.57</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23.43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18.6</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15.</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Calcium hardness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19</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59.7</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29</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67.8</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71.6</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40.1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40.1</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16.</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Magnesium hardness</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8.8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10.2</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25.6</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13.3</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48.6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15</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62.1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w:t>
            </w:r>
          </w:p>
        </w:tc>
      </w:tr>
      <w:tr w:rsidR="00252A34">
        <w:trPr>
          <w:trHeight w:val="179"/>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17.</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color w:val="000000"/>
                <w:kern w:val="28"/>
              </w:rPr>
              <w:t>Free Chlorine</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0.04</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0.02</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990" w:type="dxa"/>
          </w:tcPr>
          <w:p w:rsidR="00252A34" w:rsidRDefault="00CA64CC">
            <w:pPr>
              <w:widowControl w:val="0"/>
              <w:tabs>
                <w:tab w:val="center" w:pos="1138"/>
                <w:tab w:val="right" w:pos="2276"/>
              </w:tabs>
              <w:rPr>
                <w:rFonts w:ascii="Times New Roman" w:hAnsi="Times New Roman" w:cs="Times New Roman"/>
                <w:color w:val="000000"/>
                <w:kern w:val="28"/>
              </w:rPr>
            </w:pPr>
            <w:r>
              <w:rPr>
                <w:rFonts w:ascii="Times New Roman" w:hAnsi="Times New Roman" w:cs="Times New Roman"/>
                <w:color w:val="000000"/>
                <w:kern w:val="28"/>
              </w:rPr>
              <w:t>0.05</w:t>
            </w:r>
          </w:p>
        </w:tc>
      </w:tr>
      <w:tr w:rsidR="00252A34">
        <w:trPr>
          <w:trHeight w:val="285"/>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18.</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Calcium Ca</w:t>
            </w:r>
            <w:r>
              <w:rPr>
                <w:rFonts w:ascii="Times New Roman" w:hAnsi="Times New Roman" w:cs="Times New Roman"/>
                <w:vertAlign w:val="superscript"/>
              </w:rPr>
              <w:t>2+</w:t>
            </w:r>
            <w:r>
              <w:rPr>
                <w:rFonts w:ascii="Times New Roman" w:hAnsi="Times New Roman" w:cs="Times New Roman"/>
              </w:rPr>
              <w:t xml:space="preserve">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12</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6.5</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25</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14.6</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32</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19.9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39</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20.3</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53</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53</w:t>
            </w:r>
          </w:p>
        </w:tc>
      </w:tr>
      <w:tr w:rsidR="00252A34">
        <w:trPr>
          <w:trHeight w:val="252"/>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19.</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color w:val="000000"/>
                <w:kern w:val="28"/>
              </w:rPr>
              <w:t xml:space="preserve">Nitrite </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0.06</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0.14</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0.22</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0.41</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0.51</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0.51</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20.</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Total hardness mg/l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10.4</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42</w:t>
            </w:r>
          </w:p>
        </w:tc>
        <w:tc>
          <w:tcPr>
            <w:tcW w:w="63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18.7</w:t>
            </w:r>
          </w:p>
        </w:tc>
        <w:tc>
          <w:tcPr>
            <w:tcW w:w="72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54</w:t>
            </w:r>
          </w:p>
        </w:tc>
        <w:tc>
          <w:tcPr>
            <w:tcW w:w="5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35.6</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78</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49.7</w:t>
            </w:r>
          </w:p>
        </w:tc>
        <w:tc>
          <w:tcPr>
            <w:tcW w:w="90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98.9</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98.9</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21.</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 xml:space="preserve">Potassium Hardness </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10</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4.21</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8</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6.84</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25</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10</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31</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15</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38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38</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22</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Copper</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0.01</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0.05</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0.21</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0.32</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0.04</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0.04</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23</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Zinc</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ND</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ND</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24.</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Silica</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0.05</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0.17</w:t>
            </w:r>
          </w:p>
        </w:tc>
        <w:tc>
          <w:tcPr>
            <w:tcW w:w="81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0.09</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0.31</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0.12</w:t>
            </w:r>
          </w:p>
        </w:tc>
        <w:tc>
          <w:tcPr>
            <w:tcW w:w="990" w:type="dxa"/>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rPr>
              <w:t>0.25</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0.08</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0.38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0.38</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lastRenderedPageBreak/>
              <w:t>25</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Total viable plate  count cfu/ ml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52</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28</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68</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76</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3508</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2918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2482</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3714</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4817</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4802</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26</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Coliform counts / 100ml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9</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4</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15</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8</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1450</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408</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598</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516</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984</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874</w:t>
            </w:r>
          </w:p>
        </w:tc>
      </w:tr>
      <w:tr w:rsidR="00252A34">
        <w:trPr>
          <w:trHeight w:val="307"/>
        </w:trPr>
        <w:tc>
          <w:tcPr>
            <w:tcW w:w="606" w:type="dxa"/>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27</w:t>
            </w:r>
          </w:p>
        </w:tc>
        <w:tc>
          <w:tcPr>
            <w:tcW w:w="1170" w:type="dxa"/>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u w:val="single"/>
              </w:rPr>
              <w:t>E</w:t>
            </w:r>
            <w:r>
              <w:rPr>
                <w:rFonts w:ascii="Times New Roman" w:hAnsi="Times New Roman" w:cs="Times New Roman"/>
              </w:rPr>
              <w:t>.</w:t>
            </w:r>
            <w:r>
              <w:rPr>
                <w:rFonts w:ascii="Times New Roman" w:hAnsi="Times New Roman" w:cs="Times New Roman"/>
                <w:u w:val="single"/>
              </w:rPr>
              <w:t>coli</w:t>
            </w:r>
            <w:r>
              <w:rPr>
                <w:rFonts w:ascii="Times New Roman" w:hAnsi="Times New Roman" w:cs="Times New Roman"/>
              </w:rPr>
              <w:t>/ 100ml</w:t>
            </w:r>
          </w:p>
        </w:tc>
        <w:tc>
          <w:tcPr>
            <w:tcW w:w="900" w:type="dxa"/>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630" w:type="dxa"/>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720" w:type="dxa"/>
          </w:tcPr>
          <w:p w:rsidR="00252A34" w:rsidRDefault="00CA64CC">
            <w:pPr>
              <w:widowControl w:val="0"/>
              <w:jc w:val="center"/>
              <w:rPr>
                <w:rFonts w:ascii="Times New Roman" w:hAnsi="Times New Roman" w:cs="Times New Roman"/>
              </w:rPr>
            </w:pPr>
            <w:r>
              <w:rPr>
                <w:rFonts w:ascii="Times New Roman" w:hAnsi="Times New Roman" w:cs="Times New Roman"/>
              </w:rPr>
              <w:t>54</w:t>
            </w:r>
          </w:p>
        </w:tc>
        <w:tc>
          <w:tcPr>
            <w:tcW w:w="500" w:type="dxa"/>
          </w:tcPr>
          <w:p w:rsidR="00252A34" w:rsidRDefault="00CA64CC">
            <w:pPr>
              <w:widowControl w:val="0"/>
              <w:jc w:val="center"/>
              <w:rPr>
                <w:rFonts w:ascii="Times New Roman" w:hAnsi="Times New Roman" w:cs="Times New Roman"/>
              </w:rPr>
            </w:pPr>
            <w:r>
              <w:rPr>
                <w:rFonts w:ascii="Times New Roman" w:hAnsi="Times New Roman" w:cs="Times New Roman"/>
              </w:rPr>
              <w:t>34</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87</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120</w:t>
            </w:r>
          </w:p>
        </w:tc>
        <w:tc>
          <w:tcPr>
            <w:tcW w:w="900" w:type="dxa"/>
          </w:tcPr>
          <w:p w:rsidR="00252A34" w:rsidRDefault="00CA64CC">
            <w:pPr>
              <w:widowControl w:val="0"/>
              <w:jc w:val="center"/>
              <w:rPr>
                <w:rFonts w:ascii="Times New Roman" w:hAnsi="Times New Roman" w:cs="Times New Roman"/>
              </w:rPr>
            </w:pPr>
            <w:r>
              <w:rPr>
                <w:rFonts w:ascii="Times New Roman" w:hAnsi="Times New Roman" w:cs="Times New Roman"/>
              </w:rPr>
              <w:t>92</w:t>
            </w:r>
          </w:p>
        </w:tc>
        <w:tc>
          <w:tcPr>
            <w:tcW w:w="990" w:type="dxa"/>
          </w:tcPr>
          <w:p w:rsidR="00252A34" w:rsidRDefault="00CA64CC">
            <w:pPr>
              <w:widowControl w:val="0"/>
              <w:jc w:val="center"/>
              <w:rPr>
                <w:rFonts w:ascii="Times New Roman" w:hAnsi="Times New Roman" w:cs="Times New Roman"/>
              </w:rPr>
            </w:pPr>
            <w:r>
              <w:rPr>
                <w:rFonts w:ascii="Times New Roman" w:hAnsi="Times New Roman" w:cs="Times New Roman"/>
              </w:rPr>
              <w:t>343</w:t>
            </w:r>
          </w:p>
        </w:tc>
      </w:tr>
      <w:tr w:rsidR="00252A34">
        <w:trPr>
          <w:trHeight w:val="307"/>
        </w:trPr>
        <w:tc>
          <w:tcPr>
            <w:tcW w:w="606" w:type="dxa"/>
            <w:tcBorders>
              <w:bottom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rPr>
            </w:pPr>
            <w:r>
              <w:rPr>
                <w:rFonts w:ascii="Times New Roman" w:hAnsi="Times New Roman" w:cs="Times New Roman"/>
              </w:rPr>
              <w:t>28</w:t>
            </w:r>
          </w:p>
        </w:tc>
        <w:tc>
          <w:tcPr>
            <w:tcW w:w="1170" w:type="dxa"/>
            <w:tcBorders>
              <w:bottom w:val="single" w:sz="4" w:space="0" w:color="auto"/>
            </w:tcBorders>
            <w:tcMar>
              <w:top w:w="0" w:type="dxa"/>
              <w:left w:w="108" w:type="dxa"/>
              <w:bottom w:w="0" w:type="dxa"/>
              <w:right w:w="108" w:type="dxa"/>
            </w:tcMar>
          </w:tcPr>
          <w:p w:rsidR="00252A34" w:rsidRDefault="00CA64CC">
            <w:pPr>
              <w:widowControl w:val="0"/>
              <w:rPr>
                <w:rFonts w:ascii="Times New Roman" w:hAnsi="Times New Roman" w:cs="Times New Roman"/>
                <w:color w:val="000000"/>
                <w:kern w:val="28"/>
              </w:rPr>
            </w:pPr>
            <w:r>
              <w:rPr>
                <w:rFonts w:ascii="Times New Roman" w:hAnsi="Times New Roman" w:cs="Times New Roman"/>
              </w:rPr>
              <w:t>Streptococcus feacalis</w:t>
            </w:r>
          </w:p>
        </w:tc>
        <w:tc>
          <w:tcPr>
            <w:tcW w:w="900" w:type="dxa"/>
            <w:tcBorders>
              <w:bottom w:val="single" w:sz="4" w:space="0" w:color="auto"/>
            </w:tcBorders>
            <w:tcMar>
              <w:top w:w="0" w:type="dxa"/>
              <w:left w:w="108" w:type="dxa"/>
              <w:bottom w:w="0" w:type="dxa"/>
              <w:right w:w="108" w:type="dxa"/>
            </w:tcMar>
          </w:tcPr>
          <w:p w:rsidR="00252A34" w:rsidRDefault="00CA64CC">
            <w:pPr>
              <w:widowControl w:val="0"/>
              <w:jc w:val="center"/>
              <w:rPr>
                <w:rFonts w:ascii="Times New Roman" w:hAnsi="Times New Roman" w:cs="Times New Roman"/>
                <w:color w:val="000000"/>
                <w:kern w:val="28"/>
              </w:rPr>
            </w:pPr>
            <w:r>
              <w:rPr>
                <w:rFonts w:ascii="Times New Roman" w:hAnsi="Times New Roman" w:cs="Times New Roman"/>
                <w:color w:val="000000"/>
                <w:kern w:val="28"/>
              </w:rPr>
              <w:t>ND</w:t>
            </w:r>
          </w:p>
        </w:tc>
        <w:tc>
          <w:tcPr>
            <w:tcW w:w="81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color w:val="000000"/>
                <w:kern w:val="28"/>
              </w:rPr>
              <w:t>ND</w:t>
            </w:r>
          </w:p>
        </w:tc>
        <w:tc>
          <w:tcPr>
            <w:tcW w:w="81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63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72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71</w:t>
            </w:r>
          </w:p>
        </w:tc>
        <w:tc>
          <w:tcPr>
            <w:tcW w:w="50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9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69</w:t>
            </w:r>
          </w:p>
        </w:tc>
        <w:tc>
          <w:tcPr>
            <w:tcW w:w="90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c>
          <w:tcPr>
            <w:tcW w:w="90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84</w:t>
            </w:r>
          </w:p>
        </w:tc>
        <w:tc>
          <w:tcPr>
            <w:tcW w:w="990" w:type="dxa"/>
            <w:tcBorders>
              <w:bottom w:val="single" w:sz="4" w:space="0" w:color="auto"/>
            </w:tcBorders>
          </w:tcPr>
          <w:p w:rsidR="00252A34" w:rsidRDefault="00CA64CC">
            <w:pPr>
              <w:widowControl w:val="0"/>
              <w:jc w:val="center"/>
              <w:rPr>
                <w:rFonts w:ascii="Times New Roman" w:hAnsi="Times New Roman" w:cs="Times New Roman"/>
              </w:rPr>
            </w:pPr>
            <w:r>
              <w:rPr>
                <w:rFonts w:ascii="Times New Roman" w:hAnsi="Times New Roman" w:cs="Times New Roman"/>
              </w:rPr>
              <w:t>ND</w:t>
            </w:r>
          </w:p>
        </w:tc>
      </w:tr>
    </w:tbl>
    <w:p w:rsidR="00252A34" w:rsidRDefault="00CA64CC">
      <w:pPr>
        <w:ind w:left="720"/>
        <w:jc w:val="both"/>
        <w:rPr>
          <w:rFonts w:ascii="Times New Roman" w:eastAsia="Times New Roman" w:hAnsi="Times New Roman" w:cs="Times New Roman"/>
        </w:rPr>
      </w:pPr>
      <w:r>
        <w:rPr>
          <w:rFonts w:ascii="Times New Roman" w:eastAsia="Times New Roman" w:hAnsi="Times New Roman" w:cs="Times New Roman"/>
        </w:rPr>
        <w:t xml:space="preserve">      and Stored Drinking Water Sources in Eleko Community</w:t>
      </w:r>
    </w:p>
    <w:p w:rsidR="00252A34" w:rsidRDefault="00252A34">
      <w:pPr>
        <w:widowControl w:val="0"/>
        <w:rPr>
          <w:rFonts w:ascii="Times New Roman" w:hAnsi="Times New Roman" w:cs="Times New Roman"/>
        </w:rPr>
      </w:pPr>
    </w:p>
    <w:p w:rsidR="00252A34" w:rsidRDefault="00CA64CC">
      <w:pPr>
        <w:widowControl w:val="0"/>
        <w:ind w:left="720"/>
        <w:rPr>
          <w:rFonts w:ascii="Times New Roman" w:hAnsi="Times New Roman" w:cs="Times New Roman"/>
        </w:rPr>
      </w:pPr>
      <w:r>
        <w:rPr>
          <w:rFonts w:ascii="Times New Roman" w:hAnsi="Times New Roman" w:cs="Times New Roman"/>
        </w:rPr>
        <w:t xml:space="preserve">WHO- World Health Organization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ND- Not detected</w:t>
      </w:r>
    </w:p>
    <w:p w:rsidR="00252A34" w:rsidRDefault="00252A34">
      <w:pPr>
        <w:widowControl w:val="0"/>
        <w:rPr>
          <w:rFonts w:ascii="Times New Roman" w:hAnsi="Times New Roman" w:cs="Times New Roman"/>
        </w:rPr>
      </w:pPr>
    </w:p>
    <w:p w:rsidR="00252A34" w:rsidRDefault="00CA64CC">
      <w:pPr>
        <w:widowControl w:val="0"/>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KEY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A1 = STORDED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A2= RAW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B1 = STORDED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B2= RAW BOREHOLE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C1 = STORDED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C2 = RAW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D1 = STORDED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D2 =RAW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E1 = STORDED WELL WATER</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E2 = RAW WELL WATER</w:t>
      </w:r>
    </w:p>
    <w:p w:rsidR="00252A34" w:rsidRDefault="00252A34">
      <w:pPr>
        <w:spacing w:line="480" w:lineRule="auto"/>
        <w:jc w:val="both"/>
        <w:rPr>
          <w:rFonts w:ascii="Times New Roman" w:hAnsi="Times New Roman" w:cs="Times New Roman"/>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252A34" w:rsidRDefault="00252A34">
      <w:pPr>
        <w:spacing w:line="480" w:lineRule="auto"/>
        <w:jc w:val="both"/>
        <w:rPr>
          <w:rFonts w:ascii="Times New Roman" w:hAnsi="Times New Roman"/>
          <w:b/>
          <w:bCs/>
          <w:sz w:val="24"/>
          <w:szCs w:val="24"/>
        </w:rPr>
      </w:pPr>
    </w:p>
    <w:p w:rsidR="00960FF4" w:rsidRDefault="00960FF4">
      <w:pPr>
        <w:spacing w:line="480" w:lineRule="auto"/>
        <w:jc w:val="both"/>
        <w:rPr>
          <w:rFonts w:ascii="Times New Roman" w:hAnsi="Times New Roman"/>
          <w:b/>
          <w:bCs/>
          <w:sz w:val="24"/>
          <w:szCs w:val="24"/>
        </w:rPr>
      </w:pPr>
    </w:p>
    <w:p w:rsidR="00252A34" w:rsidRDefault="00CA64CC">
      <w:pPr>
        <w:spacing w:line="480" w:lineRule="auto"/>
        <w:jc w:val="both"/>
        <w:rPr>
          <w:rFonts w:ascii="Times New Roman" w:hAnsi="Times New Roman"/>
          <w:b/>
          <w:bCs/>
          <w:sz w:val="24"/>
          <w:szCs w:val="24"/>
        </w:rPr>
      </w:pPr>
      <w:r>
        <w:rPr>
          <w:rFonts w:ascii="Times New Roman" w:hAnsi="Times New Roman"/>
          <w:b/>
          <w:bCs/>
          <w:sz w:val="24"/>
          <w:szCs w:val="24"/>
        </w:rPr>
        <w:lastRenderedPageBreak/>
        <w:t>4.2</w:t>
      </w:r>
      <w:r>
        <w:rPr>
          <w:rFonts w:ascii="Times New Roman" w:hAnsi="Times New Roman"/>
          <w:b/>
          <w:bCs/>
          <w:sz w:val="24"/>
          <w:szCs w:val="24"/>
        </w:rPr>
        <w:tab/>
        <w:t>Discussion</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Comparative Analysis of Raw and Stored Water </w:t>
      </w:r>
      <w:r w:rsidR="00960FF4">
        <w:rPr>
          <w:rFonts w:ascii="Times New Roman" w:hAnsi="Times New Roman" w:cs="Times New Roman"/>
          <w:b/>
          <w:bCs/>
          <w:sz w:val="24"/>
          <w:szCs w:val="24"/>
        </w:rPr>
        <w:t>Color</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and figure 4.1 ,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rsidR="00252A34" w:rsidRDefault="00CA64CC">
      <w:pPr>
        <w:spacing w:line="480" w:lineRule="auto"/>
        <w:rPr>
          <w:rFonts w:ascii="Times New Roman" w:hAnsi="Times New Roman" w:cs="Times New Roman"/>
          <w:b/>
          <w:bCs/>
          <w:sz w:val="24"/>
          <w:szCs w:val="24"/>
        </w:rPr>
      </w:pPr>
      <w:r>
        <w:rPr>
          <w:rFonts w:ascii="Times New Roman" w:hAnsi="Times New Roman" w:cs="Times New Roman"/>
          <w:b/>
          <w:bCs/>
          <w:sz w:val="24"/>
          <w:szCs w:val="24"/>
        </w:rPr>
        <w:t>4.2.2Comparative Analysis of Raw and Stored Water Turbidity</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Both the stored and </w:t>
      </w:r>
      <w:r>
        <w:rPr>
          <w:rFonts w:ascii="Times New Roman" w:eastAsia="Times New Roman" w:hAnsi="Times New Roman" w:cs="Times New Roman"/>
          <w:sz w:val="24"/>
          <w:szCs w:val="24"/>
        </w:rPr>
        <w:t>raw undergroundwater</w:t>
      </w:r>
      <w:r>
        <w:rPr>
          <w:rFonts w:ascii="Times New Roman" w:hAnsi="Times New Roman" w:cs="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rsidR="00252A34" w:rsidRDefault="00CA64C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4.2.3 Comparative Analysis of Raw and Stored Water TDS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Raw groundwater sources show acceptable TDS levels according to WHO, indicating suitability as drinking water sources. Stored water shows elevated TDS across all sites, exceeding WHO guidelines, suggesting contamination during or after storage. Storage </w:t>
      </w:r>
      <w:r>
        <w:rPr>
          <w:rFonts w:ascii="Times New Roman" w:hAnsi="Times New Roman" w:cs="Times New Roman"/>
          <w:sz w:val="24"/>
          <w:szCs w:val="24"/>
        </w:rPr>
        <w:lastRenderedPageBreak/>
        <w:t>practices must be reviewed and improved to prevent leaching or contamination (use of clean, inert containers; protection from environmental contaminants).As shown in table 4.1 and figure 4.3 below.</w:t>
      </w:r>
    </w:p>
    <w:p w:rsidR="00252A34" w:rsidRDefault="00CA64CC">
      <w:pPr>
        <w:spacing w:line="480" w:lineRule="auto"/>
        <w:rPr>
          <w:rFonts w:ascii="Times New Roman" w:hAnsi="Times New Roman" w:cs="Times New Roman"/>
          <w:b/>
          <w:bCs/>
          <w:sz w:val="24"/>
          <w:szCs w:val="24"/>
        </w:rPr>
      </w:pPr>
      <w:r>
        <w:rPr>
          <w:rFonts w:ascii="Times New Roman" w:hAnsi="Times New Roman" w:cs="Times New Roman"/>
          <w:b/>
          <w:bCs/>
          <w:sz w:val="24"/>
          <w:szCs w:val="24"/>
        </w:rPr>
        <w:t>4.2.4 Comparative Analysis of Raw and Stored Water Electrical Conductivity</w:t>
      </w:r>
    </w:p>
    <w:p w:rsidR="00252A34" w:rsidRDefault="00CA64CC" w:rsidP="00960FF4">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Raw water is generally compliant with WHO Electrical Conductivity standards, except for site E (Stored (E1) 205 NTU and Raw (E2)  5.0 NTU). Figure 4.4, Stored water consistently shows increased electrical conductivity beyond guidelines, potentially from contamination or poor storage practices, risking consumer health and acceptability. (</w:t>
      </w:r>
      <w:r>
        <w:rPr>
          <w:rFonts w:ascii="Times New Roman" w:hAnsi="Times New Roman" w:cs="Times New Roman"/>
          <w:b/>
          <w:bCs/>
          <w:sz w:val="24"/>
          <w:szCs w:val="24"/>
        </w:rPr>
        <w:t>WHO 2017)</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4.2.5  Comparative Analysis of Raw and Stored Water Iron</w:t>
      </w:r>
    </w:p>
    <w:p w:rsidR="00252A34" w:rsidRDefault="00960FF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A64CC">
        <w:rPr>
          <w:rFonts w:ascii="Times New Roman" w:hAnsi="Times New Roman" w:cs="Times New Roman"/>
          <w:sz w:val="24"/>
          <w:szCs w:val="24"/>
        </w:rPr>
        <w:t>Figure 4.5 shows the pairs B, D, and E, (</w:t>
      </w:r>
      <w:r w:rsidR="00CA64CC">
        <w:rPr>
          <w:rFonts w:ascii="Times New Roman" w:hAnsi="Times New Roman" w:cs="Times New Roman"/>
          <w:color w:val="000000"/>
          <w:kern w:val="28"/>
          <w:sz w:val="24"/>
          <w:szCs w:val="24"/>
        </w:rPr>
        <w:t>0.62, 0.75 and 0.36)</w:t>
      </w:r>
      <w:r w:rsidR="00CA64CC">
        <w:rPr>
          <w:rFonts w:ascii="Times New Roman" w:hAnsi="Times New Roman" w:cs="Times New Roman"/>
          <w:sz w:val="24"/>
          <w:szCs w:val="24"/>
        </w:rPr>
        <w:t xml:space="preserve"> raw water iron exceeds WHO limits (0.30). In E, both raw and stored water (</w:t>
      </w:r>
      <w:r w:rsidR="00CA64CC">
        <w:rPr>
          <w:rFonts w:ascii="Times New Roman" w:hAnsi="Times New Roman" w:cs="Times New Roman"/>
          <w:color w:val="000000"/>
          <w:kern w:val="28"/>
          <w:sz w:val="24"/>
          <w:szCs w:val="24"/>
        </w:rPr>
        <w:t>0.36</w:t>
      </w:r>
      <w:r w:rsidR="00CA64CC">
        <w:rPr>
          <w:rFonts w:ascii="Times New Roman" w:hAnsi="Times New Roman" w:cs="Times New Roman"/>
          <w:sz w:val="24"/>
          <w:szCs w:val="24"/>
        </w:rPr>
        <w:t>,0.36) are above the limit.</w:t>
      </w:r>
      <w:r>
        <w:rPr>
          <w:rFonts w:ascii="Times New Roman" w:hAnsi="Times New Roman" w:cs="Times New Roman"/>
          <w:sz w:val="24"/>
          <w:szCs w:val="24"/>
        </w:rPr>
        <w:t xml:space="preserve"> </w:t>
      </w:r>
      <w:r w:rsidR="00CA64CC">
        <w:rPr>
          <w:rFonts w:ascii="Times New Roman" w:hAnsi="Times New Roman" w:cs="Times New Roman"/>
          <w:sz w:val="24"/>
          <w:szCs w:val="24"/>
        </w:rPr>
        <w:t>Storage sometimes reduces iron (e.g., D2 to D1), but not always enough to meet standards.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et al., 2019; Binibor </w:t>
      </w:r>
      <w:r>
        <w:rPr>
          <w:rFonts w:ascii="Times New Roman" w:hAnsi="Times New Roman" w:cs="Times New Roman"/>
          <w:i/>
          <w:iCs/>
          <w:sz w:val="24"/>
          <w:szCs w:val="24"/>
        </w:rPr>
        <w:t>et al.,</w:t>
      </w:r>
      <w:r>
        <w:rPr>
          <w:rFonts w:ascii="Times New Roman" w:hAnsi="Times New Roman" w:cs="Times New Roman"/>
          <w:sz w:val="24"/>
          <w:szCs w:val="24"/>
        </w:rPr>
        <w:t xml:space="preserve"> 2025). Storage in certain materials (especially plastic and aluminum) can worsen water quality by increasing chemical leaching and supporting bacterial growth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4.2.6  Comparative Analysis of Raw and Stored Water </w:t>
      </w:r>
      <w:r w:rsidR="00960FF4">
        <w:rPr>
          <w:rFonts w:ascii="Times New Roman" w:hAnsi="Times New Roman" w:cs="Times New Roman"/>
          <w:b/>
          <w:bCs/>
          <w:sz w:val="24"/>
          <w:szCs w:val="24"/>
        </w:rPr>
        <w:t>Manganese</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B, C, and E (</w:t>
      </w:r>
      <w:r>
        <w:rPr>
          <w:rFonts w:ascii="Times New Roman" w:hAnsi="Times New Roman" w:cs="Times New Roman"/>
          <w:color w:val="000000"/>
          <w:kern w:val="28"/>
          <w:sz w:val="24"/>
          <w:szCs w:val="24"/>
        </w:rPr>
        <w:t>0.7, 0.60 and 0.3)</w:t>
      </w:r>
      <w:r>
        <w:rPr>
          <w:rFonts w:ascii="Times New Roman" w:hAnsi="Times New Roman" w:cs="Times New Roman"/>
          <w:sz w:val="24"/>
          <w:szCs w:val="24"/>
        </w:rPr>
        <w:t>, raw water manganese exceeds the WHO limit (0.10). In E (0.3,0.3), both stored and raw water are above the limit.</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Storage sometimes reduces manganese (e.g., B2 to B1, C2 to C1), but not always to safe levels.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Aluminum containers can significantly increase manganese contamination in stored water, sometimes far exceeding safe limits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Storing water in certain materials, especially aluminum, can lead to a dramatic increase in manganese and iron, making water unfit for consumption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4.2.7  Comparative Analysis of Raw and Stored Water Nitrate</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raw and stored water samples are below the WHO nitrate limit (</w:t>
      </w:r>
      <w:r>
        <w:rPr>
          <w:rFonts w:ascii="Times New Roman" w:hAnsi="Times New Roman" w:cs="Times New Roman"/>
          <w:color w:val="000000"/>
          <w:kern w:val="28"/>
          <w:sz w:val="24"/>
          <w:szCs w:val="24"/>
        </w:rPr>
        <w:t>50)</w:t>
      </w:r>
      <w:r>
        <w:rPr>
          <w:rFonts w:ascii="Times New Roman" w:hAnsi="Times New Roman" w:cs="Times New Roman"/>
          <w:sz w:val="24"/>
          <w:szCs w:val="24"/>
        </w:rPr>
        <w:t>. Stored water C and D (</w:t>
      </w:r>
      <w:r>
        <w:rPr>
          <w:rFonts w:ascii="Times New Roman" w:hAnsi="Times New Roman" w:cs="Times New Roman"/>
          <w:color w:val="000000"/>
          <w:kern w:val="28"/>
          <w:sz w:val="24"/>
          <w:szCs w:val="24"/>
        </w:rPr>
        <w:t>24.1 and 23.43</w:t>
      </w:r>
      <w:r>
        <w:rPr>
          <w:rFonts w:ascii="Times New Roman" w:hAnsi="Times New Roman" w:cs="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hAnsi="Times New Roman" w:cs="Times New Roman"/>
          <w:i/>
          <w:iCs/>
          <w:sz w:val="24"/>
          <w:szCs w:val="24"/>
        </w:rPr>
        <w:t>et a</w:t>
      </w:r>
      <w:r>
        <w:rPr>
          <w:rFonts w:ascii="Times New Roman" w:hAnsi="Times New Roman" w:cs="Times New Roman"/>
          <w:sz w:val="24"/>
          <w:szCs w:val="24"/>
        </w:rPr>
        <w:t xml:space="preserve">l., 2015;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2025).</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4.2.8 Comparative Analysis of Raw and Stored Water Nitrite</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and B: Both raw and stored water are within WHO limits, but stored water shows slightly higher nitrite, suggesting possible contamination during storage.</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C: Stored water C1 (</w:t>
      </w:r>
      <w:r>
        <w:rPr>
          <w:rFonts w:ascii="Times New Roman" w:hAnsi="Times New Roman" w:cs="Times New Roman"/>
          <w:color w:val="000000"/>
          <w:kern w:val="28"/>
          <w:sz w:val="24"/>
          <w:szCs w:val="24"/>
        </w:rPr>
        <w:t>0.22)</w:t>
      </w:r>
      <w:r>
        <w:rPr>
          <w:rFonts w:ascii="Times New Roman" w:hAnsi="Times New Roman" w:cs="Times New Roman"/>
          <w:sz w:val="24"/>
          <w:szCs w:val="24"/>
        </w:rPr>
        <w:t xml:space="preserve"> slightly exceeds the WHO limit, while raw water C2 (</w:t>
      </w:r>
      <w:r>
        <w:rPr>
          <w:rFonts w:ascii="Times New Roman" w:hAnsi="Times New Roman" w:cs="Times New Roman"/>
          <w:color w:val="000000"/>
          <w:kern w:val="28"/>
          <w:sz w:val="24"/>
          <w:szCs w:val="24"/>
        </w:rPr>
        <w:t>0.01)</w:t>
      </w:r>
      <w:r>
        <w:rPr>
          <w:rFonts w:ascii="Times New Roman" w:hAnsi="Times New Roman" w:cs="Times New Roman"/>
          <w:sz w:val="24"/>
          <w:szCs w:val="24"/>
        </w:rPr>
        <w:t xml:space="preserve"> is well below, indicating contamination risk during storage.</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D: Stored water D1 (</w:t>
      </w:r>
      <w:r>
        <w:rPr>
          <w:rFonts w:ascii="Times New Roman" w:hAnsi="Times New Roman" w:cs="Times New Roman"/>
          <w:color w:val="000000"/>
          <w:kern w:val="28"/>
          <w:sz w:val="24"/>
          <w:szCs w:val="24"/>
        </w:rPr>
        <w:t>0.41</w:t>
      </w:r>
      <w:r>
        <w:rPr>
          <w:rFonts w:ascii="Times New Roman" w:hAnsi="Times New Roman" w:cs="Times New Roman"/>
          <w:sz w:val="24"/>
          <w:szCs w:val="24"/>
        </w:rPr>
        <w:t>) is more than double the WHO limit, while raw water D2 (</w:t>
      </w:r>
      <w:r>
        <w:rPr>
          <w:rFonts w:ascii="Times New Roman" w:hAnsi="Times New Roman" w:cs="Times New Roman"/>
          <w:color w:val="000000"/>
          <w:kern w:val="28"/>
          <w:sz w:val="24"/>
          <w:szCs w:val="24"/>
        </w:rPr>
        <w:t>0.08</w:t>
      </w:r>
      <w:r>
        <w:rPr>
          <w:rFonts w:ascii="Times New Roman" w:hAnsi="Times New Roman" w:cs="Times New Roman"/>
          <w:sz w:val="24"/>
          <w:szCs w:val="24"/>
        </w:rPr>
        <w:t>) is within limits, again pointing to storage-related contamination.</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 Both raw and stored water E1 and E2 (</w:t>
      </w:r>
      <w:r>
        <w:rPr>
          <w:rFonts w:ascii="Times New Roman" w:hAnsi="Times New Roman" w:cs="Times New Roman"/>
          <w:color w:val="000000"/>
          <w:kern w:val="28"/>
          <w:sz w:val="24"/>
          <w:szCs w:val="24"/>
        </w:rPr>
        <w:t>0.51</w:t>
      </w:r>
      <w:r>
        <w:rPr>
          <w:rFonts w:ascii="Times New Roman" w:hAnsi="Times New Roman" w:cs="Times New Roman"/>
          <w:sz w:val="24"/>
          <w:szCs w:val="24"/>
        </w:rPr>
        <w:t>) exceed the WHO limit, indicating source contamination. As shown in figure 4.</w:t>
      </w:r>
      <w:r w:rsidR="00960FF4">
        <w:rPr>
          <w:rFonts w:ascii="Times New Roman" w:hAnsi="Times New Roman" w:cs="Times New Roman"/>
          <w:sz w:val="24"/>
          <w:szCs w:val="24"/>
        </w:rPr>
        <w:t xml:space="preserve"> Water </w:t>
      </w:r>
      <w:r>
        <w:rPr>
          <w:rFonts w:ascii="Times New Roman" w:hAnsi="Times New Roman" w:cs="Times New Roman"/>
          <w:sz w:val="24"/>
          <w:szCs w:val="24"/>
        </w:rPr>
        <w:t xml:space="preserve">quality often deteriorates during storage, with increased risk of chemical and microbial contamination, especially if containers are not regularly cleaned or if water is stored for several days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raw and stored water exceed limits in E the underground source is already contaminated, requiring treatment before use (Khan </w:t>
      </w:r>
      <w:r>
        <w:rPr>
          <w:rFonts w:ascii="Times New Roman" w:hAnsi="Times New Roman" w:cs="Times New Roman"/>
          <w:i/>
          <w:iCs/>
          <w:sz w:val="24"/>
          <w:szCs w:val="24"/>
        </w:rPr>
        <w:t>et al.,</w:t>
      </w:r>
      <w:r>
        <w:rPr>
          <w:rFonts w:ascii="Times New Roman" w:hAnsi="Times New Roman" w:cs="Times New Roman"/>
          <w:sz w:val="24"/>
          <w:szCs w:val="24"/>
        </w:rPr>
        <w:t xml:space="preserve"> 2017; Khanal </w:t>
      </w:r>
      <w:r>
        <w:rPr>
          <w:rFonts w:ascii="Times New Roman" w:hAnsi="Times New Roman" w:cs="Times New Roman"/>
          <w:i/>
          <w:iCs/>
          <w:sz w:val="24"/>
          <w:szCs w:val="24"/>
        </w:rPr>
        <w:t>et al.,</w:t>
      </w:r>
      <w:r>
        <w:rPr>
          <w:rFonts w:ascii="Times New Roman" w:hAnsi="Times New Roman" w:cs="Times New Roman"/>
          <w:sz w:val="24"/>
          <w:szCs w:val="24"/>
        </w:rPr>
        <w:t xml:space="preserve"> 2024).</w:t>
      </w:r>
      <w:r w:rsidR="00960FF4">
        <w:rPr>
          <w:rFonts w:ascii="Times New Roman" w:hAnsi="Times New Roman" w:cs="Times New Roman"/>
          <w:sz w:val="24"/>
          <w:szCs w:val="24"/>
        </w:rPr>
        <w:t xml:space="preserve"> </w:t>
      </w:r>
      <w:r>
        <w:rPr>
          <w:rFonts w:ascii="Times New Roman" w:hAnsi="Times New Roman" w:cs="Times New Roman"/>
          <w:sz w:val="24"/>
          <w:szCs w:val="24"/>
        </w:rPr>
        <w:t xml:space="preserve">Chronic exposure to nitrite above WHO limits can cause health issues, particularly in infants (methemoglobinemia) and may have synergistic effects with other contaminants (Wasana </w:t>
      </w:r>
      <w:r>
        <w:rPr>
          <w:rFonts w:ascii="Times New Roman" w:hAnsi="Times New Roman" w:cs="Times New Roman"/>
          <w:i/>
          <w:iCs/>
          <w:sz w:val="24"/>
          <w:szCs w:val="24"/>
        </w:rPr>
        <w:t>et al</w:t>
      </w:r>
      <w:r>
        <w:rPr>
          <w:rFonts w:ascii="Times New Roman" w:hAnsi="Times New Roman" w:cs="Times New Roman"/>
          <w:sz w:val="24"/>
          <w:szCs w:val="24"/>
        </w:rPr>
        <w:t>., 2017).</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Regular cleaning of storage containers, minimizing storage time, and treating contaminated sources are essential to reduce risk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4.2.9  Comparative Analysis of Raw and Stored Water Total Hardness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hAnsi="Times New Roman" w:cs="Times New Roman"/>
          <w:i/>
          <w:iCs/>
          <w:sz w:val="24"/>
          <w:szCs w:val="24"/>
        </w:rPr>
        <w:t>et al</w:t>
      </w:r>
      <w:r>
        <w:rPr>
          <w:rFonts w:ascii="Times New Roman" w:hAnsi="Times New Roman" w:cs="Times New Roman"/>
          <w:sz w:val="24"/>
          <w:szCs w:val="24"/>
        </w:rPr>
        <w:t xml:space="preserve">., 2019; Binibor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w:t>
      </w:r>
      <w:r>
        <w:rPr>
          <w:rFonts w:ascii="Times New Roman" w:hAnsi="Times New Roman" w:cs="Times New Roman"/>
          <w:sz w:val="24"/>
          <w:szCs w:val="24"/>
        </w:rPr>
        <w:t xml:space="preserve">l., 2018;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type of storage container can influence contamination risk. Plastic and clay containers can promote bacterial growth, while aluminum may introduce chemical contaminants (Binibor </w:t>
      </w:r>
      <w:r>
        <w:rPr>
          <w:rFonts w:ascii="Times New Roman" w:hAnsi="Times New Roman" w:cs="Times New Roman"/>
          <w:i/>
          <w:iCs/>
          <w:sz w:val="24"/>
          <w:szCs w:val="24"/>
        </w:rPr>
        <w:t>et al.</w:t>
      </w:r>
      <w:r>
        <w:rPr>
          <w:rFonts w:ascii="Times New Roman" w:hAnsi="Times New Roman" w:cs="Times New Roman"/>
          <w:sz w:val="24"/>
          <w:szCs w:val="24"/>
        </w:rPr>
        <w:t xml:space="preserve">, 2025). Total hardness in water samples is within WHO limits, synergistic effects with other contaminants (e.g., heavy metals, fluoride) can still pose health risks, even at permissible levels (Wasana </w:t>
      </w:r>
      <w:r>
        <w:rPr>
          <w:rFonts w:ascii="Times New Roman" w:hAnsi="Times New Roman" w:cs="Times New Roman"/>
          <w:i/>
          <w:iCs/>
          <w:sz w:val="24"/>
          <w:szCs w:val="24"/>
        </w:rPr>
        <w:t>et al.,</w:t>
      </w:r>
      <w:r>
        <w:rPr>
          <w:rFonts w:ascii="Times New Roman" w:hAnsi="Times New Roman" w:cs="Times New Roman"/>
          <w:sz w:val="24"/>
          <w:szCs w:val="24"/>
        </w:rPr>
        <w:t xml:space="preserve"> 2017). Microbial contamination remains the primary concern for stored water, often leading to waterborne diseases (Shields </w:t>
      </w:r>
      <w:r>
        <w:rPr>
          <w:rFonts w:ascii="Times New Roman" w:hAnsi="Times New Roman" w:cs="Times New Roman"/>
          <w:i/>
          <w:iCs/>
          <w:sz w:val="24"/>
          <w:szCs w:val="24"/>
        </w:rPr>
        <w:t>et al.,</w:t>
      </w:r>
      <w:r>
        <w:rPr>
          <w:rFonts w:ascii="Times New Roman" w:hAnsi="Times New Roman" w:cs="Times New Roman"/>
          <w:sz w:val="24"/>
          <w:szCs w:val="24"/>
        </w:rPr>
        <w:t xml:space="preserve"> 2015; Khan </w:t>
      </w:r>
      <w:r>
        <w:rPr>
          <w:rFonts w:ascii="Times New Roman" w:hAnsi="Times New Roman" w:cs="Times New Roman"/>
          <w:i/>
          <w:iCs/>
          <w:sz w:val="24"/>
          <w:szCs w:val="24"/>
        </w:rPr>
        <w:t>et al</w:t>
      </w:r>
      <w:r>
        <w:rPr>
          <w:rFonts w:ascii="Times New Roman" w:hAnsi="Times New Roman" w:cs="Times New Roman"/>
          <w:sz w:val="24"/>
          <w:szCs w:val="24"/>
        </w:rPr>
        <w:t xml:space="preserve">., 2017;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 xml:space="preserve">et </w:t>
      </w:r>
      <w:r>
        <w:rPr>
          <w:rFonts w:ascii="Times New Roman" w:hAnsi="Times New Roman" w:cs="Times New Roman"/>
          <w:sz w:val="24"/>
          <w:szCs w:val="24"/>
        </w:rPr>
        <w:t xml:space="preserve">al., 2024). Regular cleaning of storage containers, minimizing storage time, and using improved water sources (e.g., piped water) reduce contamination risk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Binibor </w:t>
      </w:r>
      <w:r>
        <w:rPr>
          <w:rFonts w:ascii="Times New Roman" w:hAnsi="Times New Roman" w:cs="Times New Roman"/>
          <w:i/>
          <w:iCs/>
          <w:sz w:val="24"/>
          <w:szCs w:val="24"/>
        </w:rPr>
        <w:t>et al</w:t>
      </w:r>
      <w:r>
        <w:rPr>
          <w:rFonts w:ascii="Times New Roman" w:hAnsi="Times New Roman" w:cs="Times New Roman"/>
          <w:sz w:val="24"/>
          <w:szCs w:val="24"/>
        </w:rPr>
        <w:t xml:space="preserve">., 2025;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4.2.10 Comparative Analysis of Raw and Stored Water Coliforms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hAnsi="Times New Roman" w:cs="Times New Roman"/>
          <w:i/>
          <w:iCs/>
          <w:sz w:val="24"/>
          <w:szCs w:val="24"/>
        </w:rPr>
        <w:t>et al.,</w:t>
      </w:r>
      <w:r>
        <w:rPr>
          <w:rFonts w:ascii="Times New Roman" w:hAnsi="Times New Roman" w:cs="Times New Roman"/>
          <w:sz w:val="24"/>
          <w:szCs w:val="24"/>
        </w:rPr>
        <w:t xml:space="preserve"> 2015; Bae </w:t>
      </w:r>
      <w:r>
        <w:rPr>
          <w:rFonts w:ascii="Times New Roman" w:hAnsi="Times New Roman" w:cs="Times New Roman"/>
          <w:i/>
          <w:iCs/>
          <w:sz w:val="24"/>
          <w:szCs w:val="24"/>
        </w:rPr>
        <w:t xml:space="preserve">et </w:t>
      </w:r>
      <w:r>
        <w:rPr>
          <w:rFonts w:ascii="Times New Roman" w:hAnsi="Times New Roman" w:cs="Times New Roman"/>
          <w:i/>
          <w:iCs/>
          <w:sz w:val="24"/>
          <w:szCs w:val="24"/>
        </w:rPr>
        <w:lastRenderedPageBreak/>
        <w:t>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 Poor hygiene, unclean containers, and longer storage times contribute to microbial growth and biofilm formation, further increasing health risks (Bae </w:t>
      </w:r>
      <w:r>
        <w:rPr>
          <w:rFonts w:ascii="Times New Roman" w:hAnsi="Times New Roman" w:cs="Times New Roman"/>
          <w:i/>
          <w:iCs/>
          <w:sz w:val="24"/>
          <w:szCs w:val="24"/>
        </w:rPr>
        <w:t>et al.,</w:t>
      </w:r>
      <w:r>
        <w:rPr>
          <w:rFonts w:ascii="Times New Roman" w:hAnsi="Times New Roman" w:cs="Times New Roman"/>
          <w:sz w:val="24"/>
          <w:szCs w:val="24"/>
        </w:rPr>
        <w:t xml:space="preserve"> 2019;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xml:space="preserve">., 2024). High coliform counts are linked to outbreaks of waterborne diseases such as diarrhea, cholera, and typhoid, especially in children (Khan </w:t>
      </w:r>
      <w:r>
        <w:rPr>
          <w:rFonts w:ascii="Times New Roman" w:hAnsi="Times New Roman" w:cs="Times New Roman"/>
          <w:i/>
          <w:iCs/>
          <w:sz w:val="24"/>
          <w:szCs w:val="24"/>
        </w:rPr>
        <w:t>et al</w:t>
      </w:r>
      <w:r>
        <w:rPr>
          <w:rFonts w:ascii="Times New Roman" w:hAnsi="Times New Roman" w:cs="Times New Roman"/>
          <w:sz w:val="24"/>
          <w:szCs w:val="24"/>
        </w:rPr>
        <w:t xml:space="preserve">., 2017; Feleke </w:t>
      </w:r>
      <w:r>
        <w:rPr>
          <w:rFonts w:ascii="Times New Roman" w:hAnsi="Times New Roman" w:cs="Times New Roman"/>
          <w:i/>
          <w:iCs/>
          <w:sz w:val="24"/>
          <w:szCs w:val="24"/>
        </w:rPr>
        <w:t>et al</w:t>
      </w:r>
      <w:r>
        <w:rPr>
          <w:rFonts w:ascii="Times New Roman" w:hAnsi="Times New Roman" w:cs="Times New Roman"/>
          <w:sz w:val="24"/>
          <w:szCs w:val="24"/>
        </w:rPr>
        <w:t xml:space="preserve">., 2018; Khanal </w:t>
      </w:r>
      <w:r>
        <w:rPr>
          <w:rFonts w:ascii="Times New Roman" w:hAnsi="Times New Roman" w:cs="Times New Roman"/>
          <w:i/>
          <w:iCs/>
          <w:sz w:val="24"/>
          <w:szCs w:val="24"/>
        </w:rPr>
        <w:t>et al</w:t>
      </w:r>
      <w:r>
        <w:rPr>
          <w:rFonts w:ascii="Times New Roman" w:hAnsi="Times New Roman" w:cs="Times New Roman"/>
          <w:sz w:val="24"/>
          <w:szCs w:val="24"/>
        </w:rPr>
        <w:t>., 2024).</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4.2.11 Comparative Analysis of Raw and Stored Water E. </w:t>
      </w:r>
      <w:r w:rsidR="00960FF4">
        <w:rPr>
          <w:rFonts w:ascii="Times New Roman" w:hAnsi="Times New Roman" w:cs="Times New Roman"/>
          <w:b/>
          <w:bCs/>
          <w:sz w:val="24"/>
          <w:szCs w:val="24"/>
        </w:rPr>
        <w:t>Coli</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that  stored water has higher E. coli counts than its raw counterpart, except for D and E where raw water is even more contaminated. This pattern is consistent with research showing that water quality often deteriorates during storage due to poor hygiene, unclean containers, and environmental exposure, increasing the risk of waterborne diseases (Shields </w:t>
      </w:r>
      <w:r>
        <w:rPr>
          <w:rFonts w:ascii="Times New Roman" w:hAnsi="Times New Roman" w:cs="Times New Roman"/>
          <w:i/>
          <w:iCs/>
          <w:sz w:val="24"/>
          <w:szCs w:val="24"/>
        </w:rPr>
        <w:t>et al</w:t>
      </w:r>
      <w:r>
        <w:rPr>
          <w:rFonts w:ascii="Times New Roman" w:hAnsi="Times New Roman" w:cs="Times New Roman"/>
          <w:sz w:val="24"/>
          <w:szCs w:val="24"/>
        </w:rPr>
        <w:t xml:space="preserve">., 2015; Khan </w:t>
      </w:r>
      <w:r>
        <w:rPr>
          <w:rFonts w:ascii="Times New Roman" w:hAnsi="Times New Roman" w:cs="Times New Roman"/>
          <w:i/>
          <w:iCs/>
          <w:sz w:val="24"/>
          <w:szCs w:val="24"/>
        </w:rPr>
        <w:t>et al</w:t>
      </w:r>
      <w:r>
        <w:rPr>
          <w:rFonts w:ascii="Times New Roman" w:hAnsi="Times New Roman" w:cs="Times New Roman"/>
          <w:sz w:val="24"/>
          <w:szCs w:val="24"/>
        </w:rPr>
        <w:t xml:space="preserve">., 2017; Morgan </w:t>
      </w:r>
      <w:r>
        <w:rPr>
          <w:rFonts w:ascii="Times New Roman" w:hAnsi="Times New Roman" w:cs="Times New Roman"/>
          <w:i/>
          <w:iCs/>
          <w:sz w:val="24"/>
          <w:szCs w:val="24"/>
        </w:rPr>
        <w:t>et al</w:t>
      </w:r>
      <w:r>
        <w:rPr>
          <w:rFonts w:ascii="Times New Roman" w:hAnsi="Times New Roman" w:cs="Times New Roman"/>
          <w:sz w:val="24"/>
          <w:szCs w:val="24"/>
        </w:rPr>
        <w:t xml:space="preserve">., 2021). The presence of E. coli at these levels is associated with outbreaks of diarrhea, cholera, and other serious illnesses, especially in children (Khan </w:t>
      </w:r>
      <w:r>
        <w:rPr>
          <w:rFonts w:ascii="Times New Roman" w:hAnsi="Times New Roman" w:cs="Times New Roman"/>
          <w:i/>
          <w:iCs/>
          <w:sz w:val="24"/>
          <w:szCs w:val="24"/>
        </w:rPr>
        <w:t>et al</w:t>
      </w:r>
      <w:r>
        <w:rPr>
          <w:rFonts w:ascii="Times New Roman" w:hAnsi="Times New Roman" w:cs="Times New Roman"/>
          <w:sz w:val="24"/>
          <w:szCs w:val="24"/>
        </w:rPr>
        <w:t xml:space="preserve">., 2017; Morgan </w:t>
      </w:r>
      <w:r>
        <w:rPr>
          <w:rFonts w:ascii="Times New Roman" w:hAnsi="Times New Roman" w:cs="Times New Roman"/>
          <w:i/>
          <w:iCs/>
          <w:sz w:val="24"/>
          <w:szCs w:val="24"/>
        </w:rPr>
        <w:t>et al.,</w:t>
      </w:r>
      <w:r>
        <w:rPr>
          <w:rFonts w:ascii="Times New Roman" w:hAnsi="Times New Roman" w:cs="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hAnsi="Times New Roman" w:cs="Times New Roman"/>
          <w:i/>
          <w:iCs/>
          <w:sz w:val="24"/>
          <w:szCs w:val="24"/>
        </w:rPr>
        <w:t>et al.,</w:t>
      </w:r>
      <w:r>
        <w:rPr>
          <w:rFonts w:ascii="Times New Roman" w:hAnsi="Times New Roman" w:cs="Times New Roman"/>
          <w:sz w:val="24"/>
          <w:szCs w:val="24"/>
        </w:rPr>
        <w:t xml:space="preserve"> 2015; Morgan </w:t>
      </w:r>
      <w:r>
        <w:rPr>
          <w:rFonts w:ascii="Times New Roman" w:hAnsi="Times New Roman" w:cs="Times New Roman"/>
          <w:i/>
          <w:iCs/>
          <w:sz w:val="24"/>
          <w:szCs w:val="24"/>
        </w:rPr>
        <w:t>et al</w:t>
      </w:r>
      <w:r>
        <w:rPr>
          <w:rFonts w:ascii="Times New Roman" w:hAnsi="Times New Roman" w:cs="Times New Roman"/>
          <w:sz w:val="24"/>
          <w:szCs w:val="24"/>
        </w:rPr>
        <w:t xml:space="preserve">., 2021). </w:t>
      </w:r>
    </w:p>
    <w:p w:rsidR="00252A34" w:rsidRDefault="00252A34">
      <w:pPr>
        <w:spacing w:line="480" w:lineRule="auto"/>
        <w:jc w:val="both"/>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563110" cy="2126615"/>
            <wp:effectExtent l="4445" t="4445" r="23495" b="21590"/>
            <wp:docPr id="12065619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(Colour Units)</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184650" cy="2529840"/>
            <wp:effectExtent l="4445" t="4445" r="20955" b="18415"/>
            <wp:docPr id="8021298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4.2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w:t>
      </w:r>
      <w:r>
        <w:rPr>
          <w:rFonts w:ascii="Times New Roman" w:hAnsi="Times New Roman" w:cs="Times New Roman"/>
          <w:i/>
          <w:iCs/>
          <w:sz w:val="24"/>
          <w:szCs w:val="24"/>
        </w:rPr>
        <w:t>Turbidity</w:t>
      </w:r>
      <w:r>
        <w:rPr>
          <w:rFonts w:ascii="Times New Roman" w:hAnsi="Times New Roman" w:cs="Times New Roman"/>
          <w:sz w:val="24"/>
          <w:szCs w:val="24"/>
        </w:rPr>
        <w:t xml:space="preserve"> N.T.U)</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524375" cy="2910840"/>
            <wp:effectExtent l="4445" t="4445" r="5080" b="18415"/>
            <wp:docPr id="18722364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4.3 Contamination risk of groundwater and stored drinking water  </w:t>
      </w:r>
    </w:p>
    <w:p w:rsidR="00252A34" w:rsidRDefault="00CA64CC">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Sources in Eleko (TDS)</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000500" cy="3019425"/>
            <wp:effectExtent l="4445" t="5080" r="14605" b="4445"/>
            <wp:docPr id="15885961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4.4 Contamination risk of ground 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(Electrical Conductivity)</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380230" cy="2858135"/>
            <wp:effectExtent l="4445" t="4445" r="15875" b="13970"/>
            <wp:docPr id="5464981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4.5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(Iron mg/l)</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422140" cy="2727960"/>
            <wp:effectExtent l="4445" t="4445" r="12065" b="10795"/>
            <wp:docPr id="15971758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4.6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(Manganese mg/l)</w:t>
      </w:r>
    </w:p>
    <w:p w:rsidR="00252A34" w:rsidRDefault="00252A34">
      <w:pPr>
        <w:spacing w:line="480" w:lineRule="auto"/>
        <w:rPr>
          <w:rFonts w:ascii="Times New Roman" w:hAnsi="Times New Roman" w:cs="Times New Roman"/>
          <w:sz w:val="24"/>
          <w:szCs w:val="24"/>
        </w:rPr>
      </w:pP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922520" cy="2748915"/>
            <wp:effectExtent l="4445" t="4445" r="6985" b="8890"/>
            <wp:docPr id="14534050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4.7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(Nitrate mg/l)</w:t>
      </w:r>
    </w:p>
    <w:p w:rsidR="00252A34" w:rsidRDefault="00252A34">
      <w:pPr>
        <w:spacing w:line="480" w:lineRule="auto"/>
        <w:rPr>
          <w:rFonts w:ascii="Times New Roman" w:hAnsi="Times New Roman" w:cs="Times New Roman"/>
          <w:sz w:val="24"/>
          <w:szCs w:val="24"/>
        </w:rPr>
      </w:pP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5224780" cy="3183255"/>
            <wp:effectExtent l="4445" t="4445" r="9525" b="12700"/>
            <wp:docPr id="3328790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4.8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(Nitrite )</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772660" cy="2633345"/>
            <wp:effectExtent l="4445" t="4445" r="23495" b="10160"/>
            <wp:docPr id="11949020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4.9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(Total Hardness )</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829810" cy="2992755"/>
            <wp:effectExtent l="4445" t="4445" r="23495" b="12700"/>
            <wp:docPr id="20937184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4.10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(Coliform counts/ 100ml)</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extent cx="4678680" cy="2994025"/>
            <wp:effectExtent l="4445" t="4445" r="22225" b="11430"/>
            <wp:docPr id="18167198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4.11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(Total via plate count du/ml)</w:t>
      </w:r>
    </w:p>
    <w:p w:rsidR="00252A34" w:rsidRDefault="00CA64CC">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629785" cy="3027680"/>
            <wp:effectExtent l="4445" t="4445" r="13970" b="15875"/>
            <wp:docPr id="15623823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4.12 Contamination risk of groundwater and stored drinking water  </w:t>
      </w:r>
    </w:p>
    <w:p w:rsidR="00252A34" w:rsidRDefault="00CA64CC">
      <w:pPr>
        <w:spacing w:line="480" w:lineRule="auto"/>
        <w:rPr>
          <w:rFonts w:ascii="Times New Roman" w:hAnsi="Times New Roman" w:cs="Times New Roman"/>
          <w:sz w:val="24"/>
          <w:szCs w:val="24"/>
        </w:rPr>
      </w:pPr>
      <w:r>
        <w:rPr>
          <w:rFonts w:ascii="Times New Roman" w:hAnsi="Times New Roman" w:cs="Times New Roman"/>
          <w:sz w:val="24"/>
          <w:szCs w:val="24"/>
        </w:rPr>
        <w:t xml:space="preserve">                   Sources in Eleko (E.coli /100ml)</w:t>
      </w:r>
    </w:p>
    <w:p w:rsidR="00252A34" w:rsidRDefault="00252A34">
      <w:pPr>
        <w:spacing w:line="480" w:lineRule="auto"/>
        <w:jc w:val="both"/>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252A34">
      <w:pPr>
        <w:spacing w:line="480" w:lineRule="auto"/>
        <w:jc w:val="both"/>
        <w:rPr>
          <w:rFonts w:ascii="Times New Roman" w:hAnsi="Times New Roman"/>
          <w:b/>
          <w:bCs/>
        </w:rPr>
      </w:pPr>
    </w:p>
    <w:p w:rsidR="00252A34" w:rsidRDefault="00CA64CC">
      <w:pPr>
        <w:spacing w:line="480" w:lineRule="auto"/>
        <w:jc w:val="center"/>
        <w:rPr>
          <w:rFonts w:ascii="Times New Roman" w:hAnsi="Times New Roman"/>
          <w:b/>
          <w:bCs/>
        </w:rPr>
      </w:pPr>
      <w:r>
        <w:rPr>
          <w:rFonts w:ascii="Times New Roman" w:hAnsi="Times New Roman"/>
          <w:b/>
          <w:bCs/>
        </w:rPr>
        <w:lastRenderedPageBreak/>
        <w:t>CHAPTER FIVE</w:t>
      </w:r>
    </w:p>
    <w:p w:rsidR="00252A34" w:rsidRDefault="00CA64CC">
      <w:pPr>
        <w:spacing w:line="480" w:lineRule="auto"/>
        <w:jc w:val="center"/>
        <w:rPr>
          <w:rFonts w:ascii="Times New Roman" w:hAnsi="Times New Roman"/>
          <w:b/>
          <w:bCs/>
        </w:rPr>
      </w:pPr>
      <w:r>
        <w:rPr>
          <w:rFonts w:ascii="Times New Roman" w:hAnsi="Times New Roman"/>
          <w:b/>
          <w:bCs/>
        </w:rPr>
        <w:t>CONCLUSION AND RECOMMENDATIONS</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Pr>
          <w:rFonts w:ascii="Times New Roman" w:hAnsi="Times New Roman" w:cs="Times New Roman"/>
          <w:b/>
          <w:bCs/>
          <w:sz w:val="24"/>
          <w:szCs w:val="24"/>
        </w:rPr>
        <w:tab/>
        <w:t>Conclusion</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rsidR="00252A34" w:rsidRDefault="00CA64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5.1Recommendations</w:t>
      </w:r>
    </w:p>
    <w:p w:rsidR="00252A34" w:rsidRDefault="00CA64CC" w:rsidP="00960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1. Prioritize the consistent supply of treated, safe water to communities, minimizing reliance on untreated underground sources.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2. Educate residents on proper water collection, transportation, and storage hygiene, including regular cleaning of storage containers.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Implement point-of-use water treatment methods (e.g., boiling, chlorination, filtration) at the household level, especially where microbial contamination is detected.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Regularly monitor both source and stored water for microbial and chemical contaminants to ensure ongoing safety.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Address infrastructure gaps to reduce water supply interruptions, which often force communities to store water for longer periods, increasing contamination risk.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Encourage the use of improved water sources and discourage the use of highly contaminated sources unless adequately treated.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7. Foster community engagement and cross-sector collaboration to sustain water quality improvements and public health outcomes.</w:t>
      </w: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spacing w:line="360" w:lineRule="auto"/>
        <w:jc w:val="both"/>
      </w:pPr>
    </w:p>
    <w:p w:rsidR="00252A34" w:rsidRDefault="00252A34">
      <w:pPr>
        <w:pStyle w:val="NormalWeb"/>
        <w:shd w:val="clear" w:color="auto" w:fill="FFFFFF"/>
        <w:spacing w:before="525" w:beforeAutospacing="0" w:after="525" w:afterAutospacing="0" w:line="480" w:lineRule="auto"/>
        <w:jc w:val="both"/>
        <w:rPr>
          <w:color w:val="000000" w:themeColor="text1"/>
        </w:rPr>
      </w:pPr>
    </w:p>
    <w:p w:rsidR="00252A34" w:rsidRDefault="00CA64CC">
      <w:pPr>
        <w:pStyle w:val="NormalWeb"/>
        <w:shd w:val="clear" w:color="auto" w:fill="FFFFFF"/>
        <w:spacing w:beforeAutospacing="0" w:afterAutospacing="0" w:line="360" w:lineRule="auto"/>
        <w:jc w:val="both"/>
      </w:pPr>
      <w:r>
        <w:rPr>
          <w:b/>
          <w:bCs/>
          <w:color w:val="000000" w:themeColor="text1"/>
        </w:rPr>
        <w:lastRenderedPageBreak/>
        <w:t>References</w:t>
      </w:r>
    </w:p>
    <w:p w:rsidR="00252A34" w:rsidRDefault="00252A34">
      <w:pPr>
        <w:spacing w:line="360" w:lineRule="auto"/>
        <w:jc w:val="both"/>
        <w:rPr>
          <w:rFonts w:ascii="Times New Roman" w:hAnsi="Times New Roman" w:cs="Times New Roman"/>
          <w:color w:val="000000" w:themeColor="text1"/>
          <w:sz w:val="24"/>
          <w:szCs w:val="24"/>
        </w:rPr>
      </w:pP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Ader</w:t>
      </w:r>
      <w:r w:rsidR="00960FF4">
        <w:rPr>
          <w:rFonts w:ascii="Times New Roman" w:hAnsi="Times New Roman" w:cs="Times New Roman"/>
          <w:color w:val="000000" w:themeColor="text1"/>
          <w:sz w:val="24"/>
          <w:szCs w:val="24"/>
        </w:rPr>
        <w:t>ibigbe, S. A., Awoyemi, A. O., and</w:t>
      </w:r>
      <w:r>
        <w:rPr>
          <w:rFonts w:ascii="Times New Roman" w:hAnsi="Times New Roman" w:cs="Times New Roman"/>
          <w:color w:val="000000" w:themeColor="text1"/>
          <w:sz w:val="24"/>
          <w:szCs w:val="24"/>
        </w:rPr>
        <w:t xml:space="preserve"> Osagbemi, G. K. (2008). Availability, </w:t>
      </w:r>
      <w:r>
        <w:rPr>
          <w:rFonts w:ascii="Times New Roman" w:hAnsi="Times New Roman" w:cs="Times New Roman"/>
          <w:color w:val="000000" w:themeColor="text1"/>
          <w:sz w:val="24"/>
          <w:szCs w:val="24"/>
        </w:rPr>
        <w:tab/>
        <w:t xml:space="preserve">accessibility and perception of health services among people of Oyun Local </w:t>
      </w:r>
      <w:r>
        <w:rPr>
          <w:rFonts w:ascii="Times New Roman" w:hAnsi="Times New Roman" w:cs="Times New Roman"/>
          <w:color w:val="000000" w:themeColor="text1"/>
          <w:sz w:val="24"/>
          <w:szCs w:val="24"/>
        </w:rPr>
        <w:tab/>
        <w:t xml:space="preserve">Government Area, Kwara State, Nigeria. Journal of Geography and Regional </w:t>
      </w:r>
      <w:r>
        <w:rPr>
          <w:rFonts w:ascii="Times New Roman" w:hAnsi="Times New Roman" w:cs="Times New Roman"/>
          <w:color w:val="000000" w:themeColor="text1"/>
          <w:sz w:val="24"/>
          <w:szCs w:val="24"/>
        </w:rPr>
        <w:tab/>
        <w:t>Planning, 1(2), 24–30.</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Ampofo, J. A., </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Karikari, A. Y. (2006). Microbiological and physicochemical </w:t>
      </w:r>
      <w:r>
        <w:rPr>
          <w:rFonts w:ascii="Times New Roman" w:hAnsi="Times New Roman" w:cs="Times New Roman"/>
          <w:color w:val="000000" w:themeColor="text1"/>
          <w:sz w:val="24"/>
          <w:szCs w:val="24"/>
        </w:rPr>
        <w:tab/>
        <w:t xml:space="preserve">quality of water supply in Accra, Ghana. International Journal of </w:t>
      </w:r>
      <w:r>
        <w:rPr>
          <w:rFonts w:ascii="Times New Roman" w:hAnsi="Times New Roman" w:cs="Times New Roman"/>
          <w:color w:val="000000" w:themeColor="text1"/>
          <w:sz w:val="24"/>
          <w:szCs w:val="24"/>
        </w:rPr>
        <w:tab/>
        <w:t>Environmental Science &amp; Technology, 3(1), 35–39.</w:t>
      </w:r>
    </w:p>
    <w:p w:rsidR="00252A34" w:rsidRDefault="00CA64CC" w:rsidP="00960FF4">
      <w:pPr>
        <w:pStyle w:val="NormalWeb"/>
        <w:shd w:val="clear" w:color="auto" w:fill="FFFFFF"/>
        <w:spacing w:beforeAutospacing="0" w:afterAutospacing="0" w:line="360" w:lineRule="auto"/>
        <w:ind w:left="720" w:hanging="720"/>
        <w:jc w:val="both"/>
        <w:rPr>
          <w:rFonts w:eastAsia="Cambria"/>
          <w:color w:val="000000" w:themeColor="text1"/>
          <w:lang/>
        </w:rPr>
      </w:pPr>
      <w:r>
        <w:rPr>
          <w:rFonts w:eastAsia="Cambria"/>
          <w:color w:val="000000" w:themeColor="text1"/>
          <w:lang/>
        </w:rPr>
        <w:t xml:space="preserve">Amrose, S. E., Cherukumilli, K.,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Wright, N. C. (2020). Chemical contamination of </w:t>
      </w:r>
      <w:r>
        <w:rPr>
          <w:rFonts w:eastAsia="Cambria"/>
          <w:color w:val="000000" w:themeColor="text1"/>
          <w:lang/>
        </w:rPr>
        <w:tab/>
        <w:t xml:space="preserve">drinking water in resourceconstrained settings: Global prevalence and piloted </w:t>
      </w:r>
      <w:r>
        <w:rPr>
          <w:rFonts w:eastAsia="Cambria"/>
          <w:color w:val="000000" w:themeColor="text1"/>
          <w:lang/>
        </w:rPr>
        <w:tab/>
        <w:t xml:space="preserve">mitigation strategies. Annual Review of Environment and Resources, 45(1), </w:t>
      </w:r>
      <w:r>
        <w:rPr>
          <w:rFonts w:eastAsia="Cambria"/>
          <w:color w:val="000000" w:themeColor="text1"/>
          <w:lang/>
        </w:rPr>
        <w:tab/>
        <w:t>195-226.</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Anake, W. U., Benson, N. U.,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Etesin, U. M. (2013). Comparative assessment of </w:t>
      </w:r>
      <w:r>
        <w:rPr>
          <w:rFonts w:ascii="Times New Roman" w:hAnsi="Times New Roman" w:cs="Times New Roman"/>
          <w:color w:val="000000" w:themeColor="text1"/>
          <w:sz w:val="24"/>
          <w:szCs w:val="24"/>
        </w:rPr>
        <w:tab/>
        <w:t xml:space="preserve">trace metals in commercial bottled water and groundwater sources in Nigeria. </w:t>
      </w:r>
      <w:r>
        <w:rPr>
          <w:rFonts w:ascii="Times New Roman" w:hAnsi="Times New Roman" w:cs="Times New Roman"/>
          <w:color w:val="000000" w:themeColor="text1"/>
          <w:sz w:val="24"/>
          <w:szCs w:val="24"/>
        </w:rPr>
        <w:tab/>
        <w:t>Research Journal of Chemical Sciences, 3(5), 7–12.</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Andersson, I. E., Hedström, A., Saeed,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Ejdelöv, A. (2018). Water quality and </w:t>
      </w:r>
      <w:r>
        <w:rPr>
          <w:rFonts w:ascii="Times New Roman" w:hAnsi="Times New Roman" w:cs="Times New Roman"/>
          <w:color w:val="000000" w:themeColor="text1"/>
          <w:sz w:val="24"/>
          <w:szCs w:val="24"/>
        </w:rPr>
        <w:tab/>
        <w:t xml:space="preserve">risk perception: A study of households’ drinking water sources in Tigray, </w:t>
      </w:r>
      <w:r>
        <w:rPr>
          <w:rFonts w:ascii="Times New Roman" w:hAnsi="Times New Roman" w:cs="Times New Roman"/>
          <w:color w:val="000000" w:themeColor="text1"/>
          <w:sz w:val="24"/>
          <w:szCs w:val="24"/>
        </w:rPr>
        <w:tab/>
        <w:t xml:space="preserve">Ethiopia. International Journal of Environmental Research and Public Health, </w:t>
      </w:r>
      <w:r>
        <w:rPr>
          <w:rFonts w:ascii="Times New Roman" w:hAnsi="Times New Roman" w:cs="Times New Roman"/>
          <w:color w:val="000000" w:themeColor="text1"/>
          <w:sz w:val="24"/>
          <w:szCs w:val="24"/>
        </w:rPr>
        <w:tab/>
        <w:t>15(9), 1910.</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Ayeni, A. O., Oloruntoba, E. O.,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Sridhar, M. K. C. (2011). Quality of water </w:t>
      </w:r>
      <w:r>
        <w:rPr>
          <w:rFonts w:ascii="Times New Roman" w:hAnsi="Times New Roman" w:cs="Times New Roman"/>
          <w:color w:val="000000" w:themeColor="text1"/>
          <w:sz w:val="24"/>
          <w:szCs w:val="24"/>
        </w:rPr>
        <w:tab/>
        <w:t xml:space="preserve">delivered to households in urban Nigeria: A case study of a water treatment </w:t>
      </w:r>
      <w:r>
        <w:rPr>
          <w:rFonts w:ascii="Times New Roman" w:hAnsi="Times New Roman" w:cs="Times New Roman"/>
          <w:color w:val="000000" w:themeColor="text1"/>
          <w:sz w:val="24"/>
          <w:szCs w:val="24"/>
        </w:rPr>
        <w:tab/>
        <w:t xml:space="preserve">plant in Ibadan, Nigeria. African Journal of Environmental Science and </w:t>
      </w:r>
      <w:r>
        <w:rPr>
          <w:rFonts w:ascii="Times New Roman" w:hAnsi="Times New Roman" w:cs="Times New Roman"/>
          <w:color w:val="000000" w:themeColor="text1"/>
          <w:sz w:val="24"/>
          <w:szCs w:val="24"/>
        </w:rPr>
        <w:tab/>
        <w:t>Technology, 5(12), 1027–1032.</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Bae, S., Lyons,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Onstad, N. (2019). A culture-dependent and metagenomic </w:t>
      </w:r>
      <w:r>
        <w:rPr>
          <w:rFonts w:ascii="Times New Roman" w:hAnsi="Times New Roman" w:cs="Times New Roman"/>
          <w:sz w:val="24"/>
          <w:szCs w:val="24"/>
        </w:rPr>
        <w:tab/>
        <w:t xml:space="preserve">approach of household drinking water from the source to point of use in a </w:t>
      </w:r>
      <w:r>
        <w:rPr>
          <w:rFonts w:ascii="Times New Roman" w:hAnsi="Times New Roman" w:cs="Times New Roman"/>
          <w:sz w:val="24"/>
          <w:szCs w:val="24"/>
        </w:rPr>
        <w:tab/>
        <w:t>developingcountry.WaterResearchX,2.https://doi.org/10.1016/j.wroa.2019.100</w:t>
      </w:r>
      <w:r>
        <w:rPr>
          <w:rFonts w:ascii="Times New Roman" w:hAnsi="Times New Roman" w:cs="Times New Roman"/>
          <w:sz w:val="24"/>
          <w:szCs w:val="24"/>
        </w:rPr>
        <w:tab/>
        <w:t>026</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Bello, O. O., Osho, A., Bankole, S.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Bello, T. K. (2017). Microbiological and </w:t>
      </w:r>
      <w:r>
        <w:rPr>
          <w:rFonts w:ascii="Times New Roman" w:hAnsi="Times New Roman" w:cs="Times New Roman"/>
          <w:color w:val="000000" w:themeColor="text1"/>
          <w:sz w:val="24"/>
          <w:szCs w:val="24"/>
        </w:rPr>
        <w:tab/>
        <w:t xml:space="preserve">physicochemical analysis of groundwater in selected industrial zones in Ogun </w:t>
      </w:r>
      <w:r>
        <w:rPr>
          <w:rFonts w:ascii="Times New Roman" w:hAnsi="Times New Roman" w:cs="Times New Roman"/>
          <w:color w:val="000000" w:themeColor="text1"/>
          <w:sz w:val="24"/>
          <w:szCs w:val="24"/>
        </w:rPr>
        <w:tab/>
        <w:t>State, Nigeria. International Journal of Public Health and Safety, 2(3), 127.</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Binibor, P., Nwachukwu, N., Ndulue, G., Ndukwe, D., Ngwu,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sidR="00960FF4">
        <w:rPr>
          <w:rFonts w:eastAsia="Cambria"/>
          <w:color w:val="000000" w:themeColor="text1"/>
          <w:lang/>
        </w:rPr>
        <w:t xml:space="preserve"> </w:t>
      </w:r>
      <w:r>
        <w:rPr>
          <w:rFonts w:ascii="Times New Roman" w:hAnsi="Times New Roman" w:cs="Times New Roman"/>
          <w:sz w:val="24"/>
          <w:szCs w:val="24"/>
        </w:rPr>
        <w:t xml:space="preserve">Usman, O. </w:t>
      </w:r>
      <w:r>
        <w:rPr>
          <w:rFonts w:ascii="Times New Roman" w:hAnsi="Times New Roman" w:cs="Times New Roman"/>
          <w:sz w:val="24"/>
          <w:szCs w:val="24"/>
        </w:rPr>
        <w:tab/>
        <w:t xml:space="preserve">(2025). Investigating the effect of storage materials on the quality of potable </w:t>
      </w:r>
      <w:r>
        <w:rPr>
          <w:rFonts w:ascii="Times New Roman" w:hAnsi="Times New Roman" w:cs="Times New Roman"/>
          <w:sz w:val="24"/>
          <w:szCs w:val="24"/>
        </w:rPr>
        <w:tab/>
        <w:t xml:space="preserve">water. European Journal of Sustainable Development Research. </w:t>
      </w:r>
      <w:r>
        <w:rPr>
          <w:rFonts w:ascii="Times New Roman" w:hAnsi="Times New Roman" w:cs="Times New Roman"/>
          <w:sz w:val="24"/>
          <w:szCs w:val="24"/>
        </w:rPr>
        <w:tab/>
      </w:r>
      <w:r>
        <w:rPr>
          <w:rFonts w:ascii="Times New Roman" w:hAnsi="Times New Roman" w:cs="Times New Roman"/>
          <w:sz w:val="24"/>
          <w:szCs w:val="24"/>
        </w:rPr>
        <w:tab/>
        <w:t>https://doi.org/10.29333/ejosdr/16355</w:t>
      </w:r>
    </w:p>
    <w:p w:rsidR="00252A34" w:rsidRDefault="00CA64CC">
      <w:pPr>
        <w:pStyle w:val="NormalWeb"/>
        <w:spacing w:beforeAutospacing="0" w:afterAutospacing="0" w:line="360" w:lineRule="auto"/>
        <w:jc w:val="both"/>
        <w:rPr>
          <w:color w:val="000000" w:themeColor="text1"/>
        </w:rPr>
      </w:pPr>
      <w:r>
        <w:rPr>
          <w:color w:val="000000" w:themeColor="text1"/>
        </w:rPr>
        <w:t xml:space="preserve">Bitton, G. (2011). </w:t>
      </w:r>
      <w:r>
        <w:rPr>
          <w:rStyle w:val="Emphasis"/>
          <w:color w:val="000000" w:themeColor="text1"/>
        </w:rPr>
        <w:t>Wastewater Microbiology</w:t>
      </w:r>
      <w:r>
        <w:rPr>
          <w:color w:val="000000" w:themeColor="text1"/>
        </w:rPr>
        <w:t xml:space="preserve"> (4th ed.). John Wiley </w:t>
      </w:r>
      <w:r w:rsidR="00960FF4">
        <w:rPr>
          <w:rFonts w:eastAsia="Cambria"/>
          <w:color w:val="000000" w:themeColor="text1"/>
          <w:lang/>
        </w:rPr>
        <w:t>a</w:t>
      </w:r>
      <w:r w:rsidR="00960FF4">
        <w:rPr>
          <w:color w:val="000000" w:themeColor="text1"/>
        </w:rPr>
        <w:t>nd</w:t>
      </w:r>
      <w:r>
        <w:rPr>
          <w:color w:val="000000" w:themeColor="text1"/>
        </w:rPr>
        <w:t xml:space="preserve"> Sons.</w:t>
      </w:r>
    </w:p>
    <w:p w:rsidR="00252A34" w:rsidRDefault="00CA64CC">
      <w:pPr>
        <w:pStyle w:val="NormalWeb"/>
        <w:spacing w:beforeAutospacing="0" w:afterAutospacing="0" w:line="360" w:lineRule="auto"/>
        <w:ind w:firstLine="720"/>
        <w:jc w:val="both"/>
        <w:rPr>
          <w:color w:val="000000" w:themeColor="text1"/>
        </w:rPr>
      </w:pPr>
      <w:r>
        <w:rPr>
          <w:color w:val="000000" w:themeColor="text1"/>
        </w:rPr>
        <w:t xml:space="preserve">Centers for Disease Control and Prevention (CDC). (2022). </w:t>
      </w:r>
      <w:r>
        <w:rPr>
          <w:rStyle w:val="Emphasis"/>
          <w:color w:val="000000" w:themeColor="text1"/>
        </w:rPr>
        <w:t xml:space="preserve">Water-related </w:t>
      </w:r>
      <w:r>
        <w:rPr>
          <w:rStyle w:val="Emphasis"/>
          <w:color w:val="000000" w:themeColor="text1"/>
        </w:rPr>
        <w:tab/>
      </w:r>
      <w:r>
        <w:rPr>
          <w:rStyle w:val="Emphasis"/>
          <w:color w:val="000000" w:themeColor="text1"/>
        </w:rPr>
        <w:tab/>
        <w:t xml:space="preserve">Diseases </w:t>
      </w:r>
      <w:r>
        <w:rPr>
          <w:rStyle w:val="Emphasis"/>
          <w:color w:val="000000" w:themeColor="text1"/>
        </w:rPr>
        <w:tab/>
        <w:t>and Contaminants in Public Water Systems</w:t>
      </w:r>
      <w:r>
        <w:rPr>
          <w:color w:val="000000" w:themeColor="text1"/>
        </w:rPr>
        <w:t>.</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Clasen, T. F., Roberts, I., Rabie, T., Schmidt, W.,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Cairncross, S. (2007). </w:t>
      </w:r>
      <w:r>
        <w:rPr>
          <w:rFonts w:ascii="Times New Roman" w:hAnsi="Times New Roman" w:cs="Times New Roman"/>
          <w:color w:val="000000" w:themeColor="text1"/>
          <w:sz w:val="24"/>
          <w:szCs w:val="24"/>
        </w:rPr>
        <w:tab/>
        <w:t xml:space="preserve">Interventions to improve water quality for preventing diarrhoea: Systematic </w:t>
      </w:r>
      <w:r>
        <w:rPr>
          <w:rFonts w:ascii="Times New Roman" w:hAnsi="Times New Roman" w:cs="Times New Roman"/>
          <w:color w:val="000000" w:themeColor="text1"/>
          <w:sz w:val="24"/>
          <w:szCs w:val="24"/>
        </w:rPr>
        <w:tab/>
        <w:t>review and meta-analysis. BMJ, 334(7597), 782.</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Egereonu, U. U. (2006). Assessment of the drinking water quality at Owerri, Nigeria. </w:t>
      </w:r>
      <w:r>
        <w:rPr>
          <w:rFonts w:ascii="Times New Roman" w:hAnsi="Times New Roman" w:cs="Times New Roman"/>
          <w:color w:val="000000" w:themeColor="text1"/>
          <w:sz w:val="24"/>
          <w:szCs w:val="24"/>
        </w:rPr>
        <w:tab/>
        <w:t>Journal of Chemical Society of Nigeria, 31(1), 142–147.</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(2022). Contaminant Candidate List (CCL) and Regulatory Determination. U.S. </w:t>
      </w:r>
      <w:r>
        <w:rPr>
          <w:rFonts w:ascii="Times New Roman" w:hAnsi="Times New Roman" w:cs="Times New Roman"/>
          <w:color w:val="000000" w:themeColor="text1"/>
          <w:sz w:val="24"/>
          <w:szCs w:val="24"/>
        </w:rPr>
        <w:tab/>
        <w:t xml:space="preserve">Environmental Protection Agency. </w:t>
      </w:r>
      <w:hyperlink r:id="rId53" w:history="1">
        <w:r>
          <w:rPr>
            <w:rStyle w:val="Hyperlink"/>
            <w:rFonts w:ascii="Times New Roman" w:hAnsi="Times New Roman" w:cs="Times New Roman"/>
            <w:sz w:val="24"/>
            <w:szCs w:val="24"/>
          </w:rPr>
          <w:t>https://www.epa.gov/ccl</w:t>
        </w:r>
      </w:hyperlink>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(2023a). Nutrient Pollution: Agriculture and Water. U.S. Environmental </w:t>
      </w:r>
      <w:r>
        <w:rPr>
          <w:rFonts w:ascii="Times New Roman" w:hAnsi="Times New Roman" w:cs="Times New Roman"/>
          <w:color w:val="000000" w:themeColor="text1"/>
          <w:sz w:val="24"/>
          <w:szCs w:val="24"/>
        </w:rPr>
        <w:tab/>
        <w:t>Protection Agency. https://www.epa.gov/nutrientpollution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(2023b). Underground Storage Tanks (USTs). U.S. Environmental Protection </w:t>
      </w:r>
      <w:r>
        <w:rPr>
          <w:rFonts w:ascii="Times New Roman" w:hAnsi="Times New Roman" w:cs="Times New Roman"/>
          <w:color w:val="000000" w:themeColor="text1"/>
          <w:sz w:val="24"/>
          <w:szCs w:val="24"/>
        </w:rPr>
        <w:tab/>
        <w:t>Agency. https://www.epa.gov/ust</w:t>
      </w:r>
    </w:p>
    <w:p w:rsidR="00252A34" w:rsidRDefault="00252A34">
      <w:pPr>
        <w:spacing w:line="360" w:lineRule="auto"/>
        <w:jc w:val="both"/>
        <w:rPr>
          <w:rFonts w:ascii="Times New Roman" w:hAnsi="Times New Roman" w:cs="Times New Roman"/>
          <w:color w:val="000000" w:themeColor="text1"/>
          <w:sz w:val="24"/>
          <w:szCs w:val="24"/>
        </w:rPr>
      </w:pPr>
      <w:hyperlink r:id="rId54" w:history="1">
        <w:r w:rsidR="00CA64CC">
          <w:rPr>
            <w:rStyle w:val="Hyperlink"/>
            <w:rFonts w:ascii="Times New Roman" w:eastAsia="sans-serif" w:hAnsi="Times New Roman" w:cs="Times New Roman"/>
            <w:color w:val="000000" w:themeColor="text1"/>
            <w:sz w:val="24"/>
            <w:szCs w:val="24"/>
            <w:u w:val="none"/>
            <w:shd w:val="clear" w:color="auto" w:fill="FFFFFF"/>
          </w:rPr>
          <w:t>European Drinking Water Directive"</w:t>
        </w:r>
      </w:hyperlink>
      <w:r w:rsidR="00CA64CC">
        <w:rPr>
          <w:rStyle w:val="HTMLCite"/>
          <w:rFonts w:ascii="Times New Roman" w:eastAsia="sans-serif" w:hAnsi="Times New Roman" w:cs="Times New Roman"/>
          <w:i w:val="0"/>
          <w:iCs w:val="0"/>
          <w:color w:val="000000" w:themeColor="text1"/>
          <w:sz w:val="24"/>
          <w:szCs w:val="24"/>
          <w:shd w:val="clear" w:color="auto" w:fill="FFFFFF"/>
        </w:rPr>
        <w:t>. </w:t>
      </w:r>
      <w:r w:rsidR="00CA64CC">
        <w:rPr>
          <w:rStyle w:val="HTMLCite"/>
          <w:rFonts w:ascii="Times New Roman" w:eastAsia="sans-serif" w:hAnsi="Times New Roman" w:cs="Times New Roman"/>
          <w:color w:val="000000" w:themeColor="text1"/>
          <w:sz w:val="24"/>
          <w:szCs w:val="24"/>
          <w:shd w:val="clear" w:color="auto" w:fill="FFFFFF"/>
        </w:rPr>
        <w:t>Directorate-General for Environment</w:t>
      </w:r>
      <w:r w:rsidR="00CA64CC">
        <w:rPr>
          <w:rStyle w:val="HTMLCite"/>
          <w:rFonts w:ascii="Times New Roman" w:eastAsia="sans-serif" w:hAnsi="Times New Roman" w:cs="Times New Roman"/>
          <w:i w:val="0"/>
          <w:iCs w:val="0"/>
          <w:color w:val="000000" w:themeColor="text1"/>
          <w:sz w:val="24"/>
          <w:szCs w:val="24"/>
          <w:shd w:val="clear" w:color="auto" w:fill="FFFFFF"/>
        </w:rPr>
        <w:t xml:space="preserve">. Brussels: </w:t>
      </w:r>
      <w:r w:rsidR="00CA64CC">
        <w:rPr>
          <w:rStyle w:val="HTMLCite"/>
          <w:rFonts w:ascii="Times New Roman" w:eastAsia="sans-serif" w:hAnsi="Times New Roman" w:cs="Times New Roman"/>
          <w:i w:val="0"/>
          <w:iCs w:val="0"/>
          <w:color w:val="000000" w:themeColor="text1"/>
          <w:sz w:val="24"/>
          <w:szCs w:val="24"/>
          <w:shd w:val="clear" w:color="auto" w:fill="FFFFFF"/>
        </w:rPr>
        <w:tab/>
        <w:t>European Commission. 4 June 2025.</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(2020). Water pollution from agriculture: A global review. Food and Agriculture </w:t>
      </w:r>
      <w:r>
        <w:rPr>
          <w:rFonts w:ascii="Times New Roman" w:hAnsi="Times New Roman" w:cs="Times New Roman"/>
          <w:color w:val="000000" w:themeColor="text1"/>
          <w:sz w:val="24"/>
          <w:szCs w:val="24"/>
        </w:rPr>
        <w:tab/>
        <w:t>Organization of the United Nations. https://www.fao.org</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Federal Government of Nigeria (FGN). (2007). National Water Resources Master </w:t>
      </w:r>
      <w:r>
        <w:rPr>
          <w:rFonts w:ascii="Times New Roman" w:hAnsi="Times New Roman" w:cs="Times New Roman"/>
          <w:color w:val="000000" w:themeColor="text1"/>
          <w:sz w:val="24"/>
          <w:szCs w:val="24"/>
        </w:rPr>
        <w:tab/>
        <w:t>Plan. Abuja: Federal Ministry of Water Resources.</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Feleke, H., Medhin, G., Kloos, H., Gangathulasi,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Asrat, D. (2018). Household-</w:t>
      </w:r>
      <w:r>
        <w:rPr>
          <w:rFonts w:ascii="Times New Roman" w:hAnsi="Times New Roman" w:cs="Times New Roman"/>
          <w:sz w:val="24"/>
          <w:szCs w:val="24"/>
        </w:rPr>
        <w:tab/>
        <w:t xml:space="preserve">stored drinking water quality among households of under-five children with </w:t>
      </w:r>
      <w:r>
        <w:rPr>
          <w:rFonts w:ascii="Times New Roman" w:hAnsi="Times New Roman" w:cs="Times New Roman"/>
          <w:sz w:val="24"/>
          <w:szCs w:val="24"/>
        </w:rPr>
        <w:tab/>
        <w:t xml:space="preserve">and without acute diarrhea in towns of Wegera District, in North Gondar, </w:t>
      </w:r>
      <w:r>
        <w:rPr>
          <w:rFonts w:ascii="Times New Roman" w:hAnsi="Times New Roman" w:cs="Times New Roman"/>
          <w:sz w:val="24"/>
          <w:szCs w:val="24"/>
        </w:rPr>
        <w:tab/>
        <w:t xml:space="preserve">Northwest Ethiopia. Environmental Monitoring and Assessment, 190. </w:t>
      </w:r>
      <w:r>
        <w:rPr>
          <w:rFonts w:ascii="Times New Roman" w:hAnsi="Times New Roman" w:cs="Times New Roman"/>
          <w:sz w:val="24"/>
          <w:szCs w:val="24"/>
        </w:rPr>
        <w:tab/>
        <w:t>https://doi.org/10.1007/s10661-018-7033-4</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Feleke, H., Medhin, G., Kloos, H., Gangathulasi,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Asrat, D. (2018). Household-</w:t>
      </w:r>
      <w:r>
        <w:rPr>
          <w:rFonts w:ascii="Times New Roman" w:hAnsi="Times New Roman" w:cs="Times New Roman"/>
          <w:sz w:val="24"/>
          <w:szCs w:val="24"/>
        </w:rPr>
        <w:tab/>
        <w:t xml:space="preserve">stored drinking water quality among households of under-five children with </w:t>
      </w:r>
      <w:r>
        <w:rPr>
          <w:rFonts w:ascii="Times New Roman" w:hAnsi="Times New Roman" w:cs="Times New Roman"/>
          <w:sz w:val="24"/>
          <w:szCs w:val="24"/>
        </w:rPr>
        <w:tab/>
        <w:t xml:space="preserve">and without acute diarrhea in towns of Wegera District, in North Gondar, </w:t>
      </w:r>
      <w:r>
        <w:rPr>
          <w:rFonts w:ascii="Times New Roman" w:hAnsi="Times New Roman" w:cs="Times New Roman"/>
          <w:sz w:val="24"/>
          <w:szCs w:val="24"/>
        </w:rPr>
        <w:tab/>
        <w:t xml:space="preserve">Northwest Ethiopia. Environmental Monitoring and Assessment, 190. </w:t>
      </w:r>
      <w:r>
        <w:rPr>
          <w:rFonts w:ascii="Times New Roman" w:hAnsi="Times New Roman" w:cs="Times New Roman"/>
          <w:sz w:val="24"/>
          <w:szCs w:val="24"/>
        </w:rPr>
        <w:tab/>
        <w:t>https://doi.org/10.1007/s10661-018-7033-4</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t xml:space="preserve">Guidelines for Drinking-water Quality, Fourth Edition; World Health Organization; </w:t>
      </w:r>
      <w:r>
        <w:rPr>
          <w:rFonts w:ascii="Times New Roman" w:eastAsia="sans-serif" w:hAnsi="Times New Roman" w:cs="Times New Roman"/>
          <w:color w:val="000000" w:themeColor="text1"/>
          <w:sz w:val="24"/>
          <w:szCs w:val="24"/>
          <w:shd w:val="clear" w:color="auto" w:fill="FFFFFF"/>
        </w:rPr>
        <w:tab/>
        <w:t>2022 [</w:t>
      </w:r>
      <w:hyperlink r:id="rId55" w:tooltip="Wikipedia:CITESHORT" w:history="1">
        <w:r>
          <w:rPr>
            <w:rStyle w:val="Hyperlink"/>
            <w:rFonts w:ascii="Times New Roman" w:eastAsia="sans-serif" w:hAnsi="Times New Roman" w:cs="Times New Roman"/>
            <w:i/>
            <w:iCs/>
            <w:color w:val="000000" w:themeColor="text1"/>
            <w:sz w:val="24"/>
            <w:szCs w:val="24"/>
            <w:u w:val="none"/>
            <w:shd w:val="clear" w:color="auto" w:fill="FFFFFF"/>
          </w:rPr>
          <w:t>incomplete short citation</w:t>
        </w:r>
      </w:hyperlink>
      <w:r>
        <w:rPr>
          <w:rFonts w:ascii="Times New Roman" w:eastAsia="sans-serif" w:hAnsi="Times New Roman" w:cs="Times New Roman"/>
          <w:color w:val="000000" w:themeColor="text1"/>
          <w:sz w:val="24"/>
          <w:szCs w:val="24"/>
          <w:shd w:val="clear" w:color="auto" w:fill="FFFFFF"/>
        </w:rPr>
        <w:t>]</w:t>
      </w:r>
    </w:p>
    <w:p w:rsidR="00252A34" w:rsidRDefault="00CA64CC">
      <w:pPr>
        <w:spacing w:line="360" w:lineRule="auto"/>
        <w:jc w:val="both"/>
        <w:rPr>
          <w:rFonts w:ascii="Times New Roman" w:hAnsi="Times New Roman" w:cs="Times New Roman"/>
          <w:color w:val="000000" w:themeColor="text1"/>
          <w:sz w:val="24"/>
          <w:szCs w:val="24"/>
        </w:rPr>
      </w:pPr>
      <w:r>
        <w:rPr>
          <w:rStyle w:val="HTMLCite"/>
          <w:rFonts w:ascii="Times New Roman" w:eastAsia="sans-serif" w:hAnsi="Times New Roman" w:cs="Times New Roman"/>
          <w:i w:val="0"/>
          <w:iCs w:val="0"/>
          <w:color w:val="000000" w:themeColor="text1"/>
          <w:sz w:val="24"/>
          <w:szCs w:val="24"/>
          <w:shd w:val="clear" w:color="auto" w:fill="FFFFFF"/>
        </w:rPr>
        <w:t xml:space="preserve">Hanaor, Dorian A. H.; Sorrell, Charles C. (2014). "Sand Supported Mixed-Phase </w:t>
      </w:r>
      <w:r>
        <w:rPr>
          <w:rStyle w:val="HTMLCite"/>
          <w:rFonts w:ascii="Times New Roman" w:eastAsia="sans-serif" w:hAnsi="Times New Roman" w:cs="Times New Roman"/>
          <w:i w:val="0"/>
          <w:iCs w:val="0"/>
          <w:color w:val="000000" w:themeColor="text1"/>
          <w:sz w:val="24"/>
          <w:szCs w:val="24"/>
          <w:shd w:val="clear" w:color="auto" w:fill="FFFFFF"/>
        </w:rPr>
        <w:tab/>
        <w:t>TiO</w:t>
      </w:r>
      <w:r>
        <w:rPr>
          <w:rStyle w:val="HTMLCite"/>
          <w:rFonts w:ascii="Times New Roman" w:eastAsia="sans-serif" w:hAnsi="Times New Roman" w:cs="Times New Roman"/>
          <w:i w:val="0"/>
          <w:iCs w:val="0"/>
          <w:color w:val="000000" w:themeColor="text1"/>
          <w:sz w:val="24"/>
          <w:szCs w:val="24"/>
          <w:shd w:val="clear" w:color="auto" w:fill="FFFFFF"/>
          <w:vertAlign w:val="subscript"/>
        </w:rPr>
        <w:t>2</w:t>
      </w:r>
      <w:r>
        <w:rPr>
          <w:rStyle w:val="HTMLCite"/>
          <w:rFonts w:ascii="Times New Roman" w:eastAsia="sans-serif" w:hAnsi="Times New Roman" w:cs="Times New Roman"/>
          <w:i w:val="0"/>
          <w:iCs w:val="0"/>
          <w:color w:val="000000" w:themeColor="text1"/>
          <w:sz w:val="24"/>
          <w:szCs w:val="24"/>
          <w:shd w:val="clear" w:color="auto" w:fill="FFFFFF"/>
        </w:rPr>
        <w:t> Photocatalysts for Water Decontamination Applications". </w:t>
      </w:r>
      <w:r>
        <w:rPr>
          <w:rStyle w:val="HTMLCite"/>
          <w:rFonts w:ascii="Times New Roman" w:eastAsia="sans-serif" w:hAnsi="Times New Roman" w:cs="Times New Roman"/>
          <w:color w:val="000000" w:themeColor="text1"/>
          <w:sz w:val="24"/>
          <w:szCs w:val="24"/>
          <w:shd w:val="clear" w:color="auto" w:fill="FFFFFF"/>
        </w:rPr>
        <w:t xml:space="preserve">Advanced </w:t>
      </w:r>
      <w:r>
        <w:rPr>
          <w:rStyle w:val="HTMLCite"/>
          <w:rFonts w:ascii="Times New Roman" w:eastAsia="sans-serif" w:hAnsi="Times New Roman" w:cs="Times New Roman"/>
          <w:color w:val="000000" w:themeColor="text1"/>
          <w:sz w:val="24"/>
          <w:szCs w:val="24"/>
          <w:shd w:val="clear" w:color="auto" w:fill="FFFFFF"/>
        </w:rPr>
        <w:tab/>
        <w:t>EngineeringMaterials</w:t>
      </w:r>
      <w:r>
        <w:rPr>
          <w:rStyle w:val="HTMLCite"/>
          <w:rFonts w:ascii="Times New Roman" w:eastAsia="sans-serif" w:hAnsi="Times New Roman" w:cs="Times New Roman"/>
          <w:i w:val="0"/>
          <w:iCs w:val="0"/>
          <w:color w:val="000000" w:themeColor="text1"/>
          <w:sz w:val="24"/>
          <w:szCs w:val="24"/>
          <w:shd w:val="clear" w:color="auto" w:fill="FFFFFF"/>
        </w:rPr>
        <w:t>(2):</w:t>
      </w:r>
      <w:r>
        <w:rPr>
          <w:rFonts w:ascii="Times New Roman" w:eastAsia="sans-serif" w:hAnsi="Times New Roman" w:cs="Times New Roman"/>
          <w:color w:val="000000" w:themeColor="text1"/>
          <w:sz w:val="24"/>
          <w:szCs w:val="24"/>
          <w:shd w:val="clear" w:color="auto" w:fill="FFFFFF"/>
        </w:rPr>
        <w:t>248</w:t>
      </w:r>
      <w:r>
        <w:rPr>
          <w:rStyle w:val="HTMLCite"/>
          <w:rFonts w:ascii="Times New Roman" w:eastAsia="sans-serif" w:hAnsi="Times New Roman" w:cs="Times New Roman"/>
          <w:i w:val="0"/>
          <w:iCs w:val="0"/>
          <w:color w:val="000000" w:themeColor="text1"/>
          <w:sz w:val="24"/>
          <w:szCs w:val="24"/>
          <w:shd w:val="clear" w:color="auto" w:fill="FFFFFF"/>
        </w:rPr>
        <w:t>254. </w:t>
      </w:r>
      <w:hyperlink r:id="rId56" w:tooltip="ArXiv (identifier)" w:history="1">
        <w:r>
          <w:rPr>
            <w:rStyle w:val="Hyperlink"/>
            <w:rFonts w:ascii="Times New Roman" w:eastAsia="sans-serif" w:hAnsi="Times New Roman" w:cs="Times New Roman"/>
            <w:color w:val="000000" w:themeColor="text1"/>
            <w:sz w:val="24"/>
            <w:szCs w:val="24"/>
            <w:u w:val="none"/>
            <w:shd w:val="clear" w:color="auto" w:fill="FFFFFF"/>
          </w:rPr>
          <w:t>arXiv</w:t>
        </w:r>
      </w:hyperlink>
      <w:r>
        <w:rPr>
          <w:rStyle w:val="HTMLCite"/>
          <w:rFonts w:ascii="Times New Roman" w:eastAsia="sans-serif" w:hAnsi="Times New Roman" w:cs="Times New Roman"/>
          <w:i w:val="0"/>
          <w:iCs w:val="0"/>
          <w:color w:val="000000" w:themeColor="text1"/>
          <w:sz w:val="24"/>
          <w:szCs w:val="24"/>
          <w:shd w:val="clear" w:color="auto" w:fill="FFFFFF"/>
        </w:rPr>
        <w:t>:</w:t>
      </w:r>
      <w:hyperlink r:id="rId57" w:history="1">
        <w:r>
          <w:rPr>
            <w:rStyle w:val="Hyperlink"/>
            <w:rFonts w:ascii="Times New Roman" w:eastAsia="sans-serif" w:hAnsi="Times New Roman" w:cs="Times New Roman"/>
            <w:color w:val="000000" w:themeColor="text1"/>
            <w:sz w:val="24"/>
            <w:szCs w:val="24"/>
            <w:u w:val="none"/>
            <w:shd w:val="clear" w:color="auto" w:fill="FFFFFF"/>
          </w:rPr>
          <w:t>1404.2652</w:t>
        </w:r>
      </w:hyperlink>
      <w:r>
        <w:rPr>
          <w:rStyle w:val="HTMLCite"/>
          <w:rFonts w:ascii="Times New Roman" w:eastAsia="sans-serif" w:hAnsi="Times New Roman" w:cs="Times New Roman"/>
          <w:i w:val="0"/>
          <w:iCs w:val="0"/>
          <w:color w:val="000000" w:themeColor="text1"/>
          <w:sz w:val="24"/>
          <w:szCs w:val="24"/>
          <w:shd w:val="clear" w:color="auto" w:fill="FFFFFF"/>
        </w:rPr>
        <w:t>. </w:t>
      </w:r>
      <w:hyperlink r:id="rId58" w:tooltip="Doi (identifier)" w:history="1">
        <w:r>
          <w:rPr>
            <w:rStyle w:val="Hyperlink"/>
            <w:rFonts w:ascii="Times New Roman" w:eastAsia="sans-serif" w:hAnsi="Times New Roman" w:cs="Times New Roman"/>
            <w:color w:val="000000" w:themeColor="text1"/>
            <w:sz w:val="24"/>
            <w:szCs w:val="24"/>
            <w:u w:val="none"/>
            <w:shd w:val="clear" w:color="auto" w:fill="FFFFFF"/>
          </w:rPr>
          <w:t>doi</w:t>
        </w:r>
      </w:hyperlink>
      <w:r>
        <w:rPr>
          <w:rStyle w:val="HTMLCite"/>
          <w:rFonts w:ascii="Times New Roman" w:eastAsia="sans-serif" w:hAnsi="Times New Roman" w:cs="Times New Roman"/>
          <w:i w:val="0"/>
          <w:iCs w:val="0"/>
          <w:color w:val="000000" w:themeColor="text1"/>
          <w:sz w:val="24"/>
          <w:szCs w:val="24"/>
          <w:shd w:val="clear" w:color="auto" w:fill="FFFFFF"/>
        </w:rPr>
        <w:t>:</w:t>
      </w:r>
      <w:hyperlink r:id="rId59" w:history="1">
        <w:r>
          <w:rPr>
            <w:rStyle w:val="Hyperlink"/>
            <w:rFonts w:ascii="Times New Roman" w:eastAsia="sans-serif" w:hAnsi="Times New Roman" w:cs="Times New Roman"/>
            <w:color w:val="000000" w:themeColor="text1"/>
            <w:sz w:val="24"/>
            <w:szCs w:val="24"/>
            <w:u w:val="none"/>
            <w:shd w:val="clear" w:color="auto" w:fill="FFFFFF"/>
          </w:rPr>
          <w:t>10.1002/adem.201300</w:t>
        </w:r>
        <w:r>
          <w:rPr>
            <w:rStyle w:val="Hyperlink"/>
            <w:rFonts w:ascii="Times New Roman" w:eastAsia="sans-serif" w:hAnsi="Times New Roman" w:cs="Times New Roman"/>
            <w:color w:val="000000" w:themeColor="text1"/>
            <w:sz w:val="24"/>
            <w:szCs w:val="24"/>
            <w:u w:val="none"/>
            <w:shd w:val="clear" w:color="auto" w:fill="FFFFFF"/>
          </w:rPr>
          <w:tab/>
          <w:t>259</w:t>
        </w:r>
      </w:hyperlink>
      <w:r>
        <w:rPr>
          <w:rStyle w:val="HTMLCite"/>
          <w:rFonts w:ascii="Times New Roman" w:eastAsia="sans-serif" w:hAnsi="Times New Roman" w:cs="Times New Roman"/>
          <w:i w:val="0"/>
          <w:iCs w:val="0"/>
          <w:color w:val="000000" w:themeColor="text1"/>
          <w:sz w:val="24"/>
          <w:szCs w:val="24"/>
          <w:shd w:val="clear" w:color="auto" w:fill="FFFFFF"/>
        </w:rPr>
        <w:t>. </w:t>
      </w:r>
      <w:hyperlink r:id="rId60" w:tooltip="S2CID (identifier)" w:history="1">
        <w:r>
          <w:rPr>
            <w:rStyle w:val="Hyperlink"/>
            <w:rFonts w:ascii="Times New Roman" w:eastAsia="sans-serif" w:hAnsi="Times New Roman" w:cs="Times New Roman"/>
            <w:color w:val="000000" w:themeColor="text1"/>
            <w:sz w:val="24"/>
            <w:szCs w:val="24"/>
            <w:u w:val="none"/>
            <w:shd w:val="clear" w:color="auto" w:fill="FFFFFF"/>
          </w:rPr>
          <w:t>S2CID</w:t>
        </w:r>
      </w:hyperlink>
      <w:r>
        <w:rPr>
          <w:rStyle w:val="HTMLCite"/>
          <w:rFonts w:ascii="Times New Roman" w:eastAsia="sans-serif" w:hAnsi="Times New Roman" w:cs="Times New Roman"/>
          <w:i w:val="0"/>
          <w:iCs w:val="0"/>
          <w:color w:val="000000" w:themeColor="text1"/>
          <w:sz w:val="24"/>
          <w:szCs w:val="24"/>
          <w:shd w:val="clear" w:color="auto" w:fill="FFFFFF"/>
        </w:rPr>
        <w:t> </w:t>
      </w:r>
      <w:hyperlink r:id="rId61" w:history="1">
        <w:r>
          <w:rPr>
            <w:rStyle w:val="Hyperlink"/>
            <w:rFonts w:ascii="Times New Roman" w:eastAsia="sans-serif" w:hAnsi="Times New Roman" w:cs="Times New Roman"/>
            <w:color w:val="000000" w:themeColor="text1"/>
            <w:sz w:val="24"/>
            <w:szCs w:val="24"/>
            <w:u w:val="none"/>
            <w:shd w:val="clear" w:color="auto" w:fill="FFFFFF"/>
          </w:rPr>
          <w:t>118571942</w:t>
        </w:r>
      </w:hyperlink>
      <w:r>
        <w:rPr>
          <w:rStyle w:val="HTMLCite"/>
          <w:rFonts w:ascii="Times New Roman" w:eastAsia="sans-serif" w:hAnsi="Times New Roman" w:cs="Times New Roman"/>
          <w:i w:val="0"/>
          <w:iCs w:val="0"/>
          <w:color w:val="000000" w:themeColor="text1"/>
          <w:sz w:val="24"/>
          <w:szCs w:val="24"/>
          <w:shd w:val="clear" w:color="auto" w:fill="FFFFFF"/>
        </w:rPr>
        <w:t>.</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IPCC (2021). Climate Change 2021: Impacts, Adaptation and Vulnerability. </w:t>
      </w:r>
      <w:r>
        <w:rPr>
          <w:rFonts w:ascii="Times New Roman" w:hAnsi="Times New Roman" w:cs="Times New Roman"/>
          <w:color w:val="000000" w:themeColor="text1"/>
          <w:sz w:val="24"/>
          <w:szCs w:val="24"/>
        </w:rPr>
        <w:tab/>
        <w:t>Intergovernmental Panel on Climate Change.</w:t>
      </w:r>
    </w:p>
    <w:p w:rsidR="00252A34" w:rsidRDefault="00252A34">
      <w:pPr>
        <w:spacing w:line="360" w:lineRule="auto"/>
        <w:jc w:val="both"/>
        <w:rPr>
          <w:rFonts w:ascii="Times New Roman" w:hAnsi="Times New Roman" w:cs="Times New Roman"/>
          <w:color w:val="000000" w:themeColor="text1"/>
          <w:sz w:val="24"/>
          <w:szCs w:val="24"/>
        </w:rPr>
      </w:pPr>
      <w:hyperlink r:id="rId62" w:anchor="cite_ref-:0_2-0" w:history="1">
        <w:r w:rsidR="00CA64CC">
          <w:rPr>
            <w:rStyle w:val="Hyperlink"/>
            <w:rFonts w:ascii="Times New Roman" w:eastAsia="sans-serif" w:hAnsi="Times New Roman" w:cs="Times New Roman"/>
            <w:color w:val="000000" w:themeColor="text1"/>
            <w:sz w:val="24"/>
            <w:szCs w:val="24"/>
            <w:u w:val="none"/>
            <w:shd w:val="clear" w:color="auto" w:fill="FFFFFF"/>
          </w:rPr>
          <w:t>Jump up to:</w:t>
        </w:r>
        <w:r w:rsidR="00CA64CC">
          <w:rPr>
            <w:rStyle w:val="Hyperlink"/>
            <w:rFonts w:ascii="Times New Roman" w:eastAsia="sans-serif" w:hAnsi="Times New Roman" w:cs="Times New Roman"/>
            <w:b/>
            <w:bCs/>
            <w:i/>
            <w:iCs/>
            <w:color w:val="000000" w:themeColor="text1"/>
            <w:sz w:val="24"/>
            <w:szCs w:val="24"/>
            <w:u w:val="none"/>
            <w:shd w:val="clear" w:color="auto" w:fill="FFFFFF"/>
            <w:vertAlign w:val="superscript"/>
          </w:rPr>
          <w:t>a</w:t>
        </w:r>
      </w:hyperlink>
      <w:r w:rsidR="00CA64CC">
        <w:rPr>
          <w:rFonts w:ascii="Times New Roman" w:eastAsia="sans-serif" w:hAnsi="Times New Roman" w:cs="Times New Roman"/>
          <w:color w:val="000000" w:themeColor="text1"/>
          <w:sz w:val="24"/>
          <w:szCs w:val="24"/>
          <w:shd w:val="clear" w:color="auto" w:fill="FFFFFF"/>
        </w:rPr>
        <w:t> </w:t>
      </w:r>
      <w:hyperlink r:id="rId63" w:anchor="cite_ref-:0_2-1" w:history="1">
        <w:r w:rsidR="00CA64CC">
          <w:rPr>
            <w:rStyle w:val="Hyperlink"/>
            <w:rFonts w:ascii="Times New Roman" w:eastAsia="sans-serif" w:hAnsi="Times New Roman" w:cs="Times New Roman"/>
            <w:b/>
            <w:bCs/>
            <w:i/>
            <w:iCs/>
            <w:color w:val="000000" w:themeColor="text1"/>
            <w:sz w:val="24"/>
            <w:szCs w:val="24"/>
            <w:u w:val="none"/>
            <w:shd w:val="clear" w:color="auto" w:fill="FFFFFF"/>
            <w:vertAlign w:val="superscript"/>
          </w:rPr>
          <w:t>b</w:t>
        </w:r>
      </w:hyperlink>
      <w:r w:rsidR="00CA64CC">
        <w:rPr>
          <w:rFonts w:ascii="Times New Roman" w:eastAsia="sans-serif" w:hAnsi="Times New Roman" w:cs="Times New Roman"/>
          <w:color w:val="000000" w:themeColor="text1"/>
          <w:sz w:val="24"/>
          <w:szCs w:val="24"/>
          <w:shd w:val="clear" w:color="auto" w:fill="FFFFFF"/>
        </w:rPr>
        <w:t> </w:t>
      </w:r>
      <w:hyperlink r:id="rId64" w:history="1">
        <w:r w:rsidR="00CA64CC">
          <w:rPr>
            <w:rStyle w:val="Hyperlink"/>
            <w:rFonts w:ascii="Times New Roman" w:eastAsia="sans-serif" w:hAnsi="Times New Roman" w:cs="Times New Roman"/>
            <w:color w:val="000000" w:themeColor="text1"/>
            <w:sz w:val="24"/>
            <w:szCs w:val="24"/>
            <w:u w:val="none"/>
            <w:shd w:val="clear" w:color="auto" w:fill="FFFFFF"/>
          </w:rPr>
          <w:t>"Environmental quality standards for surface water"</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Ministry of </w:t>
      </w:r>
      <w:r w:rsidR="00CA64CC">
        <w:rPr>
          <w:rStyle w:val="HTMLCite"/>
          <w:rFonts w:ascii="Times New Roman" w:eastAsia="sans-serif" w:hAnsi="Times New Roman" w:cs="Times New Roman"/>
          <w:i w:val="0"/>
          <w:iCs w:val="0"/>
          <w:color w:val="000000" w:themeColor="text1"/>
          <w:sz w:val="24"/>
          <w:szCs w:val="24"/>
          <w:shd w:val="clear" w:color="auto" w:fill="FFFFFF"/>
        </w:rPr>
        <w:tab/>
        <w:t xml:space="preserve">Ecology and Environment of the People's Republic of China. Archived </w:t>
      </w:r>
      <w:r w:rsidR="00CA64CC">
        <w:rPr>
          <w:rStyle w:val="HTMLCite"/>
          <w:rFonts w:ascii="Times New Roman" w:eastAsia="sans-serif" w:hAnsi="Times New Roman" w:cs="Times New Roman"/>
          <w:i w:val="0"/>
          <w:iCs w:val="0"/>
          <w:color w:val="000000" w:themeColor="text1"/>
          <w:sz w:val="24"/>
          <w:szCs w:val="24"/>
          <w:shd w:val="clear" w:color="auto" w:fill="FFFFFF"/>
        </w:rPr>
        <w:tab/>
        <w:t>from </w:t>
      </w:r>
      <w:hyperlink r:id="rId65" w:history="1">
        <w:r w:rsidR="00CA64CC">
          <w:rPr>
            <w:rStyle w:val="Hyperlink"/>
            <w:rFonts w:ascii="Times New Roman" w:eastAsia="sans-serif" w:hAnsi="Times New Roman" w:cs="Times New Roman"/>
            <w:color w:val="000000" w:themeColor="text1"/>
            <w:sz w:val="24"/>
            <w:szCs w:val="24"/>
            <w:u w:val="none"/>
            <w:shd w:val="clear" w:color="auto" w:fill="FFFFFF"/>
          </w:rPr>
          <w:t>the original</w:t>
        </w:r>
      </w:hyperlink>
      <w:r w:rsidR="00CA64CC">
        <w:rPr>
          <w:rStyle w:val="HTMLCite"/>
          <w:rFonts w:ascii="Times New Roman" w:eastAsia="sans-serif" w:hAnsi="Times New Roman" w:cs="Times New Roman"/>
          <w:i w:val="0"/>
          <w:iCs w:val="0"/>
          <w:color w:val="000000" w:themeColor="text1"/>
          <w:sz w:val="24"/>
          <w:szCs w:val="24"/>
          <w:shd w:val="clear" w:color="auto" w:fill="FFFFFF"/>
        </w:rPr>
        <w:t> on 2018-08-03</w:t>
      </w:r>
      <w:r w:rsidR="00CA64CC">
        <w:rPr>
          <w:rFonts w:ascii="Times New Roman" w:eastAsia="sans-serif" w:hAnsi="Times New Roman" w:cs="Times New Roman"/>
          <w:color w:val="000000" w:themeColor="text1"/>
          <w:sz w:val="24"/>
          <w:szCs w:val="24"/>
          <w:shd w:val="clear" w:color="auto" w:fill="FFFFFF"/>
        </w:rPr>
        <w:t>. Retrieved 2013-02-11</w:t>
      </w:r>
      <w:r w:rsidR="00CA64CC">
        <w:rPr>
          <w:rStyle w:val="HTMLCite"/>
          <w:rFonts w:ascii="Times New Roman" w:eastAsia="sans-serif" w:hAnsi="Times New Roman" w:cs="Times New Roman"/>
          <w:i w:val="0"/>
          <w:iCs w:val="0"/>
          <w:color w:val="000000" w:themeColor="text1"/>
          <w:sz w:val="24"/>
          <w:szCs w:val="24"/>
          <w:shd w:val="clear" w:color="auto" w:fill="FFFFFF"/>
        </w:rPr>
        <w:t>.</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Karanis, P. (2006). Waterborne transmission of protozoan parasites: A worldwide </w:t>
      </w:r>
      <w:r>
        <w:rPr>
          <w:rFonts w:ascii="Times New Roman" w:hAnsi="Times New Roman" w:cs="Times New Roman"/>
          <w:color w:val="000000" w:themeColor="text1"/>
          <w:sz w:val="24"/>
          <w:szCs w:val="24"/>
        </w:rPr>
        <w:tab/>
        <w:t>review of outbreaks and lessons learnt. Journal of Water and Health, 4(S2), 1–</w:t>
      </w:r>
      <w:r>
        <w:rPr>
          <w:rFonts w:ascii="Times New Roman" w:hAnsi="Times New Roman" w:cs="Times New Roman"/>
          <w:color w:val="000000" w:themeColor="text1"/>
          <w:sz w:val="24"/>
          <w:szCs w:val="24"/>
        </w:rPr>
        <w:tab/>
        <w:t>38.</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Karri, R. R., Ravindran, G.,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Dehghani, M. H. (2021). Wastewater—sources, </w:t>
      </w:r>
      <w:r>
        <w:rPr>
          <w:rFonts w:eastAsia="Cambria"/>
          <w:color w:val="000000" w:themeColor="text1"/>
          <w:lang/>
        </w:rPr>
        <w:tab/>
        <w:t xml:space="preserve">toxicity, and their consequences to human health. In Soft computing </w:t>
      </w:r>
      <w:r>
        <w:rPr>
          <w:rFonts w:eastAsia="Cambria"/>
          <w:color w:val="000000" w:themeColor="text1"/>
          <w:lang/>
        </w:rPr>
        <w:tab/>
        <w:t>techniques in solid waste and wastewater management (pp. 3-33). Elsevier.</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Khan, K., Lu, Y., Saeed, M., Sher, H., Khan, H., Ali, J., Wang, P., Uwizeyimana, H., </w:t>
      </w:r>
      <w:r>
        <w:rPr>
          <w:rFonts w:ascii="Times New Roman" w:hAnsi="Times New Roman" w:cs="Times New Roman"/>
          <w:sz w:val="24"/>
          <w:szCs w:val="24"/>
        </w:rPr>
        <w:tab/>
        <w:t xml:space="preserve">Baninla, Y., Li, Q., Liu, Z., Nawab, J., Zhou, Y., Su,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sidR="00960FF4">
        <w:rPr>
          <w:rFonts w:eastAsia="Cambria"/>
          <w:color w:val="000000" w:themeColor="text1"/>
          <w:lang/>
        </w:rPr>
        <w:t xml:space="preserve"> </w:t>
      </w:r>
      <w:r>
        <w:rPr>
          <w:rFonts w:ascii="Times New Roman" w:hAnsi="Times New Roman" w:cs="Times New Roman"/>
          <w:sz w:val="24"/>
          <w:szCs w:val="24"/>
        </w:rPr>
        <w:t xml:space="preserve">Liang, R. (2017). </w:t>
      </w:r>
      <w:r>
        <w:rPr>
          <w:rFonts w:ascii="Times New Roman" w:hAnsi="Times New Roman" w:cs="Times New Roman"/>
          <w:sz w:val="24"/>
          <w:szCs w:val="24"/>
        </w:rPr>
        <w:tab/>
        <w:t xml:space="preserve">Prevalent fecal contamination in drinking water resources and potential health </w:t>
      </w:r>
      <w:r>
        <w:rPr>
          <w:rFonts w:ascii="Times New Roman" w:hAnsi="Times New Roman" w:cs="Times New Roman"/>
          <w:sz w:val="24"/>
          <w:szCs w:val="24"/>
        </w:rPr>
        <w:tab/>
        <w:t xml:space="preserve">risks in Swat, Pakistan.. Journal of environmental sciences, 72, 1-12. </w:t>
      </w:r>
      <w:r>
        <w:rPr>
          <w:rFonts w:ascii="Times New Roman" w:hAnsi="Times New Roman" w:cs="Times New Roman"/>
          <w:sz w:val="24"/>
          <w:szCs w:val="24"/>
        </w:rPr>
        <w:tab/>
        <w:t>https://doi.org/10.1016/j.jes.2017.12.008</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Khanal, A., Timilsina, R., Sharma, B., Pokharel, B.,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Aryal, R. (2024). </w:t>
      </w:r>
      <w:r>
        <w:rPr>
          <w:rFonts w:ascii="Times New Roman" w:hAnsi="Times New Roman" w:cs="Times New Roman"/>
          <w:sz w:val="24"/>
          <w:szCs w:val="24"/>
        </w:rPr>
        <w:tab/>
        <w:t xml:space="preserve">Contaminated water and an indication of risk: examining microbial </w:t>
      </w:r>
      <w:r>
        <w:rPr>
          <w:rFonts w:ascii="Times New Roman" w:hAnsi="Times New Roman" w:cs="Times New Roman"/>
          <w:sz w:val="24"/>
          <w:szCs w:val="24"/>
        </w:rPr>
        <w:tab/>
        <w:t xml:space="preserve">contamination in the water used by consumers and commercial growers in </w:t>
      </w:r>
      <w:r>
        <w:rPr>
          <w:rFonts w:ascii="Times New Roman" w:hAnsi="Times New Roman" w:cs="Times New Roman"/>
          <w:sz w:val="24"/>
          <w:szCs w:val="24"/>
        </w:rPr>
        <w:lastRenderedPageBreak/>
        <w:tab/>
        <w:t xml:space="preserve">fresh produce systems in Nepal.. Journal of food protection, 100228. </w:t>
      </w:r>
      <w:r>
        <w:rPr>
          <w:rFonts w:ascii="Times New Roman" w:hAnsi="Times New Roman" w:cs="Times New Roman"/>
          <w:sz w:val="24"/>
          <w:szCs w:val="24"/>
        </w:rPr>
        <w:tab/>
        <w:t>https://doi.org/10.1016/j.jfp.2024.100228</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Larmie, S. A.,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Paintsil, K. A. (1996). Drinking water quality and health. Ghana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Medical Journal, 30(1), 30–35.</w:t>
      </w:r>
    </w:p>
    <w:p w:rsidR="00252A34" w:rsidRDefault="00CA64CC">
      <w:pPr>
        <w:pStyle w:val="NormalWeb"/>
        <w:spacing w:beforeAutospacing="0" w:afterAutospacing="0" w:line="360" w:lineRule="auto"/>
        <w:jc w:val="both"/>
        <w:rPr>
          <w:color w:val="000000" w:themeColor="text1"/>
        </w:rPr>
      </w:pPr>
      <w:r>
        <w:rPr>
          <w:color w:val="000000" w:themeColor="text1"/>
        </w:rPr>
        <w:t xml:space="preserve">LeChevallier, M. W., </w:t>
      </w:r>
      <w:r w:rsidR="00960FF4">
        <w:rPr>
          <w:rFonts w:eastAsia="Cambria"/>
          <w:color w:val="000000" w:themeColor="text1"/>
          <w:lang/>
        </w:rPr>
        <w:t>a</w:t>
      </w:r>
      <w:r w:rsidR="00960FF4">
        <w:rPr>
          <w:color w:val="000000" w:themeColor="text1"/>
        </w:rPr>
        <w:t>nd</w:t>
      </w:r>
      <w:r>
        <w:rPr>
          <w:color w:val="000000" w:themeColor="text1"/>
        </w:rPr>
        <w:t xml:space="preserve"> Au, K.-K. (2004). </w:t>
      </w:r>
      <w:r>
        <w:rPr>
          <w:rStyle w:val="Emphasis"/>
          <w:color w:val="000000" w:themeColor="text1"/>
        </w:rPr>
        <w:t xml:space="preserve">Water Treatment and Pathogen Control: </w:t>
      </w:r>
      <w:r>
        <w:rPr>
          <w:rStyle w:val="Emphasis"/>
          <w:color w:val="000000" w:themeColor="text1"/>
        </w:rPr>
        <w:tab/>
        <w:t>Process Efficiency in Achieving Safe Drinking Water</w:t>
      </w:r>
      <w:r>
        <w:rPr>
          <w:color w:val="000000" w:themeColor="text1"/>
        </w:rPr>
        <w:t xml:space="preserve">. World Health </w:t>
      </w:r>
      <w:r>
        <w:rPr>
          <w:color w:val="000000" w:themeColor="text1"/>
        </w:rPr>
        <w:tab/>
        <w:t>Organization / IWA Publishing.</w:t>
      </w:r>
    </w:p>
    <w:p w:rsidR="00252A34" w:rsidRDefault="00CA64C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Madigan, M.T., Bender, K.S., Buckley, D.H., Sattley, W.M.,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eastAsia="SimSun" w:hAnsi="Times New Roman" w:cs="Times New Roman"/>
          <w:color w:val="000000" w:themeColor="text1"/>
          <w:sz w:val="24"/>
          <w:szCs w:val="24"/>
        </w:rPr>
        <w:t xml:space="preserve"> Stahl, D.A. (2018). </w:t>
      </w:r>
      <w:r>
        <w:rPr>
          <w:rFonts w:ascii="Times New Roman" w:eastAsia="SimSun" w:hAnsi="Times New Roman" w:cs="Times New Roman"/>
          <w:color w:val="000000" w:themeColor="text1"/>
          <w:sz w:val="24"/>
          <w:szCs w:val="24"/>
        </w:rPr>
        <w:tab/>
      </w:r>
      <w:r>
        <w:rPr>
          <w:rStyle w:val="Emphasis"/>
          <w:rFonts w:ascii="Times New Roman" w:eastAsia="SimSun" w:hAnsi="Times New Roman" w:cs="Times New Roman"/>
          <w:color w:val="000000" w:themeColor="text1"/>
          <w:sz w:val="24"/>
          <w:szCs w:val="24"/>
        </w:rPr>
        <w:t>Brock Biology of Microorganisms</w:t>
      </w:r>
      <w:r>
        <w:rPr>
          <w:rFonts w:ascii="Times New Roman" w:eastAsia="SimSun" w:hAnsi="Times New Roman" w:cs="Times New Roman"/>
          <w:color w:val="000000" w:themeColor="text1"/>
          <w:sz w:val="24"/>
          <w:szCs w:val="24"/>
        </w:rPr>
        <w:t xml:space="preserve"> (15th ed.). Pearson.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Mark, O., De Man, H., Van Der Hoek, J. P.,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Van Alphen, D. (2019). Review of </w:t>
      </w:r>
      <w:r>
        <w:rPr>
          <w:rFonts w:ascii="Times New Roman" w:hAnsi="Times New Roman" w:cs="Times New Roman"/>
          <w:color w:val="000000" w:themeColor="text1"/>
          <w:sz w:val="24"/>
          <w:szCs w:val="24"/>
        </w:rPr>
        <w:tab/>
        <w:t xml:space="preserve">household drinking water quality in low-income settings in the context of </w:t>
      </w:r>
      <w:r>
        <w:rPr>
          <w:rFonts w:ascii="Times New Roman" w:hAnsi="Times New Roman" w:cs="Times New Roman"/>
          <w:color w:val="000000" w:themeColor="text1"/>
          <w:sz w:val="24"/>
          <w:szCs w:val="24"/>
        </w:rPr>
        <w:tab/>
        <w:t xml:space="preserve">water safety plans. International Journal of Hygiene and Environmental Health, </w:t>
      </w:r>
      <w:r>
        <w:rPr>
          <w:rFonts w:ascii="Times New Roman" w:hAnsi="Times New Roman" w:cs="Times New Roman"/>
          <w:color w:val="000000" w:themeColor="text1"/>
          <w:sz w:val="24"/>
          <w:szCs w:val="24"/>
        </w:rPr>
        <w:tab/>
        <w:t>222(8), 1060–1070.</w:t>
      </w:r>
    </w:p>
    <w:p w:rsidR="00252A34" w:rsidRDefault="00CA64CC" w:rsidP="00960FF4">
      <w:pPr>
        <w:pStyle w:val="NormalWeb"/>
        <w:shd w:val="clear" w:color="auto" w:fill="FFFFFF"/>
        <w:spacing w:beforeAutospacing="0" w:afterAutospacing="0" w:line="360" w:lineRule="auto"/>
        <w:ind w:left="720" w:hanging="720"/>
        <w:jc w:val="both"/>
        <w:rPr>
          <w:color w:val="000000" w:themeColor="text1"/>
        </w:rPr>
      </w:pPr>
      <w:r>
        <w:rPr>
          <w:rFonts w:eastAsia="Cambria"/>
          <w:color w:val="000000" w:themeColor="text1"/>
          <w:lang/>
        </w:rPr>
        <w:t xml:space="preserve">McIntyre, J. K., Spromberg, J., Cameron, J., Incardona, J. P., Davis, J. W.,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Scholz, </w:t>
      </w:r>
      <w:r>
        <w:rPr>
          <w:rFonts w:eastAsia="Cambria"/>
          <w:color w:val="000000" w:themeColor="text1"/>
          <w:lang/>
        </w:rPr>
        <w:tab/>
        <w:t xml:space="preserve">N. L. (2023). Bioretention filtration prevents acute mortality and reduces </w:t>
      </w:r>
      <w:r>
        <w:rPr>
          <w:rFonts w:eastAsia="Cambria"/>
          <w:color w:val="000000" w:themeColor="text1"/>
          <w:lang/>
        </w:rPr>
        <w:tab/>
        <w:t xml:space="preserve">chronic toxicity for early life stage coho salmon (Oncorhynchus kisutch) </w:t>
      </w:r>
      <w:r>
        <w:rPr>
          <w:rFonts w:eastAsia="Cambria"/>
          <w:color w:val="000000" w:themeColor="text1"/>
          <w:lang/>
        </w:rPr>
        <w:tab/>
        <w:t xml:space="preserve">episodically exposed to urban stormwater runoff. Science of the Total </w:t>
      </w:r>
      <w:r>
        <w:rPr>
          <w:rFonts w:eastAsia="Cambria"/>
          <w:color w:val="000000" w:themeColor="text1"/>
          <w:lang/>
        </w:rPr>
        <w:tab/>
        <w:t>Environment, 902, 165759.</w:t>
      </w:r>
    </w:p>
    <w:p w:rsidR="00252A34" w:rsidRDefault="00252A34">
      <w:pPr>
        <w:spacing w:line="360" w:lineRule="auto"/>
        <w:jc w:val="both"/>
        <w:rPr>
          <w:rFonts w:ascii="Times New Roman" w:hAnsi="Times New Roman" w:cs="Times New Roman"/>
          <w:color w:val="000000" w:themeColor="text1"/>
          <w:sz w:val="24"/>
          <w:szCs w:val="24"/>
        </w:rPr>
      </w:pPr>
      <w:hyperlink r:id="rId66" w:history="1">
        <w:r w:rsidR="00CA64CC">
          <w:rPr>
            <w:rStyle w:val="Hyperlink"/>
            <w:rFonts w:ascii="Times New Roman" w:eastAsia="sans-serif" w:hAnsi="Times New Roman" w:cs="Times New Roman"/>
            <w:color w:val="000000" w:themeColor="text1"/>
            <w:sz w:val="24"/>
            <w:szCs w:val="24"/>
            <w:u w:val="none"/>
            <w:shd w:val="clear" w:color="auto" w:fill="FFFFFF"/>
          </w:rPr>
          <w:t>Method 1106.1: Enterococci in Water by Membrane Filtration Using membrane-</w:t>
        </w:r>
        <w:r w:rsidR="00CA64CC">
          <w:rPr>
            <w:rStyle w:val="Hyperlink"/>
            <w:rFonts w:ascii="Times New Roman" w:eastAsia="sans-serif" w:hAnsi="Times New Roman" w:cs="Times New Roman"/>
            <w:color w:val="000000" w:themeColor="text1"/>
            <w:sz w:val="24"/>
            <w:szCs w:val="24"/>
            <w:u w:val="none"/>
            <w:shd w:val="clear" w:color="auto" w:fill="FFFFFF"/>
          </w:rPr>
          <w:tab/>
          <w:t>Enterococcus-Esculin Iron Agar (mE-EIA)</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(Report). Approved CWA </w:t>
      </w:r>
      <w:r w:rsidR="00CA64CC">
        <w:rPr>
          <w:rStyle w:val="HTMLCite"/>
          <w:rFonts w:ascii="Times New Roman" w:eastAsia="sans-serif" w:hAnsi="Times New Roman" w:cs="Times New Roman"/>
          <w:i w:val="0"/>
          <w:iCs w:val="0"/>
          <w:color w:val="000000" w:themeColor="text1"/>
          <w:sz w:val="24"/>
          <w:szCs w:val="24"/>
          <w:shd w:val="clear" w:color="auto" w:fill="FFFFFF"/>
        </w:rPr>
        <w:tab/>
        <w:t>Microbiological Test Methods. EPA. 2002. EPA 821-R-02-021.</w:t>
      </w:r>
    </w:p>
    <w:p w:rsidR="00252A34" w:rsidRDefault="00252A34">
      <w:pPr>
        <w:spacing w:line="360" w:lineRule="auto"/>
        <w:jc w:val="both"/>
        <w:rPr>
          <w:rFonts w:ascii="Times New Roman" w:hAnsi="Times New Roman" w:cs="Times New Roman"/>
          <w:color w:val="000000" w:themeColor="text1"/>
          <w:sz w:val="24"/>
          <w:szCs w:val="24"/>
        </w:rPr>
      </w:pPr>
      <w:hyperlink r:id="rId67" w:history="1">
        <w:r w:rsidR="00CA64CC">
          <w:rPr>
            <w:rStyle w:val="Hyperlink"/>
            <w:rFonts w:ascii="Times New Roman" w:eastAsia="sans-serif" w:hAnsi="Times New Roman" w:cs="Times New Roman"/>
            <w:color w:val="000000" w:themeColor="text1"/>
            <w:sz w:val="24"/>
            <w:szCs w:val="24"/>
            <w:u w:val="none"/>
            <w:shd w:val="clear" w:color="auto" w:fill="FFFFFF"/>
          </w:rPr>
          <w:t xml:space="preserve">Method 1680: Fecal Coliforms in Biosolids by Multiple-Tube Fermentation </w:t>
        </w:r>
        <w:r w:rsidR="00CA64CC">
          <w:rPr>
            <w:rStyle w:val="Hyperlink"/>
            <w:rFonts w:ascii="Times New Roman" w:eastAsia="sans-serif" w:hAnsi="Times New Roman" w:cs="Times New Roman"/>
            <w:color w:val="000000" w:themeColor="text1"/>
            <w:sz w:val="24"/>
            <w:szCs w:val="24"/>
            <w:u w:val="none"/>
            <w:shd w:val="clear" w:color="auto" w:fill="FFFFFF"/>
          </w:rPr>
          <w:tab/>
          <w:t>Procedures</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(Report). Approved CWA Microbiological Test Methods. EPA. </w:t>
      </w:r>
      <w:r w:rsidR="00CA64CC">
        <w:rPr>
          <w:rStyle w:val="HTMLCite"/>
          <w:rFonts w:ascii="Times New Roman" w:eastAsia="sans-serif" w:hAnsi="Times New Roman" w:cs="Times New Roman"/>
          <w:i w:val="0"/>
          <w:iCs w:val="0"/>
          <w:color w:val="000000" w:themeColor="text1"/>
          <w:sz w:val="24"/>
          <w:szCs w:val="24"/>
          <w:shd w:val="clear" w:color="auto" w:fill="FFFFFF"/>
        </w:rPr>
        <w:tab/>
        <w:t>October 2002. EPA 821-R-02-026.</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Morgan, C., Bowling, J., Bartram,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Kayser, G. (2021). Attributes of drinking </w:t>
      </w:r>
      <w:r>
        <w:rPr>
          <w:rFonts w:ascii="Times New Roman" w:hAnsi="Times New Roman" w:cs="Times New Roman"/>
          <w:sz w:val="24"/>
          <w:szCs w:val="24"/>
        </w:rPr>
        <w:tab/>
        <w:t xml:space="preserve">water, sanitation, and hygiene associated with microbiological water quality of </w:t>
      </w:r>
      <w:r>
        <w:rPr>
          <w:rFonts w:ascii="Times New Roman" w:hAnsi="Times New Roman" w:cs="Times New Roman"/>
          <w:sz w:val="24"/>
          <w:szCs w:val="24"/>
        </w:rPr>
        <w:tab/>
        <w:t xml:space="preserve">stored drinking water in rural schools in Mozambique and Uganda.. </w:t>
      </w:r>
      <w:r>
        <w:rPr>
          <w:rFonts w:ascii="Times New Roman" w:hAnsi="Times New Roman" w:cs="Times New Roman"/>
          <w:sz w:val="24"/>
          <w:szCs w:val="24"/>
        </w:rPr>
        <w:tab/>
        <w:t xml:space="preserve">International journal of hygiene and environmental health, 236, 113804. </w:t>
      </w:r>
      <w:r>
        <w:rPr>
          <w:rFonts w:ascii="Times New Roman" w:hAnsi="Times New Roman" w:cs="Times New Roman"/>
          <w:sz w:val="24"/>
          <w:szCs w:val="24"/>
        </w:rPr>
        <w:tab/>
      </w:r>
      <w:hyperlink r:id="rId68" w:history="1">
        <w:r>
          <w:rPr>
            <w:rStyle w:val="Hyperlink"/>
            <w:rFonts w:ascii="Times New Roman" w:hAnsi="Times New Roman" w:cs="Times New Roman"/>
            <w:sz w:val="24"/>
            <w:szCs w:val="24"/>
          </w:rPr>
          <w:t>https://doi.org/10.1016/j.ijheh.2021.113804</w:t>
        </w:r>
      </w:hyperlink>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Morrissey Donohue, J.,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Orme‐Zavaleta, J. (2003). Toxicological Basis for Drinking </w:t>
      </w:r>
      <w:r>
        <w:rPr>
          <w:rFonts w:eastAsia="Cambria"/>
          <w:color w:val="000000" w:themeColor="text1"/>
          <w:lang/>
        </w:rPr>
        <w:tab/>
        <w:t>Water Risk Assessment. Drinking Water Regulation and Health, 131-</w:t>
      </w:r>
      <w:r>
        <w:rPr>
          <w:rFonts w:eastAsia="Cambria"/>
          <w:color w:val="000000" w:themeColor="text1"/>
          <w:lang/>
        </w:rPr>
        <w:lastRenderedPageBreak/>
        <w:t xml:space="preserve">146. Decharat, S.,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Pan-In, P. (2020). Risk assessment of lead and cadmium in drinking </w:t>
      </w:r>
      <w:r>
        <w:rPr>
          <w:rFonts w:eastAsia="Cambria"/>
          <w:color w:val="000000" w:themeColor="text1"/>
          <w:lang/>
        </w:rPr>
        <w:tab/>
        <w:t xml:space="preserve">water for school use in Nakhon Si Thammarat Province, Thailand. </w:t>
      </w:r>
      <w:r>
        <w:rPr>
          <w:rFonts w:eastAsia="Cambria"/>
          <w:color w:val="000000" w:themeColor="text1"/>
          <w:lang/>
        </w:rPr>
        <w:tab/>
        <w:t xml:space="preserve">Environmental Analysis, Health and Toxicology, 35(1). </w:t>
      </w:r>
    </w:p>
    <w:p w:rsidR="00252A34" w:rsidRDefault="00CA64C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Mustafa Ali Muhammad, S. (2017). Evaluating of drinking water quality for water </w:t>
      </w:r>
      <w:r>
        <w:rPr>
          <w:rFonts w:ascii="Times New Roman" w:eastAsia="SimSun" w:hAnsi="Times New Roman" w:cs="Times New Roman"/>
          <w:color w:val="000000" w:themeColor="text1"/>
          <w:sz w:val="24"/>
          <w:szCs w:val="24"/>
        </w:rPr>
        <w:tab/>
        <w:t xml:space="preserve">treatment plant in Tuz District. University of Kirkuk Journal-Scientific Studies, </w:t>
      </w:r>
      <w:r>
        <w:rPr>
          <w:rFonts w:ascii="Times New Roman" w:eastAsia="SimSun" w:hAnsi="Times New Roman" w:cs="Times New Roman"/>
          <w:color w:val="000000" w:themeColor="text1"/>
          <w:sz w:val="24"/>
          <w:szCs w:val="24"/>
        </w:rPr>
        <w:tab/>
        <w:t>12(3), 116-132</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Nnadozie, C.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Abu, G. O. (2015). Evaluation of waterborne diseases and </w:t>
      </w:r>
      <w:r>
        <w:rPr>
          <w:rFonts w:ascii="Times New Roman" w:hAnsi="Times New Roman" w:cs="Times New Roman"/>
          <w:color w:val="000000" w:themeColor="text1"/>
          <w:sz w:val="24"/>
          <w:szCs w:val="24"/>
        </w:rPr>
        <w:tab/>
        <w:t xml:space="preserve">microbial quality of drinking water in Makurdi, Nigeria. Journal of </w:t>
      </w:r>
      <w:r>
        <w:rPr>
          <w:rFonts w:ascii="Times New Roman" w:hAnsi="Times New Roman" w:cs="Times New Roman"/>
          <w:color w:val="000000" w:themeColor="text1"/>
          <w:sz w:val="24"/>
          <w:szCs w:val="24"/>
        </w:rPr>
        <w:tab/>
        <w:t>Environmental and Occupational Science, 4(1), 1–9.</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Nwidu, L. L., Oveh, B., Okoriye, T.,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Vaikosen, N. A. (2008). Assessment of the </w:t>
      </w:r>
      <w:r>
        <w:rPr>
          <w:rFonts w:ascii="Times New Roman" w:hAnsi="Times New Roman" w:cs="Times New Roman"/>
          <w:color w:val="000000" w:themeColor="text1"/>
          <w:sz w:val="24"/>
          <w:szCs w:val="24"/>
        </w:rPr>
        <w:tab/>
        <w:t xml:space="preserve">water quality and prevalence of water borne diseases in Amassoma, Niger </w:t>
      </w:r>
      <w:r>
        <w:rPr>
          <w:rFonts w:ascii="Times New Roman" w:hAnsi="Times New Roman" w:cs="Times New Roman"/>
          <w:color w:val="000000" w:themeColor="text1"/>
          <w:sz w:val="24"/>
          <w:szCs w:val="24"/>
        </w:rPr>
        <w:tab/>
        <w:t>Delta, Nigeria. African Journal of Biotechnology, 7(17), 2993–2997.</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Odikamnoro, O. O., Ikeh, I. M., Nwuzo, A. C.,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Okoh, F. (2014). Microbial and </w:t>
      </w:r>
      <w:r>
        <w:rPr>
          <w:rFonts w:ascii="Times New Roman" w:hAnsi="Times New Roman" w:cs="Times New Roman"/>
          <w:color w:val="000000" w:themeColor="text1"/>
          <w:sz w:val="24"/>
          <w:szCs w:val="24"/>
        </w:rPr>
        <w:tab/>
        <w:t xml:space="preserve">parasitic evaluation of water used by residents of the three communities in </w:t>
      </w:r>
      <w:r>
        <w:rPr>
          <w:rFonts w:ascii="Times New Roman" w:hAnsi="Times New Roman" w:cs="Times New Roman"/>
          <w:color w:val="000000" w:themeColor="text1"/>
          <w:sz w:val="24"/>
          <w:szCs w:val="24"/>
        </w:rPr>
        <w:tab/>
        <w:t>Ebonyi State, Nigeria. European Journal of Parasitology, 1(2), 7–12.</w:t>
      </w:r>
    </w:p>
    <w:p w:rsidR="00252A34" w:rsidRDefault="00252A34">
      <w:pPr>
        <w:spacing w:line="360" w:lineRule="auto"/>
        <w:jc w:val="both"/>
        <w:rPr>
          <w:rStyle w:val="HTMLCite"/>
          <w:rFonts w:ascii="Times New Roman" w:eastAsia="sans-serif" w:hAnsi="Times New Roman" w:cs="Times New Roman"/>
          <w:i w:val="0"/>
          <w:iCs w:val="0"/>
          <w:color w:val="000000" w:themeColor="text1"/>
          <w:sz w:val="24"/>
          <w:szCs w:val="24"/>
          <w:shd w:val="clear" w:color="auto" w:fill="FFFFFF"/>
        </w:rPr>
      </w:pPr>
      <w:hyperlink r:id="rId69" w:history="1">
        <w:r w:rsidR="00CA64CC">
          <w:rPr>
            <w:rStyle w:val="Hyperlink"/>
            <w:rFonts w:ascii="Times New Roman" w:eastAsia="sans-serif" w:hAnsi="Times New Roman" w:cs="Times New Roman"/>
            <w:color w:val="000000" w:themeColor="text1"/>
            <w:sz w:val="24"/>
            <w:szCs w:val="24"/>
            <w:u w:val="none"/>
            <w:shd w:val="clear" w:color="auto" w:fill="FFFFFF"/>
          </w:rPr>
          <w:t xml:space="preserve">Performance Verification Testing; Rapid Toxicity Monitoring and Detection Systems; </w:t>
        </w:r>
        <w:r w:rsidR="00CA64CC">
          <w:rPr>
            <w:rStyle w:val="Hyperlink"/>
            <w:rFonts w:ascii="Times New Roman" w:eastAsia="sans-serif" w:hAnsi="Times New Roman" w:cs="Times New Roman"/>
            <w:color w:val="000000" w:themeColor="text1"/>
            <w:sz w:val="24"/>
            <w:szCs w:val="24"/>
            <w:u w:val="none"/>
            <w:shd w:val="clear" w:color="auto" w:fill="FFFFFF"/>
          </w:rPr>
          <w:tab/>
          <w:t>Overview and Analysis"</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Washington, DC: US Environmental Protection </w:t>
      </w:r>
      <w:r w:rsidR="00CA64CC">
        <w:rPr>
          <w:rStyle w:val="HTMLCite"/>
          <w:rFonts w:ascii="Times New Roman" w:eastAsia="sans-serif" w:hAnsi="Times New Roman" w:cs="Times New Roman"/>
          <w:i w:val="0"/>
          <w:iCs w:val="0"/>
          <w:color w:val="000000" w:themeColor="text1"/>
          <w:sz w:val="24"/>
          <w:szCs w:val="24"/>
          <w:shd w:val="clear" w:color="auto" w:fill="FFFFFF"/>
        </w:rPr>
        <w:tab/>
        <w:t>Agency (EPA}. 2004.</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Rubino, A., Ulanicki, B.,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Saul, A. (2019). The impact of household storage on </w:t>
      </w:r>
      <w:r>
        <w:rPr>
          <w:rFonts w:ascii="Times New Roman" w:hAnsi="Times New Roman" w:cs="Times New Roman"/>
          <w:color w:val="000000" w:themeColor="text1"/>
          <w:sz w:val="24"/>
          <w:szCs w:val="24"/>
        </w:rPr>
        <w:tab/>
        <w:t xml:space="preserve">drinking water quality in developing countries: A systematic review. Water </w:t>
      </w:r>
      <w:r>
        <w:rPr>
          <w:rFonts w:ascii="Times New Roman" w:hAnsi="Times New Roman" w:cs="Times New Roman"/>
          <w:color w:val="000000" w:themeColor="text1"/>
          <w:sz w:val="24"/>
          <w:szCs w:val="24"/>
        </w:rPr>
        <w:tab/>
        <w:t>Research, 153, 242–251.</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Saha, N., Rahman, M. S.,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Rahman, M. S. (2011). Assessment of heavy metal </w:t>
      </w:r>
      <w:r>
        <w:rPr>
          <w:rFonts w:ascii="Times New Roman" w:hAnsi="Times New Roman" w:cs="Times New Roman"/>
          <w:color w:val="000000" w:themeColor="text1"/>
          <w:sz w:val="24"/>
          <w:szCs w:val="24"/>
        </w:rPr>
        <w:tab/>
        <w:t xml:space="preserve">contamination in water of a river in Bangladesh. Environmental Monitoring </w:t>
      </w:r>
      <w:r>
        <w:rPr>
          <w:rFonts w:ascii="Times New Roman" w:hAnsi="Times New Roman" w:cs="Times New Roman"/>
          <w:color w:val="000000" w:themeColor="text1"/>
          <w:sz w:val="24"/>
          <w:szCs w:val="24"/>
        </w:rPr>
        <w:tab/>
        <w:t>and Assessment, 184, 123–135.</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Shields, K., Bain, R., Cronk, R., Wright, J.,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Bartram, J. (2015). Association of </w:t>
      </w:r>
      <w:r>
        <w:rPr>
          <w:rFonts w:ascii="Times New Roman" w:hAnsi="Times New Roman" w:cs="Times New Roman"/>
          <w:sz w:val="24"/>
          <w:szCs w:val="24"/>
        </w:rPr>
        <w:tab/>
        <w:t xml:space="preserve">Supply Type with Fecal Contamination of Source Water and Household </w:t>
      </w:r>
      <w:r>
        <w:rPr>
          <w:rFonts w:ascii="Times New Roman" w:hAnsi="Times New Roman" w:cs="Times New Roman"/>
          <w:sz w:val="24"/>
          <w:szCs w:val="24"/>
        </w:rPr>
        <w:tab/>
        <w:t xml:space="preserve">Stored Drinking Water in Developing Countries: A Bivariate Meta-analysis. </w:t>
      </w:r>
      <w:r>
        <w:rPr>
          <w:rFonts w:ascii="Times New Roman" w:hAnsi="Times New Roman" w:cs="Times New Roman"/>
          <w:sz w:val="24"/>
          <w:szCs w:val="24"/>
        </w:rPr>
        <w:tab/>
        <w:t xml:space="preserve">Environmental Health Perspectives, 123, 1222 - 1231. </w:t>
      </w:r>
      <w:r>
        <w:rPr>
          <w:rFonts w:ascii="Times New Roman" w:hAnsi="Times New Roman" w:cs="Times New Roman"/>
          <w:sz w:val="24"/>
          <w:szCs w:val="24"/>
        </w:rPr>
        <w:tab/>
        <w:t>https://doi.org/10.1289/ehp.1409002</w:t>
      </w:r>
    </w:p>
    <w:p w:rsidR="00252A34" w:rsidRDefault="00252A34">
      <w:pPr>
        <w:spacing w:line="360" w:lineRule="auto"/>
        <w:jc w:val="both"/>
        <w:rPr>
          <w:rFonts w:ascii="Times New Roman" w:hAnsi="Times New Roman" w:cs="Times New Roman"/>
          <w:color w:val="000000" w:themeColor="text1"/>
          <w:sz w:val="24"/>
          <w:szCs w:val="24"/>
        </w:rPr>
      </w:pPr>
      <w:hyperlink r:id="rId70" w:history="1">
        <w:r w:rsidR="00CA64CC">
          <w:rPr>
            <w:rStyle w:val="Hyperlink"/>
            <w:rFonts w:ascii="Times New Roman" w:eastAsia="sans-serif" w:hAnsi="Times New Roman" w:cs="Times New Roman"/>
            <w:color w:val="000000" w:themeColor="text1"/>
            <w:sz w:val="24"/>
            <w:szCs w:val="24"/>
            <w:u w:val="none"/>
            <w:shd w:val="clear" w:color="auto" w:fill="FFFFFF"/>
          </w:rPr>
          <w:t>Summary of the Safe Drinking Water Act"</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Washington, D.C.: U.S. Environmental </w:t>
      </w:r>
      <w:r w:rsidR="00CA64CC">
        <w:rPr>
          <w:rStyle w:val="HTMLCite"/>
          <w:rFonts w:ascii="Times New Roman" w:eastAsia="sans-serif" w:hAnsi="Times New Roman" w:cs="Times New Roman"/>
          <w:i w:val="0"/>
          <w:iCs w:val="0"/>
          <w:color w:val="000000" w:themeColor="text1"/>
          <w:sz w:val="24"/>
          <w:szCs w:val="24"/>
          <w:shd w:val="clear" w:color="auto" w:fill="FFFFFF"/>
        </w:rPr>
        <w:tab/>
        <w:t>Protection Agency (EPA). 2022-09-12.</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lastRenderedPageBreak/>
        <w:t xml:space="preserve">Tracy, J. L., Mercadante, E., Witkower, Z., </w:t>
      </w:r>
      <w:r w:rsidR="00960FF4">
        <w:rPr>
          <w:rFonts w:eastAsia="Cambria"/>
          <w:color w:val="000000" w:themeColor="text1"/>
          <w:lang/>
        </w:rPr>
        <w:t>a</w:t>
      </w:r>
      <w:r w:rsidR="00960FF4">
        <w:rPr>
          <w:color w:val="000000" w:themeColor="text1"/>
        </w:rPr>
        <w:t>nd</w:t>
      </w:r>
      <w:r w:rsidR="00960FF4">
        <w:rPr>
          <w:rFonts w:eastAsia="Cambria"/>
          <w:color w:val="000000" w:themeColor="text1"/>
          <w:lang/>
        </w:rPr>
        <w:t xml:space="preserve"> </w:t>
      </w:r>
      <w:r>
        <w:rPr>
          <w:rFonts w:eastAsia="Cambria"/>
          <w:color w:val="000000" w:themeColor="text1"/>
          <w:lang/>
        </w:rPr>
        <w:t xml:space="preserve">Cheng, J. T. (2020). The evolution of </w:t>
      </w:r>
      <w:r>
        <w:rPr>
          <w:rFonts w:eastAsia="Cambria"/>
          <w:color w:val="000000" w:themeColor="text1"/>
          <w:lang/>
        </w:rPr>
        <w:tab/>
        <w:t xml:space="preserve">pride and social hierarchy. In Advances in experimental social psychology </w:t>
      </w:r>
      <w:r>
        <w:rPr>
          <w:rFonts w:eastAsia="Cambria"/>
          <w:color w:val="000000" w:themeColor="text1"/>
          <w:lang/>
        </w:rPr>
        <w:tab/>
        <w:t xml:space="preserve">(Vol. 62, pp. 51-114). Academic Press. </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Van Leeuwen, T. (2009). Discourse as the recontextualization of social practice: A </w:t>
      </w:r>
      <w:r>
        <w:rPr>
          <w:rFonts w:eastAsia="Cambria"/>
          <w:color w:val="000000" w:themeColor="text1"/>
          <w:lang/>
        </w:rPr>
        <w:tab/>
        <w:t xml:space="preserve">guide (p. 137). na. </w:t>
      </w:r>
    </w:p>
    <w:p w:rsidR="00252A34" w:rsidRDefault="00CA64CC">
      <w:pPr>
        <w:pStyle w:val="NormalWeb"/>
        <w:shd w:val="clear" w:color="auto" w:fill="FFFFFF"/>
        <w:spacing w:beforeAutospacing="0" w:afterAutospacing="0" w:line="360" w:lineRule="auto"/>
        <w:jc w:val="both"/>
        <w:rPr>
          <w:rFonts w:eastAsia="Cambria"/>
          <w:color w:val="000000" w:themeColor="text1"/>
          <w:lang/>
        </w:rPr>
      </w:pPr>
      <w:r>
        <w:rPr>
          <w:rFonts w:eastAsia="Cambria"/>
          <w:color w:val="000000" w:themeColor="text1"/>
          <w:lang/>
        </w:rPr>
        <w:t xml:space="preserve">Wang, X., </w:t>
      </w:r>
      <w:r w:rsidR="00960FF4">
        <w:rPr>
          <w:rFonts w:eastAsia="Cambria"/>
          <w:color w:val="000000" w:themeColor="text1"/>
          <w:lang/>
        </w:rPr>
        <w:t>a</w:t>
      </w:r>
      <w:r w:rsidR="00960FF4">
        <w:rPr>
          <w:color w:val="000000" w:themeColor="text1"/>
        </w:rPr>
        <w:t>nd</w:t>
      </w:r>
      <w:r>
        <w:rPr>
          <w:rFonts w:eastAsia="Cambria"/>
          <w:color w:val="000000" w:themeColor="text1"/>
          <w:lang/>
        </w:rPr>
        <w:t xml:space="preserve"> Quinn, P. J. (2010). Endotoxins: lipopolysaccharides of gram-negative </w:t>
      </w:r>
      <w:r>
        <w:rPr>
          <w:rFonts w:eastAsia="Cambria"/>
          <w:color w:val="000000" w:themeColor="text1"/>
          <w:lang/>
        </w:rPr>
        <w:tab/>
        <w:t xml:space="preserve">bacteria. Endotoxins: structure, function and recognition, 3-25. </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Wasana, H., Perera, G., Gunawardena, P., Fernando, P.,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Pr>
          <w:rFonts w:ascii="Times New Roman" w:hAnsi="Times New Roman" w:cs="Times New Roman"/>
          <w:sz w:val="24"/>
          <w:szCs w:val="24"/>
        </w:rPr>
        <w:t xml:space="preserve"> Bandara, J. (2017). WHO </w:t>
      </w:r>
      <w:r>
        <w:rPr>
          <w:rFonts w:ascii="Times New Roman" w:hAnsi="Times New Roman" w:cs="Times New Roman"/>
          <w:sz w:val="24"/>
          <w:szCs w:val="24"/>
        </w:rPr>
        <w:tab/>
        <w:t xml:space="preserve">water quality standards Vs Synergic effect(s) of fluoride, heavy metals and </w:t>
      </w:r>
      <w:r>
        <w:rPr>
          <w:rFonts w:ascii="Times New Roman" w:hAnsi="Times New Roman" w:cs="Times New Roman"/>
          <w:sz w:val="24"/>
          <w:szCs w:val="24"/>
        </w:rPr>
        <w:tab/>
        <w:t xml:space="preserve">hardness in drinking water on kidney tissues. Scientific Reports, 7. </w:t>
      </w:r>
      <w:r>
        <w:rPr>
          <w:rFonts w:ascii="Times New Roman" w:hAnsi="Times New Roman" w:cs="Times New Roman"/>
          <w:sz w:val="24"/>
          <w:szCs w:val="24"/>
        </w:rPr>
        <w:tab/>
        <w:t>https://doi.org/10.1038/srep42516</w:t>
      </w:r>
    </w:p>
    <w:p w:rsidR="00252A34" w:rsidRDefault="00252A34">
      <w:pPr>
        <w:spacing w:line="360" w:lineRule="auto"/>
        <w:jc w:val="both"/>
        <w:rPr>
          <w:rFonts w:ascii="Times New Roman" w:hAnsi="Times New Roman" w:cs="Times New Roman"/>
          <w:color w:val="000000" w:themeColor="text1"/>
          <w:sz w:val="24"/>
          <w:szCs w:val="24"/>
        </w:rPr>
      </w:pPr>
      <w:hyperlink r:id="rId71" w:history="1">
        <w:r w:rsidR="00CA64CC">
          <w:rPr>
            <w:rStyle w:val="Hyperlink"/>
            <w:rFonts w:ascii="Times New Roman" w:eastAsia="sans-serif" w:hAnsi="Times New Roman" w:cs="Times New Roman"/>
            <w:i/>
            <w:iCs/>
            <w:color w:val="000000" w:themeColor="text1"/>
            <w:sz w:val="24"/>
            <w:szCs w:val="24"/>
            <w:u w:val="none"/>
            <w:shd w:val="clear" w:color="auto" w:fill="FFFFFF"/>
          </w:rPr>
          <w:t>What is the purpose of drinking water quality guidelines/regulations?</w:t>
        </w:r>
      </w:hyperlink>
      <w:r w:rsidR="00CA64CC">
        <w:rPr>
          <w:rStyle w:val="HTMLCite"/>
          <w:rFonts w:ascii="Times New Roman" w:eastAsia="sans-serif" w:hAnsi="Times New Roman" w:cs="Times New Roman"/>
          <w:i w:val="0"/>
          <w:iCs w:val="0"/>
          <w:color w:val="000000" w:themeColor="text1"/>
          <w:sz w:val="24"/>
          <w:szCs w:val="24"/>
          <w:shd w:val="clear" w:color="auto" w:fill="FFFFFF"/>
        </w:rPr>
        <w:t xml:space="preserve">. Canada: Safe </w:t>
      </w:r>
      <w:r w:rsidR="00CA64CC">
        <w:rPr>
          <w:rStyle w:val="HTMLCite"/>
          <w:rFonts w:ascii="Times New Roman" w:eastAsia="sans-serif" w:hAnsi="Times New Roman" w:cs="Times New Roman"/>
          <w:i w:val="0"/>
          <w:iCs w:val="0"/>
          <w:color w:val="000000" w:themeColor="text1"/>
          <w:sz w:val="24"/>
          <w:szCs w:val="24"/>
          <w:shd w:val="clear" w:color="auto" w:fill="FFFFFF"/>
        </w:rPr>
        <w:tab/>
        <w:t>Drinking Water Foundation.</w:t>
      </w:r>
      <w:r w:rsidR="00CA64CC">
        <w:rPr>
          <w:rFonts w:ascii="Times New Roman" w:eastAsia="sans-serif" w:hAnsi="Times New Roman" w:cs="Times New Roman"/>
          <w:color w:val="000000" w:themeColor="text1"/>
          <w:sz w:val="24"/>
          <w:szCs w:val="24"/>
          <w:shd w:val="clear" w:color="auto" w:fill="FFFFFF"/>
        </w:rPr>
        <w:t> </w:t>
      </w:r>
      <w:hyperlink r:id="rId72" w:history="1">
        <w:r w:rsidR="00CA64CC">
          <w:rPr>
            <w:rStyle w:val="Hyperlink"/>
            <w:rFonts w:ascii="Times New Roman" w:eastAsia="sans-serif" w:hAnsi="Times New Roman" w:cs="Times New Roman"/>
            <w:color w:val="000000" w:themeColor="text1"/>
            <w:sz w:val="24"/>
            <w:szCs w:val="24"/>
            <w:u w:val="none"/>
            <w:shd w:val="clear" w:color="auto" w:fill="FFFFFF"/>
          </w:rPr>
          <w:t>Pdf.</w:t>
        </w:r>
      </w:hyperlink>
      <w:r w:rsidR="00CA64CC">
        <w:rPr>
          <w:rFonts w:ascii="Times New Roman" w:eastAsia="sans-serif" w:hAnsi="Times New Roman" w:cs="Times New Roman"/>
          <w:color w:val="000000" w:themeColor="text1"/>
          <w:sz w:val="24"/>
          <w:szCs w:val="24"/>
          <w:shd w:val="clear" w:color="auto" w:fill="FFFFFF"/>
        </w:rPr>
        <w:t> </w:t>
      </w:r>
      <w:hyperlink r:id="rId73" w:history="1">
        <w:r w:rsidR="00CA64CC">
          <w:rPr>
            <w:rStyle w:val="Hyperlink"/>
            <w:rFonts w:ascii="Times New Roman" w:eastAsia="sans-serif" w:hAnsi="Times New Roman" w:cs="Times New Roman"/>
            <w:color w:val="000000" w:themeColor="text1"/>
            <w:sz w:val="24"/>
            <w:szCs w:val="24"/>
            <w:u w:val="none"/>
            <w:shd w:val="clear" w:color="auto" w:fill="FFFFFF"/>
          </w:rPr>
          <w:t>Archived</w:t>
        </w:r>
      </w:hyperlink>
      <w:r w:rsidR="00CA64CC">
        <w:rPr>
          <w:rFonts w:ascii="Times New Roman" w:eastAsia="sans-serif" w:hAnsi="Times New Roman" w:cs="Times New Roman"/>
          <w:color w:val="000000" w:themeColor="text1"/>
          <w:sz w:val="24"/>
          <w:szCs w:val="24"/>
          <w:shd w:val="clear" w:color="auto" w:fill="FFFFFF"/>
        </w:rPr>
        <w:t> 2011-10-06 at the </w:t>
      </w:r>
      <w:hyperlink r:id="rId74" w:tooltip="Wayback Machine" w:history="1">
        <w:r w:rsidR="00CA64CC">
          <w:rPr>
            <w:rStyle w:val="Hyperlink"/>
            <w:rFonts w:ascii="Times New Roman" w:eastAsia="sans-serif" w:hAnsi="Times New Roman" w:cs="Times New Roman"/>
            <w:color w:val="000000" w:themeColor="text1"/>
            <w:sz w:val="24"/>
            <w:szCs w:val="24"/>
            <w:u w:val="none"/>
            <w:shd w:val="clear" w:color="auto" w:fill="FFFFFF"/>
          </w:rPr>
          <w:t xml:space="preserve">Wayback </w:t>
        </w:r>
        <w:r w:rsidR="00CA64CC">
          <w:rPr>
            <w:rStyle w:val="Hyperlink"/>
            <w:rFonts w:ascii="Times New Roman" w:eastAsia="sans-serif" w:hAnsi="Times New Roman" w:cs="Times New Roman"/>
            <w:color w:val="000000" w:themeColor="text1"/>
            <w:sz w:val="24"/>
            <w:szCs w:val="24"/>
            <w:u w:val="none"/>
            <w:shd w:val="clear" w:color="auto" w:fill="FFFFFF"/>
          </w:rPr>
          <w:tab/>
          <w:t>Machine</w:t>
        </w:r>
      </w:hyperlink>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(2017). Guidelines for Drinking-water Quality, 4th edition. World Health </w:t>
      </w:r>
      <w:r>
        <w:rPr>
          <w:rFonts w:ascii="Times New Roman" w:hAnsi="Times New Roman" w:cs="Times New Roman"/>
          <w:color w:val="000000" w:themeColor="text1"/>
          <w:sz w:val="24"/>
          <w:szCs w:val="24"/>
        </w:rPr>
        <w:tab/>
        <w:t>Organization. https://www.who.int/water_sanitation_health</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(2019). Water, Sanitation and Hygiene: Key facts. World Health Organization. </w:t>
      </w:r>
      <w:r>
        <w:rPr>
          <w:rFonts w:ascii="Times New Roman" w:hAnsi="Times New Roman" w:cs="Times New Roman"/>
          <w:color w:val="000000" w:themeColor="text1"/>
          <w:sz w:val="24"/>
          <w:szCs w:val="24"/>
        </w:rPr>
        <w:tab/>
        <w:t>https://www.who.int/news-room/fact-sheets/detail/drinking-water</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(2006). Guidelines for Drinking-water Quality (3rd ed., Vol. 1). Geneva: </w:t>
      </w:r>
      <w:r>
        <w:rPr>
          <w:rFonts w:ascii="Times New Roman" w:hAnsi="Times New Roman" w:cs="Times New Roman"/>
          <w:color w:val="000000" w:themeColor="text1"/>
          <w:sz w:val="24"/>
          <w:szCs w:val="24"/>
        </w:rPr>
        <w:tab/>
        <w:t>World Health Organization.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(2022). Drinking-water. Retrieved from </w:t>
      </w:r>
      <w:hyperlink r:id="rId75" w:history="1">
        <w:r>
          <w:rPr>
            <w:rStyle w:val="Hyperlink"/>
            <w:rFonts w:ascii="Times New Roman" w:hAnsi="Times New Roman" w:cs="Times New Roman"/>
            <w:sz w:val="24"/>
            <w:szCs w:val="24"/>
          </w:rPr>
          <w:t>https://www.who.int/news-room/fact-</w:t>
        </w:r>
      </w:hyperlink>
      <w:r>
        <w:rPr>
          <w:rFonts w:ascii="Times New Roman" w:hAnsi="Times New Roman" w:cs="Times New Roman"/>
          <w:color w:val="000000" w:themeColor="text1"/>
          <w:sz w:val="24"/>
          <w:szCs w:val="24"/>
        </w:rPr>
        <w:tab/>
        <w:t>sheets/detail/drinking-water</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WHO/UNICEF. (2000). Global Water Supply and Sanitation Assessment 2000 </w:t>
      </w:r>
      <w:r>
        <w:rPr>
          <w:rFonts w:ascii="Times New Roman" w:hAnsi="Times New Roman" w:cs="Times New Roman"/>
          <w:color w:val="000000" w:themeColor="text1"/>
          <w:sz w:val="24"/>
          <w:szCs w:val="24"/>
        </w:rPr>
        <w:tab/>
        <w:t xml:space="preserve">Report. Geneva: World Health Organization and United Nations Children’s </w:t>
      </w:r>
      <w:r>
        <w:rPr>
          <w:rFonts w:ascii="Times New Roman" w:hAnsi="Times New Roman" w:cs="Times New Roman"/>
          <w:color w:val="000000" w:themeColor="text1"/>
          <w:sz w:val="24"/>
          <w:szCs w:val="24"/>
        </w:rPr>
        <w:tab/>
        <w:t>Fund.</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WHO/UNICEF. (2004). Meeting the MDG Drinking Water and Sanitation Target: A </w:t>
      </w:r>
      <w:r>
        <w:rPr>
          <w:rFonts w:ascii="Times New Roman" w:hAnsi="Times New Roman" w:cs="Times New Roman"/>
          <w:color w:val="000000" w:themeColor="text1"/>
          <w:sz w:val="24"/>
          <w:szCs w:val="24"/>
        </w:rPr>
        <w:tab/>
        <w:t xml:space="preserve">Mid-Term Assessment of Progress. Geneva: World Health Organization and </w:t>
      </w:r>
      <w:r>
        <w:rPr>
          <w:rFonts w:ascii="Times New Roman" w:hAnsi="Times New Roman" w:cs="Times New Roman"/>
          <w:color w:val="000000" w:themeColor="text1"/>
          <w:sz w:val="24"/>
          <w:szCs w:val="24"/>
        </w:rPr>
        <w:tab/>
        <w:t>United Nations Children’s Fund.</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eastAsia="sans-serif" w:hAnsi="Times New Roman" w:cs="Times New Roman"/>
          <w:color w:val="000000" w:themeColor="text1"/>
          <w:sz w:val="24"/>
          <w:szCs w:val="24"/>
          <w:shd w:val="clear" w:color="auto" w:fill="FFFFFF"/>
        </w:rPr>
        <w:t>William Bento, The University of Zambia +260972476538[</w:t>
      </w:r>
      <w:hyperlink r:id="rId76" w:anchor="Self-published_sources" w:tooltip="Wikipedia:Verifiability" w:history="1">
        <w:r>
          <w:rPr>
            <w:rStyle w:val="Hyperlink"/>
            <w:rFonts w:ascii="Times New Roman" w:eastAsia="sans-serif" w:hAnsi="Times New Roman" w:cs="Times New Roman"/>
            <w:i/>
            <w:iCs/>
            <w:color w:val="000000" w:themeColor="text1"/>
            <w:sz w:val="24"/>
            <w:szCs w:val="24"/>
            <w:u w:val="none"/>
            <w:shd w:val="clear" w:color="auto" w:fill="FFFFFF"/>
          </w:rPr>
          <w:t>self-published source</w:t>
        </w:r>
      </w:hyperlink>
      <w:r>
        <w:rPr>
          <w:rFonts w:ascii="Times New Roman" w:eastAsia="sans-serif" w:hAnsi="Times New Roman" w:cs="Times New Roman"/>
          <w:color w:val="000000" w:themeColor="text1"/>
          <w:sz w:val="24"/>
          <w:szCs w:val="24"/>
          <w:shd w:val="clear" w:color="auto" w:fill="FFFFFF"/>
        </w:rPr>
        <w:t>]</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(2017): water quality and health - review of turbidity: </w:t>
      </w:r>
      <w:r>
        <w:rPr>
          <w:rFonts w:ascii="Times New Roman" w:hAnsi="Times New Roman" w:cs="Times New Roman"/>
          <w:sz w:val="24"/>
          <w:szCs w:val="24"/>
        </w:rPr>
        <w:tab/>
        <w:t xml:space="preserve">Information for regulators and water suppliers (WHO/FWC/WSH/17.01) </w:t>
      </w:r>
      <w:r>
        <w:rPr>
          <w:rFonts w:ascii="Times New Roman" w:hAnsi="Times New Roman" w:cs="Times New Roman"/>
          <w:sz w:val="24"/>
          <w:szCs w:val="24"/>
        </w:rPr>
        <w:tab/>
      </w:r>
      <w:r>
        <w:rPr>
          <w:rFonts w:ascii="Times New Roman" w:hAnsi="Times New Roman" w:cs="Times New Roman"/>
          <w:sz w:val="24"/>
          <w:szCs w:val="24"/>
        </w:rPr>
        <w:tab/>
        <w:t>Technical Brief.</w:t>
      </w:r>
    </w:p>
    <w:p w:rsidR="00252A34" w:rsidRDefault="00CA64C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World Health Organization (2017)</w:t>
      </w:r>
      <w:r>
        <w:rPr>
          <w:rFonts w:ascii="Times New Roman" w:hAnsi="Times New Roman" w:cs="Times New Roman"/>
          <w:b/>
          <w:bCs/>
          <w:sz w:val="24"/>
          <w:szCs w:val="24"/>
        </w:rPr>
        <w:t xml:space="preserve">WHO Guidelines for Drinking Water Quality, </w:t>
      </w:r>
      <w:r>
        <w:rPr>
          <w:rFonts w:ascii="Times New Roman" w:hAnsi="Times New Roman" w:cs="Times New Roman"/>
          <w:b/>
          <w:bCs/>
          <w:sz w:val="24"/>
          <w:szCs w:val="24"/>
        </w:rPr>
        <w:tab/>
        <w:t xml:space="preserve">4th Edition, 2017, </w:t>
      </w:r>
      <w:r>
        <w:rPr>
          <w:rFonts w:ascii="Times New Roman" w:hAnsi="Times New Roman" w:cs="Times New Roman"/>
          <w:sz w:val="24"/>
          <w:szCs w:val="24"/>
        </w:rPr>
        <w:t xml:space="preserve">Electrical conductivity related to taste and dissolved salts, </w:t>
      </w:r>
      <w:r>
        <w:rPr>
          <w:rFonts w:ascii="Times New Roman" w:hAnsi="Times New Roman" w:cs="Times New Roman"/>
          <w:sz w:val="24"/>
          <w:szCs w:val="24"/>
        </w:rPr>
        <w:tab/>
        <w:t>with recommended guideline values for health and palatability.</w:t>
      </w:r>
    </w:p>
    <w:p w:rsidR="00252A34" w:rsidRDefault="00CA64C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World Health Organization (WHO). (2017). </w:t>
      </w:r>
      <w:r>
        <w:rPr>
          <w:rStyle w:val="Emphasis"/>
          <w:rFonts w:ascii="Times New Roman" w:eastAsia="SimSun" w:hAnsi="Times New Roman" w:cs="Times New Roman"/>
          <w:color w:val="000000" w:themeColor="text1"/>
          <w:sz w:val="24"/>
          <w:szCs w:val="24"/>
        </w:rPr>
        <w:t>Guidelines for Drinking-water Quality</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ab/>
        <w:t xml:space="preserve">4th edition incorporating the first addendum. Geneva: World Health </w:t>
      </w:r>
      <w:r>
        <w:rPr>
          <w:rFonts w:ascii="Times New Roman" w:eastAsia="SimSun" w:hAnsi="Times New Roman" w:cs="Times New Roman"/>
          <w:color w:val="000000" w:themeColor="text1"/>
          <w:sz w:val="24"/>
          <w:szCs w:val="24"/>
        </w:rPr>
        <w:tab/>
        <w:t>Organization.</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Younger, P. L. (2001). Mine water pollution and remediation: A review. </w:t>
      </w:r>
      <w:r>
        <w:rPr>
          <w:rFonts w:ascii="Times New Roman" w:hAnsi="Times New Roman" w:cs="Times New Roman"/>
          <w:color w:val="000000" w:themeColor="text1"/>
          <w:sz w:val="24"/>
          <w:szCs w:val="24"/>
        </w:rPr>
        <w:tab/>
        <w:t xml:space="preserve">Environmental International, 27(3), 325–333.Adetunde, L. A., &amp; Glover, R. L. </w:t>
      </w:r>
      <w:r>
        <w:rPr>
          <w:rFonts w:ascii="Times New Roman" w:hAnsi="Times New Roman" w:cs="Times New Roman"/>
          <w:color w:val="000000" w:themeColor="text1"/>
          <w:sz w:val="24"/>
          <w:szCs w:val="24"/>
        </w:rPr>
        <w:tab/>
        <w:t xml:space="preserve">K. (2010). Bacteriological quality of borehole water used by students of the </w:t>
      </w:r>
      <w:r>
        <w:rPr>
          <w:rFonts w:ascii="Times New Roman" w:hAnsi="Times New Roman" w:cs="Times New Roman"/>
          <w:color w:val="000000" w:themeColor="text1"/>
          <w:sz w:val="24"/>
          <w:szCs w:val="24"/>
        </w:rPr>
        <w:tab/>
        <w:t xml:space="preserve">University for Development Studies, Navrongo Campus, Ghana. Current </w:t>
      </w:r>
      <w:r>
        <w:rPr>
          <w:rFonts w:ascii="Times New Roman" w:hAnsi="Times New Roman" w:cs="Times New Roman"/>
          <w:color w:val="000000" w:themeColor="text1"/>
          <w:sz w:val="24"/>
          <w:szCs w:val="24"/>
        </w:rPr>
        <w:tab/>
        <w:t>Research Journal of Biological Sciences, 2(6), 361–364.</w:t>
      </w:r>
    </w:p>
    <w:p w:rsidR="00252A34" w:rsidRDefault="00CA64C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Zamxaka, M., Pironcheva, G., </w:t>
      </w:r>
      <w:r w:rsidR="00960FF4">
        <w:rPr>
          <w:rFonts w:eastAsia="Cambria"/>
          <w:color w:val="000000" w:themeColor="text1"/>
          <w:lang/>
        </w:rPr>
        <w:t>a</w:t>
      </w:r>
      <w:r w:rsidR="00960FF4">
        <w:rPr>
          <w:rFonts w:ascii="Times New Roman" w:hAnsi="Times New Roman" w:cs="Times New Roman"/>
          <w:color w:val="000000" w:themeColor="text1"/>
          <w:sz w:val="24"/>
          <w:szCs w:val="24"/>
        </w:rPr>
        <w:t>nd</w:t>
      </w:r>
      <w:r w:rsidR="00960FF4">
        <w:rPr>
          <w:rFonts w:eastAsia="Cambria"/>
          <w:color w:val="000000" w:themeColor="text1"/>
          <w:lang/>
        </w:rPr>
        <w:t xml:space="preserve"> </w:t>
      </w:r>
      <w:r>
        <w:rPr>
          <w:rFonts w:ascii="Times New Roman" w:hAnsi="Times New Roman" w:cs="Times New Roman"/>
          <w:color w:val="000000" w:themeColor="text1"/>
          <w:sz w:val="24"/>
          <w:szCs w:val="24"/>
        </w:rPr>
        <w:t xml:space="preserve">Momba, M. N. B. (2004). Bacterial community and </w:t>
      </w:r>
      <w:r>
        <w:rPr>
          <w:rFonts w:ascii="Times New Roman" w:hAnsi="Times New Roman" w:cs="Times New Roman"/>
          <w:color w:val="000000" w:themeColor="text1"/>
          <w:sz w:val="24"/>
          <w:szCs w:val="24"/>
        </w:rPr>
        <w:tab/>
        <w:t xml:space="preserve">faecal coliforms in the drinking water of a peri-urban community in the </w:t>
      </w:r>
      <w:r>
        <w:rPr>
          <w:rFonts w:ascii="Times New Roman" w:hAnsi="Times New Roman" w:cs="Times New Roman"/>
          <w:color w:val="000000" w:themeColor="text1"/>
          <w:sz w:val="24"/>
          <w:szCs w:val="24"/>
        </w:rPr>
        <w:tab/>
        <w:t>Eastern Cape Province of South Africa. Water SA, 30(3), 333–340.</w:t>
      </w:r>
    </w:p>
    <w:sectPr w:rsidR="00252A34" w:rsidSect="00252A34">
      <w:footerReference w:type="default" r:id="rId77"/>
      <w:pgSz w:w="11906" w:h="16838"/>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47A" w:rsidRDefault="0062047A" w:rsidP="00252A34">
      <w:r>
        <w:separator/>
      </w:r>
    </w:p>
  </w:endnote>
  <w:endnote w:type="continuationSeparator" w:id="1">
    <w:p w:rsidR="0062047A" w:rsidRDefault="0062047A" w:rsidP="00252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mbusSanL-Bold">
    <w:altName w:val="Segoe Print"/>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Antiqua-Italic">
    <w:altName w:val="Segoe Print"/>
    <w:charset w:val="00"/>
    <w:family w:val="auto"/>
    <w:pitch w:val="default"/>
    <w:sig w:usb0="00000000" w:usb1="00000000" w:usb2="00000000" w:usb3="00000000" w:csb0="00000000" w:csb1="00000000"/>
  </w:font>
  <w:font w:name="BookAntiqua-Bold">
    <w:altName w:val="Segoe Print"/>
    <w:charset w:val="00"/>
    <w:family w:val="auto"/>
    <w:pitch w:val="default"/>
    <w:sig w:usb0="00000000" w:usb1="00000000" w:usb2="00000000" w:usb3="00000000" w:csb0="00000000" w:csb1="00000000"/>
  </w:font>
  <w:font w:name="NimbusRomNo9L">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C" w:rsidRDefault="00CA64CC">
    <w:pPr>
      <w:pStyle w:val="Footer"/>
    </w:pPr>
    <w:r>
      <w:pict>
        <v:shapetype id="_x0000_t202" coordsize="21600,21600" o:spt="202" path="m,l,21600r21600,l21600,xe">
          <v:stroke joinstyle="miter"/>
          <v:path gradientshapeok="t" o:connecttype="rect"/>
        </v:shapetype>
        <v:shape id="_x0000_s3074"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filled="f" stroked="f" strokeweight=".5pt">
          <v:textbox style="mso-fit-shape-to-text:t" inset="0,0,0,0">
            <w:txbxContent>
              <w:p w:rsidR="00CA64CC" w:rsidRDefault="00CA64CC">
                <w:pPr>
                  <w:pStyle w:val="Footer"/>
                </w:pPr>
                <w:fldSimple w:instr=" PAGE  \* MERGEFORMAT ">
                  <w:r w:rsidR="001F64FB">
                    <w:rPr>
                      <w:noProof/>
                    </w:rPr>
                    <w:t>I</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C" w:rsidRDefault="00CA64CC">
    <w:pPr>
      <w:pStyle w:val="Footer"/>
    </w:pPr>
    <w:r>
      <w:pict>
        <v:shapetype id="_x0000_t202" coordsize="21600,21600" o:spt="202" path="m,l,21600r21600,l21600,xe">
          <v:stroke joinstyle="miter"/>
          <v:path gradientshapeok="t" o:connecttype="rect"/>
        </v:shapetype>
        <v:shape id="_x0000_s3073"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cVO4hAgAAYgQAAA4AAABkcnMvZTJvRG9jLnhtbK1UTY/aMBC9V+p/&#10;sHwvAapuES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FRcVO4hAgAA&#10;YgQAAA4AAAAAAAAAAQAgAAAAHwEAAGRycy9lMm9Eb2MueG1sUEsFBgAAAAAGAAYAWQEAALIFAAAA&#10;AA==&#10;" filled="f" stroked="f" strokeweight=".5pt">
          <v:textbox style="mso-fit-shape-to-text:t" inset="0,0,0,0">
            <w:txbxContent>
              <w:p w:rsidR="00CA64CC" w:rsidRDefault="00CA64CC">
                <w:pPr>
                  <w:pStyle w:val="Footer"/>
                </w:pPr>
                <w:fldSimple w:instr=" PAGE  \* MERGEFORMAT ">
                  <w:r w:rsidR="001F64FB">
                    <w:rPr>
                      <w:noProof/>
                    </w:rPr>
                    <w:t>33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47A" w:rsidRDefault="0062047A" w:rsidP="00252A34">
      <w:r>
        <w:separator/>
      </w:r>
    </w:p>
  </w:footnote>
  <w:footnote w:type="continuationSeparator" w:id="1">
    <w:p w:rsidR="0062047A" w:rsidRDefault="0062047A" w:rsidP="00252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6CDA54"/>
    <w:multiLevelType w:val="singleLevel"/>
    <w:tmpl w:val="FD6CDA54"/>
    <w:lvl w:ilvl="0">
      <w:start w:val="1"/>
      <w:numFmt w:val="lowerRoman"/>
      <w:lvlText w:val="%1."/>
      <w:lvlJc w:val="left"/>
      <w:pPr>
        <w:tabs>
          <w:tab w:val="left" w:pos="425"/>
        </w:tabs>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rawingGridVerticalSpacing w:val="156"/>
  <w:noPunctuationKerning/>
  <w:characterSpacingControl w:val="doNotCompress"/>
  <w:hdrShapeDefaults>
    <o:shapedefaults v:ext="edit" spidmax="4098" fillcolor="white">
      <v:fill color="white"/>
    </o:shapedefaults>
    <o:shapelayout v:ext="edit">
      <o:idmap v:ext="edit" data="3"/>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43EE1F4D"/>
    <w:rsid w:val="001F64FB"/>
    <w:rsid w:val="00252A34"/>
    <w:rsid w:val="003D3E51"/>
    <w:rsid w:val="00524EBD"/>
    <w:rsid w:val="0062047A"/>
    <w:rsid w:val="00960FF4"/>
    <w:rsid w:val="00C87902"/>
    <w:rsid w:val="00CA64CC"/>
    <w:rsid w:val="0AB3370C"/>
    <w:rsid w:val="0DD34035"/>
    <w:rsid w:val="10B75294"/>
    <w:rsid w:val="111A54A4"/>
    <w:rsid w:val="1171712A"/>
    <w:rsid w:val="1330006B"/>
    <w:rsid w:val="171F3E7E"/>
    <w:rsid w:val="1C644DAA"/>
    <w:rsid w:val="1E602D56"/>
    <w:rsid w:val="1EEA6FB2"/>
    <w:rsid w:val="1F3D410C"/>
    <w:rsid w:val="2B23392E"/>
    <w:rsid w:val="31221AC4"/>
    <w:rsid w:val="31F03656"/>
    <w:rsid w:val="339E7B3C"/>
    <w:rsid w:val="39590DF1"/>
    <w:rsid w:val="3A8E1253"/>
    <w:rsid w:val="3E62162D"/>
    <w:rsid w:val="3ECA5C49"/>
    <w:rsid w:val="41F90D90"/>
    <w:rsid w:val="436C3E18"/>
    <w:rsid w:val="43EE1F4D"/>
    <w:rsid w:val="4AED5A95"/>
    <w:rsid w:val="4FC32035"/>
    <w:rsid w:val="5349426B"/>
    <w:rsid w:val="55381472"/>
    <w:rsid w:val="59696A4A"/>
    <w:rsid w:val="613338E2"/>
    <w:rsid w:val="63B42162"/>
    <w:rsid w:val="63B9462A"/>
    <w:rsid w:val="65083FE8"/>
    <w:rsid w:val="67FF6DAA"/>
    <w:rsid w:val="689579B2"/>
    <w:rsid w:val="6C9755AE"/>
    <w:rsid w:val="6DDB61ED"/>
    <w:rsid w:val="70230F84"/>
    <w:rsid w:val="74806A37"/>
    <w:rsid w:val="767D7874"/>
    <w:rsid w:val="78223E27"/>
    <w:rsid w:val="797E26B4"/>
    <w:rsid w:val="7E2E2899"/>
    <w:rsid w:val="7FF96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A34"/>
    <w:rPr>
      <w:rFonts w:asciiTheme="minorHAnsi" w:eastAsiaTheme="minorEastAsia" w:hAnsiTheme="minorHAnsi" w:cstheme="minorBidi"/>
      <w:lang w:eastAsia="zh-CN"/>
    </w:rPr>
  </w:style>
  <w:style w:type="paragraph" w:styleId="Heading1">
    <w:name w:val="heading 1"/>
    <w:next w:val="Normal"/>
    <w:qFormat/>
    <w:rsid w:val="00252A34"/>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rsid w:val="00252A34"/>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rsid w:val="00252A34"/>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252A34"/>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52A34"/>
    <w:rPr>
      <w:i/>
      <w:iCs/>
    </w:rPr>
  </w:style>
  <w:style w:type="paragraph" w:styleId="Footer">
    <w:name w:val="footer"/>
    <w:basedOn w:val="Normal"/>
    <w:qFormat/>
    <w:rsid w:val="00252A34"/>
    <w:pPr>
      <w:tabs>
        <w:tab w:val="center" w:pos="4153"/>
        <w:tab w:val="right" w:pos="8306"/>
      </w:tabs>
      <w:snapToGrid w:val="0"/>
    </w:pPr>
    <w:rPr>
      <w:sz w:val="18"/>
      <w:szCs w:val="18"/>
    </w:rPr>
  </w:style>
  <w:style w:type="paragraph" w:styleId="Header">
    <w:name w:val="header"/>
    <w:basedOn w:val="Normal"/>
    <w:qFormat/>
    <w:rsid w:val="00252A34"/>
    <w:pPr>
      <w:tabs>
        <w:tab w:val="center" w:pos="4153"/>
        <w:tab w:val="right" w:pos="8306"/>
      </w:tabs>
      <w:snapToGrid w:val="0"/>
    </w:pPr>
    <w:rPr>
      <w:sz w:val="18"/>
      <w:szCs w:val="18"/>
    </w:rPr>
  </w:style>
  <w:style w:type="character" w:styleId="HTMLCite">
    <w:name w:val="HTML Cite"/>
    <w:basedOn w:val="DefaultParagraphFont"/>
    <w:qFormat/>
    <w:rsid w:val="00252A34"/>
    <w:rPr>
      <w:i/>
      <w:iCs/>
    </w:rPr>
  </w:style>
  <w:style w:type="character" w:styleId="Hyperlink">
    <w:name w:val="Hyperlink"/>
    <w:basedOn w:val="DefaultParagraphFont"/>
    <w:qFormat/>
    <w:rsid w:val="00252A34"/>
    <w:rPr>
      <w:color w:val="0000FF"/>
      <w:u w:val="single"/>
    </w:rPr>
  </w:style>
  <w:style w:type="paragraph" w:styleId="NormalWeb">
    <w:name w:val="Normal (Web)"/>
    <w:basedOn w:val="Normal"/>
    <w:qFormat/>
    <w:rsid w:val="00252A34"/>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sid w:val="00252A34"/>
    <w:rPr>
      <w:b/>
      <w:bCs/>
    </w:rPr>
  </w:style>
  <w:style w:type="table" w:styleId="TableGrid">
    <w:name w:val="Table Grid"/>
    <w:basedOn w:val="TableNormal"/>
    <w:qFormat/>
    <w:rsid w:val="00252A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A34"/>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252A34"/>
    <w:rPr>
      <w:rFonts w:ascii="Calibri" w:eastAsia="Calibri" w:hAnsi="Calibri" w:cs="SimSun"/>
      <w:sz w:val="22"/>
      <w:szCs w:val="22"/>
    </w:rPr>
  </w:style>
  <w:style w:type="paragraph" w:styleId="BalloonText">
    <w:name w:val="Balloon Text"/>
    <w:basedOn w:val="Normal"/>
    <w:link w:val="BalloonTextChar"/>
    <w:rsid w:val="003D3E51"/>
    <w:rPr>
      <w:rFonts w:ascii="Tahoma" w:hAnsi="Tahoma" w:cs="Tahoma"/>
      <w:sz w:val="16"/>
      <w:szCs w:val="16"/>
    </w:rPr>
  </w:style>
  <w:style w:type="character" w:customStyle="1" w:styleId="BalloonTextChar">
    <w:name w:val="Balloon Text Char"/>
    <w:basedOn w:val="DefaultParagraphFont"/>
    <w:link w:val="BalloonText"/>
    <w:rsid w:val="003D3E51"/>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lgsonic.com/tastes-and-odors-in-drinking-water/" TargetMode="External"/><Relationship Id="rId18" Type="http://schemas.openxmlformats.org/officeDocument/2006/relationships/hyperlink" Target="https://en.wikipedia.org/wiki/United_States_Environmental_Protection_Agency" TargetMode="External"/><Relationship Id="rId26" Type="http://schemas.openxmlformats.org/officeDocument/2006/relationships/hyperlink" Target="https://en.wikipedia.org/wiki/ATP_test" TargetMode="External"/><Relationship Id="rId39" Type="http://schemas.openxmlformats.org/officeDocument/2006/relationships/image" Target="media/image2.jpeg"/><Relationship Id="rId21" Type="http://schemas.openxmlformats.org/officeDocument/2006/relationships/hyperlink" Target="https://en.wikipedia.org/wiki/World_Health_Organization" TargetMode="External"/><Relationship Id="rId34" Type="http://schemas.openxmlformats.org/officeDocument/2006/relationships/hyperlink" Target="https://en.wikipedia.org/wiki/Gram-negative_bacteria" TargetMode="External"/><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chart" Target="charts/chart10.xml"/><Relationship Id="rId55" Type="http://schemas.openxmlformats.org/officeDocument/2006/relationships/hyperlink" Target="https://en.wikipedia.org/wiki/Wikipedia:CITESHORT" TargetMode="External"/><Relationship Id="rId63" Type="http://schemas.openxmlformats.org/officeDocument/2006/relationships/hyperlink" Target="https://en.wikipedia.org/wiki/Drinking_water_quality_standards" TargetMode="External"/><Relationship Id="rId68" Type="http://schemas.openxmlformats.org/officeDocument/2006/relationships/hyperlink" Target="https://doi.org/10.1016/j.ijheh.2021.113804" TargetMode="External"/><Relationship Id="rId76" Type="http://schemas.openxmlformats.org/officeDocument/2006/relationships/hyperlink" Target="https://en.wikipedia.org/wiki/Wikipedia:Verifiability" TargetMode="External"/><Relationship Id="rId7" Type="http://schemas.openxmlformats.org/officeDocument/2006/relationships/endnotes" Target="endnotes.xml"/><Relationship Id="rId71" Type="http://schemas.openxmlformats.org/officeDocument/2006/relationships/hyperlink" Target="http://www.safewater.org/resources/fact-sheets.html" TargetMode="External"/><Relationship Id="rId2" Type="http://schemas.openxmlformats.org/officeDocument/2006/relationships/numbering" Target="numbering.xml"/><Relationship Id="rId16" Type="http://schemas.openxmlformats.org/officeDocument/2006/relationships/hyperlink" Target="https://en.wikipedia.org/wiki/Water_pollution" TargetMode="External"/><Relationship Id="rId29" Type="http://schemas.openxmlformats.org/officeDocument/2006/relationships/hyperlink" Target="https://en.wikipedia.org/wiki/Luminometer" TargetMode="External"/><Relationship Id="rId11" Type="http://schemas.openxmlformats.org/officeDocument/2006/relationships/hyperlink" Target="https://www.lgsonic.com/cyanobacterial-blooms/" TargetMode="External"/><Relationship Id="rId24" Type="http://schemas.openxmlformats.org/officeDocument/2006/relationships/hyperlink" Target="https://en.wikipedia.org/wiki/Durham_tube" TargetMode="External"/><Relationship Id="rId32" Type="http://schemas.openxmlformats.org/officeDocument/2006/relationships/hyperlink" Target="https://en.wikipedia.org/wiki/Plate_count_agar" TargetMode="External"/><Relationship Id="rId37" Type="http://schemas.openxmlformats.org/officeDocument/2006/relationships/hyperlink" Target="https://en.wikipedia.org/wiki/Membrane_filter" TargetMode="External"/><Relationship Id="rId40" Type="http://schemas.openxmlformats.org/officeDocument/2006/relationships/hyperlink" Target="http://www.goggle,com" TargetMode="External"/><Relationship Id="rId45" Type="http://schemas.openxmlformats.org/officeDocument/2006/relationships/chart" Target="charts/chart5.xml"/><Relationship Id="rId53" Type="http://schemas.openxmlformats.org/officeDocument/2006/relationships/hyperlink" Target="https://www.epa.gov/ccl" TargetMode="External"/><Relationship Id="rId58" Type="http://schemas.openxmlformats.org/officeDocument/2006/relationships/hyperlink" Target="https://en.wikipedia.org/wiki/Doi_(identifier)" TargetMode="External"/><Relationship Id="rId66" Type="http://schemas.openxmlformats.org/officeDocument/2006/relationships/hyperlink" Target="https://www.epa.gov/cwa-methods/approved-cwa-microbiological-test-methods" TargetMode="External"/><Relationship Id="rId74" Type="http://schemas.openxmlformats.org/officeDocument/2006/relationships/hyperlink" Target="https://en.wikipedia.org/wiki/Wayback_Machin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pi.semanticscholar.org/CorpusID:118571942" TargetMode="External"/><Relationship Id="rId10" Type="http://schemas.openxmlformats.org/officeDocument/2006/relationships/hyperlink" Target="https://www.lgsonic.com/nutrient-pollution/" TargetMode="External"/><Relationship Id="rId19" Type="http://schemas.openxmlformats.org/officeDocument/2006/relationships/hyperlink" Target="https://en.wikipedia.org/wiki/Safe_Drinking_Water_Act" TargetMode="External"/><Relationship Id="rId31" Type="http://schemas.openxmlformats.org/officeDocument/2006/relationships/hyperlink" Target="https://en.wikipedia.org/wiki/Nutrient" TargetMode="External"/><Relationship Id="rId44" Type="http://schemas.openxmlformats.org/officeDocument/2006/relationships/chart" Target="charts/chart4.xml"/><Relationship Id="rId52" Type="http://schemas.openxmlformats.org/officeDocument/2006/relationships/chart" Target="charts/chart12.xml"/><Relationship Id="rId60" Type="http://schemas.openxmlformats.org/officeDocument/2006/relationships/hyperlink" Target="https://en.wikipedia.org/wiki/S2CID_(identifier)" TargetMode="External"/><Relationship Id="rId65" Type="http://schemas.openxmlformats.org/officeDocument/2006/relationships/hyperlink" Target="http://kjs.mep.gov.cn/hjbhbz/bzwb/shjbh/shjzlbz/200206/t20020601_66497.htm" TargetMode="External"/><Relationship Id="rId73" Type="http://schemas.openxmlformats.org/officeDocument/2006/relationships/hyperlink" Target="https://web.archive.org/web/20111006230543/http://www.safewater.org/PDFS/PurposeofDrinkingWaterQualityGuidelinesRegulations.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Parameter" TargetMode="External"/><Relationship Id="rId22" Type="http://schemas.openxmlformats.org/officeDocument/2006/relationships/hyperlink" Target="https://en.wikipedia.org/wiki/European_Commission" TargetMode="External"/><Relationship Id="rId27" Type="http://schemas.openxmlformats.org/officeDocument/2006/relationships/hyperlink" Target="https://en.wikipedia.org/wiki/Adenosine_triphosphate" TargetMode="External"/><Relationship Id="rId30" Type="http://schemas.openxmlformats.org/officeDocument/2006/relationships/hyperlink" Target="https://en.wikipedia.org/wiki/Wastewater" TargetMode="External"/><Relationship Id="rId35" Type="http://schemas.openxmlformats.org/officeDocument/2006/relationships/hyperlink" Target="https://en.wikipedia.org/wiki/Reagent" TargetMode="External"/><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hyperlink" Target="https://en.wikipedia.org/wiki/ArXiv_(identifier)" TargetMode="External"/><Relationship Id="rId64" Type="http://schemas.openxmlformats.org/officeDocument/2006/relationships/hyperlink" Target="https://web.archive.org/web/20180803083322/http://kjs.mep.gov.cn/hjbhbz/bzwb/shjbh/shjzlbz/200206/t20020601_66497.htm" TargetMode="External"/><Relationship Id="rId69" Type="http://schemas.openxmlformats.org/officeDocument/2006/relationships/hyperlink" Target="https://nepis.epa.gov/Exe/ZyPURL.cgi?Dockey=P100ZH99.txt" TargetMode="External"/><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chart" Target="charts/chart11.xml"/><Relationship Id="rId72" Type="http://schemas.openxmlformats.org/officeDocument/2006/relationships/hyperlink" Target="http://www.safewater.org/PDFS/PurposeofDrinkingWaterQualityGuidelinesRegulations.pdf" TargetMode="External"/><Relationship Id="rId3" Type="http://schemas.openxmlformats.org/officeDocument/2006/relationships/styles" Target="styles.xml"/><Relationship Id="rId12" Type="http://schemas.openxmlformats.org/officeDocument/2006/relationships/hyperlink" Target="https://www.lgsonic.com/algae-associated-illnesses/" TargetMode="External"/><Relationship Id="rId17" Type="http://schemas.openxmlformats.org/officeDocument/2006/relationships/hyperlink" Target="https://en.wikipedia.org/wiki/Drinking_water_directive" TargetMode="External"/><Relationship Id="rId25" Type="http://schemas.openxmlformats.org/officeDocument/2006/relationships/hyperlink" Target="https://en.wikipedia.org/wiki/Escherichia_coli_(molecular_biology)" TargetMode="External"/><Relationship Id="rId33" Type="http://schemas.openxmlformats.org/officeDocument/2006/relationships/hyperlink" Target="https://en.wikipedia.org/wiki/MacConkey_agar" TargetMode="External"/><Relationship Id="rId38" Type="http://schemas.openxmlformats.org/officeDocument/2006/relationships/hyperlink" Target="https://en.wikipedia.org/wiki/Total_viable_count" TargetMode="External"/><Relationship Id="rId46" Type="http://schemas.openxmlformats.org/officeDocument/2006/relationships/chart" Target="charts/chart6.xml"/><Relationship Id="rId59" Type="http://schemas.openxmlformats.org/officeDocument/2006/relationships/hyperlink" Target="https://doi.org/10.1002/adem.201300259" TargetMode="External"/><Relationship Id="rId67" Type="http://schemas.openxmlformats.org/officeDocument/2006/relationships/hyperlink" Target="https://www.epa.gov/cwa-methods/approved-cwa-microbiological-test-methods" TargetMode="External"/><Relationship Id="rId20" Type="http://schemas.openxmlformats.org/officeDocument/2006/relationships/hyperlink" Target="https://en.wikipedia.org/wiki/Ministry_of_Environmental_Protection_of_the_People's_Republic_of_China" TargetMode="External"/><Relationship Id="rId41" Type="http://schemas.openxmlformats.org/officeDocument/2006/relationships/chart" Target="charts/chart1.xml"/><Relationship Id="rId54" Type="http://schemas.openxmlformats.org/officeDocument/2006/relationships/hyperlink" Target="http://ec.europa.eu/environment/water/water-drink/index_en.html" TargetMode="External"/><Relationship Id="rId62" Type="http://schemas.openxmlformats.org/officeDocument/2006/relationships/hyperlink" Target="https://en.wikipedia.org/wiki/Drinking_water_quality_standards" TargetMode="External"/><Relationship Id="rId70" Type="http://schemas.openxmlformats.org/officeDocument/2006/relationships/hyperlink" Target="https://www.epa.gov/laws-regulations/summary-safe-drinking-water-act" TargetMode="External"/><Relationship Id="rId75" Type="http://schemas.openxmlformats.org/officeDocument/2006/relationships/hyperlink" Target="https://www.who.int/news-room/fa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Drinking_water" TargetMode="External"/><Relationship Id="rId23" Type="http://schemas.openxmlformats.org/officeDocument/2006/relationships/hyperlink" Target="https://en.wikipedia.org/wiki/Sample_(material)" TargetMode="External"/><Relationship Id="rId28" Type="http://schemas.openxmlformats.org/officeDocument/2006/relationships/hyperlink" Target="https://en.wikipedia.org/wiki/Firefly_luciferase" TargetMode="External"/><Relationship Id="rId36" Type="http://schemas.openxmlformats.org/officeDocument/2006/relationships/hyperlink" Target="https://en.wikipedia.org/wiki/Microscope" TargetMode="External"/><Relationship Id="rId49" Type="http://schemas.openxmlformats.org/officeDocument/2006/relationships/chart" Target="charts/chart9.xml"/><Relationship Id="rId57" Type="http://schemas.openxmlformats.org/officeDocument/2006/relationships/hyperlink" Target="https://arxiv.org/abs/1404.265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8"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9"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0550154721826505E-2"/>
          <c:y val="1.8190044427950205E-2"/>
          <c:w val="0.82077544838195005"/>
          <c:h val="0.88802348695990296"/>
        </c:manualLayout>
      </c:layout>
      <c:barChart>
        <c:barDir val="col"/>
        <c:grouping val="clustered"/>
        <c:ser>
          <c:idx val="0"/>
          <c:order val="0"/>
          <c:tx>
            <c:strRef>
              <c:f>Sheet1!$B$2</c:f>
              <c:strCache>
                <c:ptCount val="1"/>
                <c:pt idx="0">
                  <c:v>Colour units</c:v>
                </c:pt>
              </c:strCache>
            </c:strRef>
          </c:tx>
          <c:spPr>
            <a:solidFill>
              <a:schemeClr val="accent1"/>
            </a:solidFill>
            <a:ln>
              <a:noFill/>
            </a:ln>
            <a:effectLst/>
          </c:spPr>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c:v>
                </c:pt>
                <c:pt idx="1">
                  <c:v>39.800000000000011</c:v>
                </c:pt>
                <c:pt idx="2">
                  <c:v>17</c:v>
                </c:pt>
                <c:pt idx="3">
                  <c:v>15.5</c:v>
                </c:pt>
                <c:pt idx="4">
                  <c:v>12</c:v>
                </c:pt>
                <c:pt idx="5">
                  <c:v>63.4</c:v>
                </c:pt>
                <c:pt idx="6">
                  <c:v>49</c:v>
                </c:pt>
                <c:pt idx="7">
                  <c:v>48.6</c:v>
                </c:pt>
                <c:pt idx="8">
                  <c:v>61</c:v>
                </c:pt>
                <c:pt idx="9">
                  <c:v>61</c:v>
                </c:pt>
                <c:pt idx="10">
                  <c:v>15</c:v>
                </c:pt>
              </c:numCache>
            </c:numRef>
          </c:val>
        </c:ser>
        <c:gapWidth val="300"/>
        <c:axId val="199593984"/>
        <c:axId val="233260544"/>
      </c:barChart>
      <c:catAx>
        <c:axId val="19959398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3260544"/>
        <c:crosses val="autoZero"/>
        <c:auto val="1"/>
        <c:lblAlgn val="ctr"/>
        <c:lblOffset val="100"/>
      </c:catAx>
      <c:valAx>
        <c:axId val="233260544"/>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959398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95318b40-a876-4417-8ee8-640858662d93}"/>
      </c:ext>
    </c:extLst>
  </c:chart>
  <c:spPr>
    <a:solidFill>
      <a:schemeClr val="bg1"/>
    </a:solidFill>
    <a:ln w="9525" cap="flat" cmpd="sng" algn="ctr">
      <a:solidFill>
        <a:srgbClr val="EDC5DA">
          <a:alpha val="96863"/>
        </a:srgbClr>
      </a:solidFill>
      <a:round/>
    </a:ln>
    <a:effectLst/>
  </c:spPr>
  <c:txPr>
    <a:bodyPr/>
    <a:lstStyle/>
    <a:p>
      <a:pPr>
        <a:defRPr lang="en-US"/>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Coliform counts / 100ml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c:v>
                </c:pt>
                <c:pt idx="1">
                  <c:v>4</c:v>
                </c:pt>
                <c:pt idx="2">
                  <c:v>15</c:v>
                </c:pt>
                <c:pt idx="3">
                  <c:v>8</c:v>
                </c:pt>
                <c:pt idx="4">
                  <c:v>1450</c:v>
                </c:pt>
                <c:pt idx="5">
                  <c:v>408</c:v>
                </c:pt>
                <c:pt idx="6">
                  <c:v>598</c:v>
                </c:pt>
                <c:pt idx="7">
                  <c:v>516</c:v>
                </c:pt>
                <c:pt idx="8">
                  <c:v>984</c:v>
                </c:pt>
                <c:pt idx="9">
                  <c:v>874</c:v>
                </c:pt>
                <c:pt idx="10">
                  <c:v>0</c:v>
                </c:pt>
              </c:numCache>
            </c:numRef>
          </c:val>
        </c:ser>
        <c:gapWidth val="300"/>
        <c:axId val="316947840"/>
        <c:axId val="316970496"/>
      </c:barChart>
      <c:catAx>
        <c:axId val="31694784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6970496"/>
        <c:crosses val="autoZero"/>
        <c:auto val="1"/>
        <c:lblAlgn val="ctr"/>
        <c:lblOffset val="100"/>
      </c:catAx>
      <c:valAx>
        <c:axId val="316970496"/>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694784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8f38cc55-dde7-4fd3-afc8-da0da1c7f2c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Total viable plate  count cfu/ ml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c:v>
                </c:pt>
                <c:pt idx="1">
                  <c:v>28</c:v>
                </c:pt>
                <c:pt idx="2">
                  <c:v>68</c:v>
                </c:pt>
                <c:pt idx="3">
                  <c:v>76</c:v>
                </c:pt>
                <c:pt idx="4">
                  <c:v>3508</c:v>
                </c:pt>
                <c:pt idx="5">
                  <c:v>2918</c:v>
                </c:pt>
                <c:pt idx="6">
                  <c:v>2482</c:v>
                </c:pt>
                <c:pt idx="7">
                  <c:v>3714</c:v>
                </c:pt>
                <c:pt idx="8">
                  <c:v>4817</c:v>
                </c:pt>
                <c:pt idx="9">
                  <c:v>4802</c:v>
                </c:pt>
                <c:pt idx="10">
                  <c:v>100</c:v>
                </c:pt>
              </c:numCache>
            </c:numRef>
          </c:val>
        </c:ser>
        <c:gapWidth val="300"/>
        <c:axId val="316986880"/>
        <c:axId val="316988800"/>
      </c:barChart>
      <c:catAx>
        <c:axId val="31698688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6988800"/>
        <c:crosses val="autoZero"/>
        <c:auto val="1"/>
        <c:lblAlgn val="ctr"/>
        <c:lblOffset val="100"/>
      </c:catAx>
      <c:valAx>
        <c:axId val="316988800"/>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698688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77202f15-ca4b-4283-a53b-e7b8d57e75d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Sheet1!$A$2:$E$2</c:f>
              <c:strCache>
                <c:ptCount val="1"/>
                <c:pt idx="0">
                  <c:v>E.coli/ 100ml ND ND ND ND</c:v>
                </c:pt>
              </c:strCache>
            </c:strRef>
          </c:tx>
          <c:spPr>
            <a:solidFill>
              <a:schemeClr val="accent1"/>
            </a:solidFill>
            <a:ln>
              <a:noFill/>
            </a:ln>
            <a:effectLst/>
          </c:spPr>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c:v>
                </c:pt>
                <c:pt idx="1">
                  <c:v>34</c:v>
                </c:pt>
                <c:pt idx="2">
                  <c:v>87</c:v>
                </c:pt>
                <c:pt idx="3">
                  <c:v>120</c:v>
                </c:pt>
                <c:pt idx="4">
                  <c:v>92</c:v>
                </c:pt>
                <c:pt idx="5">
                  <c:v>343</c:v>
                </c:pt>
                <c:pt idx="6">
                  <c:v>0</c:v>
                </c:pt>
              </c:numCache>
            </c:numRef>
          </c:val>
        </c:ser>
        <c:gapWidth val="300"/>
        <c:axId val="317021568"/>
        <c:axId val="317052416"/>
      </c:barChart>
      <c:catAx>
        <c:axId val="31702156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7052416"/>
        <c:crosses val="autoZero"/>
        <c:auto val="1"/>
        <c:lblAlgn val="ctr"/>
        <c:lblOffset val="100"/>
      </c:catAx>
      <c:valAx>
        <c:axId val="317052416"/>
        <c:scaling>
          <c:orientation val="minMax"/>
        </c:scaling>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702156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b3640322-c372-4560-8f9a-e466aedcf93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Turbidity N.T.U</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c:v>
                </c:pt>
                <c:pt idx="1">
                  <c:v>62</c:v>
                </c:pt>
                <c:pt idx="2">
                  <c:v>9</c:v>
                </c:pt>
                <c:pt idx="3">
                  <c:v>48</c:v>
                </c:pt>
                <c:pt idx="4">
                  <c:v>8.5</c:v>
                </c:pt>
                <c:pt idx="5">
                  <c:v>92</c:v>
                </c:pt>
                <c:pt idx="6">
                  <c:v>21</c:v>
                </c:pt>
                <c:pt idx="7">
                  <c:v>67</c:v>
                </c:pt>
                <c:pt idx="8">
                  <c:v>20</c:v>
                </c:pt>
                <c:pt idx="9">
                  <c:v>20</c:v>
                </c:pt>
                <c:pt idx="10">
                  <c:v>5</c:v>
                </c:pt>
              </c:numCache>
            </c:numRef>
          </c:val>
        </c:ser>
        <c:gapWidth val="300"/>
        <c:axId val="255395328"/>
        <c:axId val="255397248"/>
      </c:barChart>
      <c:catAx>
        <c:axId val="25539532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5397248"/>
        <c:crosses val="autoZero"/>
        <c:auto val="1"/>
        <c:lblAlgn val="ctr"/>
        <c:lblOffset val="100"/>
      </c:catAx>
      <c:valAx>
        <c:axId val="255397248"/>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Values</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539532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e7a4cbc4-0ad7-4c19-b670-6bcd821115d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TDS </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c:v>
                </c:pt>
                <c:pt idx="1">
                  <c:v>65</c:v>
                </c:pt>
                <c:pt idx="2">
                  <c:v>980</c:v>
                </c:pt>
                <c:pt idx="3">
                  <c:v>104.1</c:v>
                </c:pt>
                <c:pt idx="4">
                  <c:v>790</c:v>
                </c:pt>
                <c:pt idx="5">
                  <c:v>159</c:v>
                </c:pt>
                <c:pt idx="6">
                  <c:v>879</c:v>
                </c:pt>
                <c:pt idx="7">
                  <c:v>78</c:v>
                </c:pt>
                <c:pt idx="8">
                  <c:v>710.5</c:v>
                </c:pt>
                <c:pt idx="9">
                  <c:v>710.5</c:v>
                </c:pt>
                <c:pt idx="10">
                  <c:v>500</c:v>
                </c:pt>
              </c:numCache>
            </c:numRef>
          </c:val>
        </c:ser>
        <c:gapWidth val="300"/>
        <c:axId val="313339904"/>
        <c:axId val="313341824"/>
      </c:barChart>
      <c:catAx>
        <c:axId val="31333990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341824"/>
        <c:crosses val="autoZero"/>
        <c:auto val="1"/>
        <c:lblAlgn val="ctr"/>
        <c:lblOffset val="100"/>
      </c:catAx>
      <c:valAx>
        <c:axId val="313341824"/>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33990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29d6a70d-731e-4ba2-89f0-377fd918aee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Electrical Cond.</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c:v>
                </c:pt>
                <c:pt idx="1">
                  <c:v>118.6</c:v>
                </c:pt>
                <c:pt idx="2">
                  <c:v>1850</c:v>
                </c:pt>
                <c:pt idx="3">
                  <c:v>246.2</c:v>
                </c:pt>
                <c:pt idx="4">
                  <c:v>1568</c:v>
                </c:pt>
                <c:pt idx="5">
                  <c:v>346</c:v>
                </c:pt>
                <c:pt idx="6">
                  <c:v>1758</c:v>
                </c:pt>
                <c:pt idx="7">
                  <c:v>150.80000000000001</c:v>
                </c:pt>
                <c:pt idx="8">
                  <c:v>1419</c:v>
                </c:pt>
                <c:pt idx="9">
                  <c:v>1419</c:v>
                </c:pt>
                <c:pt idx="10">
                  <c:v>1000</c:v>
                </c:pt>
              </c:numCache>
            </c:numRef>
          </c:val>
        </c:ser>
        <c:gapWidth val="300"/>
        <c:axId val="237628800"/>
        <c:axId val="255272448"/>
      </c:barChart>
      <c:catAx>
        <c:axId val="23762880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5272448"/>
        <c:crosses val="autoZero"/>
        <c:auto val="1"/>
        <c:lblAlgn val="ctr"/>
        <c:lblOffset val="100"/>
      </c:catAx>
      <c:valAx>
        <c:axId val="255272448"/>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762880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625a88a4-9947-4531-af87-248f37f9c61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Iron Fe3+ mg/l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1.0000000000000004E-2</c:v>
                </c:pt>
                <c:pt idx="2">
                  <c:v>0.05</c:v>
                </c:pt>
                <c:pt idx="3">
                  <c:v>0.62000000000000022</c:v>
                </c:pt>
                <c:pt idx="4">
                  <c:v>2.0000000000000007E-2</c:v>
                </c:pt>
                <c:pt idx="5">
                  <c:v>0</c:v>
                </c:pt>
                <c:pt idx="6">
                  <c:v>0</c:v>
                </c:pt>
                <c:pt idx="7">
                  <c:v>0.75000000000000022</c:v>
                </c:pt>
                <c:pt idx="8">
                  <c:v>0.3600000000000001</c:v>
                </c:pt>
                <c:pt idx="9">
                  <c:v>0.3600000000000001</c:v>
                </c:pt>
                <c:pt idx="10">
                  <c:v>0.3000000000000001</c:v>
                </c:pt>
              </c:numCache>
            </c:numRef>
          </c:val>
        </c:ser>
        <c:gapWidth val="300"/>
        <c:axId val="255284736"/>
        <c:axId val="255286656"/>
      </c:barChart>
      <c:catAx>
        <c:axId val="25528473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5286656"/>
        <c:crosses val="autoZero"/>
        <c:auto val="1"/>
        <c:lblAlgn val="ctr"/>
        <c:lblOffset val="100"/>
      </c:catAx>
      <c:valAx>
        <c:axId val="255286656"/>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528473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e2cfbbfb-ded2-4ab3-a2ab-658cc179c68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Sheet1!$A$2:$C$2</c:f>
              <c:strCache>
                <c:ptCount val="1"/>
                <c:pt idx="0">
                  <c:v>Manganese Mn2+  mg/l ND ND</c:v>
                </c:pt>
              </c:strCache>
            </c:strRef>
          </c:tx>
          <c:spPr>
            <a:solidFill>
              <a:schemeClr val="accent1"/>
            </a:solidFill>
            <a:ln>
              <a:noFill/>
            </a:ln>
            <a:effectLst/>
          </c:spPr>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0.70000000000000018</c:v>
                </c:pt>
                <c:pt idx="2">
                  <c:v>0.1</c:v>
                </c:pt>
                <c:pt idx="3">
                  <c:v>0.6000000000000002</c:v>
                </c:pt>
                <c:pt idx="4">
                  <c:v>0</c:v>
                </c:pt>
                <c:pt idx="5">
                  <c:v>0</c:v>
                </c:pt>
                <c:pt idx="6">
                  <c:v>0.3000000000000001</c:v>
                </c:pt>
                <c:pt idx="7">
                  <c:v>0.3000000000000001</c:v>
                </c:pt>
                <c:pt idx="8">
                  <c:v>0.1</c:v>
                </c:pt>
              </c:numCache>
            </c:numRef>
          </c:val>
        </c:ser>
        <c:gapWidth val="300"/>
        <c:axId val="255413632"/>
        <c:axId val="313099776"/>
      </c:barChart>
      <c:catAx>
        <c:axId val="25541363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099776"/>
        <c:crosses val="autoZero"/>
        <c:auto val="1"/>
        <c:lblAlgn val="ctr"/>
        <c:lblOffset val="100"/>
      </c:catAx>
      <c:valAx>
        <c:axId val="313099776"/>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541363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3323bb48-de77-4639-a74f-cc00000d16f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Sheet1!$A$2:$D$2</c:f>
              <c:strCache>
                <c:ptCount val="1"/>
                <c:pt idx="0">
                  <c:v>Nitrate mg/l ND ND ND</c:v>
                </c:pt>
              </c:strCache>
            </c:strRef>
          </c:tx>
          <c:spPr>
            <a:solidFill>
              <a:schemeClr val="accent1"/>
            </a:solidFill>
            <a:ln>
              <a:noFill/>
            </a:ln>
            <a:effectLst/>
          </c:spPr>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18.399999999999999</c:v>
                </c:pt>
                <c:pt idx="1">
                  <c:v>24.1</c:v>
                </c:pt>
                <c:pt idx="2">
                  <c:v>9.57</c:v>
                </c:pt>
                <c:pt idx="3">
                  <c:v>23.43</c:v>
                </c:pt>
                <c:pt idx="4">
                  <c:v>3.3</c:v>
                </c:pt>
                <c:pt idx="5">
                  <c:v>18.600000000000001</c:v>
                </c:pt>
                <c:pt idx="6">
                  <c:v>18.600000000000001</c:v>
                </c:pt>
                <c:pt idx="7">
                  <c:v>50</c:v>
                </c:pt>
              </c:numCache>
            </c:numRef>
          </c:val>
        </c:ser>
        <c:gapWidth val="300"/>
        <c:axId val="313116160"/>
        <c:axId val="313118080"/>
      </c:barChart>
      <c:catAx>
        <c:axId val="31311616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118080"/>
        <c:crosses val="autoZero"/>
        <c:auto val="1"/>
        <c:lblAlgn val="ctr"/>
        <c:lblOffset val="100"/>
      </c:catAx>
      <c:valAx>
        <c:axId val="313118080"/>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11616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0224a3fc-cc3f-4fbe-8610-7f160674b04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Nitrite </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8.0000000000000029E-2</c:v>
                </c:pt>
                <c:pt idx="1">
                  <c:v>6.0000000000000019E-2</c:v>
                </c:pt>
                <c:pt idx="2">
                  <c:v>0.14000000000000001</c:v>
                </c:pt>
                <c:pt idx="3">
                  <c:v>8.0000000000000029E-2</c:v>
                </c:pt>
                <c:pt idx="4">
                  <c:v>0.22</c:v>
                </c:pt>
                <c:pt idx="5">
                  <c:v>1.0000000000000004E-2</c:v>
                </c:pt>
                <c:pt idx="6">
                  <c:v>0.41000000000000009</c:v>
                </c:pt>
                <c:pt idx="7">
                  <c:v>8.0000000000000029E-2</c:v>
                </c:pt>
                <c:pt idx="8">
                  <c:v>0.51</c:v>
                </c:pt>
                <c:pt idx="9">
                  <c:v>0.51</c:v>
                </c:pt>
                <c:pt idx="10">
                  <c:v>0.2</c:v>
                </c:pt>
              </c:numCache>
            </c:numRef>
          </c:val>
        </c:ser>
        <c:gapWidth val="300"/>
        <c:axId val="313228672"/>
        <c:axId val="313378304"/>
      </c:barChart>
      <c:catAx>
        <c:axId val="31322867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378304"/>
        <c:crosses val="autoZero"/>
        <c:auto val="1"/>
        <c:lblAlgn val="ctr"/>
        <c:lblOffset val="100"/>
      </c:catAx>
      <c:valAx>
        <c:axId val="313378304"/>
        <c:scaling>
          <c:orientation val="minMax"/>
        </c:scaling>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22867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495020d1-7a37-471f-8640-1b47a1b313f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Total hardness mg/l</c:v>
                </c:pt>
              </c:strCache>
            </c:strRef>
          </c:tx>
          <c:spPr>
            <a:solidFill>
              <a:schemeClr val="accent1"/>
            </a:solidFill>
            <a:ln>
              <a:noFill/>
            </a:ln>
            <a:effectLst/>
          </c:spPr>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c:v>
                </c:pt>
                <c:pt idx="1">
                  <c:v>10.4</c:v>
                </c:pt>
                <c:pt idx="2">
                  <c:v>42</c:v>
                </c:pt>
                <c:pt idx="3">
                  <c:v>18.7</c:v>
                </c:pt>
                <c:pt idx="4">
                  <c:v>54</c:v>
                </c:pt>
                <c:pt idx="5">
                  <c:v>35.6</c:v>
                </c:pt>
                <c:pt idx="6">
                  <c:v>78</c:v>
                </c:pt>
                <c:pt idx="7">
                  <c:v>49.7</c:v>
                </c:pt>
                <c:pt idx="8">
                  <c:v>98.9</c:v>
                </c:pt>
                <c:pt idx="9">
                  <c:v>98.9</c:v>
                </c:pt>
                <c:pt idx="10">
                  <c:v>100</c:v>
                </c:pt>
              </c:numCache>
            </c:numRef>
          </c:val>
        </c:ser>
        <c:gapWidth val="300"/>
        <c:axId val="316904960"/>
        <c:axId val="316906880"/>
      </c:barChart>
      <c:catAx>
        <c:axId val="31690496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6906880"/>
        <c:crosses val="autoZero"/>
        <c:auto val="1"/>
        <c:lblAlgn val="ctr"/>
        <c:lblOffset val="100"/>
      </c:catAx>
      <c:valAx>
        <c:axId val="316906880"/>
        <c:scaling>
          <c:orientation val="minMax"/>
        </c:scaling>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Value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690496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fd4f6e98-47f6-48b8-8e62-e301974400a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58</Pages>
  <Words>11674</Words>
  <Characters>66548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2025-09-03T12:02:00Z</cp:lastPrinted>
  <dcterms:created xsi:type="dcterms:W3CDTF">2024-11-15T10:01:00Z</dcterms:created>
  <dcterms:modified xsi:type="dcterms:W3CDTF">2025-09-04T05:18:00Z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4DF5466DB65F4A57B9D6E48F18F20308_11</vt:lpwstr>
  </property>
</Properties>
</file>