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w:t>
      </w:r>
      <w:bookmarkStart w:id="0" w:name="_GoBack"/>
      <w:bookmarkEnd w:id="0"/>
      <w:r>
        <w:rPr>
          <w:rFonts w:ascii="Times New Roman" w:eastAsia="Times New Roman" w:hAnsi="Times New Roman" w:cs="Times New Roman"/>
          <w:b/>
          <w:sz w:val="28"/>
          <w:szCs w:val="28"/>
        </w:rPr>
        <w:t>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380D27" w:rsidRPr="00380D27" w:rsidRDefault="00380D27" w:rsidP="00380D27">
      <w:pPr>
        <w:jc w:val="center"/>
        <w:rPr>
          <w:rFonts w:ascii="Times New Roman" w:hAnsi="Times New Roman" w:cs="Times New Roman"/>
          <w:b/>
          <w:sz w:val="28"/>
          <w:szCs w:val="28"/>
        </w:rPr>
      </w:pPr>
      <w:r w:rsidRPr="00380D27">
        <w:rPr>
          <w:rFonts w:ascii="Times New Roman" w:hAnsi="Times New Roman" w:cs="Times New Roman"/>
          <w:b/>
          <w:sz w:val="28"/>
          <w:szCs w:val="28"/>
        </w:rPr>
        <w:t xml:space="preserve">ISIAQ MARYAM OLUWAKEMI </w:t>
      </w:r>
    </w:p>
    <w:p w:rsidR="00065747" w:rsidRDefault="00380D27" w:rsidP="00380D27">
      <w:pPr>
        <w:jc w:val="center"/>
        <w:rPr>
          <w:rFonts w:ascii="Times New Roman" w:hAnsi="Times New Roman" w:cs="Times New Roman"/>
          <w:b/>
          <w:sz w:val="28"/>
          <w:szCs w:val="28"/>
        </w:rPr>
      </w:pPr>
      <w:r w:rsidRPr="00380D27">
        <w:rPr>
          <w:rFonts w:ascii="Times New Roman" w:hAnsi="Times New Roman" w:cs="Times New Roman"/>
          <w:b/>
          <w:sz w:val="28"/>
          <w:szCs w:val="28"/>
        </w:rPr>
        <w:t>HND/23/SLT/FT/1156</w:t>
      </w:r>
    </w:p>
    <w:p w:rsidR="00380D27" w:rsidRDefault="00380D27" w:rsidP="00380D27">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Pr="00DF28FE" w:rsidRDefault="00D82B52" w:rsidP="00DF28FE">
      <w:pPr>
        <w:spacing w:after="0" w:line="360" w:lineRule="auto"/>
        <w:rPr>
          <w:rFonts w:ascii="Times New Roman" w:hAnsi="Times New Roman" w:cs="Times New Roman"/>
          <w:sz w:val="28"/>
          <w:szCs w:val="28"/>
        </w:rPr>
      </w:pPr>
      <w:r w:rsidRPr="00D82B52">
        <w:rPr>
          <w:rFonts w:ascii="Times New Roman" w:hAnsi="Times New Roman" w:cs="Times New Roman"/>
          <w:b/>
          <w:bCs/>
          <w:noProof/>
          <w:sz w:val="28"/>
          <w:szCs w:val="28"/>
        </w:rPr>
        <w:lastRenderedPageBreak/>
        <w:drawing>
          <wp:inline distT="0" distB="0" distL="0" distR="0">
            <wp:extent cx="7823164" cy="5340668"/>
            <wp:effectExtent l="2858" t="0" r="0" b="0"/>
            <wp:docPr id="1" name="Picture 1" descr="C:\Users\BALOGUN JAMIU\AppData\Local\Packages\5319275A.WhatsAppDesktop_cv1g1gvanyjgm\TempState\82E23E376F6B04C2259EFF804BD00A5B\WhatsApp Image 2025-08-29 at 14.10.45_fa5e11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82E23E376F6B04C2259EFF804BD00A5B\WhatsApp Image 2025-08-29 at 14.10.45_fa5e11fc.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623" t="11310" r="3102" b="7665"/>
                    <a:stretch/>
                  </pic:blipFill>
                  <pic:spPr bwMode="auto">
                    <a:xfrm rot="16200000">
                      <a:off x="0" y="0"/>
                      <a:ext cx="7858585" cy="5364849"/>
                    </a:xfrm>
                    <a:prstGeom prst="rect">
                      <a:avLst/>
                    </a:prstGeom>
                    <a:noFill/>
                    <a:ln>
                      <a:noFill/>
                    </a:ln>
                    <a:extLst>
                      <a:ext uri="{53640926-AAD7-44D8-BBD7-CCE9431645EC}">
                        <a14:shadowObscured xmlns:a14="http://schemas.microsoft.com/office/drawing/2010/main"/>
                      </a:ext>
                    </a:extLst>
                  </pic:spPr>
                </pic:pic>
              </a:graphicData>
            </a:graphic>
          </wp:inline>
        </w:drawing>
      </w:r>
    </w:p>
    <w:p w:rsidR="00331D47" w:rsidRPr="00331D47" w:rsidRDefault="00531202" w:rsidP="00D82B52">
      <w:pPr>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531202" w:rsidRPr="00380D27" w:rsidRDefault="00380D27" w:rsidP="00380D27">
      <w:pPr>
        <w:spacing w:line="480" w:lineRule="auto"/>
        <w:jc w:val="both"/>
        <w:rPr>
          <w:rFonts w:ascii="Times New Roman" w:hAnsi="Times New Roman" w:cs="Times New Roman"/>
          <w:sz w:val="28"/>
          <w:szCs w:val="28"/>
        </w:rPr>
      </w:pPr>
      <w:r w:rsidRPr="00380D27">
        <w:rPr>
          <w:rFonts w:ascii="Times New Roman" w:hAnsi="Times New Roman" w:cs="Times New Roman"/>
          <w:sz w:val="28"/>
          <w:szCs w:val="28"/>
        </w:rPr>
        <w:t>This project is dedicated to almighty ALLAH for the success of this project who has seen me through this project work .the most merciful who has being with me throughout the period of my stay In KWARA STATE POLY</w:t>
      </w:r>
      <w:r>
        <w:rPr>
          <w:rFonts w:ascii="Times New Roman" w:hAnsi="Times New Roman" w:cs="Times New Roman"/>
          <w:sz w:val="28"/>
          <w:szCs w:val="28"/>
        </w:rPr>
        <w:t xml:space="preserve">TECHNIC. </w:t>
      </w:r>
      <w:r w:rsidRPr="00380D27">
        <w:rPr>
          <w:rFonts w:ascii="Times New Roman" w:hAnsi="Times New Roman" w:cs="Times New Roman"/>
          <w:sz w:val="28"/>
          <w:szCs w:val="28"/>
        </w:rPr>
        <w:t>His grace sustained me through every challenges,</w:t>
      </w:r>
      <w:r>
        <w:rPr>
          <w:rFonts w:ascii="Times New Roman" w:hAnsi="Times New Roman" w:cs="Times New Roman"/>
          <w:sz w:val="28"/>
          <w:szCs w:val="28"/>
        </w:rPr>
        <w:t xml:space="preserve"> </w:t>
      </w:r>
      <w:r w:rsidRPr="00380D27">
        <w:rPr>
          <w:rFonts w:ascii="Times New Roman" w:hAnsi="Times New Roman" w:cs="Times New Roman"/>
          <w:sz w:val="28"/>
          <w:szCs w:val="28"/>
        </w:rPr>
        <w:t>his light guided every steps I take and it’s faithfulness brought this journey to completion.I will favour be grateful to you Allah.</w:t>
      </w:r>
      <w:r w:rsidR="00657CB7" w:rsidRPr="00657CB7">
        <w:rPr>
          <w:rFonts w:ascii="Times New Roman" w:hAnsi="Times New Roman" w:cs="Times New Roman"/>
          <w:sz w:val="28"/>
          <w:szCs w:val="28"/>
        </w:rPr>
        <w:t xml:space="preserve"> </w:t>
      </w:r>
    </w:p>
    <w:p w:rsidR="00657CB7" w:rsidRDefault="00657CB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rsidR="00380D27" w:rsidRPr="00380D27" w:rsidRDefault="00380D27" w:rsidP="00380D27">
      <w:pPr>
        <w:spacing w:line="276" w:lineRule="auto"/>
        <w:jc w:val="both"/>
        <w:rPr>
          <w:rFonts w:ascii="Times New Roman" w:hAnsi="Times New Roman" w:cs="Times New Roman"/>
          <w:sz w:val="28"/>
          <w:szCs w:val="28"/>
        </w:rPr>
      </w:pPr>
      <w:r w:rsidRPr="00380D27">
        <w:rPr>
          <w:rFonts w:ascii="Times New Roman" w:hAnsi="Times New Roman" w:cs="Times New Roman"/>
          <w:sz w:val="28"/>
          <w:szCs w:val="28"/>
        </w:rPr>
        <w:t>My deepest gratitude goes to almighty Allah the most high,creator of all creatives for his guidance,grace and endless mercy that was evident in my life and for the completion of any HND program successfully.I would like express my deepest appreciation to (Dr usman A)head of department for his expert supervision,insightful feedback and continuous support.his guidance has played a crucial role in shaping the direction and outcome of his research.also I sincerely appreciate the kindness of the unit in person of (Mrs Ahmed T)for her motherly support,may almighty Allah grant you long life and good health to eat and enjoy the fruits of your labours. Also I would like to express my special thanks to my amiable supervisor (Mrs Abdullahi H.j)for patience in supervising me,may almighty see you through in all your undertakings(ameen)</w:t>
      </w:r>
      <w:r>
        <w:rPr>
          <w:rFonts w:ascii="Times New Roman" w:hAnsi="Times New Roman" w:cs="Times New Roman"/>
          <w:sz w:val="28"/>
          <w:szCs w:val="28"/>
        </w:rPr>
        <w:t xml:space="preserve">. </w:t>
      </w:r>
      <w:r w:rsidRPr="00380D27">
        <w:rPr>
          <w:rFonts w:ascii="Times New Roman" w:hAnsi="Times New Roman" w:cs="Times New Roman"/>
          <w:sz w:val="28"/>
          <w:szCs w:val="28"/>
        </w:rPr>
        <w:t>Also I would like to thank my parent because I cannot resist the urge of expressing my sincere gratitude to my precious parent (Mrand Mrs isiai)for their immeasurable support since I was born till moment and beyond and through my academic Allah grant them long life and good health to eat and enj</w:t>
      </w:r>
      <w:r>
        <w:rPr>
          <w:rFonts w:ascii="Times New Roman" w:hAnsi="Times New Roman" w:cs="Times New Roman"/>
          <w:sz w:val="28"/>
          <w:szCs w:val="28"/>
        </w:rPr>
        <w:t>oy the fruits of their labours.</w:t>
      </w:r>
      <w:r w:rsidRPr="00380D27">
        <w:rPr>
          <w:rFonts w:ascii="Times New Roman" w:hAnsi="Times New Roman" w:cs="Times New Roman"/>
          <w:sz w:val="28"/>
          <w:szCs w:val="28"/>
        </w:rPr>
        <w:t>To my beloved and amazing family Isiaq hakeem,baliqees and Abdulwasiu I say a big thanks to you all .forward ever,backwards never(ameen)</w:t>
      </w:r>
    </w:p>
    <w:p w:rsidR="00065747" w:rsidRPr="00065747" w:rsidRDefault="00380D27" w:rsidP="00380D2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To amazing friends  </w:t>
      </w:r>
      <w:r w:rsidRPr="00380D27">
        <w:rPr>
          <w:rFonts w:ascii="Times New Roman" w:hAnsi="Times New Roman" w:cs="Times New Roman"/>
          <w:sz w:val="28"/>
          <w:szCs w:val="28"/>
        </w:rPr>
        <w:t>Faheezah, Aisha and Mar</w:t>
      </w:r>
      <w:r>
        <w:rPr>
          <w:rFonts w:ascii="Times New Roman" w:hAnsi="Times New Roman" w:cs="Times New Roman"/>
          <w:sz w:val="28"/>
          <w:szCs w:val="28"/>
        </w:rPr>
        <w:t>yam</w:t>
      </w:r>
      <w:r w:rsidRPr="00380D27">
        <w:rPr>
          <w:rFonts w:ascii="Times New Roman" w:hAnsi="Times New Roman" w:cs="Times New Roman"/>
          <w:sz w:val="28"/>
          <w:szCs w:val="28"/>
        </w:rPr>
        <w:t xml:space="preserve"> I say a big thanks to you all .May almighty Allah bless you an</w:t>
      </w:r>
      <w:r>
        <w:rPr>
          <w:rFonts w:ascii="Times New Roman" w:hAnsi="Times New Roman" w:cs="Times New Roman"/>
          <w:sz w:val="28"/>
          <w:szCs w:val="28"/>
        </w:rPr>
        <w:t xml:space="preserve">d keep our friendship together. </w:t>
      </w:r>
      <w:r w:rsidRPr="00380D27">
        <w:rPr>
          <w:rFonts w:ascii="Times New Roman" w:hAnsi="Times New Roman" w:cs="Times New Roman"/>
          <w:sz w:val="28"/>
          <w:szCs w:val="28"/>
        </w:rPr>
        <w:t>To my humble self I thank you for staying strong through the journey it was rough but alhamdullilah robil alameen</w:t>
      </w:r>
      <w:r w:rsidR="00065747" w:rsidRPr="00065747">
        <w:rPr>
          <w:rFonts w:ascii="Times New Roman" w:hAnsi="Times New Roman" w:cs="Times New Roman"/>
          <w:sz w:val="28"/>
          <w:szCs w:val="28"/>
        </w:rPr>
        <w:t>.</w:t>
      </w:r>
    </w:p>
    <w:p w:rsidR="00D30C73" w:rsidRDefault="00D30C73" w:rsidP="00065747">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423FE8">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9"/>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 xml:space="preserve">for the aqueous extract. Nonetheless, the activity still indicates the presence of water-soluble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FE8" w:rsidRDefault="00423FE8" w:rsidP="00A561EC">
      <w:pPr>
        <w:spacing w:after="0" w:line="240" w:lineRule="auto"/>
      </w:pPr>
      <w:r>
        <w:separator/>
      </w:r>
    </w:p>
  </w:endnote>
  <w:endnote w:type="continuationSeparator" w:id="0">
    <w:p w:rsidR="00423FE8" w:rsidRDefault="00423FE8"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423FE8">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FE8" w:rsidRDefault="00423FE8" w:rsidP="00A561EC">
      <w:pPr>
        <w:spacing w:after="0" w:line="240" w:lineRule="auto"/>
      </w:pPr>
      <w:r>
        <w:separator/>
      </w:r>
    </w:p>
  </w:footnote>
  <w:footnote w:type="continuationSeparator" w:id="0">
    <w:p w:rsidR="00423FE8" w:rsidRDefault="00423FE8"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7089"/>
    <w:rsid w:val="001151F8"/>
    <w:rsid w:val="00172098"/>
    <w:rsid w:val="00191234"/>
    <w:rsid w:val="00280381"/>
    <w:rsid w:val="002B0BB5"/>
    <w:rsid w:val="00331D47"/>
    <w:rsid w:val="00380D27"/>
    <w:rsid w:val="00423FE8"/>
    <w:rsid w:val="00531202"/>
    <w:rsid w:val="00645FF4"/>
    <w:rsid w:val="00657CB7"/>
    <w:rsid w:val="00701FA4"/>
    <w:rsid w:val="0078606D"/>
    <w:rsid w:val="007A5C16"/>
    <w:rsid w:val="007D1476"/>
    <w:rsid w:val="008E05E5"/>
    <w:rsid w:val="0098466D"/>
    <w:rsid w:val="00A561EC"/>
    <w:rsid w:val="00B52347"/>
    <w:rsid w:val="00C77AD7"/>
    <w:rsid w:val="00CE4FE5"/>
    <w:rsid w:val="00D30C73"/>
    <w:rsid w:val="00D415F8"/>
    <w:rsid w:val="00D76EF5"/>
    <w:rsid w:val="00D82B52"/>
    <w:rsid w:val="00DA0F41"/>
    <w:rsid w:val="00DF28FE"/>
    <w:rsid w:val="00E6797D"/>
    <w:rsid w:val="00E71726"/>
    <w:rsid w:val="00EE5127"/>
    <w:rsid w:val="00F57D6E"/>
    <w:rsid w:val="00F60C46"/>
    <w:rsid w:val="00FB3D52"/>
    <w:rsid w:val="00FD0443"/>
    <w:rsid w:val="00FD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5F35-3D03-4055-9E9E-A2B09D51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4786</Words>
  <Characters>27282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2025-08-29T17:29:00Z</dcterms:created>
  <dcterms:modified xsi:type="dcterms:W3CDTF">2025-08-29T17:29:00Z</dcterms:modified>
</cp:coreProperties>
</file>