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7F5A39B5"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48995237" w14:textId="04D66B7B" w:rsidR="009E0625" w:rsidRDefault="00C25FEB" w:rsidP="009E0625">
      <w:pPr>
        <w:spacing w:line="360" w:lineRule="auto"/>
        <w:jc w:val="center"/>
        <w:rPr>
          <w:rFonts w:ascii="Tahoma" w:hAnsi="Tahoma" w:cs="Tahoma"/>
          <w:b/>
          <w:iCs/>
          <w:sz w:val="28"/>
          <w:szCs w:val="28"/>
        </w:rPr>
      </w:pPr>
      <w:bookmarkStart w:id="7" w:name="_Hlk206763395"/>
      <w:r>
        <w:rPr>
          <w:rFonts w:ascii="Tahoma" w:hAnsi="Tahoma" w:cs="Tahoma"/>
          <w:b/>
          <w:iCs/>
          <w:sz w:val="28"/>
          <w:szCs w:val="28"/>
        </w:rPr>
        <w:t>OJO IDOWU SAMSON</w:t>
      </w:r>
    </w:p>
    <w:p w14:paraId="3D5A68E8" w14:textId="3FE2CA54" w:rsidR="009E0625" w:rsidRPr="00D45B4E" w:rsidRDefault="009E0625" w:rsidP="009E0625">
      <w:pPr>
        <w:spacing w:line="360" w:lineRule="auto"/>
        <w:jc w:val="center"/>
        <w:rPr>
          <w:rFonts w:ascii="Tahoma" w:hAnsi="Tahoma" w:cs="Tahoma"/>
          <w:b/>
          <w:iCs/>
          <w:sz w:val="28"/>
          <w:szCs w:val="28"/>
        </w:rPr>
      </w:pPr>
      <w:r w:rsidRPr="00944839">
        <w:rPr>
          <w:rFonts w:ascii="Tahoma" w:hAnsi="Tahoma" w:cs="Tahoma"/>
          <w:b/>
          <w:iCs/>
          <w:sz w:val="28"/>
          <w:szCs w:val="28"/>
        </w:rPr>
        <w:t>ND/23/AGT/PT/0</w:t>
      </w:r>
      <w:r w:rsidR="00C25FEB">
        <w:rPr>
          <w:rFonts w:ascii="Tahoma" w:hAnsi="Tahoma" w:cs="Tahoma"/>
          <w:b/>
          <w:iCs/>
          <w:sz w:val="28"/>
          <w:szCs w:val="28"/>
        </w:rPr>
        <w:t>226</w:t>
      </w:r>
    </w:p>
    <w:bookmarkEnd w:id="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0EB92FE6" w14:textId="12C01930" w:rsidR="009444C7" w:rsidRDefault="009444C7" w:rsidP="009E0625">
      <w:pPr>
        <w:pStyle w:val="Heading1"/>
        <w:jc w:val="left"/>
        <w:rPr>
          <w:rFonts w:ascii="Times New Roman" w:hAnsi="Times New Roman"/>
          <w:b w:val="0"/>
          <w:i/>
        </w:rPr>
      </w:pPr>
      <w:bookmarkStart w:id="8" w:name="_Toc174963951"/>
      <w:r>
        <w:br w:type="page"/>
      </w:r>
      <w:bookmarkEnd w:id="8"/>
      <w:r>
        <w:rPr>
          <w:rFonts w:ascii="Times New Roman" w:hAnsi="Times New Roman"/>
        </w:rPr>
        <w:lastRenderedPageBreak/>
        <w:t xml:space="preserve"> </w:t>
      </w:r>
      <w:r w:rsidR="009E0625">
        <w:rPr>
          <w:noProof/>
        </w:rPr>
        <w:drawing>
          <wp:inline distT="0" distB="0" distL="0" distR="0" wp14:anchorId="5273D87A" wp14:editId="13B450FB">
            <wp:extent cx="5467350" cy="6637968"/>
            <wp:effectExtent l="0" t="0" r="0" b="0"/>
            <wp:docPr id="1898022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259" t="10417" b="27613"/>
                    <a:stretch>
                      <a:fillRect/>
                    </a:stretch>
                  </pic:blipFill>
                  <pic:spPr bwMode="auto">
                    <a:xfrm>
                      <a:off x="0" y="0"/>
                      <a:ext cx="5490903" cy="6666563"/>
                    </a:xfrm>
                    <a:prstGeom prst="rect">
                      <a:avLst/>
                    </a:prstGeom>
                    <a:noFill/>
                    <a:ln>
                      <a:noFill/>
                    </a:ln>
                    <a:extLst>
                      <a:ext uri="{53640926-AAD7-44D8-BBD7-CCE9431645EC}">
                        <a14:shadowObscured xmlns:a14="http://schemas.microsoft.com/office/drawing/2010/main"/>
                      </a:ext>
                    </a:extLst>
                  </pic:spPr>
                </pic:pic>
              </a:graphicData>
            </a:graphic>
          </wp:inline>
        </w:drawing>
      </w:r>
    </w:p>
    <w:p w14:paraId="6FA9986D" w14:textId="37B8D2FC" w:rsidR="009444C7" w:rsidRPr="006D6F30" w:rsidRDefault="009444C7" w:rsidP="00F71375">
      <w:pPr>
        <w:pStyle w:val="Heading1"/>
      </w:pPr>
      <w:bookmarkStart w:id="9" w:name="_Toc174963952"/>
      <w:bookmarkStart w:id="10" w:name="_Toc203821414"/>
      <w:r w:rsidRPr="006D6F30">
        <w:lastRenderedPageBreak/>
        <w:t>DEDICATION</w:t>
      </w:r>
      <w:bookmarkEnd w:id="9"/>
      <w:bookmarkEnd w:id="10"/>
    </w:p>
    <w:p w14:paraId="017EC2CD" w14:textId="7911B64D" w:rsidR="00C25FEB" w:rsidRDefault="00C25FEB" w:rsidP="00956930">
      <w:pPr>
        <w:spacing w:line="360" w:lineRule="auto"/>
        <w:ind w:firstLine="720"/>
        <w:jc w:val="both"/>
        <w:rPr>
          <w:rFonts w:ascii="Times New Roman" w:hAnsi="Times New Roman"/>
          <w:sz w:val="26"/>
          <w:szCs w:val="26"/>
        </w:rPr>
      </w:pPr>
      <w:r w:rsidRPr="00C25FEB">
        <w:rPr>
          <w:rFonts w:ascii="Times New Roman" w:hAnsi="Times New Roman"/>
          <w:sz w:val="26"/>
          <w:szCs w:val="26"/>
        </w:rPr>
        <w:t>I dedicate this project to the Almighty God, the source of all wisdom, guidance, and strength. I give thanks for the blessings, inspiration, and perseverance granted throughout the journey of this project. I also dedicate this work to my supervisor Mr shasudeen adeshina, whose expertise, insightful feedback, unwavering support, and exceptional mentorship have been pivotal in shaping this project into its final form. Their trust, encouragement, and dedication to excellence have been instrumental in the completion of this work. May this project be a testament to the power of faith, hard work, and collaboration."</w:t>
      </w:r>
    </w:p>
    <w:p w14:paraId="17A110EE" w14:textId="334E8433" w:rsidR="009444C7" w:rsidRPr="00956930" w:rsidRDefault="009444C7" w:rsidP="00C25FEB">
      <w:pPr>
        <w:pStyle w:val="Heading1"/>
        <w:rPr>
          <w:rFonts w:ascii="Times New Roman" w:hAnsi="Times New Roman"/>
        </w:rPr>
      </w:pPr>
      <w:r w:rsidRPr="006D6F30">
        <w:br w:type="page"/>
      </w:r>
      <w:bookmarkStart w:id="11" w:name="_Toc174963953"/>
      <w:bookmarkStart w:id="12" w:name="_Toc203821415"/>
      <w:r w:rsidRPr="00967AFD">
        <w:lastRenderedPageBreak/>
        <w:t>ACKNOWLEDGEMENT</w:t>
      </w:r>
      <w:bookmarkEnd w:id="11"/>
      <w:r>
        <w:t>S</w:t>
      </w:r>
      <w:bookmarkEnd w:id="12"/>
    </w:p>
    <w:p w14:paraId="222FB5CC" w14:textId="77777777" w:rsidR="00C25FEB" w:rsidRPr="00C25FEB" w:rsidRDefault="00C25FEB" w:rsidP="00C25FEB">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All glory and honor to be God </w:t>
      </w:r>
      <w:proofErr w:type="gramStart"/>
      <w:r w:rsidRPr="00C25FEB">
        <w:rPr>
          <w:rFonts w:ascii="Times New Roman" w:hAnsi="Times New Roman"/>
          <w:sz w:val="26"/>
          <w:szCs w:val="26"/>
        </w:rPr>
        <w:t>almighty ,</w:t>
      </w:r>
      <w:proofErr w:type="gramEnd"/>
      <w:r w:rsidRPr="00C25FEB">
        <w:rPr>
          <w:rFonts w:ascii="Times New Roman" w:hAnsi="Times New Roman"/>
          <w:sz w:val="26"/>
          <w:szCs w:val="26"/>
        </w:rPr>
        <w:t xml:space="preserve"> author and finisher of my faith, for his grace, and strength presence throughout this academic journey</w:t>
      </w:r>
    </w:p>
    <w:p w14:paraId="1B5E20AA" w14:textId="77777777" w:rsidR="00C25FEB" w:rsidRPr="00C25FEB" w:rsidRDefault="00C25FEB" w:rsidP="00C25FEB">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My deepest appreciation goes to my parents Mr and Mrs ojo and my supervisor Mr shasudeen adeshina endless </w:t>
      </w:r>
      <w:proofErr w:type="gramStart"/>
      <w:r w:rsidRPr="00C25FEB">
        <w:rPr>
          <w:rFonts w:ascii="Times New Roman" w:hAnsi="Times New Roman"/>
          <w:sz w:val="26"/>
          <w:szCs w:val="26"/>
        </w:rPr>
        <w:t>sacrifices ,</w:t>
      </w:r>
      <w:proofErr w:type="gramEnd"/>
      <w:r w:rsidRPr="00C25FEB">
        <w:rPr>
          <w:rFonts w:ascii="Times New Roman" w:hAnsi="Times New Roman"/>
          <w:sz w:val="26"/>
          <w:szCs w:val="26"/>
        </w:rPr>
        <w:t xml:space="preserve"> prayers and support for been my greatest foundation</w:t>
      </w:r>
    </w:p>
    <w:p w14:paraId="0517CD2A" w14:textId="77777777" w:rsidR="00C25FEB" w:rsidRPr="00C25FEB" w:rsidRDefault="00C25FEB" w:rsidP="00C25FEB">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I sincerely </w:t>
      </w:r>
      <w:proofErr w:type="gramStart"/>
      <w:r w:rsidRPr="00C25FEB">
        <w:rPr>
          <w:rFonts w:ascii="Times New Roman" w:hAnsi="Times New Roman"/>
          <w:sz w:val="26"/>
          <w:szCs w:val="26"/>
        </w:rPr>
        <w:t>thanks</w:t>
      </w:r>
      <w:proofErr w:type="gramEnd"/>
      <w:r w:rsidRPr="00C25FEB">
        <w:rPr>
          <w:rFonts w:ascii="Times New Roman" w:hAnsi="Times New Roman"/>
          <w:sz w:val="26"/>
          <w:szCs w:val="26"/>
        </w:rPr>
        <w:t xml:space="preserve"> my brother </w:t>
      </w:r>
      <w:proofErr w:type="gramStart"/>
      <w:r w:rsidRPr="00C25FEB">
        <w:rPr>
          <w:rFonts w:ascii="Times New Roman" w:hAnsi="Times New Roman"/>
          <w:sz w:val="26"/>
          <w:szCs w:val="26"/>
        </w:rPr>
        <w:t>jacob,Isaac</w:t>
      </w:r>
      <w:proofErr w:type="gramEnd"/>
      <w:r w:rsidRPr="00C25FEB">
        <w:rPr>
          <w:rFonts w:ascii="Times New Roman" w:hAnsi="Times New Roman"/>
          <w:sz w:val="26"/>
          <w:szCs w:val="26"/>
        </w:rPr>
        <w:t xml:space="preserve"> and taiye, and kehinde for their continuous love and support, and motivation.</w:t>
      </w:r>
    </w:p>
    <w:p w14:paraId="1D0975A4" w14:textId="7D266898" w:rsidR="00C25FEB" w:rsidRDefault="00C25FEB" w:rsidP="00C25FEB">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May God bless you all and richly and reward your kindness abundantly in </w:t>
      </w:r>
      <w:proofErr w:type="gramStart"/>
      <w:r w:rsidRPr="00C25FEB">
        <w:rPr>
          <w:rFonts w:ascii="Times New Roman" w:hAnsi="Times New Roman"/>
          <w:sz w:val="26"/>
          <w:szCs w:val="26"/>
        </w:rPr>
        <w:t>Jesus</w:t>
      </w:r>
      <w:proofErr w:type="gramEnd"/>
      <w:r w:rsidRPr="00C25FEB">
        <w:rPr>
          <w:rFonts w:ascii="Times New Roman" w:hAnsi="Times New Roman"/>
          <w:sz w:val="26"/>
          <w:szCs w:val="26"/>
        </w:rPr>
        <w:t xml:space="preserve"> </w:t>
      </w:r>
      <w:proofErr w:type="gramStart"/>
      <w:r w:rsidRPr="00C25FEB">
        <w:rPr>
          <w:rFonts w:ascii="Times New Roman" w:hAnsi="Times New Roman"/>
          <w:sz w:val="26"/>
          <w:szCs w:val="26"/>
        </w:rPr>
        <w:t>name .</w:t>
      </w:r>
      <w:proofErr w:type="gramEnd"/>
      <w:r w:rsidRPr="00C25FEB">
        <w:rPr>
          <w:rFonts w:ascii="Times New Roman" w:hAnsi="Times New Roman"/>
          <w:sz w:val="26"/>
          <w:szCs w:val="26"/>
        </w:rPr>
        <w:t xml:space="preserve"> Amen</w:t>
      </w:r>
    </w:p>
    <w:p w14:paraId="678823CC" w14:textId="246CE6B6" w:rsidR="009444C7" w:rsidRPr="003B4905" w:rsidRDefault="009444C7" w:rsidP="00956930">
      <w:pPr>
        <w:spacing w:line="360" w:lineRule="auto"/>
        <w:ind w:firstLine="720"/>
        <w:jc w:val="both"/>
        <w:rPr>
          <w:rFonts w:ascii="Times New Roman" w:hAnsi="Times New Roman"/>
          <w:sz w:val="26"/>
          <w:szCs w:val="26"/>
        </w:rPr>
      </w:pPr>
      <w:r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5C83F1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147AF1F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A0F894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4D94BA3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FC53D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7321134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11A43D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47F10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EC4C2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7395C0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46B93D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6E53AFB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F4D232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04056841"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030CEFA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4037D9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77636EF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1E26ADD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53A65C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1B00BEB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07A6006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746CA6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6C4765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118D114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680C93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909AF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EAD11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028A3B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2FA2D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76F14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18C1451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5FC8186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1BD0CE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55FE852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48F807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B293A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584A0B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75D812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w:t>
      </w:r>
      <w:proofErr w:type="gramStart"/>
      <w:r w:rsidR="009136BD" w:rsidRPr="003F5035">
        <w:rPr>
          <w:rFonts w:asciiTheme="majorBidi" w:hAnsiTheme="majorBidi" w:cstheme="majorBidi"/>
          <w:sz w:val="28"/>
          <w:szCs w:val="28"/>
        </w:rPr>
        <w:t>It</w:t>
      </w:r>
      <w:proofErr w:type="gramEnd"/>
      <w:r w:rsidR="009136BD" w:rsidRPr="003F5035">
        <w:rPr>
          <w:rFonts w:asciiTheme="majorBidi" w:hAnsiTheme="majorBidi" w:cstheme="majorBidi"/>
          <w:sz w:val="28"/>
          <w:szCs w:val="28"/>
        </w:rPr>
        <w:t xml:space="preserve"> botanical name is capsicum annum and also </w:t>
      </w:r>
      <w:proofErr w:type="gramStart"/>
      <w:r w:rsidR="009136BD" w:rsidRPr="003F5035">
        <w:rPr>
          <w:rFonts w:asciiTheme="majorBidi" w:hAnsiTheme="majorBidi" w:cstheme="majorBidi"/>
          <w:sz w:val="28"/>
          <w:szCs w:val="28"/>
        </w:rPr>
        <w:t>a</w:t>
      </w:r>
      <w:proofErr w:type="gramEnd"/>
      <w:r w:rsidR="009136BD" w:rsidRPr="003F5035">
        <w:rPr>
          <w:rFonts w:asciiTheme="majorBidi" w:hAnsiTheme="majorBidi" w:cstheme="majorBidi"/>
          <w:sz w:val="28"/>
          <w:szCs w:val="28"/>
        </w:rPr>
        <w:t xml:space="preserve">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xml:space="preserve">. It is an important vegetable crop that is grown throughout the world especially in the topic. Pepper has increased in popularity values and importance over a long period, thus making it an indispensable part of the daily diet of millions of </w:t>
      </w:r>
      <w:proofErr w:type="gramStart"/>
      <w:r w:rsidR="009136BD" w:rsidRPr="003F5035">
        <w:rPr>
          <w:rFonts w:asciiTheme="majorBidi" w:hAnsiTheme="majorBidi" w:cstheme="majorBidi"/>
          <w:sz w:val="28"/>
          <w:szCs w:val="28"/>
        </w:rPr>
        <w:t>Nigeria.(</w:t>
      </w:r>
      <w:proofErr w:type="gramEnd"/>
      <w:r w:rsidR="009136BD" w:rsidRPr="003F5035">
        <w:rPr>
          <w:rFonts w:asciiTheme="majorBidi" w:hAnsiTheme="majorBidi" w:cstheme="majorBidi"/>
          <w:sz w:val="28"/>
          <w:szCs w:val="28"/>
        </w:rPr>
        <w:t>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w:t>
      </w:r>
      <w:proofErr w:type="gramStart"/>
      <w:r w:rsidRPr="003F5035">
        <w:rPr>
          <w:rFonts w:asciiTheme="majorBidi" w:hAnsiTheme="majorBidi" w:cstheme="majorBidi"/>
          <w:sz w:val="28"/>
          <w:szCs w:val="28"/>
        </w:rPr>
        <w:t>have</w:t>
      </w:r>
      <w:proofErr w:type="gramEnd"/>
      <w:r w:rsidRPr="003F5035">
        <w:rPr>
          <w:rFonts w:asciiTheme="majorBidi" w:hAnsiTheme="majorBidi" w:cstheme="majorBidi"/>
          <w:sz w:val="28"/>
          <w:szCs w:val="28"/>
        </w:rPr>
        <w:t xml:space="preserve"> higher levels of capsicum than sweet pepper. The levels of heat o</w:t>
      </w:r>
      <w:r w:rsidR="00341DF8" w:rsidRPr="003F5035">
        <w:rPr>
          <w:rFonts w:asciiTheme="majorBidi" w:hAnsiTheme="majorBidi" w:cstheme="majorBidi"/>
          <w:sz w:val="28"/>
          <w:szCs w:val="28"/>
        </w:rPr>
        <w:t xml:space="preserve">f a hot pepper </w:t>
      </w:r>
      <w:proofErr w:type="gramStart"/>
      <w:r w:rsidR="00341DF8" w:rsidRPr="003F5035">
        <w:rPr>
          <w:rFonts w:asciiTheme="majorBidi" w:hAnsiTheme="majorBidi" w:cstheme="majorBidi"/>
          <w:sz w:val="28"/>
          <w:szCs w:val="28"/>
        </w:rPr>
        <w:t>is</w:t>
      </w:r>
      <w:proofErr w:type="gramEnd"/>
      <w:r w:rsidR="00341DF8" w:rsidRPr="003F5035">
        <w:rPr>
          <w:rFonts w:asciiTheme="majorBidi" w:hAnsiTheme="majorBidi" w:cstheme="majorBidi"/>
          <w:sz w:val="28"/>
          <w:szCs w:val="28"/>
        </w:rPr>
        <w:t xml:space="preserve"> ranked on scolliv</w:t>
      </w:r>
      <w:r w:rsidRPr="003F5035">
        <w:rPr>
          <w:rFonts w:asciiTheme="majorBidi" w:hAnsiTheme="majorBidi" w:cstheme="majorBidi"/>
          <w:sz w:val="28"/>
          <w:szCs w:val="28"/>
        </w:rPr>
        <w:t xml:space="preserve">e scale. Peppers with higher </w:t>
      </w:r>
      <w:r w:rsidR="00341DF8" w:rsidRPr="003F5035">
        <w:rPr>
          <w:rFonts w:asciiTheme="majorBidi" w:hAnsiTheme="majorBidi" w:cstheme="majorBidi"/>
          <w:sz w:val="28"/>
          <w:szCs w:val="28"/>
        </w:rPr>
        <w:t xml:space="preserve">scollivie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Ashilenje,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Previous researcher has reviewed the nutritional requirement of pepper as an antiodants and hypoglycanic activities (loizzo</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(Tundes</w:t>
      </w:r>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pepper in Nigeria has been subjected to sessional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hot pepper in Nigeria has been subjected to seasonal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“Atarhu” in Hausa, Atarodo in Yoruba, it is used as spices in preparing soups, spicy dishes or are used as medicines, cosmetic and plant insecticide according to (Take el at 2012, and Dognoto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(Manlita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r w:rsidR="00C25E5E" w:rsidRPr="003F5035">
        <w:rPr>
          <w:rFonts w:asciiTheme="majorBidi" w:hAnsiTheme="majorBidi" w:cstheme="majorBidi"/>
          <w:sz w:val="28"/>
          <w:szCs w:val="28"/>
        </w:rPr>
        <w:t xml:space="preserve">Gez </w:t>
      </w:r>
      <w:r w:rsidR="004E050F" w:rsidRPr="003F5035">
        <w:rPr>
          <w:rFonts w:asciiTheme="majorBidi" w:hAnsiTheme="majorBidi" w:cstheme="majorBidi"/>
          <w:sz w:val="28"/>
          <w:szCs w:val="28"/>
        </w:rPr>
        <w:t>Cornish and tom brabben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(Morotti cl, sargent S.A, Huber D, Calbo AG, Puschman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Several flavour compounds were identified in fresh pepper and pepper mash 2 pentanoc, 3 hexanol acetic acid, o</w:t>
      </w:r>
      <w:r w:rsidR="00F257FC" w:rsidRPr="003F5035">
        <w:rPr>
          <w:rFonts w:asciiTheme="majorBidi" w:hAnsiTheme="majorBidi" w:cstheme="majorBidi"/>
          <w:sz w:val="28"/>
          <w:szCs w:val="28"/>
        </w:rPr>
        <w:t xml:space="preserve">vic acid and linovic acid, howder the compounds 2 undecenal, farnesol, 2 pentacle, 1 ollinolenic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(Gorgus</w:t>
      </w:r>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or change to metabolic processes resulting in undesirable changes in texture, aroma, taste or appearance. More often spoilage is induced by exposure to air micro-organism (bacteria yeast and molds) or improper storage or conditiers (Bidgemohan</w:t>
      </w:r>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Microbial spoilage in hot peppers products can be visible as mold growth embedded in a mass of filaments with brown colour change due to bacteria acidictation cause by L. megentroides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listeria spp (quidensubsp, gasicomtatus L pisium (pothakos, vasilerious</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2014) and elostidium perfungens and staphylococcus au</w:t>
      </w:r>
      <w:r w:rsidR="001405F7" w:rsidRPr="003F5035">
        <w:rPr>
          <w:rFonts w:asciiTheme="majorBidi" w:hAnsiTheme="majorBidi" w:cstheme="majorBidi"/>
          <w:sz w:val="28"/>
          <w:szCs w:val="28"/>
        </w:rPr>
        <w:t>rcus (Draughton</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(Gogus and Sami 2000) (Flures</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2010) noted that while fermentation of chili pepper is dependent on several factors including microbial flora, non-desirable microbial growth could be controlling using caclz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worlds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r w:rsidR="00C25E5E" w:rsidRPr="003F5035">
        <w:rPr>
          <w:rFonts w:asciiTheme="majorBidi" w:hAnsiTheme="majorBidi" w:cstheme="majorBidi"/>
          <w:sz w:val="28"/>
          <w:szCs w:val="28"/>
        </w:rPr>
        <w:t xml:space="preserve">Olorunda </w:t>
      </w:r>
      <w:r w:rsidR="00924C69" w:rsidRPr="003F5035">
        <w:rPr>
          <w:rFonts w:asciiTheme="majorBidi" w:hAnsiTheme="majorBidi" w:cstheme="majorBidi"/>
          <w:sz w:val="28"/>
          <w:szCs w:val="28"/>
        </w:rPr>
        <w:t xml:space="preserve">A.O and Abeeba F.O 2002). Fruit and vegetables like tomato and pepper are food items that are very vital in human diet, right from infants to the aged ones. The importance of these essential food items </w:t>
      </w:r>
      <w:proofErr w:type="gramStart"/>
      <w:r w:rsidR="00924C69" w:rsidRPr="003F5035">
        <w:rPr>
          <w:rFonts w:asciiTheme="majorBidi" w:hAnsiTheme="majorBidi" w:cstheme="majorBidi"/>
          <w:sz w:val="28"/>
          <w:szCs w:val="28"/>
        </w:rPr>
        <w:t>are</w:t>
      </w:r>
      <w:proofErr w:type="gramEnd"/>
      <w:r w:rsidR="00924C69" w:rsidRPr="003F5035">
        <w:rPr>
          <w:rFonts w:asciiTheme="majorBidi" w:hAnsiTheme="majorBidi" w:cstheme="majorBidi"/>
          <w:sz w:val="28"/>
          <w:szCs w:val="28"/>
        </w:rPr>
        <w:t xml:space="preserv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(Youwei and Yinzhe 2013, Gualanduzzi</w:t>
      </w:r>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2009, yinshe and shaoying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fibre, they contain are beneficial to human health (vigeret T.G Songur A.N arak o </w:t>
      </w:r>
      <w:r w:rsidR="00C25E5E" w:rsidRPr="003F5035">
        <w:rPr>
          <w:rFonts w:asciiTheme="majorBidi" w:hAnsiTheme="majorBidi" w:cstheme="majorBidi"/>
          <w:sz w:val="28"/>
          <w:szCs w:val="28"/>
        </w:rPr>
        <w:t xml:space="preserve">Calaroglu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r w:rsidR="00C25E5E" w:rsidRPr="003F5035">
        <w:rPr>
          <w:rFonts w:asciiTheme="majorBidi" w:hAnsiTheme="majorBidi" w:cstheme="majorBidi"/>
          <w:i/>
          <w:iCs/>
          <w:sz w:val="28"/>
          <w:szCs w:val="28"/>
          <w:u w:val="single"/>
        </w:rPr>
        <w:t>Frutenous</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Baccatum</w:t>
      </w:r>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Cens</w:t>
      </w:r>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 xml:space="preserve">domesticated and mostly farmed for human consumption (Garcia-gonzailez C.A Sivlar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capsaicinoids,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 xml:space="preserve">antioxidants properties and perform other biological function (Batiha G.E, Alqautani A ojo O.A shaheen H.M Wasef L 2020) in addition, pepper is the most widely use spice in the world, and it is prized for its spiciness </w:t>
      </w:r>
      <w:r w:rsidR="003D0031" w:rsidRPr="003F5035">
        <w:rPr>
          <w:rFonts w:asciiTheme="majorBidi" w:hAnsiTheme="majorBidi" w:cstheme="majorBidi"/>
          <w:sz w:val="28"/>
          <w:szCs w:val="28"/>
        </w:rPr>
        <w:t xml:space="preserve">and ability to enrich the flavour of a variety of dishes (Elzenity M. ismail M. shalaby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niacun, riboflaxin, dietary fibre, flavonoids and magnesium are abundant in scotch pepper bonnet pepper (Guil-guencreo J.L, Martnez gurado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‘Atarhu’ in hausa ‘Atarodo’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2012, Dognoko 2013). Fruit and vegetable production is limited in Nigeria to certain season and localities because they deteriorate a few days aafter harvest. Amongst the available vegetables, pepper (capsicum spp) is ranked third in the world (faosta 2012 mustapha</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(ogunbo</w:t>
      </w:r>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sme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(Grubben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Spraying cana</w:t>
      </w:r>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perodixer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t>
      </w:r>
      <w:proofErr w:type="gramStart"/>
      <w:r w:rsidR="0049253F" w:rsidRPr="003F5035">
        <w:rPr>
          <w:rFonts w:asciiTheme="majorBidi" w:hAnsiTheme="majorBidi" w:cstheme="majorBidi"/>
          <w:sz w:val="28"/>
          <w:szCs w:val="28"/>
        </w:rPr>
        <w:t>was</w:t>
      </w:r>
      <w:proofErr w:type="gramEnd"/>
      <w:r w:rsidR="0049253F" w:rsidRPr="003F5035">
        <w:rPr>
          <w:rFonts w:asciiTheme="majorBidi" w:hAnsiTheme="majorBidi" w:cstheme="majorBidi"/>
          <w:sz w:val="28"/>
          <w:szCs w:val="28"/>
        </w:rPr>
        <w:t xml:space="preserve">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r>
      <w:proofErr w:type="gramStart"/>
      <w:r w:rsidRPr="003F5035">
        <w:rPr>
          <w:rFonts w:asciiTheme="majorBidi" w:hAnsiTheme="majorBidi" w:cstheme="majorBidi"/>
          <w:sz w:val="28"/>
          <w:szCs w:val="28"/>
        </w:rPr>
        <w:t>A</w:t>
      </w:r>
      <w:proofErr w:type="gramEnd"/>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2"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3"/>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4"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 xml:space="preserve">reading and data </w:t>
      </w:r>
      <w:proofErr w:type="gramStart"/>
      <w:r w:rsidR="00CD1DDE" w:rsidRPr="003F5035">
        <w:rPr>
          <w:rFonts w:asciiTheme="majorBidi" w:hAnsiTheme="majorBidi" w:cstheme="majorBidi"/>
          <w:bCs/>
          <w:sz w:val="28"/>
          <w:szCs w:val="28"/>
        </w:rPr>
        <w:t>was</w:t>
      </w:r>
      <w:proofErr w:type="gramEnd"/>
      <w:r w:rsidR="00CD1DDE" w:rsidRPr="003F5035">
        <w:rPr>
          <w:rFonts w:asciiTheme="majorBidi" w:hAnsiTheme="majorBidi" w:cstheme="majorBidi"/>
          <w:bCs/>
          <w:sz w:val="28"/>
          <w:szCs w:val="28"/>
        </w:rPr>
        <w:t xml:space="preserve">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proofErr w:type="gramStart"/>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w:t>
      </w:r>
      <w:proofErr w:type="gramEnd"/>
      <w:r w:rsidRPr="003F5035">
        <w:rPr>
          <w:rFonts w:asciiTheme="majorBidi" w:hAnsiTheme="majorBidi" w:cstheme="majorBidi"/>
          <w:bCs/>
          <w:sz w:val="28"/>
          <w:szCs w:val="28"/>
        </w:rPr>
        <w:t xml:space="preserve"> observed to the previous number on the frequency column and the cumulative frequency read 82 on experiment. A dark room while on experiment B light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r>
      <w:proofErr w:type="gramStart"/>
      <w:r w:rsidRPr="003F5035">
        <w:rPr>
          <w:rFonts w:asciiTheme="majorBidi" w:hAnsiTheme="majorBidi" w:cstheme="majorBidi"/>
          <w:bCs/>
          <w:sz w:val="28"/>
          <w:szCs w:val="28"/>
        </w:rPr>
        <w:t>Therefore</w:t>
      </w:r>
      <w:proofErr w:type="gramEnd"/>
      <w:r w:rsidRPr="003F5035">
        <w:rPr>
          <w:rFonts w:asciiTheme="majorBidi" w:hAnsiTheme="majorBidi" w:cstheme="majorBidi"/>
          <w:bCs/>
          <w:sz w:val="28"/>
          <w:szCs w:val="28"/>
        </w:rPr>
        <w:t xml:space="preserv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B light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Umarharan,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Adedoyin, O. B., Ajayi, J., Fagbayide, S. D., &amp; Esiette,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Batiha, G. E., Alqahtami, A., Ojo, O. A., Shahen, H. M., Wasef, L., Ezeiny, M., Ismail, M., Shalaby, M., Murata, T., Zaraogoz Bastida, A., &amp; Rivero, N. (2020). Bioactive constituents and pharmacokinetics of some Capsicum spp. and capsaicinoids.</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Caicedo Lopez, L. H., Guevala-Gonzalez, R. G., &amp; Rainer-Jimenies,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Carizo Garcia, G., Barfuss, M. H., Sehr, E. M., Barboza, G. E., Samuel, R., Moume, E. A., et al. (2016). Phylogenetic relationship, diversification, and expansion of chilli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Ochua Aleyo, N. (2013). Biochemistry and molecular biology of carotenoid biosynthesis in chilli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Acta Horticulturae</w:t>
      </w:r>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leaf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Olorunda,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Viblute,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Vigact, T. G., Soogur, A. N., Chak, O., &amp; Cakrogue,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CBAA" w14:textId="77777777" w:rsidR="00116BD6" w:rsidRDefault="00116BD6">
      <w:pPr>
        <w:spacing w:after="0" w:line="240" w:lineRule="auto"/>
      </w:pPr>
      <w:r>
        <w:separator/>
      </w:r>
    </w:p>
  </w:endnote>
  <w:endnote w:type="continuationSeparator" w:id="0">
    <w:p w14:paraId="2D03B842" w14:textId="77777777" w:rsidR="00116BD6" w:rsidRDefault="0011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81CE" w14:textId="77777777" w:rsidR="00116BD6" w:rsidRDefault="00116BD6">
      <w:pPr>
        <w:spacing w:after="0" w:line="240" w:lineRule="auto"/>
      </w:pPr>
      <w:r>
        <w:separator/>
      </w:r>
    </w:p>
  </w:footnote>
  <w:footnote w:type="continuationSeparator" w:id="0">
    <w:p w14:paraId="554C621B" w14:textId="77777777" w:rsidR="00116BD6" w:rsidRDefault="00116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BD6"/>
    <w:rsid w:val="00116F13"/>
    <w:rsid w:val="00125124"/>
    <w:rsid w:val="001405F7"/>
    <w:rsid w:val="00171704"/>
    <w:rsid w:val="00195C7A"/>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67490"/>
    <w:rsid w:val="0049253F"/>
    <w:rsid w:val="00492C72"/>
    <w:rsid w:val="004C0578"/>
    <w:rsid w:val="004E050F"/>
    <w:rsid w:val="00502FB1"/>
    <w:rsid w:val="00505FF1"/>
    <w:rsid w:val="005121FA"/>
    <w:rsid w:val="005219CD"/>
    <w:rsid w:val="00574113"/>
    <w:rsid w:val="00597888"/>
    <w:rsid w:val="005C692A"/>
    <w:rsid w:val="006149A2"/>
    <w:rsid w:val="00635580"/>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956930"/>
    <w:rsid w:val="009E0625"/>
    <w:rsid w:val="00A07525"/>
    <w:rsid w:val="00A33991"/>
    <w:rsid w:val="00A41440"/>
    <w:rsid w:val="00A8249B"/>
    <w:rsid w:val="00A95BA2"/>
    <w:rsid w:val="00AB4B71"/>
    <w:rsid w:val="00AD60C0"/>
    <w:rsid w:val="00B05694"/>
    <w:rsid w:val="00B32165"/>
    <w:rsid w:val="00B40258"/>
    <w:rsid w:val="00B538F3"/>
    <w:rsid w:val="00B676DB"/>
    <w:rsid w:val="00B81C13"/>
    <w:rsid w:val="00BA50E6"/>
    <w:rsid w:val="00C17C71"/>
    <w:rsid w:val="00C25E5E"/>
    <w:rsid w:val="00C25FEB"/>
    <w:rsid w:val="00C734FB"/>
    <w:rsid w:val="00C87AC1"/>
    <w:rsid w:val="00CC4024"/>
    <w:rsid w:val="00CD1DDE"/>
    <w:rsid w:val="00CD436E"/>
    <w:rsid w:val="00CE649D"/>
    <w:rsid w:val="00CF6BEF"/>
    <w:rsid w:val="00D1775F"/>
    <w:rsid w:val="00D20075"/>
    <w:rsid w:val="00D479C1"/>
    <w:rsid w:val="00D56A84"/>
    <w:rsid w:val="00D658EE"/>
    <w:rsid w:val="00DE6001"/>
    <w:rsid w:val="00DF7212"/>
    <w:rsid w:val="00E17C74"/>
    <w:rsid w:val="00E20EE7"/>
    <w:rsid w:val="00E35EAD"/>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4344</Words>
  <Characters>24763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3</cp:revision>
  <cp:lastPrinted>2025-07-21T15:48:00Z</cp:lastPrinted>
  <dcterms:created xsi:type="dcterms:W3CDTF">2025-08-22T13:05:00Z</dcterms:created>
  <dcterms:modified xsi:type="dcterms:W3CDTF">2025-08-29T08:19:00Z</dcterms:modified>
</cp:coreProperties>
</file>