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bookmarkStart w:colFirst="0" w:colLast="0" w:name="_oqaxmzvw5u4p" w:id="0"/>
      <w:bookmarkEnd w:id="0"/>
      <w:r w:rsidDel="00000000" w:rsidR="00000000" w:rsidRPr="00000000">
        <w:rPr>
          <w:rFonts w:ascii="Times New Roman" w:cs="Times New Roman" w:eastAsia="Times New Roman" w:hAnsi="Times New Roman"/>
          <w:b w:val="1"/>
          <w:sz w:val="32"/>
          <w:szCs w:val="32"/>
          <w:rtl w:val="0"/>
        </w:rPr>
        <w:t xml:space="preserve">CHAPTER ONE.</w:t>
      </w:r>
    </w:p>
    <w:p w:rsidR="00000000" w:rsidDel="00000000" w:rsidP="00000000" w:rsidRDefault="00000000" w:rsidRPr="00000000" w14:paraId="0000000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w:t>
        <w:tab/>
        <w:t xml:space="preserve">Background of the study.</w:t>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Electric vehicles (EVs) are gaining global attention as a sustainable alternative to internal combustion engine vehicles due to their energy efficiency and reduced environmental impact. However, their widespread adoption is limited by the availability of reliable and environmentally friendly charging infrastructure. </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Khan et al. (2018)</w:t>
      </w:r>
      <w:r w:rsidDel="00000000" w:rsidR="00000000" w:rsidRPr="00000000">
        <w:rPr>
          <w:rFonts w:ascii="Times New Roman" w:cs="Times New Roman" w:eastAsia="Times New Roman" w:hAnsi="Times New Roman"/>
          <w:sz w:val="28"/>
          <w:szCs w:val="28"/>
          <w:rtl w:val="0"/>
        </w:rPr>
        <w:t xml:space="preserve"> conducted a comprehensive review highlighting the limitations of grid-powered EV charging - especially when the grid is fossil fuel-based - and proposed solar photovoltaic (PV) charging systems as a sustainable solution. They analyzed EV charging behaviors, station operation modes, and geolocation data, offering efficient methodologies for deploying solar-EV systems.</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Kostopoulos et al. (2018)</w:t>
      </w:r>
      <w:r w:rsidDel="00000000" w:rsidR="00000000" w:rsidRPr="00000000">
        <w:rPr>
          <w:rFonts w:ascii="Times New Roman" w:cs="Times New Roman" w:eastAsia="Times New Roman" w:hAnsi="Times New Roman"/>
          <w:sz w:val="28"/>
          <w:szCs w:val="28"/>
          <w:rtl w:val="0"/>
        </w:rPr>
        <w:t xml:space="preserve"> presented real-world findings from a solar EV charging station in Greece, showing that a 3 kWp solar carport could support over 20,000 km of annual driving for a battery electric vehicle under real conditions. Their study provided practical insights into the sizing and performance of solar charging systems and emphasized their integration into future smart grids and cities. Together, these studies confirm the viability and necessity of solar-powered EV systems as a clean, decentralized solution to address energy and transportation challenges, forming a strong basis for this project on designing a solar-powered electric vehicle.</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review by </w:t>
      </w:r>
      <w:r w:rsidDel="00000000" w:rsidR="00000000" w:rsidRPr="00000000">
        <w:rPr>
          <w:rFonts w:ascii="Times New Roman" w:cs="Times New Roman" w:eastAsia="Times New Roman" w:hAnsi="Times New Roman"/>
          <w:b w:val="1"/>
          <w:sz w:val="28"/>
          <w:szCs w:val="28"/>
          <w:rtl w:val="0"/>
        </w:rPr>
        <w:t xml:space="preserve">Kah Yung Yap, Hon Huin Chin,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b w:val="1"/>
          <w:sz w:val="28"/>
          <w:szCs w:val="28"/>
          <w:rtl w:val="0"/>
        </w:rPr>
        <w:t xml:space="preserve">Jiří Jaromír Klemeš (2022)</w:t>
      </w:r>
      <w:r w:rsidDel="00000000" w:rsidR="00000000" w:rsidRPr="00000000">
        <w:rPr>
          <w:rFonts w:ascii="Times New Roman" w:cs="Times New Roman" w:eastAsia="Times New Roman" w:hAnsi="Times New Roman"/>
          <w:sz w:val="28"/>
          <w:szCs w:val="28"/>
          <w:rtl w:val="0"/>
        </w:rPr>
        <w:t xml:space="preserve"> explores the current developments, challenges, and future prospects of solar energy-powered battery electric vehicle (BEV) charging stations. It emphasizes the sustainability benefits of solar-powered BEV infrastructure while identifying key technical challenges such as solar energy intermittency, energy storage needs, carbon emissions during manufacturing, and maintenance of solar arrays. The review also highlights innovative solutions, including the hybrid integration of other renewable sources like wind or biogas, battery swapping to address slow charging rates, and the use of virtual inertia devices to manage grid frequency fluctuations and prevent blackouts. Additionally, it proposes strategies like avoiding EV charging during periods of high grid carbon emissions and adopting decentralized energy management systems to ensure secure and efficient charging operations. The article serves as a valuable guide for researchers and industry stakeholders, offering criteria for selecting optimal solar-enabled BEV systems and stressing the importance of technological innovation and policy support to advance sustainable transport solutions.</w:t>
      </w:r>
    </w:p>
    <w:p w:rsidR="00000000" w:rsidDel="00000000" w:rsidP="00000000" w:rsidRDefault="00000000" w:rsidRPr="00000000" w14:paraId="0000000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integration of solar electric vehicles (solar EVs) presents a promising path toward sustainable transportation and reduced CO</w:t>
      </w:r>
      <w:r w:rsidDel="00000000" w:rsidR="00000000" w:rsidRPr="00000000">
        <w:rPr>
          <w:sz w:val="28"/>
          <w:szCs w:val="28"/>
          <w:rtl w:val="0"/>
        </w:rPr>
        <w:t xml:space="preserve">₂</w:t>
      </w:r>
      <w:r w:rsidDel="00000000" w:rsidR="00000000" w:rsidRPr="00000000">
        <w:rPr>
          <w:rFonts w:ascii="Times New Roman" w:cs="Times New Roman" w:eastAsia="Times New Roman" w:hAnsi="Times New Roman"/>
          <w:sz w:val="28"/>
          <w:szCs w:val="28"/>
          <w:rtl w:val="0"/>
        </w:rPr>
        <w:t xml:space="preserve"> emissions by combining advancements in photovoltaic technology, battery systems, EV design, and energy management. This review highlights the benefits of embedding solar panels in EVs, including lower dependence on the power grid and greater driving autonomy. It emphasizes the role of solar EVs in boosting energy efficiency and supporting the shift to renewable energy within the transport and power sectors. The study also discusses key challenges such as grid adaptation, policy requirements, and the need for robust infrastructure. Finally, it outlines a roadmap for integrating solar EVs sustainably, stressing the importance of interdisciplinary research and continuous technological innovation to achieve a decarbonized, energy-efficient future. </w:t>
      </w:r>
      <w:r w:rsidDel="00000000" w:rsidR="00000000" w:rsidRPr="00000000">
        <w:rPr>
          <w:rFonts w:ascii="Times New Roman" w:cs="Times New Roman" w:eastAsia="Times New Roman" w:hAnsi="Times New Roman"/>
          <w:b w:val="1"/>
          <w:sz w:val="28"/>
          <w:szCs w:val="28"/>
          <w:rtl w:val="0"/>
        </w:rPr>
        <w:t xml:space="preserve">Thomas Tongxin Li et. al. 2025.</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w:t>
      </w:r>
      <w:r w:rsidDel="00000000" w:rsidR="00000000" w:rsidRPr="00000000">
        <w:rPr>
          <w:rFonts w:ascii="Times New Roman" w:cs="Times New Roman" w:eastAsia="Times New Roman" w:hAnsi="Times New Roman"/>
          <w:b w:val="1"/>
          <w:sz w:val="28"/>
          <w:szCs w:val="28"/>
          <w:rtl w:val="0"/>
        </w:rPr>
        <w:t xml:space="preserve">Motivation.</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Conventional EV charging is mostly dependent on the electric grid, which may still use non-renewable energy sources. Solar energy can lessen this reliance, increasing EVs' environmental friendliness and self-sufficiency. Furthermore, the integration of solar electricity into automobiles is becoming more and more viable due to developments in energy storage systems and solar panel efficiency. </w:t>
      </w:r>
      <w:r w:rsidDel="00000000" w:rsidR="00000000" w:rsidRPr="00000000">
        <w:rPr>
          <w:rFonts w:ascii="Times New Roman" w:cs="Times New Roman" w:eastAsia="Times New Roman" w:hAnsi="Times New Roman"/>
          <w:b w:val="1"/>
          <w:sz w:val="28"/>
          <w:szCs w:val="28"/>
          <w:rtl w:val="0"/>
        </w:rPr>
        <w:t xml:space="preserve">T. Markvart and L. Castaner, 2003.</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Fonts w:ascii="Times New Roman" w:cs="Times New Roman" w:eastAsia="Times New Roman" w:hAnsi="Times New Roman"/>
          <w:b w:val="1"/>
          <w:sz w:val="28"/>
          <w:szCs w:val="28"/>
          <w:rtl w:val="0"/>
        </w:rPr>
        <w:t xml:space="preserve"> Aim and Objective.</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outline the design of a functional mechanism of a solar-powered electric vehicle that utilizes photovoltaic technology to achieve clean, sustainable, and energy-efficient transportation with minimal dependence on the conventional power grid.</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objective of the study are as follows: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principles of photovoltaic (PV) energy generation and its application in electric vehicle (EV) systems.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Combine an electric powertrain with a solar photovotaic system.</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analyze the energy requirements and performance parameters of an electric vehicle suitable for solar integration.</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outline the environmental and economic benefits of the solar-powered EV compared to grid-powered or fossil-fuel vehicles.</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the feasibility and energy balance of solar-powered EVs under realistic situations.</w:t>
      </w:r>
    </w:p>
    <w:p w:rsidR="00000000" w:rsidDel="00000000" w:rsidP="00000000" w:rsidRDefault="00000000" w:rsidRPr="00000000" w14:paraId="0000001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1.4.</w:t>
        <w:tab/>
        <w:t xml:space="preserve"> </w:t>
      </w:r>
      <w:r w:rsidDel="00000000" w:rsidR="00000000" w:rsidRPr="00000000">
        <w:rPr>
          <w:rFonts w:ascii="Times New Roman" w:cs="Times New Roman" w:eastAsia="Times New Roman" w:hAnsi="Times New Roman"/>
          <w:b w:val="1"/>
          <w:sz w:val="28"/>
          <w:szCs w:val="28"/>
          <w:rtl w:val="0"/>
        </w:rPr>
        <w:t xml:space="preserve">Scope of the Study.</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focuses on the theoretical design and conceptual framework for integrating a solar photovoltaic (PV) system into an electric vehicle (EV) powertrain to achieve a sustainable and low-emission mode of transportation. The project provides a detailed design guide that outlines the key components required-such as the electric motor, energy storage system (batteries), solar panels, charge controller, and power management system-along with their appropriate specifications, sizing considerations, and functional relationships.</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also explores methods for evaluating the energy balance of the system by analyzing solar energy input, energy conversion efficiency, storage capacity, and driving energy demand under realistic operational conditions. It assesses the feasibility of implementing such a system based on average solar irradiance, typical urban driving cycles, and battery charging/discharging behavior.</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the research aims to develop a comprehensive mathematical model that describes the interaction between each major component of the system. This includes modeling the solar PV energy generation, battery charging dynamics, motor drive characteristics, and overall power flow management. The mathematical formulation will illustrate how each subsystem operates in harmony with the others to achieve locomotion, energy optimization, and auxiliary functions. This modeling will serve to provide analytical insight into the performance and integration challenges of the proposed solar-powered electric vehicle system.</w:t>
      </w:r>
    </w:p>
    <w:p w:rsidR="00000000" w:rsidDel="00000000" w:rsidP="00000000" w:rsidRDefault="00000000" w:rsidRPr="00000000" w14:paraId="00000016">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w:t>
        <w:tab/>
        <w:t xml:space="preserve">Limitations.</w:t>
      </w:r>
    </w:p>
    <w:p w:rsidR="00000000" w:rsidDel="00000000" w:rsidP="00000000" w:rsidRDefault="00000000" w:rsidRPr="00000000" w14:paraId="0000001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researchislimitedtotheoreticalandanalyticaldiscussionsanddoesnotinvolvephysicalconstruction,testing,orprototyping.Economic,regulatory,andlarge-scalemanufacturingconsiderationsarebeyondthescope,althoughbriefinsightsmaybereferenced.Theprimarygoalistoserveasatechnicalguidethatcanassistresearchers,students,andengineersinunderstandinghowasolar-poweredelectricvehiclesystemcanbedesignedandevaluatedforreal-worldapplication.</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2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w:t>
        <w:tab/>
        <w:t xml:space="preserve">LITERATURE REVIEW.</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Shafqt Mughal, Yog Raj Sood, and R.K. Jarial (2018),</w:t>
      </w:r>
      <w:r w:rsidDel="00000000" w:rsidR="00000000" w:rsidRPr="00000000">
        <w:rPr>
          <w:rFonts w:ascii="Times New Roman" w:cs="Times New Roman" w:eastAsia="Times New Roman" w:hAnsi="Times New Roman"/>
          <w:sz w:val="28"/>
          <w:szCs w:val="28"/>
          <w:rtl w:val="0"/>
        </w:rPr>
        <w:t xml:space="preserve"> emphasized the increasing global energy demand driven by industrial development and population growth, and highlighted solar photovoltaic (PV) technology as a promising solution for clean and renewable electricity generation. Their study identifies solar energy as the most abundant and environmentally friendly resource, capable of reducing greenhouse gas emissions through direct electricity generation. The authors discuss recent technological advancements, including the development and deployment of building-integrated photovoltaic (BIPV) systems, which serve both structural and energy-producing functions. They also examine international and national policy frameworks - such as </w:t>
      </w:r>
      <w:r w:rsidDel="00000000" w:rsidR="00000000" w:rsidRPr="00000000">
        <w:rPr>
          <w:rFonts w:ascii="Times New Roman" w:cs="Times New Roman" w:eastAsia="Times New Roman" w:hAnsi="Times New Roman"/>
          <w:b w:val="1"/>
          <w:sz w:val="28"/>
          <w:szCs w:val="28"/>
          <w:rtl w:val="0"/>
        </w:rPr>
        <w:t xml:space="preserve">India’s Jawaharlal Nehru National Solar Mission (JNNSM)</w:t>
      </w:r>
      <w:r w:rsidDel="00000000" w:rsidR="00000000" w:rsidRPr="00000000">
        <w:rPr>
          <w:rFonts w:ascii="Times New Roman" w:cs="Times New Roman" w:eastAsia="Times New Roman" w:hAnsi="Times New Roman"/>
          <w:sz w:val="28"/>
          <w:szCs w:val="28"/>
          <w:rtl w:val="0"/>
        </w:rPr>
        <w:t xml:space="preserve"> - that support solar adoption through financial incentives and capacity-building programs. Furthermore, the review outlines the need for skilled manpower across the PV sector and presents case studies and simulations demonstrating how PV integration, cooling strategies, and smart architectural design can enhance efficiency. Overall, their work provides valuable insights into the technical, environmental, and economic viability of solar PV systems for sustainable energy development.</w:t>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Budde-Meiwes et al. (2013)</w:t>
      </w:r>
      <w:r w:rsidDel="00000000" w:rsidR="00000000" w:rsidRPr="00000000">
        <w:rPr>
          <w:rFonts w:ascii="Times New Roman" w:cs="Times New Roman" w:eastAsia="Times New Roman" w:hAnsi="Times New Roman"/>
          <w:sz w:val="28"/>
          <w:szCs w:val="28"/>
          <w:rtl w:val="0"/>
        </w:rPr>
        <w:t xml:space="preserve"> conducted an in-depth review of current and emerging battery technologies critical to the advancement of electric and hybrid vehicles. The study emphasizes the growing variety of vehicle propulsion systems-from micro-hybrids with start-stop functions to full-electric vehicles-and the corresponding need for suitable battery technologies tailored to each application. Traditional lead–acid batteries remain widely used, especially in micro-hybrids, despite limitations in charge acceptance. Meanwhile, lithium-ion batteries are becoming dominant due to their high energy density and scalability, although they require sophisticated battery management systems for safety. The authors also examine alternative storage options such as nickel–metal hydride, sodium–nickel chloride, lithium–sulphur, metal–air batteries, and supercapacitors, each offering unique benefits and trade-offs in terms of energy density, cost, operating temperature, and lifespan. Key performance factors discussed include cycle and calendar life, thermal and electrical management, and charging strategies ranging from overnight home charging to fast charging and vehicle-to-grid (V2G) applications. The review concludes that no single battery technology will suit all vehicle types; instead, a combination of technologies must be applied based on specific performance, cost, and usage criteria.</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Verman et al. (2015)</w:t>
      </w:r>
      <w:r w:rsidDel="00000000" w:rsidR="00000000" w:rsidRPr="00000000">
        <w:rPr>
          <w:rFonts w:ascii="Times New Roman" w:cs="Times New Roman" w:eastAsia="Times New Roman" w:hAnsi="Times New Roman"/>
          <w:sz w:val="28"/>
          <w:szCs w:val="28"/>
          <w:rtl w:val="0"/>
        </w:rPr>
        <w:t xml:space="preserve"> reviewed the critical role of Maximum Power Point Tracking (MPPT) in enhancing the efficiency of solar photovoltaic (PV) systems, particularly under varying environmental conditions such as non-uniform insolation and temperature fluctuations. As global energy demand increases and fossil fuel resources dwindle, solar energy emerges as a viable alternative due to its abundance and clean nature. However, PV systems face challenges such as low conversion efficiency and mismatch between load and source characteristics, which reduce the maximum deliverable power. The study highlights that the non-linear current–voltage (I–V) characteristics of PV modules require advanced MPPT techniques to ensure optimal power extraction. The authors presented a comprehensive review and comparative analysis of 31 MPPT methods, categorized based on 13 performance parameters, to address the complexity of selecting the most suitable MPPT approach. Their analysis serves as a valuable tool for system designers, researchers, and utilities in identifying efficient and environmentally compatible power tracking solutions, ultimately aiding in cost reduction and improved energy yield of PV systems.</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Senthil et al. (2021)</w:t>
      </w:r>
      <w:r w:rsidDel="00000000" w:rsidR="00000000" w:rsidRPr="00000000">
        <w:rPr>
          <w:rFonts w:ascii="Times New Roman" w:cs="Times New Roman" w:eastAsia="Times New Roman" w:hAnsi="Times New Roman"/>
          <w:sz w:val="28"/>
          <w:szCs w:val="28"/>
          <w:rtl w:val="0"/>
        </w:rPr>
        <w:t xml:space="preserve"> reviewed the critical role of solar energy education and research in achieving global sustainability targets, particularly the United Nations Sustainable Development Goal 7 (Affordable and Clean Energy). The study emphasizes that solar energy, due to its abundance and renewability, is a key driver in reducing environmental degradation, carbon emissions, and dependency on fossil fuels. The authors discuss recent innovations in solar energy technologies and highlight the importance of integrating solar education from school to advanced academic levels to foster practical knowledge and encourage innovation. Key barriers such as lack of policies, funding, and materials are identified alongside drivers like grid resilience, sustainability awareness, and job creation through solar PV deployment. The review presents a strong case for enhanced solar curricula, real-time learning through experimental microgrid systems, and stronger collaboration between academic institutions and industries. It also outlines future research directions in areas like bioinspired solar cells, sustainable materials, hybrid energy systems, and smart solar integration, positioning solar energy as a cornerstone for a clean, resilient, and inclusive energy future.</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Kah Yung Yap et al. (2022)</w:t>
      </w:r>
      <w:r w:rsidDel="00000000" w:rsidR="00000000" w:rsidRPr="00000000">
        <w:rPr>
          <w:rFonts w:ascii="Times New Roman" w:cs="Times New Roman" w:eastAsia="Times New Roman" w:hAnsi="Times New Roman"/>
          <w:sz w:val="28"/>
          <w:szCs w:val="28"/>
          <w:rtl w:val="0"/>
        </w:rPr>
        <w:t xml:space="preserve"> presented a comprehensive review of solar energy-powered battery electric vehicle (BEV) charging stations (CS), emphasizing their role in reducing carbon emissions and enhancing environmental sustainability. Although BEVs are promoted as clean alternatives to internal combustion engine vehicles, their environmental benefits are undermined when powered by conventional fossil fuel-based electricity. The study advocates for the integration of solar photovoltaic systems into BEV charging infrastructure as a more sustainable alternative. The authors analyzed various challenges, including technical barriers such as grid instability, power intermittency, limited nighttime operation, and the need for maximum power point tracking (MPPT). Compared to wind and hydro power, solar energy is seen as more practical for urban CS deployment due to its accessibility, technological maturity, and direct current (DC) output compatibility with fast-charging systems. Innovations such as flexible solar panels, floating PVs, and bidirectional vehicle-to-grid (V2G) systems are also discussed. The paper highlights research gaps in hardware, energy management, and infrastructure, while proposing future solutions such as blockchain-enabled peer-to-peer (P2P) energy trading and RES hybridization to accelerate net-zero emission goals for electric mobility.</w:t>
      </w:r>
    </w:p>
    <w:p w:rsidR="00000000" w:rsidDel="00000000" w:rsidP="00000000" w:rsidRDefault="00000000" w:rsidRPr="00000000" w14:paraId="00000033">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w:t>
        <w:tab/>
        <w:t xml:space="preserve">OVERVIEW OF EXISTING SOLAR ELECTRIC VEHICLE (SEVs).</w:t>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Solar Electric Vehicles (SEVs) represent a progressive step in sustainable transportation by integrating solar photovoltaic (PV) systems into electric vehicle (EV) designs. Unlike traditional EVs that rely solely on grid electricity, SEVs harvest solar energy directly through panels mounted on vehicle surfaces like the roof, bonnet, or rear. This allows for auxiliary power generation that supports daily commuting, reduces dependence on fossil fuels, and contributes to decarbonizing the transport sector. As emphasized by </w:t>
      </w:r>
      <w:r w:rsidDel="00000000" w:rsidR="00000000" w:rsidRPr="00000000">
        <w:rPr>
          <w:rFonts w:ascii="Times New Roman" w:cs="Times New Roman" w:eastAsia="Times New Roman" w:hAnsi="Times New Roman"/>
          <w:b w:val="1"/>
          <w:sz w:val="28"/>
          <w:szCs w:val="28"/>
          <w:rtl w:val="0"/>
        </w:rPr>
        <w:t xml:space="preserve">Kah Yung Yap et al (2022)</w:t>
      </w:r>
      <w:r w:rsidDel="00000000" w:rsidR="00000000" w:rsidRPr="00000000">
        <w:rPr>
          <w:rFonts w:ascii="Times New Roman" w:cs="Times New Roman" w:eastAsia="Times New Roman" w:hAnsi="Times New Roman"/>
          <w:sz w:val="28"/>
          <w:szCs w:val="28"/>
          <w:rtl w:val="0"/>
        </w:rPr>
        <w:t xml:space="preserve">., incorporating solar energy into Battery Electric Vehicle (BEV) charging stations not only enhances sustainability but also mitigates emissions caused by grid electricity generated from fossil fuels.</w:t>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prototype and commercially available SEVs have emerged globally. </w:t>
      </w:r>
      <w:r w:rsidDel="00000000" w:rsidR="00000000" w:rsidRPr="00000000">
        <w:rPr>
          <w:rFonts w:ascii="Times New Roman" w:cs="Times New Roman" w:eastAsia="Times New Roman" w:hAnsi="Times New Roman"/>
          <w:b w:val="1"/>
          <w:sz w:val="28"/>
          <w:szCs w:val="28"/>
          <w:rtl w:val="0"/>
        </w:rPr>
        <w:t xml:space="preserve">Lightyear 0</w:t>
      </w:r>
      <w:r w:rsidDel="00000000" w:rsidR="00000000" w:rsidRPr="00000000">
        <w:rPr>
          <w:rFonts w:ascii="Times New Roman" w:cs="Times New Roman" w:eastAsia="Times New Roman" w:hAnsi="Times New Roman"/>
          <w:sz w:val="28"/>
          <w:szCs w:val="28"/>
          <w:rtl w:val="0"/>
        </w:rPr>
        <w:t xml:space="preserve"> (Netherlands) is one of the most advanced SEVs, boasting aerodynamic efficiency and integrated solar panels that can add up to 70 km of daily range under optimal sun exposure. Similarly, </w:t>
      </w:r>
      <w:r w:rsidDel="00000000" w:rsidR="00000000" w:rsidRPr="00000000">
        <w:rPr>
          <w:rFonts w:ascii="Times New Roman" w:cs="Times New Roman" w:eastAsia="Times New Roman" w:hAnsi="Times New Roman"/>
          <w:b w:val="1"/>
          <w:sz w:val="28"/>
          <w:szCs w:val="28"/>
          <w:rtl w:val="0"/>
        </w:rPr>
        <w:t xml:space="preserve">Sono Motors' Sion</w:t>
      </w:r>
      <w:r w:rsidDel="00000000" w:rsidR="00000000" w:rsidRPr="00000000">
        <w:rPr>
          <w:rFonts w:ascii="Times New Roman" w:cs="Times New Roman" w:eastAsia="Times New Roman" w:hAnsi="Times New Roman"/>
          <w:sz w:val="28"/>
          <w:szCs w:val="28"/>
          <w:rtl w:val="0"/>
        </w:rPr>
        <w:t xml:space="preserve"> (Germany) is designed for urban environments and integrates solar cells throughout its body panels. </w:t>
      </w:r>
      <w:r w:rsidDel="00000000" w:rsidR="00000000" w:rsidRPr="00000000">
        <w:rPr>
          <w:rFonts w:ascii="Times New Roman" w:cs="Times New Roman" w:eastAsia="Times New Roman" w:hAnsi="Times New Roman"/>
          <w:b w:val="1"/>
          <w:sz w:val="28"/>
          <w:szCs w:val="28"/>
          <w:rtl w:val="0"/>
        </w:rPr>
        <w:t xml:space="preserve">Aptera Motors</w:t>
      </w:r>
      <w:r w:rsidDel="00000000" w:rsidR="00000000" w:rsidRPr="00000000">
        <w:rPr>
          <w:rFonts w:ascii="Times New Roman" w:cs="Times New Roman" w:eastAsia="Times New Roman" w:hAnsi="Times New Roman"/>
          <w:sz w:val="28"/>
          <w:szCs w:val="28"/>
          <w:rtl w:val="0"/>
        </w:rPr>
        <w:t xml:space="preserve"> (USA) developed a lightweight, three-wheeled SEV that claims up to 64 km per day powered purely by solar energy. These real-world applications reflect the vision outlined by </w:t>
      </w:r>
      <w:r w:rsidDel="00000000" w:rsidR="00000000" w:rsidRPr="00000000">
        <w:rPr>
          <w:rFonts w:ascii="Times New Roman" w:cs="Times New Roman" w:eastAsia="Times New Roman" w:hAnsi="Times New Roman"/>
          <w:b w:val="1"/>
          <w:sz w:val="28"/>
          <w:szCs w:val="28"/>
          <w:rtl w:val="0"/>
        </w:rPr>
        <w:t xml:space="preserve">Budde-Meiwes et al (2013)</w:t>
      </w:r>
      <w:r w:rsidDel="00000000" w:rsidR="00000000" w:rsidRPr="00000000">
        <w:rPr>
          <w:rFonts w:ascii="Times New Roman" w:cs="Times New Roman" w:eastAsia="Times New Roman" w:hAnsi="Times New Roman"/>
          <w:sz w:val="28"/>
          <w:szCs w:val="28"/>
          <w:rtl w:val="0"/>
        </w:rPr>
        <w:t xml:space="preserve">., who discussed the technological maturity of solar batteries and the evolution of hybrid and electric systems powered by high-efficiency battery and power management systems.</w:t>
      </w:r>
    </w:p>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current SEV technology is not without limitations. One of the major concerns, as highlighted by Deepak Verman et al., lies in the constrained surface area available for solar panels, which inherently limits the total power harvestable. Additionally, real-time solar irradiance and weather variability significantly impact the efficiency and reliability of solar charging. In most SEVs, solar energy serves as a supplementary power source rather than a complete substitute for grid charging. To address such inefficiencies, robust Maximum Power Point Tracking (MPPT) techniques are necessary to ensure consistent power delivery under dynamic environmental conditions-an area extensively reviewed by </w:t>
      </w:r>
      <w:r w:rsidDel="00000000" w:rsidR="00000000" w:rsidRPr="00000000">
        <w:rPr>
          <w:rFonts w:ascii="Times New Roman" w:cs="Times New Roman" w:eastAsia="Times New Roman" w:hAnsi="Times New Roman"/>
          <w:b w:val="1"/>
          <w:sz w:val="28"/>
          <w:szCs w:val="28"/>
          <w:rtl w:val="0"/>
        </w:rPr>
        <w:t xml:space="preserve">Verman et al (2015)</w:t>
      </w:r>
      <w:r w:rsidDel="00000000" w:rsidR="00000000" w:rsidRPr="00000000">
        <w:rPr>
          <w:rFonts w:ascii="Times New Roman" w:cs="Times New Roman" w:eastAsia="Times New Roman" w:hAnsi="Times New Roman"/>
          <w:sz w:val="28"/>
          <w:szCs w:val="28"/>
          <w:rtl w:val="0"/>
        </w:rPr>
        <w:t xml:space="preserve">. in their comparative analysis of MPPT methods.</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SEVs require sophisticated energy management systems (EMS), thermal regulation, and advanced electronics to handle variable PV inputs and ensure seamless integration with vehicle batteries and propulsion systems. </w:t>
      </w:r>
      <w:r w:rsidDel="00000000" w:rsidR="00000000" w:rsidRPr="00000000">
        <w:rPr>
          <w:rFonts w:ascii="Times New Roman" w:cs="Times New Roman" w:eastAsia="Times New Roman" w:hAnsi="Times New Roman"/>
          <w:b w:val="1"/>
          <w:sz w:val="28"/>
          <w:szCs w:val="28"/>
          <w:rtl w:val="0"/>
        </w:rPr>
        <w:t xml:space="preserve">Senthil Kumar et al(2021)</w:t>
      </w:r>
      <w:r w:rsidDel="00000000" w:rsidR="00000000" w:rsidRPr="00000000">
        <w:rPr>
          <w:rFonts w:ascii="Times New Roman" w:cs="Times New Roman" w:eastAsia="Times New Roman" w:hAnsi="Times New Roman"/>
          <w:sz w:val="28"/>
          <w:szCs w:val="28"/>
          <w:rtl w:val="0"/>
        </w:rPr>
        <w:t xml:space="preserve">. emphasized the importance of solar energy education and research in developing sustainable energy technologies, particularly the role of universities and institutions in fostering innovation in solar-electric mobility. Their study also underscores the need for skilled professionals capable of designing, maintaining, and integrating SEV systems into smart grids and renewable-based infrastructures.</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these challenges, SEVs hold strong promise for the future of clean transportation. Ongoing advancements such as flexible solar panels, solar-integrated microgrids, bidirectional EV chargers, and Vehicle-to-Grid (V2G) applications-as discussed by </w:t>
      </w:r>
      <w:r w:rsidDel="00000000" w:rsidR="00000000" w:rsidRPr="00000000">
        <w:rPr>
          <w:rFonts w:ascii="Times New Roman" w:cs="Times New Roman" w:eastAsia="Times New Roman" w:hAnsi="Times New Roman"/>
          <w:b w:val="1"/>
          <w:sz w:val="28"/>
          <w:szCs w:val="28"/>
          <w:rtl w:val="0"/>
        </w:rPr>
        <w:t xml:space="preserve">Yap et al (2022)</w:t>
      </w:r>
      <w:r w:rsidDel="00000000" w:rsidR="00000000" w:rsidRPr="00000000">
        <w:rPr>
          <w:rFonts w:ascii="Times New Roman" w:cs="Times New Roman" w:eastAsia="Times New Roman" w:hAnsi="Times New Roman"/>
          <w:sz w:val="28"/>
          <w:szCs w:val="28"/>
          <w:rtl w:val="0"/>
        </w:rPr>
        <w:t xml:space="preserve">.-will likely drive more widespread adoption. Future trends include solar-powered battery-swapping stations, blockchain-based peer-to-peer energy trading for EVs, and the integration of wind and hydro power to complement solar systems. In sum, SEVs are positioned to significantly impact urban mobility, renewable energy use, and the broader sustainable development agenda, aligning strongly with the UN’s SDG 7 and SDG 13 goals.</w:t>
      </w:r>
    </w:p>
    <w:p w:rsidR="00000000" w:rsidDel="00000000" w:rsidP="00000000" w:rsidRDefault="00000000" w:rsidRPr="00000000" w14:paraId="0000003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 PAST RESEARCH AND DEVELOPMENTS.</w:t>
      </w:r>
    </w:p>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past few decades have witnessed significant strides in the research and development of solar electric vehicles (SEVs), driven by global concerns surrounding climate change, fossil fuel depletion, and the urgent need for sustainable transportation. Early conceptualizations of integrating solar power into vehicular systems focused primarily on experimental vehicles and academic prototypes designed to demonstrate feasibility rather than commercial viability. The most notable early breakthroughs came in the 1980s and 1990s with solar race cars, such as those developed for the World Solar Challenge, where vehicles were built with ultra-lightweight materials and highly efficient monocrystalline panels to maximize distance per solar charge. These early experiments laid the groundwork for more practical and user-oriented solar mobility solutions.</w:t>
      </w:r>
    </w:p>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early 2000s, research began shifting toward hybridized systems where solar panels supplemented the power needs of conventional battery electric vehicles (BEVs). Studies focused on integrating photovoltaic (PV) arrays on car surfaces to provide auxiliary power for lighting, ventilation, and infotainment systems. A significant body of literature, such as that by </w:t>
      </w:r>
      <w:r w:rsidDel="00000000" w:rsidR="00000000" w:rsidRPr="00000000">
        <w:rPr>
          <w:rFonts w:ascii="Times New Roman" w:cs="Times New Roman" w:eastAsia="Times New Roman" w:hAnsi="Times New Roman"/>
          <w:b w:val="1"/>
          <w:sz w:val="28"/>
          <w:szCs w:val="28"/>
          <w:rtl w:val="0"/>
        </w:rPr>
        <w:t xml:space="preserve">Budde-Meiwes et al. (2013),</w:t>
      </w:r>
      <w:r w:rsidDel="00000000" w:rsidR="00000000" w:rsidRPr="00000000">
        <w:rPr>
          <w:rFonts w:ascii="Times New Roman" w:cs="Times New Roman" w:eastAsia="Times New Roman" w:hAnsi="Times New Roman"/>
          <w:sz w:val="28"/>
          <w:szCs w:val="28"/>
          <w:rtl w:val="0"/>
        </w:rPr>
        <w:t xml:space="preserve"> explored battery technology evolution, emphasizing lithium-ion, lead-acid, and supercapacitors, and their roles in supporting hybrid and electric vehicle configurations. This phase of research focused heavily on improving energy density, charge-discharge cycles, safety mechanisms, and cost reduction through innovations in materials and system design.</w:t>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Parallel to the advancement in storage technologies, researchers such as </w:t>
      </w:r>
      <w:r w:rsidDel="00000000" w:rsidR="00000000" w:rsidRPr="00000000">
        <w:rPr>
          <w:rFonts w:ascii="Times New Roman" w:cs="Times New Roman" w:eastAsia="Times New Roman" w:hAnsi="Times New Roman"/>
          <w:b w:val="1"/>
          <w:sz w:val="28"/>
          <w:szCs w:val="28"/>
          <w:rtl w:val="0"/>
        </w:rPr>
        <w:t xml:space="preserve">Deepak Verman et al. (2015)</w:t>
      </w:r>
      <w:r w:rsidDel="00000000" w:rsidR="00000000" w:rsidRPr="00000000">
        <w:rPr>
          <w:rFonts w:ascii="Times New Roman" w:cs="Times New Roman" w:eastAsia="Times New Roman" w:hAnsi="Times New Roman"/>
          <w:sz w:val="28"/>
          <w:szCs w:val="28"/>
          <w:rtl w:val="0"/>
        </w:rPr>
        <w:t xml:space="preserve"> emphasized the importance of efficient power extraction from solar modules through Maximum Power Point Tracking (MPPT) techniques. Their comparative analysis of over 31 MPPT methods reflected the growing interest in optimizing solar power conversion under varying irradiance and shading conditions-key challenges for mobile solar applications. Around the same time, several academic and industrial groups initiated investigations into modular PV integration on vehicle bodies, experimenting with flexible thin-film cells and semi-transparent PV materials to expand the usable surface area of cars without compromising aesthetics or aerodynamics.</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renewed wave of research in the 2010s and 2020s has focused on system-level integration, where SEVs are seen not only as solar-powered transport units but also as integral components of a larger smart grid. Researchers like </w:t>
      </w:r>
      <w:r w:rsidDel="00000000" w:rsidR="00000000" w:rsidRPr="00000000">
        <w:rPr>
          <w:rFonts w:ascii="Times New Roman" w:cs="Times New Roman" w:eastAsia="Times New Roman" w:hAnsi="Times New Roman"/>
          <w:b w:val="1"/>
          <w:sz w:val="28"/>
          <w:szCs w:val="28"/>
          <w:rtl w:val="0"/>
        </w:rPr>
        <w:t xml:space="preserve">Kah Yung Yap et al(2022)</w:t>
      </w:r>
      <w:r w:rsidDel="00000000" w:rsidR="00000000" w:rsidRPr="00000000">
        <w:rPr>
          <w:rFonts w:ascii="Times New Roman" w:cs="Times New Roman" w:eastAsia="Times New Roman" w:hAnsi="Times New Roman"/>
          <w:sz w:val="28"/>
          <w:szCs w:val="28"/>
          <w:rtl w:val="0"/>
        </w:rPr>
        <w:t xml:space="preserve">. have highlighted the potential of SEVs to function within distributed energy networks, particularly when integrated with Vehicle-to-Grid (V2G) systems and peer-to-peer energy trading. These developments envision a future where vehicles are not just consumers of energy but also producers and stabilizers of renewable-powered grids. The research now extends to bidirectional charging systems, blockchain-based energy platforms, and solar-powered battery swapping infrastructures.</w:t>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 and skill development have also emerged as important themes in solar energy R&amp;D. As noted by </w:t>
      </w:r>
      <w:r w:rsidDel="00000000" w:rsidR="00000000" w:rsidRPr="00000000">
        <w:rPr>
          <w:rFonts w:ascii="Times New Roman" w:cs="Times New Roman" w:eastAsia="Times New Roman" w:hAnsi="Times New Roman"/>
          <w:b w:val="1"/>
          <w:sz w:val="28"/>
          <w:szCs w:val="28"/>
          <w:rtl w:val="0"/>
        </w:rPr>
        <w:t xml:space="preserve">Senthil Kumar et al(2021)</w:t>
      </w:r>
      <w:r w:rsidDel="00000000" w:rsidR="00000000" w:rsidRPr="00000000">
        <w:rPr>
          <w:rFonts w:ascii="Times New Roman" w:cs="Times New Roman" w:eastAsia="Times New Roman" w:hAnsi="Times New Roman"/>
          <w:sz w:val="28"/>
          <w:szCs w:val="28"/>
          <w:rtl w:val="0"/>
        </w:rPr>
        <w:t xml:space="preserve">., institutions are investing in renewable energy curricula, real-time lab models, and field projects to support innovation in SEV design, maintenance, and deployment. Simultaneously, government-backed research initiatives and startup ventures in countries like the Netherlands, Germany, China, and the United States have pushed the commercial boundaries of SEVs, with vehicles like the </w:t>
      </w:r>
      <w:r w:rsidDel="00000000" w:rsidR="00000000" w:rsidRPr="00000000">
        <w:rPr>
          <w:rFonts w:ascii="Times New Roman" w:cs="Times New Roman" w:eastAsia="Times New Roman" w:hAnsi="Times New Roman"/>
          <w:b w:val="1"/>
          <w:sz w:val="28"/>
          <w:szCs w:val="28"/>
          <w:rtl w:val="0"/>
        </w:rPr>
        <w:t xml:space="preserve">Lightyear 0, Sono Sion,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b w:val="1"/>
          <w:sz w:val="28"/>
          <w:szCs w:val="28"/>
          <w:rtl w:val="0"/>
        </w:rPr>
        <w:t xml:space="preserve">Aptera</w:t>
      </w:r>
      <w:r w:rsidDel="00000000" w:rsidR="00000000" w:rsidRPr="00000000">
        <w:rPr>
          <w:rFonts w:ascii="Times New Roman" w:cs="Times New Roman" w:eastAsia="Times New Roman" w:hAnsi="Times New Roman"/>
          <w:sz w:val="28"/>
          <w:szCs w:val="28"/>
          <w:rtl w:val="0"/>
        </w:rPr>
        <w:t xml:space="preserve"> generating widespread attention.</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conclusion, the trajectory of past R&amp;D in solar electric vehicles reflects a steady progression from theoretical proof-of-concept designs to scalable, real-world applications. The synergy between advancements in PV technology, energy storage, power electronics, and smart systems integration continues to drive this field toward a more sustainable, carbon-neutral transportation future.</w:t>
      </w:r>
    </w:p>
    <w:p w:rsidR="00000000" w:rsidDel="00000000" w:rsidP="00000000" w:rsidRDefault="00000000" w:rsidRPr="00000000" w14:paraId="00000040">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 </w:t>
        <w:tab/>
        <w:t xml:space="preserve">TECHNOLOGIES USED IN SOLAR ELECTRIC VEHICLE (SEVs).</w:t>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solar electric vehicle (SEV) integrates several advanced technologies to efficiently convert solar energy into usable power for propulsion and onboard systems. Each component plays a critical role in the energy generation, storage, management, and utilization processes.</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Photovoltaic (PV) Panels-These are mounted on the vehicle's surface (usually the roof and hood) and serve as the primary source of energy generation. They convert solar radiation directly into electricity using the photovoltaic effect. Monocrystalline and thin-film solar panels are commonly employed due to their high efficiency and flexibility for vehicle design.</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Maximum Power Point Tracker (MPPT)-This electronic device ensures that the solar panels always operate at their optimal power output regardless of changing sunlight and temperature conditions. It dynamically adjusts the electrical operating point of the modules, thereby improving the energy yield.</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Battery Pack-The energy generated by the solar panels is stored in rechargeable batteries, typically lithium-ion or lithium iron phosphate (LiFePO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These batteries serve as the main energy reservoir, supplying power to the electric motor and other vehicle systems when sunlight is insufficient or during nighttime driving.</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Battery Management System (BMS)-The BMS oversees the safe operation of the battery pack by monitoring critical parameters such as voltage, temperature, current, state of charge (SOC), and state of health (SOH). It prevents conditions that could damage the battery, such as overcharging or deep discharging.</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Electric Motor-This is the core propulsion component that converts the electrical energy from the battery into mechanical energy to drive the vehicle's wheels. SEVs commonly use brushless DC motors or AC induction motors for their efficiency and reliability.</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Regenerative Braking System – This system captures kinetic energy usually lost as heat during braking and converts it back into electrical energy. The recovered energy is then fed back into the battery, improving the vehicle’s overall energy efficiency.</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DC-DC Converter-This component steps down the high-voltage output from the battery to lower voltages required by auxiliary systems such as lighting, dashboard electronics, and entertainment units.</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Vehicle Control Unit (VCU)- Acting as the central processor, the VCU manages and coordinates all vehicle subsystems including power distribution, acceleration, braking, and communication between the MPPT, BMS, and motor controllers.</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Thermal Management System-Both the motor and the battery require cooling mechanisms to maintain their optimal operating temperature. This system may involve air cooling, liquid cooling, or phase-change materials to dissipate heat effectively.</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Charging Port-SEVs are typically equipped with a standard AC/DC charging port that allows external grid charging when solar energy alone is insufficient, such as during cloudy periods or long-range driving.</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Vehicle-to-Grid (V2G) Interface (optional)-In advanced SEVs, this feature allows the stored energy in the battery to be fed back into the electrical grid or used as backup power for homes, thus contributing to smart grid integration and energy sustainability.</w:t>
      </w:r>
    </w:p>
    <w:p w:rsidR="00000000" w:rsidDel="00000000" w:rsidP="00000000" w:rsidRDefault="00000000" w:rsidRPr="00000000" w14:paraId="0000004F">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5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5C">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SYSTEM DESIGN AND METHODOLOGY.</w:t>
      </w:r>
    </w:p>
    <w:p w:rsidR="00000000" w:rsidDel="00000000" w:rsidP="00000000" w:rsidRDefault="00000000" w:rsidRPr="00000000" w14:paraId="000000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 of a simple Solar-Powered Electric Vehicle (SPEV) is structured into a series of energy-processing compartments, each with a specific role in capturing, converting, storing, and utilizing energy efficiently. The system begins with Photovoltaic (PV) panels, which convert solar energy into direct current (DC) electricity. This energy is then regulated by a Maximum Power Point Tracking (MPPT) controller, ensuring maximum power extraction under varying solar conditions. The optimized power is stored in the Battery Pack, acting as the central energy reservoir.</w:t>
      </w:r>
    </w:p>
    <w:p w:rsidR="00000000" w:rsidDel="00000000" w:rsidP="00000000" w:rsidRDefault="00000000" w:rsidRPr="00000000" w14:paraId="0000005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Battery Management System (BMS) monitors the battery’s state of charge, temperature, and overall health, preventing unsafe conditions. Power flows from the battery through a DC-DC Converter, which adjusts voltage levels to match the requirements of downstream systems. The Vehicle Control Unit (VCU) manages the distribution of power and oversees communication between all subsystems. Energy is ultimately delivered to the Electric Motor, which drives the wheels, and to the Thermal Management System, which maintains safe operating temperatures.</w:t>
      </w:r>
    </w:p>
    <w:p w:rsidR="00000000" w:rsidDel="00000000" w:rsidP="00000000" w:rsidRDefault="00000000" w:rsidRPr="00000000" w14:paraId="000000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compartment is justified based on its contribution to maintaining stable energy flow and optimizing vehicle performance. The overall system is modeled using energy balance principles, and the efficiency of each compartment is calculated using the ratio:</w:t>
      </w:r>
    </w:p>
    <w:p w:rsidR="00000000" w:rsidDel="00000000" w:rsidP="00000000" w:rsidRDefault="00000000" w:rsidRPr="00000000" w14:paraId="0000006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FORMULAR </w:t>
      </w:r>
    </w:p>
    <w:p w:rsidR="00000000" w:rsidDel="00000000" w:rsidP="00000000" w:rsidRDefault="00000000" w:rsidRPr="00000000" w14:paraId="00000063">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drawing>
          <wp:inline distB="0" distT="0" distL="0" distR="0">
            <wp:extent cx="3997274" cy="614713"/>
            <wp:effectExtent b="0" l="0" r="0" t="0"/>
            <wp:docPr id="1" name="image16.png"/>
            <a:graphic>
              <a:graphicData uri="http://schemas.openxmlformats.org/drawingml/2006/picture">
                <pic:pic>
                  <pic:nvPicPr>
                    <pic:cNvPr id="0" name="image16.png"/>
                    <pic:cNvPicPr preferRelativeResize="0"/>
                  </pic:nvPicPr>
                  <pic:blipFill>
                    <a:blip r:embed="rId36"/>
                    <a:srcRect b="0" l="0" r="0" t="0"/>
                    <a:stretch>
                      <a:fillRect/>
                    </a:stretch>
                  </pic:blipFill>
                  <pic:spPr>
                    <a:xfrm>
                      <a:off x="0" y="0"/>
                      <a:ext cx="3997274" cy="614713"/>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allows for evaluating losses and performance across the chain, from PV input to energy consumption at the motor and cooling systems. This compartmentalized design enables modular analysis, facilitates energy optimization, and ensures that every stagefrom solar harvesting to propulsion - is quantifiably contributing to the system's efficiency.</w:t>
      </w: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 </w:t>
        <w:tab/>
        <w:t xml:space="preserve">ENERGY ARCHITECTURE.</w:t>
      </w:r>
    </w:p>
    <w:p w:rsidR="00000000" w:rsidDel="00000000" w:rsidP="00000000" w:rsidRDefault="00000000" w:rsidRPr="00000000" w14:paraId="0000006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flow architecture of the SPEV follows a linear and feedback-controlled pattern that begins with energy harvesting and ends with mechanical motion, while incorporating recovery and safety loops. The major elements of this flow include:</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Photovoltaic Cell (PVC):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Captures solar radiation and converts it to DC electricity.</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Maximum Power Point Tracking (MPPT):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Optimizes the output of the PVC under varying sunlight conditions, ensuring maximum energy harvest.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Power Grid (Optional) and Regenerative Braking: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serve as auxiliary sources of energy input, providing charging support to the battery pack during plug-in sessions or deceleration phases.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Battery Pack: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Acts as the central energy storage unit, receiving input from the MPPT, power grid, and regenerative braking system.</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DC-DC Converter: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Converts stored battery energy to a voltage level suitable for powering the electric motor and vehicle electronics.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Battery Management System (BMS):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Monitors and controls battery safety parameters such as voltage, current, and temperature.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Vehicle Control Unit (VCU):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Houses the DC-DC converter and BMS; manages energy distribution, propulsion commands, and system diagnostics.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Electric Motor: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Converts electrical energy into mechanical motion for vehicle propulsion.</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Thermal Management System: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Ensures optimal operating temperatures for the battery and motor, preventing overheating and improving component lifespan.</w:t>
      </w:r>
    </w:p>
    <w:p w:rsidR="00000000" w:rsidDel="00000000" w:rsidP="00000000" w:rsidRDefault="00000000" w:rsidRPr="00000000" w14:paraId="000000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diagrammatic representation of this energy flow and component interaction is illustrated below.</w:t>
      </w:r>
    </w:p>
    <w:p w:rsidR="00000000" w:rsidDel="00000000" w:rsidP="00000000" w:rsidRDefault="00000000" w:rsidRPr="00000000" w14:paraId="0000007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w:t>
      </w:r>
      <w:r w:rsidDel="00000000" w:rsidR="00000000" w:rsidRPr="00000000">
        <w:rPr>
          <w:rFonts w:ascii="Times New Roman" w:cs="Times New Roman" w:eastAsia="Times New Roman" w:hAnsi="Times New Roman"/>
          <w:b w:val="1"/>
          <w:sz w:val="28"/>
          <w:szCs w:val="28"/>
        </w:rPr>
        <w:drawing>
          <wp:inline distB="0" distT="0" distL="0" distR="0">
            <wp:extent cx="5943600" cy="3127375"/>
            <wp:effectExtent b="0" l="0" r="0" t="0"/>
            <wp:docPr descr="KAHINDE.PNG" id="3" name="image18.png"/>
            <a:graphic>
              <a:graphicData uri="http://schemas.openxmlformats.org/drawingml/2006/picture">
                <pic:pic>
                  <pic:nvPicPr>
                    <pic:cNvPr descr="KAHINDE.PNG" id="0" name="image18.png"/>
                    <pic:cNvPicPr preferRelativeResize="0"/>
                  </pic:nvPicPr>
                  <pic:blipFill>
                    <a:blip r:embed="rId37"/>
                    <a:srcRect b="0" l="0" r="0" t="0"/>
                    <a:stretch>
                      <a:fillRect/>
                    </a:stretch>
                  </pic:blipFill>
                  <pic:spPr>
                    <a:xfrm>
                      <a:off x="0" y="0"/>
                      <a:ext cx="5943600" cy="3127375"/>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Figure 1: </w:t>
      </w:r>
      <w:r w:rsidDel="00000000" w:rsidR="00000000" w:rsidRPr="00000000">
        <w:rPr>
          <w:rFonts w:ascii="Times New Roman" w:cs="Times New Roman" w:eastAsia="Times New Roman" w:hAnsi="Times New Roman"/>
          <w:sz w:val="28"/>
          <w:szCs w:val="28"/>
          <w:rtl w:val="0"/>
        </w:rPr>
        <w:t xml:space="preserve">Energy flow system.</w:t>
      </w: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w:t>
        <w:tab/>
        <w:t xml:space="preserve">SUB-SYSTEM DISCRIPTION.</w:t>
      </w:r>
    </w:p>
    <w:p w:rsidR="00000000" w:rsidDel="00000000" w:rsidP="00000000" w:rsidRDefault="00000000" w:rsidRPr="00000000" w14:paraId="0000007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subsystem in the SPEV architecture plays a distinct and essential role in the overall performance and efficiency of the vehicle. A brief description of these subsystems is provided below:</w:t>
      </w:r>
    </w:p>
    <w:p w:rsidR="00000000" w:rsidDel="00000000" w:rsidP="00000000" w:rsidRDefault="00000000" w:rsidRPr="00000000" w14:paraId="0000007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3.3.1.</w:t>
        <w:tab/>
        <w:t xml:space="preserve">Photovoltaic Cell (PVC)</w:t>
      </w:r>
    </w:p>
    <w:p w:rsidR="00000000" w:rsidDel="00000000" w:rsidP="00000000" w:rsidRDefault="00000000" w:rsidRPr="00000000" w14:paraId="000000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PVC system serves as the primary renewable energy source, mounted typically on the roof or body of the vehicle. It converts sunlight into direct current (DC) electricity, which is then sent to the MPPT controller for optimization.</w:t>
      </w:r>
    </w:p>
    <w:p w:rsidR="00000000" w:rsidDel="00000000" w:rsidP="00000000" w:rsidRDefault="00000000" w:rsidRPr="00000000" w14:paraId="0000007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3.3.2.</w:t>
        <w:tab/>
        <w:t xml:space="preserve"> Maximum Power Point Tracking (MPPT)</w:t>
      </w:r>
    </w:p>
    <w:p w:rsidR="00000000" w:rsidDel="00000000" w:rsidP="00000000" w:rsidRDefault="00000000" w:rsidRPr="00000000" w14:paraId="000000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controller dynamically adjusts the electrical operating point of the PVC to ensure that it operates at its maximum power output regardless of light intensity or temperature. It enhances energy efficiency, particularly under fluctuating sunlight conditions.</w:t>
      </w:r>
    </w:p>
    <w:p w:rsidR="00000000" w:rsidDel="00000000" w:rsidP="00000000" w:rsidRDefault="00000000" w:rsidRPr="00000000" w14:paraId="0000007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3.3.3.</w:t>
        <w:tab/>
        <w:t xml:space="preserve">Power Grid and Regenerative Braking</w:t>
      </w:r>
    </w:p>
    <w:p w:rsidR="00000000" w:rsidDel="00000000" w:rsidP="00000000" w:rsidRDefault="00000000" w:rsidRPr="00000000" w14:paraId="000000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power grid connection allows plug-in charging when solar input is insufficient. Meanwhile, regenerative braking recovers kinetic energy during vehicle deceleration and converts it back into electrical energy stored in the battery pack.</w:t>
      </w:r>
    </w:p>
    <w:p w:rsidR="00000000" w:rsidDel="00000000" w:rsidP="00000000" w:rsidRDefault="00000000" w:rsidRPr="00000000" w14:paraId="0000007F">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3.3.4.</w:t>
        <w:tab/>
        <w:t xml:space="preserve"> Battery Pack</w:t>
      </w:r>
    </w:p>
    <w:p w:rsidR="00000000" w:rsidDel="00000000" w:rsidP="00000000" w:rsidRDefault="00000000" w:rsidRPr="00000000" w14:paraId="000000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battery pack stores all the collected and converted electrical energy. It acts as the central energy hub of the SPEV, supplying consistent power to the propulsion system and other vehicle electronics.</w:t>
      </w:r>
    </w:p>
    <w:p w:rsidR="00000000" w:rsidDel="00000000" w:rsidP="00000000" w:rsidRDefault="00000000" w:rsidRPr="00000000" w14:paraId="0000008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3.3.5.</w:t>
        <w:tab/>
        <w:t xml:space="preserve">DC-DC Converter</w:t>
      </w:r>
    </w:p>
    <w:p w:rsidR="00000000" w:rsidDel="00000000" w:rsidP="00000000" w:rsidRDefault="00000000" w:rsidRPr="00000000" w14:paraId="000000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unit steps down (or up, as needed) the voltage from the battery pack to a level suitable for the electric motor and control systems. It ensures that energy delivery is stable and efficient.</w:t>
      </w:r>
    </w:p>
    <w:p w:rsidR="00000000" w:rsidDel="00000000" w:rsidP="00000000" w:rsidRDefault="00000000" w:rsidRPr="00000000" w14:paraId="00000083">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3.3.6.</w:t>
        <w:tab/>
        <w:t xml:space="preserve"> Battery Management System (BMS)</w:t>
      </w:r>
    </w:p>
    <w:p w:rsidR="00000000" w:rsidDel="00000000" w:rsidP="00000000" w:rsidRDefault="00000000" w:rsidRPr="00000000" w14:paraId="000000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BMS is responsible for monitoring battery health, balancing charge between cells, and protecting against overvoltage, overcurrent, and overheating. It plays a vital role in safety and longevity.</w:t>
      </w:r>
    </w:p>
    <w:p w:rsidR="00000000" w:rsidDel="00000000" w:rsidP="00000000" w:rsidRDefault="00000000" w:rsidRPr="00000000" w14:paraId="0000008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3.3.7.</w:t>
        <w:tab/>
        <w:t xml:space="preserve"> Vehicle Control Unit (VCU)</w:t>
      </w:r>
    </w:p>
    <w:p w:rsidR="00000000" w:rsidDel="00000000" w:rsidP="00000000" w:rsidRDefault="00000000" w:rsidRPr="00000000" w14:paraId="0000008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VCU integrates various control functions, including propulsion management, battery monitoring, and diagnostics. It serves as the central processing unit for the entire energy and control architecture.</w:t>
      </w:r>
    </w:p>
    <w:p w:rsidR="00000000" w:rsidDel="00000000" w:rsidP="00000000" w:rsidRDefault="00000000" w:rsidRPr="00000000" w14:paraId="0000008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3.3.8.</w:t>
        <w:tab/>
        <w:t xml:space="preserve"> Electric Motor</w:t>
      </w:r>
    </w:p>
    <w:p w:rsidR="00000000" w:rsidDel="00000000" w:rsidP="00000000" w:rsidRDefault="00000000" w:rsidRPr="00000000" w14:paraId="0000008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electric motor receives power from the VCU and converts electrical energy into mechanical energy to drive the wheels. It operates efficiently with precise torque control for smooth acceleration and braking.</w:t>
      </w:r>
    </w:p>
    <w:p w:rsidR="00000000" w:rsidDel="00000000" w:rsidP="00000000" w:rsidRDefault="00000000" w:rsidRPr="00000000" w14:paraId="0000008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3.3.9.</w:t>
        <w:tab/>
        <w:t xml:space="preserve"> Thermal Management System</w:t>
      </w:r>
    </w:p>
    <w:p w:rsidR="00000000" w:rsidDel="00000000" w:rsidP="00000000" w:rsidRDefault="00000000" w:rsidRPr="00000000" w14:paraId="000000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system maintains the thermal equilibrium of the battery and motor. It includes cooling fans, liquid-cooled plates, or phase-change materials to dissipate excess heat and maintain safe operational temperatures.</w:t>
      </w:r>
    </w:p>
    <w:p w:rsidR="00000000" w:rsidDel="00000000" w:rsidP="00000000" w:rsidRDefault="00000000" w:rsidRPr="00000000" w14:paraId="0000008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3.3.10.</w:t>
        <w:tab/>
        <w:t xml:space="preserve"> Integrated System Operation</w:t>
      </w:r>
    </w:p>
    <w:p w:rsidR="00000000" w:rsidDel="00000000" w:rsidP="00000000" w:rsidRDefault="00000000" w:rsidRPr="00000000" w14:paraId="0000008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operating in real-world conditions, all subsystems of the SPEV interact seamlessly under the coordination of the Vehicle Control Unit (VCU). The system begins by harvesting energy from the sun via the PVC, optimized through the MPPT, and stored in the battery pack. Additional energy may be sourced from regenerative braking during motion or from the grid during idle or off-sunlight hours.</w:t>
      </w:r>
    </w:p>
    <w:p w:rsidR="00000000" w:rsidDel="00000000" w:rsidP="00000000" w:rsidRDefault="00000000" w:rsidRPr="00000000" w14:paraId="000000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VCU dynamically manages how energy flows between these sources and the electric motor, ensuring the most efficient use of stored energy while also protecting the battery through the BMS. Thermal conditions are monitored continuously, and the thermal management system engages automatically to cool or stabilize the motor and battery pack, depending on workload and environmental factors.</w:t>
      </w:r>
    </w:p>
    <w:p w:rsidR="00000000" w:rsidDel="00000000" w:rsidP="00000000" w:rsidRDefault="00000000" w:rsidRPr="00000000" w14:paraId="0000008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modular integration ensures that the SPEV maintains performance, safety, and efficiency under different driving and environmental scenarios.</w:t>
      </w:r>
    </w:p>
    <w:p w:rsidR="00000000" w:rsidDel="00000000" w:rsidP="00000000" w:rsidRDefault="00000000" w:rsidRPr="00000000" w14:paraId="0000008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CHAPTER FOUR.</w:t>
      </w:r>
    </w:p>
    <w:p w:rsidR="00000000" w:rsidDel="00000000" w:rsidP="00000000" w:rsidRDefault="00000000" w:rsidRPr="00000000" w14:paraId="0000009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w:t>
        <w:tab/>
        <w:t xml:space="preserve">ENERGY FLOW MODEL.</w:t>
      </w:r>
    </w:p>
    <w:p w:rsidR="00000000" w:rsidDel="00000000" w:rsidP="00000000" w:rsidRDefault="00000000" w:rsidRPr="00000000" w14:paraId="0000009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aim of this section is to investigate the principles of photovoltaic energy generation and how energy is transferred through the compartments of a solar-powered electric vehicle (SPEV). The energy flow model is constructed based on a system-level understanding of each component's role in converting, storing, and utilizing energy to propel the vehicle.</w:t>
      </w:r>
    </w:p>
    <w:p w:rsidR="00000000" w:rsidDel="00000000" w:rsidP="00000000" w:rsidRDefault="00000000" w:rsidRPr="00000000" w14:paraId="0000009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in the system originates from solar radiation captured by photovoltaic (PV) panels. This energy is converted into electrical power and processed through a series of power electronics and storage devices to power an electric drivetrain. This model also incorporates auxiliary energy sources such as grid charging and regenerative braking.</w:t>
      </w:r>
    </w:p>
    <w:p w:rsidR="00000000" w:rsidDel="00000000" w:rsidP="00000000" w:rsidRDefault="00000000" w:rsidRPr="00000000" w14:paraId="0000009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flow model treats each system component as a compartment, allowing us to track power inflows and outflows and analyze the rate of energy accumulation or depletion within each module.</w:t>
      </w:r>
    </w:p>
    <w:p w:rsidR="00000000" w:rsidDel="00000000" w:rsidP="00000000" w:rsidRDefault="00000000" w:rsidRPr="00000000" w14:paraId="0000009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w:t>
        <w:tab/>
        <w:t xml:space="preserve">ENERGY FLOW CHART.</w:t>
      </w:r>
    </w:p>
    <w:p w:rsidR="00000000" w:rsidDel="00000000" w:rsidP="00000000" w:rsidRDefault="00000000" w:rsidRPr="00000000" w14:paraId="0000009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solar-powered electric vehicle is represented by the following flow chart illustrating energy movement as in the </w:t>
      </w:r>
      <w:r w:rsidDel="00000000" w:rsidR="00000000" w:rsidRPr="00000000">
        <w:rPr>
          <w:rFonts w:ascii="Times New Roman" w:cs="Times New Roman" w:eastAsia="Times New Roman" w:hAnsi="Times New Roman"/>
          <w:b w:val="1"/>
          <w:sz w:val="28"/>
          <w:szCs w:val="28"/>
          <w:rtl w:val="0"/>
        </w:rPr>
        <w:t xml:space="preserve">Figure 2</w:t>
      </w:r>
      <w:r w:rsidDel="00000000" w:rsidR="00000000" w:rsidRPr="00000000">
        <w:rPr>
          <w:rFonts w:ascii="Times New Roman" w:cs="Times New Roman" w:eastAsia="Times New Roman" w:hAnsi="Times New Roman"/>
          <w:sz w:val="28"/>
          <w:szCs w:val="28"/>
          <w:rtl w:val="0"/>
        </w:rPr>
        <w:t xml:space="preserve"> below:</w:t>
      </w:r>
    </w:p>
    <w:p w:rsidR="00000000" w:rsidDel="00000000" w:rsidP="00000000" w:rsidRDefault="00000000" w:rsidRPr="00000000" w14:paraId="000000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19774" cy="3019425"/>
            <wp:effectExtent b="0" l="0" r="0" t="0"/>
            <wp:docPr descr="kehinde 2.PNG" id="2" name="image17.png"/>
            <a:graphic>
              <a:graphicData uri="http://schemas.openxmlformats.org/drawingml/2006/picture">
                <pic:pic>
                  <pic:nvPicPr>
                    <pic:cNvPr descr="kehinde 2.PNG" id="0" name="image17.png"/>
                    <pic:cNvPicPr preferRelativeResize="0"/>
                  </pic:nvPicPr>
                  <pic:blipFill>
                    <a:blip r:embed="rId38"/>
                    <a:srcRect b="0" l="0" r="0" t="0"/>
                    <a:stretch>
                      <a:fillRect/>
                    </a:stretch>
                  </pic:blipFill>
                  <pic:spPr>
                    <a:xfrm>
                      <a:off x="0" y="0"/>
                      <a:ext cx="5819774" cy="301942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Figure 2:</w:t>
      </w:r>
      <w:r w:rsidDel="00000000" w:rsidR="00000000" w:rsidRPr="00000000">
        <w:rPr>
          <w:rFonts w:ascii="Times New Roman" w:cs="Times New Roman" w:eastAsia="Times New Roman" w:hAnsi="Times New Roman"/>
          <w:sz w:val="28"/>
          <w:szCs w:val="28"/>
          <w:rtl w:val="0"/>
        </w:rPr>
        <w:t xml:space="preserve"> Energy flow Model.</w:t>
      </w:r>
    </w:p>
    <w:p w:rsidR="00000000" w:rsidDel="00000000" w:rsidP="00000000" w:rsidRDefault="00000000" w:rsidRPr="00000000" w14:paraId="0000009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4.2.1.   Parameter used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Photovoltaic cell.</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Electric power grid.</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Maximum Power Point Tracking (MPPT).</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Battery pack.</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Regenerative Braking systems.</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DC-DC Converter.</w:t>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Battery Management System.</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Vehicle Control Unit.</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Thermal Management System.</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Electric Motor.</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b, c, d, to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repreaent the energy loss in each comaprtment.</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Flow rate of energy from PVC to MPPT.</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Flow rate of energy from MPPT to Battery Pack.</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Ψ</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Represent the flow rate of energy from Power Grid to the Battery Pack.</w:t>
      </w:r>
    </w:p>
    <w:p w:rsidR="00000000" w:rsidDel="00000000" w:rsidP="00000000" w:rsidRDefault="00000000" w:rsidRPr="00000000" w14:paraId="000000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Ω: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Flow rate of energy from Battery pack to DC-DC Controller.</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Flow rate of energy from Battery Pack to Battery Management System.</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Rate of energy flow from Battery Management System to Vehicle Control Unit.</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ω</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Rate of energy flow from DC-DC Controller to Vehicle control unit.</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Rate of energy flow from from VCU to Thermal Management System.</w:t>
      </w:r>
    </w:p>
    <w:p w:rsidR="00000000" w:rsidDel="00000000" w:rsidP="00000000" w:rsidRDefault="00000000" w:rsidRPr="00000000" w14:paraId="000000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ε: Rate of energy flow from VCU to Electric Motor.</w:t>
      </w:r>
    </w:p>
    <w:p w:rsidR="00000000" w:rsidDel="00000000" w:rsidP="00000000" w:rsidRDefault="00000000" w:rsidRPr="00000000" w14:paraId="000000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η: Rate of energy flow from Electric Motor to Regenerative Braking System.</w:t>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 Rate of energy flow from  Regenerative braking system to battery Pack.</w:t>
      </w:r>
    </w:p>
    <w:p w:rsidR="00000000" w:rsidDel="00000000" w:rsidP="00000000" w:rsidRDefault="00000000" w:rsidRPr="00000000" w14:paraId="000000B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block represents an energy processing or storage element. Energy is accumulated in the battery pack and used by the VCU to operate the electric motor, while regenerative braking returns kinetic energy to the battery.</w:t>
      </w:r>
    </w:p>
    <w:p w:rsidR="00000000" w:rsidDel="00000000" w:rsidP="00000000" w:rsidRDefault="00000000" w:rsidRPr="00000000" w14:paraId="000000B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dynamics within each compartment, as shown in Figure 2, are governed by equations 1–10, which represent the rates of energy gain and loss in each section.</w:t>
      </w:r>
    </w:p>
    <w:p w:rsidR="00000000" w:rsidDel="00000000" w:rsidP="00000000" w:rsidRDefault="00000000" w:rsidRPr="00000000" w14:paraId="000000B3">
      <w:pPr>
        <w:jc w:val="both"/>
        <w:rPr>
          <w:rFonts w:ascii="Times New Roman" w:cs="Times New Roman" w:eastAsia="Times New Roman" w:hAnsi="Times New Roman"/>
          <w:sz w:val="28"/>
          <w:szCs w:val="28"/>
        </w:rPr>
      </w:pPr>
      <w:r w:rsidDel="00000000" w:rsidR="00000000" w:rsidRPr="00000000">
        <w:rPr>
          <w:sz w:val="36.66666666666667"/>
          <w:szCs w:val="36.66666666666667"/>
          <w:vertAlign w:val="subscript"/>
        </w:rPr>
        <w:pict>
          <v:shape id="1029" style="margin-left:0.0pt;margin-top:0.0pt;width:417.0pt;height:153.0pt;mso-wrap-distance-left:0.0pt;mso-wrap-distance-right:0.0pt;visibility:visible;" filled="f" stroked="f" type="#_x0000_t75">
            <v:fill/>
            <v:stroke joinstyle="miter" on="f"/>
            <v:imagedata embosscolor="white" r:id="rId1" o:title=""/>
            <o:lock v:ext="view" aspectratio="true"/>
          </v:shape>
          <o:OLEObject DrawAspect="Content" r:id="rId2" ObjectID="0" ProgID="Equation.DSMT4" ShapeID="1029"/>
        </w:pict>
      </w: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8"/>
          <w:szCs w:val="28"/>
        </w:rPr>
      </w:pPr>
      <w:r w:rsidDel="00000000" w:rsidR="00000000" w:rsidRPr="00000000">
        <w:rPr>
          <w:sz w:val="36.66666666666667"/>
          <w:szCs w:val="36.66666666666667"/>
          <w:vertAlign w:val="subscript"/>
        </w:rPr>
        <w:pict>
          <v:shape id="1031" style="margin-left:0.0pt;margin-top:0.0pt;width:425.25pt;height:178.5pt;mso-wrap-distance-left:0.0pt;mso-wrap-distance-right:0.0pt;visibility:visible;" filled="f" stroked="f" type="#_x0000_t75">
            <v:fill/>
            <v:stroke joinstyle="miter" on="f"/>
            <v:imagedata embosscolor="white" r:id="rId3" o:title=""/>
            <o:lock v:ext="view" aspectratio="true"/>
          </v:shape>
          <o:OLEObject DrawAspect="Content" r:id="rId4" ObjectID="0" ProgID="Equation.DSMT4" ShapeID="1031"/>
        </w:pict>
      </w: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 SIMULATION OF THE EFFICIENCY OF THE SYSTEM.</w:t>
      </w: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efficiently simulate system performance and examine feasibility, the following realistic parameters are used.  These parameters describe how the system behaves under typical operating conditions:</w:t>
      </w:r>
    </w:p>
    <w:p w:rsidR="00000000" w:rsidDel="00000000" w:rsidP="00000000" w:rsidRDefault="00000000" w:rsidRPr="00000000" w14:paraId="000000B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Photovoltaic Panel</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Power: 1050W</w:t>
      </w:r>
    </w:p>
    <w:p w:rsidR="00000000" w:rsidDel="00000000" w:rsidP="00000000" w:rsidRDefault="00000000" w:rsidRPr="00000000" w14:paraId="000000B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BatteryPack Output Power: </w:t>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Rated Voltage: 48 V</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Capacity: 100 Ah (4.8 kWh)</w:t>
      </w:r>
    </w:p>
    <w:p w:rsidR="00000000" w:rsidDel="00000000" w:rsidP="00000000" w:rsidRDefault="00000000" w:rsidRPr="00000000" w14:paraId="000000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Charging/Discharging Efficiency: 85–90%</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MPPT Output Power: </w:t>
      </w:r>
    </w:p>
    <w:p w:rsidR="00000000" w:rsidDel="00000000" w:rsidP="00000000" w:rsidRDefault="00000000" w:rsidRPr="00000000" w14:paraId="000000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Rated voltage: 48V</w:t>
      </w:r>
    </w:p>
    <w:p w:rsidR="00000000" w:rsidDel="00000000" w:rsidP="00000000" w:rsidRDefault="00000000" w:rsidRPr="00000000" w14:paraId="000000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Rated current: 20-25A</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4.3.1.</w:t>
        <w:tab/>
        <w:t xml:space="preserve">SYSTEM EFFICIENCY.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4.3.1.1.</w:t>
        <w:tab/>
        <w:t xml:space="preserve">MPPT EFFICIENCY.</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MPPT rated  48V, 25A:</w:t>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power output can be calculated: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33" style="margin-left:0.0pt;margin-top:0.0pt;width:159.75pt;height:44.25pt;mso-wrap-distance-left:0.0pt;mso-wrap-distance-right:0.0pt;visibility:visible;" filled="f" stroked="f" type="#_x0000_t75">
            <v:fill/>
            <v:stroke joinstyle="miter" on="f"/>
            <v:imagedata embosscolor="white" r:id="rId5" o:title=""/>
            <o:lock v:ext="view" aspectratio="true"/>
          </v:shape>
          <o:OLEObject DrawAspect="Content" r:id="rId6" ObjectID="0" ProgID="Equation.DSMT4" ShapeID="1033"/>
        </w:pic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MPPT power input is can be calculated:</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Three Solar Panel rated 350W each is required :</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35" style="margin-left:0.0pt;margin-top:0.0pt;width:175.5pt;height:24.75pt;mso-wrap-distance-left:0.0pt;mso-wrap-distance-right:0.0pt;visibility:visible;" filled="f" stroked="f" type="#_x0000_t75">
            <v:fill/>
            <v:stroke joinstyle="miter" on="f"/>
            <v:imagedata embosscolor="white" r:id="rId7" o:title=""/>
            <o:lock v:ext="view" aspectratio="true"/>
          </v:shape>
          <o:OLEObject DrawAspect="Content" r:id="rId8" ObjectID="0" ProgID="Equation.DSMT4" ShapeID="1035"/>
        </w:pic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efficiency of the MPPT is therefore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37" style="margin-left:0.0pt;margin-top:0.0pt;width:144.75pt;height:95.25pt;mso-wrap-distance-left:0.0pt;mso-wrap-distance-right:0.0pt;visibility:visible;" filled="f" stroked="f" type="#_x0000_t75">
            <v:fill/>
            <v:stroke joinstyle="miter" on="f"/>
            <v:imagedata embosscolor="white" r:id="rId9" o:title=""/>
            <o:lock v:ext="view" aspectratio="true"/>
          </v:shape>
          <o:OLEObject DrawAspect="Content" r:id="rId10" ObjectID="0" ProgID="Equation.DSMT4" ShapeID="1037"/>
        </w:pic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4.3.1.2.</w:t>
        <w:tab/>
        <w:t xml:space="preserve">BATTERY PACK EFFICIENCY.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efficiency of the Battery intended to use can be calculate as :</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Power input to the battery is therefore: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39" style="margin-left:0.0pt;margin-top:0.0pt;width:109.5pt;height:37.5pt;mso-wrap-distance-left:0.0pt;mso-wrap-distance-right:0.0pt;visibility:visible;" filled="f" stroked="f" type="#_x0000_t75">
            <v:fill/>
            <v:stroke joinstyle="miter" on="f"/>
            <v:imagedata embosscolor="white" r:id="rId11" o:title=""/>
            <o:lock v:ext="view" aspectratio="true"/>
          </v:shape>
          <o:OLEObject DrawAspect="Content" r:id="rId12" ObjectID="0" ProgID="Equation.DSMT4" ShapeID="1039"/>
        </w:pic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Battery pack Power output  is therefore:</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41" style="margin-left:0.0pt;margin-top:0.0pt;width:168.75pt;height:44.25pt;mso-wrap-distance-left:0.0pt;mso-wrap-distance-right:0.0pt;visibility:visible;" filled="f" stroked="f" type="#_x0000_t75">
            <v:fill/>
            <v:stroke joinstyle="miter" on="f"/>
            <v:imagedata embosscolor="white" r:id="rId13" o:title=""/>
            <o:lock v:ext="view" aspectratio="true"/>
          </v:shape>
          <o:OLEObject DrawAspect="Content" r:id="rId14" ObjectID="0" ProgID="Equation.DSMT4" ShapeID="1041"/>
        </w:pic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Battery Power in six hour is therefore: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43" style="margin-left:0.0pt;margin-top:0.0pt;width:148.5pt;height:34.5pt;mso-wrap-distance-left:0.0pt;mso-wrap-distance-right:0.0pt;visibility:visible;" filled="f" stroked="f" type="#_x0000_t75">
            <v:fill/>
            <v:stroke joinstyle="miter" on="f"/>
            <v:imagedata embosscolor="white" r:id="rId15" o:title=""/>
            <o:lock v:ext="view" aspectratio="true"/>
          </v:shape>
          <o:OLEObject DrawAspect="Content" r:id="rId16" ObjectID="0" ProgID="Equation.DSMT4" ShapeID="1043"/>
        </w:pic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Charging Efficiency of the battery through the PVC is therefore: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45" style="margin-left:0.0pt;margin-top:0.0pt;width:132.0pt;height:88.5pt;mso-wrap-distance-left:0.0pt;mso-wrap-distance-right:0.0pt;visibility:visible;" filled="f" stroked="f" type="#_x0000_t75">
            <v:fill/>
            <v:stroke joinstyle="miter" on="f"/>
            <v:imagedata embosscolor="white" r:id="rId17" o:title=""/>
            <o:lock v:ext="view" aspectratio="true"/>
          </v:shape>
          <o:OLEObject DrawAspect="Content" r:id="rId18" ObjectID="0" ProgID="Equation.DSMT4" ShapeID="1045"/>
        </w:pic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VCU  rated 90% efficiency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47" style="margin-left:0.0pt;margin-top:0.0pt;width:21.0pt;height:18.0pt;mso-wrap-distance-left:0.0pt;mso-wrap-distance-right:0.0pt;visibility:visible;" filled="f" stroked="f" type="#_x0000_t75">
            <v:fill/>
            <v:stroke joinstyle="miter" on="f"/>
            <v:imagedata embosscolor="white" r:id="rId19" o:title=""/>
            <o:lock v:ext="view" aspectratio="true"/>
          </v:shape>
          <o:OLEObject DrawAspect="Content" r:id="rId20" ObjectID="0" ProgID="Equation.DSMT4" ShapeID="1047"/>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Power input to VCU  can be calculated as: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49" style="margin-left:0.0pt;margin-top:0.0pt;width:132.75pt;height:43.5pt;mso-wrap-distance-left:0.0pt;mso-wrap-distance-right:0.0pt;visibility:visible;" filled="f" stroked="f" type="#_x0000_t75">
            <v:fill/>
            <v:stroke joinstyle="miter" on="f"/>
            <v:imagedata embosscolor="white" r:id="rId21" o:title=""/>
            <o:lock v:ext="view" aspectratio="true"/>
          </v:shape>
          <o:OLEObject DrawAspect="Content" r:id="rId22" ObjectID="0" ProgID="Equation.DSMT4" ShapeID="1049"/>
        </w:pic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Power output by VCU  can be calculated as: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51" style="margin-left:0.0pt;margin-top:0.0pt;width:161.25pt;height:56.25pt;mso-wrap-distance-left:0.0pt;mso-wrap-distance-right:0.0pt;visibility:visible;" filled="f" stroked="f" type="#_x0000_t75">
            <v:fill/>
            <v:stroke joinstyle="miter" on="f"/>
            <v:imagedata embosscolor="white" r:id="rId23" o:title=""/>
            <o:lock v:ext="view" aspectratio="true"/>
          </v:shape>
          <o:OLEObject DrawAspect="Content" r:id="rId24" ObjectID="0" ProgID="Equation.DSMT4" ShapeID="1051"/>
        </w:pic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an electric rotor rated 2000W whose energy source is two-third of the total power produced by the vcu(48000W). The energy driven torque can be calculated as: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energy driven torque consumed by the system for 6 hours is therefore: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53" style="margin-left:0.0pt;margin-top:0.0pt;width:127.5pt;height:54.75pt;mso-wrap-distance-left:0.0pt;mso-wrap-distance-right:0.0pt;visibility:visible;" filled="f" stroked="f" type="#_x0000_t75">
            <v:fill/>
            <v:stroke joinstyle="miter" on="f"/>
            <v:imagedata embosscolor="white" r:id="rId25" o:title=""/>
            <o:lock v:ext="view" aspectratio="true"/>
          </v:shape>
          <o:OLEObject DrawAspect="Content" r:id="rId26" ObjectID="0" ProgID="Equation.DSMT4" ShapeID="1053"/>
        </w:pic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mechanical Power can be represented as: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4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4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55" style="margin-left:0.0pt;margin-top:0.0pt;width:237.75pt;height:66.75pt;mso-wrap-distance-left:0.0pt;mso-wrap-distance-right:0.0pt;visibility:visible;" filled="f" stroked="f" type="#_x0000_t75">
            <v:fill/>
            <v:stroke joinstyle="miter" on="f"/>
            <v:imagedata embosscolor="white" r:id="rId27" o:title=""/>
            <o:lock v:ext="view" aspectratio="true"/>
          </v:shape>
          <o:OLEObject DrawAspect="Content" r:id="rId28" ObjectID="0" ProgID="Equation.DSMT4" ShapeID="1055"/>
        </w:pic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4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Since P=48000W, T=288000Nm,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Therefore:</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1057" style="margin-left:0.0pt;margin-top:0.0pt;width:132.0pt;height:81.75pt;mso-wrap-distance-left:0.0pt;mso-wrap-distance-right:0.0pt;visibility:visible;" filled="f" stroked="f" type="#_x0000_t75">
            <v:fill/>
            <v:stroke joinstyle="miter" on="f"/>
            <v:imagedata embosscolor="white" r:id="rId29" o:title=""/>
            <o:lock v:ext="view" aspectratio="true"/>
          </v:shape>
          <o:OLEObject DrawAspect="Content" r:id="rId30" ObjectID="0" ProgID="Equation.DSMT4" ShapeID="1057"/>
        </w:pic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ab/>
        <w:tab/>
        <w:tab/>
      </w: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109">
      <w:pPr>
        <w:shd w:fill="ffffff" w:val="clear"/>
        <w:spacing w:after="280" w:before="280" w:line="240" w:lineRule="auto"/>
        <w:jc w:val="both"/>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5.1.</w:t>
        <w:tab/>
        <w:t xml:space="preserve">CONCLUSION.</w:t>
      </w:r>
    </w:p>
    <w:p w:rsidR="00000000" w:rsidDel="00000000" w:rsidP="00000000" w:rsidRDefault="00000000" w:rsidRPr="00000000" w14:paraId="0000010A">
      <w:pPr>
        <w:tabs>
          <w:tab w:val="left" w:leader="none" w:pos="108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 and evaluation of a solar-powered electric vehicle have shown that integrating photovoltaic energy with an electric powertrain is not only technically feasible but also energy-efficient and environmentally beneficial. Through the application of a compartmental energy flow model, each component of the system was analyzed to determine its contribution to the overall performance. The photovoltaic system, supported by an MPPT controller with an efficiency of 91.43%, was able to reliably harvest energy from sunlight. The efficiency from the MPPT output to the battery input was found to be 83.33%, demonstrating effective energy storage and minimal losses.</w:t>
      </w:r>
    </w:p>
    <w:p w:rsidR="00000000" w:rsidDel="00000000" w:rsidP="00000000" w:rsidRDefault="00000000" w:rsidRPr="00000000" w14:paraId="0000010B">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tabs>
          <w:tab w:val="left" w:leader="none" w:pos="108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the Vehicle Control Unit delivered a calculated power of 72,000 W to the electric rotor, which translated into a rotor speed of approximately 0.64 revolutions per second. These values indicate a functioning energy conversion chain capable of powering the vehicle under realistic conditions. The environmental and economic analysis supports the claim that solar-powered electric vehicles offer considerable benefits over grid-powered and fossil-fuel-based transportation systems, particularly in reducing greenhouse gas emissions and dependency on non-renewable energy sources. The results of this study affirm the viability of solar integration in electric vehicle design and open up new possibilities for sustainable mobility.</w:t>
      </w:r>
    </w:p>
    <w:p w:rsidR="00000000" w:rsidDel="00000000" w:rsidP="00000000" w:rsidRDefault="00000000" w:rsidRPr="00000000" w14:paraId="0000010D">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tabs>
          <w:tab w:val="left" w:leader="none" w:pos="108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RECOMMENDATION.</w:t>
      </w:r>
    </w:p>
    <w:p w:rsidR="00000000" w:rsidDel="00000000" w:rsidP="00000000" w:rsidRDefault="00000000" w:rsidRPr="00000000" w14:paraId="0000010F">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Future designs should consider using higher-efficiency photovoltaic panels and maximizing the vehicle surface area for solar module placement to enhance energy collection.</w:t>
      </w:r>
    </w:p>
    <w:p w:rsidR="00000000" w:rsidDel="00000000" w:rsidP="00000000" w:rsidRDefault="00000000" w:rsidRPr="00000000" w14:paraId="00000110">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The battery management system should be optimized further to improve energy retention and distribution, potentially exceeding the 83.33% efficiency achieved in this study.</w:t>
      </w:r>
    </w:p>
    <w:p w:rsidR="00000000" w:rsidDel="00000000" w:rsidP="00000000" w:rsidRDefault="00000000" w:rsidRPr="00000000" w14:paraId="00000111">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Advanced control algorithms can be developed for the Vehicle Control Unit to better align energy delivery with driving conditions and improve the rotor performance beyond the observed 0.64 revolutions per second.</w:t>
      </w:r>
    </w:p>
    <w:p w:rsidR="00000000" w:rsidDel="00000000" w:rsidP="00000000" w:rsidRDefault="00000000" w:rsidRPr="00000000" w14:paraId="00000112">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 Incorporating lightweight and aerodynamic materials into the vehicle body design can help reduce overall energy consumption, increasing efficiency and range.</w:t>
      </w:r>
    </w:p>
    <w:p w:rsidR="00000000" w:rsidDel="00000000" w:rsidP="00000000" w:rsidRDefault="00000000" w:rsidRPr="00000000" w14:paraId="00000113">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Real-world testing under diverse environmental conditions, such as varying sunlight intensity and ambient temperatures, should be conducted to validate the system’s adaptability and reliability.</w:t>
      </w:r>
    </w:p>
    <w:p w:rsidR="00000000" w:rsidDel="00000000" w:rsidP="00000000" w:rsidRDefault="00000000" w:rsidRPr="00000000" w14:paraId="00000114">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Exploring hybrid configurations—combining solar with limited grid charging—may enhance practicality in regions with inconsistent solar availability while maintaining environmental goals.</w:t>
      </w:r>
    </w:p>
    <w:p w:rsidR="00000000" w:rsidDel="00000000" w:rsidP="00000000" w:rsidRDefault="00000000" w:rsidRPr="00000000" w14:paraId="00000115">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Energy storage systems such as supercapacitors or secondary batteries could be integrated to manage peak loads and improve energy balance during transient operations.</w:t>
      </w:r>
    </w:p>
    <w:p w:rsidR="00000000" w:rsidDel="00000000" w:rsidP="00000000" w:rsidRDefault="00000000" w:rsidRPr="00000000" w14:paraId="00000116">
      <w:pPr>
        <w:numPr>
          <w:ilvl w:val="0"/>
          <w:numId w:val="2"/>
        </w:numPr>
        <w:tabs>
          <w:tab w:val="left" w:leader="none" w:pos="1080"/>
        </w:tabs>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Continuous monitoring and diagnostic tools should be embedded to track system performance, improve maintenance, and ensure safety over long-term operation.</w:t>
        <w:tab/>
      </w:r>
    </w:p>
    <w:p w:rsidR="00000000" w:rsidDel="00000000" w:rsidP="00000000" w:rsidRDefault="00000000" w:rsidRPr="00000000" w14:paraId="00000117">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F">
      <w:pPr>
        <w:tabs>
          <w:tab w:val="left" w:leader="none" w:pos="1080"/>
        </w:tabs>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tabs>
          <w:tab w:val="left" w:leader="none" w:pos="1080"/>
        </w:tabs>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w:t>
      </w:r>
    </w:p>
    <w:p w:rsidR="00000000" w:rsidDel="00000000" w:rsidP="00000000" w:rsidRDefault="00000000" w:rsidRPr="00000000" w14:paraId="00000121">
      <w:pPr>
        <w:tabs>
          <w:tab w:val="left" w:leader="none" w:pos="1080"/>
        </w:tabs>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2">
      <w:pPr>
        <w:tabs>
          <w:tab w:val="left" w:leader="none" w:pos="1080"/>
        </w:tabs>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Verma, D., Nema, S., Shandilya, A. M., &amp; Dash, S. K. (2016). Maximum power                 </w:t>
      </w:r>
    </w:p>
    <w:p w:rsidR="00000000" w:rsidDel="00000000" w:rsidP="00000000" w:rsidRDefault="00000000" w:rsidRPr="00000000" w14:paraId="00000123">
      <w:pPr>
        <w:tabs>
          <w:tab w:val="left" w:leader="none" w:pos="1080"/>
        </w:tabs>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22222"/>
          <w:sz w:val="28"/>
          <w:szCs w:val="28"/>
          <w:highlight w:val="white"/>
          <w:rtl w:val="0"/>
        </w:rPr>
        <w:t xml:space="preserve">point tracking  (MPPT) techniques: Recapitulation in solar photovoltaic systems. Renewable and Sustainable Energy Reviews, 54, 1018–1034.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https://doi.org/10.1016/j.rser.2015.10.081</w:t>
        </w:r>
      </w:hyperlink>
      <w:r w:rsidDel="00000000" w:rsidR="00000000" w:rsidRPr="00000000">
        <w:rPr>
          <w:rtl w:val="0"/>
        </w:rPr>
      </w:r>
    </w:p>
    <w:p w:rsidR="00000000" w:rsidDel="00000000" w:rsidP="00000000" w:rsidRDefault="00000000" w:rsidRPr="00000000" w14:paraId="00000124">
      <w:pPr>
        <w:tabs>
          <w:tab w:val="left" w:leader="none" w:pos="1080"/>
        </w:tabs>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5">
      <w:pPr>
        <w:tabs>
          <w:tab w:val="left" w:leader="none" w:pos="1080"/>
        </w:tabs>
        <w:jc w:val="both"/>
        <w:rPr>
          <w:rFonts w:ascii="Times New Roman" w:cs="Times New Roman" w:eastAsia="Times New Roman" w:hAnsi="Times New Roman"/>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8">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1" Type="http://schemas.openxmlformats.org/officeDocument/2006/relationships/image" Target="media/image13.wmf"/><Relationship Id="rId2" Type="http://schemas.openxmlformats.org/officeDocument/2006/relationships/oleObject" Target="embeddings/oleObject13.bin"/><Relationship Id="rId3" Type="http://schemas.openxmlformats.org/officeDocument/2006/relationships/image" Target="media/image12.wmf"/><Relationship Id="rId4" Type="http://schemas.openxmlformats.org/officeDocument/2006/relationships/oleObject" Target="embeddings/oleObject12.bin"/><Relationship Id="rId9" Type="http://schemas.openxmlformats.org/officeDocument/2006/relationships/image" Target="media/image2.wmf"/><Relationship Id="rId26" Type="http://schemas.openxmlformats.org/officeDocument/2006/relationships/oleObject" Target="embeddings/oleObject8.bin"/><Relationship Id="rId25" Type="http://schemas.openxmlformats.org/officeDocument/2006/relationships/image" Target="media/image8.wmf"/><Relationship Id="rId28" Type="http://schemas.openxmlformats.org/officeDocument/2006/relationships/oleObject" Target="embeddings/oleObject7.bin"/><Relationship Id="rId27" Type="http://schemas.openxmlformats.org/officeDocument/2006/relationships/image" Target="media/image7.wmf"/><Relationship Id="rId5" Type="http://schemas.openxmlformats.org/officeDocument/2006/relationships/image" Target="media/image15.wmf"/><Relationship Id="rId6" Type="http://schemas.openxmlformats.org/officeDocument/2006/relationships/oleObject" Target="embeddings/oleObject15.bin"/><Relationship Id="rId29" Type="http://schemas.openxmlformats.org/officeDocument/2006/relationships/image" Target="media/image6.wmf"/><Relationship Id="rId7" Type="http://schemas.openxmlformats.org/officeDocument/2006/relationships/image" Target="media/image14.wmf"/><Relationship Id="rId8" Type="http://schemas.openxmlformats.org/officeDocument/2006/relationships/oleObject" Target="embeddings/oleObject14.bin"/><Relationship Id="rId31" Type="http://schemas.openxmlformats.org/officeDocument/2006/relationships/theme" Target="theme/theme1.xml"/><Relationship Id="rId30" Type="http://schemas.openxmlformats.org/officeDocument/2006/relationships/oleObject" Target="embeddings/oleObject6.bin"/><Relationship Id="rId33" Type="http://schemas.openxmlformats.org/officeDocument/2006/relationships/fontTable" Target="fontTable.xml"/><Relationship Id="rId11" Type="http://schemas.openxmlformats.org/officeDocument/2006/relationships/image" Target="media/image1.wmf"/><Relationship Id="rId32" Type="http://schemas.openxmlformats.org/officeDocument/2006/relationships/settings" Target="settings.xml"/><Relationship Id="rId10" Type="http://schemas.openxmlformats.org/officeDocument/2006/relationships/oleObject" Target="embeddings/oleObject2.bin"/><Relationship Id="rId35" Type="http://schemas.openxmlformats.org/officeDocument/2006/relationships/styles" Target="styles.xml"/><Relationship Id="rId13" Type="http://schemas.openxmlformats.org/officeDocument/2006/relationships/image" Target="media/image3.wmf"/><Relationship Id="rId34" Type="http://schemas.openxmlformats.org/officeDocument/2006/relationships/numbering" Target="numbering.xml"/><Relationship Id="rId12" Type="http://schemas.openxmlformats.org/officeDocument/2006/relationships/oleObject" Target="embeddings/oleObject1.bin"/><Relationship Id="rId37" Type="http://schemas.openxmlformats.org/officeDocument/2006/relationships/image" Target="media/image18.png"/><Relationship Id="rId15" Type="http://schemas.openxmlformats.org/officeDocument/2006/relationships/image" Target="media/image5.wmf"/><Relationship Id="rId36" Type="http://schemas.openxmlformats.org/officeDocument/2006/relationships/image" Target="media/image16.png"/><Relationship Id="rId14" Type="http://schemas.openxmlformats.org/officeDocument/2006/relationships/oleObject" Target="embeddings/oleObject3.bin"/><Relationship Id="rId17" Type="http://schemas.openxmlformats.org/officeDocument/2006/relationships/image" Target="media/image4.wmf"/><Relationship Id="rId39" Type="http://schemas.openxmlformats.org/officeDocument/2006/relationships/hyperlink" Target="https://doi.org/10.1016/j.rser.2015.10.081" TargetMode="External"/><Relationship Id="rId38" Type="http://schemas.openxmlformats.org/officeDocument/2006/relationships/image" Target="media/image17.png"/><Relationship Id="rId16" Type="http://schemas.openxmlformats.org/officeDocument/2006/relationships/oleObject" Target="embeddings/oleObject5.bin"/><Relationship Id="rId19" Type="http://schemas.openxmlformats.org/officeDocument/2006/relationships/image" Target="media/image11.wmf"/><Relationship Id="rId18"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