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100" w:after="100" w:line="240"/>
        <w:ind w:right="0" w:left="2880" w:firstLine="720"/>
        <w:jc w:val="left"/>
        <w:rPr>
          <w:rFonts w:ascii="Times New Roman" w:hAnsi="Times New Roman" w:cs="Times New Roman" w:eastAsia="Times New Roman"/>
          <w:color w:val="auto"/>
          <w:spacing w:val="0"/>
          <w:position w:val="0"/>
          <w:sz w:val="24"/>
          <w:shd w:fill="auto" w:val="clear"/>
        </w:rPr>
      </w:pPr>
      <w:r>
        <w:object w:dxaOrig="1700" w:dyaOrig="1599">
          <v:rect xmlns:o="urn:schemas-microsoft-com:office:office" xmlns:v="urn:schemas-microsoft-com:vml" id="rectole0000000000" style="width:85.000000pt;height:79.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40"/>
        <w:ind w:right="496" w:left="10" w:hanging="10"/>
        <w:jc w:val="center"/>
        <w:rPr>
          <w:rFonts w:ascii="Times New Roman" w:hAnsi="Times New Roman" w:cs="Times New Roman" w:eastAsia="Times New Roman"/>
          <w:b/>
          <w:color w:val="000000"/>
          <w:spacing w:val="0"/>
          <w:position w:val="0"/>
          <w:sz w:val="46"/>
          <w:shd w:fill="auto" w:val="clear"/>
        </w:rPr>
      </w:pPr>
      <w:r>
        <w:rPr>
          <w:rFonts w:ascii="Times New Roman" w:hAnsi="Times New Roman" w:cs="Times New Roman" w:eastAsia="Times New Roman"/>
          <w:b/>
          <w:color w:val="000000"/>
          <w:spacing w:val="0"/>
          <w:position w:val="0"/>
          <w:sz w:val="46"/>
          <w:shd w:fill="auto" w:val="clear"/>
        </w:rPr>
        <w:t xml:space="preserve">KWARA STATE POLYTECHNIC, ILORIN</w:t>
      </w:r>
    </w:p>
    <w:p>
      <w:pPr>
        <w:spacing w:before="0" w:after="160" w:line="240"/>
        <w:ind w:right="496" w:left="10" w:hanging="1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SUSTAINABLE MANAGEMENT AND CHARACTERIZATION OF SOLID WASTE</w:t>
      </w:r>
    </w:p>
    <w:p>
      <w:pPr>
        <w:spacing w:before="0" w:after="160" w:line="240"/>
        <w:ind w:right="496" w:left="10" w:hanging="1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 CASE STUDY OF WASTE AT MANDATE MARKET ILORIN, KWARA STATE)</w:t>
      </w:r>
    </w:p>
    <w:p>
      <w:pPr>
        <w:spacing w:before="0" w:after="160" w:line="267"/>
        <w:ind w:right="496" w:left="0" w:firstLine="0"/>
        <w:jc w:val="both"/>
        <w:rPr>
          <w:rFonts w:ascii="Times New Roman" w:hAnsi="Times New Roman" w:cs="Times New Roman" w:eastAsia="Times New Roman"/>
          <w:color w:val="000000"/>
          <w:spacing w:val="0"/>
          <w:position w:val="0"/>
          <w:sz w:val="28"/>
          <w:shd w:fill="auto" w:val="clear"/>
        </w:rPr>
      </w:pPr>
    </w:p>
    <w:p>
      <w:pPr>
        <w:spacing w:before="0" w:after="160" w:line="267"/>
        <w:ind w:right="496" w:left="10" w:hanging="10"/>
        <w:jc w:val="center"/>
        <w:rPr>
          <w:rFonts w:ascii="Times New Roman" w:hAnsi="Times New Roman" w:cs="Times New Roman" w:eastAsia="Times New Roman"/>
          <w:color w:val="000000"/>
          <w:spacing w:val="0"/>
          <w:position w:val="0"/>
          <w:sz w:val="28"/>
          <w:shd w:fill="auto" w:val="clear"/>
        </w:rPr>
      </w:pPr>
    </w:p>
    <w:p>
      <w:pPr>
        <w:spacing w:before="0" w:after="160" w:line="267"/>
        <w:ind w:right="496" w:left="10" w:hanging="10"/>
        <w:jc w:val="center"/>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BY </w:t>
      </w:r>
    </w:p>
    <w:p>
      <w:pPr>
        <w:spacing w:before="0" w:after="160" w:line="267"/>
        <w:ind w:right="496" w:left="10" w:hanging="10"/>
        <w:jc w:val="center"/>
        <w:rPr>
          <w:rFonts w:ascii="Times New Roman" w:hAnsi="Times New Roman" w:cs="Times New Roman" w:eastAsia="Times New Roman"/>
          <w:b/>
          <w:color w:val="000000"/>
          <w:spacing w:val="0"/>
          <w:position w:val="0"/>
          <w:sz w:val="72"/>
          <w:shd w:fill="auto" w:val="clear"/>
        </w:rPr>
      </w:pPr>
      <w:r>
        <w:rPr>
          <w:rFonts w:ascii="Times New Roman" w:hAnsi="Times New Roman" w:cs="Times New Roman" w:eastAsia="Times New Roman"/>
          <w:b/>
          <w:color w:val="000000"/>
          <w:spacing w:val="0"/>
          <w:position w:val="0"/>
          <w:sz w:val="72"/>
          <w:shd w:fill="auto" w:val="clear"/>
        </w:rPr>
        <w:t xml:space="preserve">ABDULRAHEEM ABDULFATAI </w:t>
      </w:r>
    </w:p>
    <w:p>
      <w:pPr>
        <w:spacing w:before="0" w:after="160" w:line="267"/>
        <w:ind w:right="496" w:left="10" w:hanging="10"/>
        <w:jc w:val="both"/>
        <w:rPr>
          <w:rFonts w:ascii="Times New Roman" w:hAnsi="Times New Roman" w:cs="Times New Roman" w:eastAsia="Times New Roman"/>
          <w:b/>
          <w:color w:val="000000"/>
          <w:spacing w:val="0"/>
          <w:position w:val="0"/>
          <w:sz w:val="50"/>
          <w:shd w:fill="auto" w:val="clear"/>
        </w:rPr>
      </w:pPr>
      <w:r>
        <w:rPr>
          <w:rFonts w:ascii="Times New Roman" w:hAnsi="Times New Roman" w:cs="Times New Roman" w:eastAsia="Times New Roman"/>
          <w:b/>
          <w:color w:val="000000"/>
          <w:spacing w:val="0"/>
          <w:position w:val="0"/>
          <w:sz w:val="50"/>
          <w:shd w:fill="auto" w:val="clear"/>
        </w:rPr>
        <w:t xml:space="preserve">               ND/23/CEC/PT/0281</w:t>
      </w:r>
    </w:p>
    <w:p>
      <w:pPr>
        <w:spacing w:before="0" w:after="160" w:line="267"/>
        <w:ind w:right="496" w:left="10" w:hanging="10"/>
        <w:jc w:val="both"/>
        <w:rPr>
          <w:rFonts w:ascii="Times New Roman" w:hAnsi="Times New Roman" w:cs="Times New Roman" w:eastAsia="Times New Roman"/>
          <w:b/>
          <w:color w:val="000000"/>
          <w:spacing w:val="0"/>
          <w:position w:val="0"/>
          <w:sz w:val="50"/>
          <w:shd w:fill="auto" w:val="clear"/>
        </w:rPr>
      </w:pPr>
    </w:p>
    <w:p>
      <w:pPr>
        <w:spacing w:before="0" w:after="160" w:line="267"/>
        <w:ind w:right="496" w:left="10" w:hanging="1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 PROJECT REPORT SUMMITED TO DEPARTMENT OF CIVIL ENGINEERING DEPARTMENT IN PARTIAL FULFILLMENT OF THE REQUIREMENTS FOR THE AWARD OF NATIONAL DIPLOMA, ND (CIVIL ENGINEERING) INSTITUTE OF TECHNOLOGY, KWARA STATE POLYTECHNIC, ILORIN NIGERIA</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p>
    <w:p>
      <w:pPr>
        <w:spacing w:before="0" w:after="160" w:line="267"/>
        <w:ind w:right="496" w:left="10" w:hanging="10"/>
        <w:jc w:val="center"/>
        <w:rPr>
          <w:rFonts w:ascii="Times New Roman" w:hAnsi="Times New Roman" w:cs="Times New Roman" w:eastAsia="Times New Roman"/>
          <w:b/>
          <w:color w:val="000000"/>
          <w:spacing w:val="0"/>
          <w:position w:val="0"/>
          <w:sz w:val="28"/>
          <w:shd w:fill="auto" w:val="clear"/>
        </w:rPr>
      </w:pPr>
    </w:p>
    <w:p>
      <w:pPr>
        <w:spacing w:before="0" w:after="160" w:line="267"/>
        <w:ind w:right="496" w:left="720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AUGUST, 2025</w:t>
      </w:r>
    </w:p>
    <w:p>
      <w:pPr>
        <w:spacing w:before="0" w:after="160" w:line="267"/>
        <w:ind w:right="496" w:left="10" w:hanging="10"/>
        <w:jc w:val="center"/>
        <w:rPr>
          <w:rFonts w:ascii="Times New Roman" w:hAnsi="Times New Roman" w:cs="Times New Roman" w:eastAsia="Times New Roman"/>
          <w:color w:val="000000"/>
          <w:spacing w:val="0"/>
          <w:position w:val="0"/>
          <w:sz w:val="28"/>
          <w:shd w:fill="auto" w:val="clear"/>
        </w:rPr>
      </w:pPr>
    </w:p>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240"/>
        <w:ind w:right="496" w:left="10" w:hanging="1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CERTIFICATION</w:t>
      </w:r>
    </w:p>
    <w:p>
      <w:pPr>
        <w:spacing w:before="0" w:after="159" w:line="358"/>
        <w:ind w:right="0" w:left="-15"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is to certify that this research study was conducted by ABDULRAHEEM ABDULFATAI (ND/23/CEC/FT/0281) and had been read and approved as meeting the requirement for the award of National Diploma (ND) in Civil Engineering of the Department of Civil Engineering, Institute of Technology, Kwara State Polytechnic, Ilorin. </w:t>
      </w:r>
    </w:p>
    <w:p>
      <w:pPr>
        <w:spacing w:before="0" w:after="160" w:line="240"/>
        <w:ind w:right="496" w:left="10" w:hanging="10"/>
        <w:jc w:val="both"/>
        <w:rPr>
          <w:rFonts w:ascii="Times New Roman" w:hAnsi="Times New Roman" w:cs="Times New Roman" w:eastAsia="Times New Roman"/>
          <w:color w:val="000000"/>
          <w:spacing w:val="0"/>
          <w:position w:val="0"/>
          <w:sz w:val="24"/>
          <w:shd w:fill="auto" w:val="clear"/>
        </w:rPr>
      </w:pPr>
    </w:p>
    <w:p>
      <w:pPr>
        <w:spacing w:before="0" w:after="160" w:line="240"/>
        <w:ind w:right="496" w:left="10" w:hanging="10"/>
        <w:jc w:val="both"/>
        <w:rPr>
          <w:rFonts w:ascii="Times New Roman" w:hAnsi="Times New Roman" w:cs="Times New Roman" w:eastAsia="Times New Roman"/>
          <w:color w:val="000000"/>
          <w:spacing w:val="0"/>
          <w:position w:val="0"/>
          <w:sz w:val="24"/>
          <w:shd w:fill="auto" w:val="clear"/>
        </w:rPr>
      </w:pPr>
    </w:p>
    <w:p>
      <w:pPr>
        <w:tabs>
          <w:tab w:val="center" w:pos="4321" w:leader="none"/>
          <w:tab w:val="center" w:pos="5041" w:leader="none"/>
          <w:tab w:val="center" w:pos="5761" w:leader="none"/>
          <w:tab w:val="right" w:pos="9023" w:leader="none"/>
        </w:tabs>
        <w:spacing w:before="0" w:after="153" w:line="249"/>
        <w:ind w:right="0" w:left="-1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tab/>
        <w:t xml:space="preserve"> </w:t>
        <w:tab/>
        <w:t xml:space="preserve"> </w:t>
        <w:tab/>
        <w:t xml:space="preserve"> </w:t>
        <w:tab/>
        <w:t xml:space="preserve">………………………….. </w:t>
      </w:r>
    </w:p>
    <w:p>
      <w:pPr>
        <w:tabs>
          <w:tab w:val="center" w:pos="2881" w:leader="none"/>
          <w:tab w:val="center" w:pos="3601" w:leader="none"/>
          <w:tab w:val="center" w:pos="4321" w:leader="none"/>
          <w:tab w:val="center" w:pos="5041" w:leader="none"/>
          <w:tab w:val="center" w:pos="5761" w:leader="none"/>
          <w:tab w:val="center" w:pos="6481" w:leader="none"/>
          <w:tab w:val="center" w:pos="7520" w:leader="none"/>
        </w:tabs>
        <w:spacing w:before="0" w:after="10" w:line="249"/>
        <w:ind w:right="0" w:left="-1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ENGR. M . GARUBA </w:t>
        <w:tab/>
        <w:t xml:space="preserve"> </w:t>
        <w:tab/>
        <w:t xml:space="preserve"> </w:t>
        <w:tab/>
        <w:t xml:space="preserve"> </w:t>
        <w:tab/>
        <w:t xml:space="preserve"> </w:t>
        <w:tab/>
        <w:t xml:space="preserve"> </w:t>
        <w:tab/>
        <w:t xml:space="preserve"> </w:t>
        <w:tab/>
        <w:t xml:space="preserve">DATE </w:t>
      </w:r>
    </w:p>
    <w:p>
      <w:pPr>
        <w:spacing w:before="0" w:after="287" w:line="249"/>
        <w:ind w:right="6942" w:left="-5"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Project Supervisor  </w:t>
      </w:r>
    </w:p>
    <w:p>
      <w:pPr>
        <w:spacing w:before="0" w:after="273"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318"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center" w:pos="4321" w:leader="none"/>
          <w:tab w:val="center" w:pos="5041" w:leader="none"/>
          <w:tab w:val="center" w:pos="5761" w:leader="none"/>
          <w:tab w:val="right" w:pos="9023" w:leader="none"/>
        </w:tabs>
        <w:spacing w:before="0" w:after="154" w:line="249"/>
        <w:ind w:right="0" w:left="-1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tab/>
        <w:t xml:space="preserve"> </w:t>
        <w:tab/>
        <w:t xml:space="preserve"> </w:t>
        <w:tab/>
        <w:t xml:space="preserve"> </w:t>
        <w:tab/>
        <w:t xml:space="preserve">………………………….. </w:t>
      </w:r>
    </w:p>
    <w:p>
      <w:pPr>
        <w:tabs>
          <w:tab w:val="center" w:pos="2881" w:leader="none"/>
          <w:tab w:val="center" w:pos="3601" w:leader="none"/>
          <w:tab w:val="center" w:pos="4321" w:leader="none"/>
          <w:tab w:val="center" w:pos="5041" w:leader="none"/>
          <w:tab w:val="center" w:pos="5761" w:leader="none"/>
          <w:tab w:val="center" w:pos="6481" w:leader="none"/>
          <w:tab w:val="center" w:pos="7520" w:leader="none"/>
        </w:tabs>
        <w:spacing w:before="0" w:after="10" w:line="249"/>
        <w:ind w:right="0" w:left="-1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ENGR. A. SANNI </w:t>
        <w:tab/>
        <w:t xml:space="preserve"> </w:t>
        <w:tab/>
        <w:t xml:space="preserve"> </w:t>
        <w:tab/>
        <w:t xml:space="preserve"> </w:t>
        <w:tab/>
        <w:t xml:space="preserve"> </w:t>
        <w:tab/>
        <w:t xml:space="preserve"> </w:t>
        <w:tab/>
        <w:t xml:space="preserve"> </w:t>
        <w:tab/>
        <w:t xml:space="preserve">DATE </w:t>
      </w:r>
    </w:p>
    <w:p>
      <w:pPr>
        <w:spacing w:before="0" w:after="287" w:line="249"/>
        <w:ind w:right="6825" w:left="-5"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Head of Department  </w:t>
      </w:r>
    </w:p>
    <w:p>
      <w:pPr>
        <w:spacing w:before="0" w:after="273"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318"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center" w:pos="4321" w:leader="none"/>
          <w:tab w:val="center" w:pos="5041" w:leader="none"/>
          <w:tab w:val="center" w:pos="5761" w:leader="none"/>
          <w:tab w:val="right" w:pos="9023" w:leader="none"/>
        </w:tabs>
        <w:spacing w:before="0" w:after="153" w:line="249"/>
        <w:ind w:right="0" w:left="-1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tab/>
        <w:t xml:space="preserve"> </w:t>
        <w:tab/>
        <w:t xml:space="preserve"> </w:t>
        <w:tab/>
        <w:t xml:space="preserve"> </w:t>
        <w:tab/>
        <w:t xml:space="preserve">………………………….. </w:t>
      </w:r>
    </w:p>
    <w:p>
      <w:pPr>
        <w:tabs>
          <w:tab w:val="center" w:pos="3601" w:leader="none"/>
          <w:tab w:val="center" w:pos="4321" w:leader="none"/>
          <w:tab w:val="center" w:pos="5041" w:leader="none"/>
          <w:tab w:val="center" w:pos="5761" w:leader="none"/>
          <w:tab w:val="center" w:pos="6481" w:leader="none"/>
          <w:tab w:val="center" w:pos="7520" w:leader="none"/>
        </w:tabs>
        <w:spacing w:before="0" w:after="10" w:line="249"/>
        <w:ind w:right="0" w:left="-1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ENGR. ABDULHAMEED ABDULRASAQ ADUAGBA </w:t>
        <w:tab/>
        <w:t xml:space="preserve"> </w:t>
        <w:tab/>
        <w:t xml:space="preserve"> </w:t>
        <w:tab/>
        <w:t xml:space="preserve">DATE </w:t>
      </w:r>
    </w:p>
    <w:p>
      <w:pPr>
        <w:spacing w:before="0" w:after="10" w:line="249"/>
        <w:ind w:right="0" w:left="730"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External Examiner </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160" w:line="267"/>
        <w:ind w:right="496" w:left="0" w:firstLine="0"/>
        <w:jc w:val="both"/>
        <w:rPr>
          <w:rFonts w:ascii="Times New Roman" w:hAnsi="Times New Roman" w:cs="Times New Roman" w:eastAsia="Times New Roman"/>
          <w:color w:val="000000"/>
          <w:spacing w:val="0"/>
          <w:position w:val="0"/>
          <w:sz w:val="28"/>
          <w:shd w:fill="auto" w:val="clear"/>
        </w:rPr>
      </w:pPr>
    </w:p>
    <w:p>
      <w:pPr>
        <w:spacing w:before="0" w:after="160" w:line="480"/>
        <w:ind w:right="496" w:left="10" w:hanging="10"/>
        <w:jc w:val="both"/>
        <w:rPr>
          <w:rFonts w:ascii="Times New Roman" w:hAnsi="Times New Roman" w:cs="Times New Roman" w:eastAsia="Times New Roman"/>
          <w:color w:val="000000"/>
          <w:spacing w:val="0"/>
          <w:position w:val="0"/>
          <w:sz w:val="24"/>
          <w:shd w:fill="auto" w:val="clear"/>
        </w:rPr>
      </w:pPr>
    </w:p>
    <w:p>
      <w:pPr>
        <w:spacing w:before="0" w:after="160" w:line="480"/>
        <w:ind w:right="496" w:left="10" w:hanging="10"/>
        <w:jc w:val="both"/>
        <w:rPr>
          <w:rFonts w:ascii="Times New Roman" w:hAnsi="Times New Roman" w:cs="Times New Roman" w:eastAsia="Times New Roman"/>
          <w:b/>
          <w:color w:val="000000"/>
          <w:spacing w:val="0"/>
          <w:position w:val="0"/>
          <w:sz w:val="24"/>
          <w:shd w:fill="auto" w:val="clear"/>
        </w:rPr>
      </w:pPr>
    </w:p>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480"/>
        <w:ind w:right="496" w:left="10" w:hanging="1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DEDICATION</w:t>
      </w:r>
    </w:p>
    <w:p>
      <w:pPr>
        <w:spacing w:before="0" w:after="160" w:line="480"/>
        <w:ind w:right="496" w:left="10"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report is dedicated to Almighty God, who has been protecting my life from the beginning to the present time and to my parents/siblings and guardian for their assistance both morally and spiritually to see that the programmed is successfully completed.</w:t>
      </w: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ACKNOLEDGEMENT</w:t>
      </w:r>
    </w:p>
    <w:p>
      <w:pPr>
        <w:spacing w:before="0" w:after="160" w:line="480"/>
        <w:ind w:right="0" w:left="0" w:firstLine="72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 extend my deepest gratitude to my parent( Mr &amp; Mrs Abdulraheem), for her unwavering support and insightful critiques throughout my research journey. Their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has been a cornerstone of my research experience. Finally, my sincere thanks to Eng. Garuba  (project supervisor) . Their patience and readiness to assist at all times have left a profound impact on the completion of my project.</w:t>
      </w:r>
    </w:p>
    <w:p>
      <w:pPr>
        <w:spacing w:before="0" w:after="16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ABSTRACT</w:t>
      </w:r>
    </w:p>
    <w:p>
      <w:pPr>
        <w:spacing w:before="0" w:after="7" w:line="360"/>
        <w:ind w:right="490" w:left="0" w:firstLine="0"/>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 </w:t>
      </w:r>
    </w:p>
    <w:p>
      <w:pPr>
        <w:spacing w:before="0" w:after="7" w:line="360"/>
        <w:ind w:right="490" w:left="0" w:firstLine="0"/>
        <w:jc w:val="both"/>
        <w:rPr>
          <w:rFonts w:ascii="Times New Roman" w:hAnsi="Times New Roman" w:cs="Times New Roman" w:eastAsia="Times New Roman"/>
          <w:i/>
          <w:color w:val="000000"/>
          <w:spacing w:val="0"/>
          <w:position w:val="0"/>
          <w:sz w:val="28"/>
          <w:shd w:fill="auto" w:val="clear"/>
        </w:rPr>
      </w:pPr>
    </w:p>
    <w:p>
      <w:pPr>
        <w:spacing w:before="0" w:after="7" w:line="360"/>
        <w:ind w:right="490" w:left="0" w:firstLine="0"/>
        <w:jc w:val="both"/>
        <w:rPr>
          <w:rFonts w:ascii="Times New Roman" w:hAnsi="Times New Roman" w:cs="Times New Roman" w:eastAsia="Times New Roman"/>
          <w:i/>
          <w:color w:val="000000"/>
          <w:spacing w:val="0"/>
          <w:position w:val="0"/>
          <w:sz w:val="28"/>
          <w:shd w:fill="auto" w:val="clear"/>
        </w:rPr>
      </w:pPr>
    </w:p>
    <w:p>
      <w:pPr>
        <w:keepNext w:val="true"/>
        <w:keepLines w:val="true"/>
        <w:tabs>
          <w:tab w:val="center" w:pos="2003" w:leader="none"/>
        </w:tabs>
        <w:spacing w:before="0" w:after="0" w:line="480"/>
        <w:ind w:right="0" w:left="0" w:firstLine="0"/>
        <w:jc w:val="center"/>
        <w:rPr>
          <w:rFonts w:ascii="Times New Roman" w:hAnsi="Times New Roman" w:cs="Times New Roman" w:eastAsia="Times New Roman"/>
          <w:b/>
          <w:color w:val="000000"/>
          <w:spacing w:val="0"/>
          <w:position w:val="0"/>
          <w:sz w:val="30"/>
          <w:shd w:fill="auto" w:val="clear"/>
        </w:rPr>
      </w:pPr>
      <w:r>
        <w:rPr>
          <w:rFonts w:ascii="Times New Roman" w:hAnsi="Times New Roman" w:cs="Times New Roman" w:eastAsia="Times New Roman"/>
          <w:b/>
          <w:color w:val="000000"/>
          <w:spacing w:val="0"/>
          <w:position w:val="0"/>
          <w:sz w:val="30"/>
          <w:shd w:fill="auto" w:val="clear"/>
        </w:rPr>
        <w:t xml:space="preserve">Table of Content</w:t>
      </w:r>
    </w:p>
    <w:p>
      <w:pPr>
        <w:spacing w:before="0" w:after="160" w:line="267"/>
        <w:ind w:right="49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 Page       ............................................................................................................. i</w:t>
      </w:r>
    </w:p>
    <w:p>
      <w:pPr>
        <w:spacing w:before="0" w:after="160" w:line="267"/>
        <w:ind w:right="49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Certification    ............................................................................................................ ii</w:t>
      </w:r>
    </w:p>
    <w:p>
      <w:pPr>
        <w:spacing w:before="0" w:after="160" w:line="267"/>
        <w:ind w:right="49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Dedication     ............................................................................................................ iii</w:t>
      </w:r>
    </w:p>
    <w:p>
      <w:pPr>
        <w:spacing w:before="0" w:after="160" w:line="267"/>
        <w:ind w:right="49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   ................................................................................................ iv</w:t>
      </w:r>
    </w:p>
    <w:p>
      <w:pPr>
        <w:spacing w:before="0" w:after="160" w:line="267"/>
        <w:ind w:right="49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Abstract    .................................................................................................................. v       </w:t>
      </w:r>
    </w:p>
    <w:p>
      <w:pPr>
        <w:spacing w:before="0" w:after="160" w:line="267"/>
        <w:ind w:right="496"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of Contents          </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1.1</w:t>
        <w:tab/>
        <w:t xml:space="preserve">Background to the Study ...................................................... 1</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1.2 </w:t>
        <w:tab/>
        <w:t xml:space="preserve">Statement of the Problem ..................................................... 2  </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1.3     Objective of the Study  ......................................................... 3</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1.4 </w:t>
        <w:tab/>
        <w:t xml:space="preserve">Research Questions </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1.5  </w:t>
        <w:tab/>
        <w:t xml:space="preserve">Significance of the Study</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1.6 </w:t>
        <w:tab/>
        <w:t xml:space="preserve">Scope of the Study</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1.7 </w:t>
        <w:tab/>
        <w:t xml:space="preserve">Operational Definitions of Terms </w:t>
      </w:r>
    </w:p>
    <w:p>
      <w:pPr>
        <w:spacing w:before="0" w:after="160" w:line="267"/>
        <w:ind w:right="496"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2.1 </w:t>
        <w:tab/>
        <w:t xml:space="preserve">Introduction literature review </w:t>
      </w:r>
    </w:p>
    <w:p>
      <w:pPr>
        <w:spacing w:before="0" w:after="160" w:line="267"/>
        <w:ind w:right="496" w:left="10" w:hanging="1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2.2 </w:t>
        <w:tab/>
        <w:t xml:space="preserve">Overview of Waste Management in Nigeria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2.3 </w:t>
        <w:tab/>
        <w:t xml:space="preserve">The Concept of Waste Management in the Market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2.4 </w:t>
        <w:tab/>
        <w:t xml:space="preserve">The Concept of Solid Waste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2.4 </w:t>
        <w:tab/>
        <w:t xml:space="preserve">Characterization of Solid Waste  </w:t>
      </w:r>
    </w:p>
    <w:p>
      <w:pPr>
        <w:keepNext w:val="true"/>
        <w:keepLines w:val="true"/>
        <w:tabs>
          <w:tab w:val="center" w:pos="3216"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2.5  </w:t>
        <w:tab/>
        <w:t xml:space="preserve">Strategy for Waste Management Nigeria Market  </w:t>
      </w:r>
    </w:p>
    <w:p>
      <w:pPr>
        <w:keepNext w:val="true"/>
        <w:keepLines w:val="true"/>
        <w:tabs>
          <w:tab w:val="center" w:pos="3731"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2.6 </w:t>
        <w:tab/>
        <w:t xml:space="preserve">Challenges Confronting Waste Management in the Market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2.7 </w:t>
        <w:tab/>
        <w:t xml:space="preserve">Empirical Review  </w:t>
      </w:r>
    </w:p>
    <w:p>
      <w:pPr>
        <w:spacing w:before="0" w:after="0" w:line="480"/>
        <w:ind w:right="403" w:left="10"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3.1  </w:t>
        <w:tab/>
        <w:t xml:space="preserve">Introduction methodology </w:t>
      </w:r>
    </w:p>
    <w:p>
      <w:pPr>
        <w:keepNext w:val="true"/>
        <w:keepLines w:val="true"/>
        <w:tabs>
          <w:tab w:val="center" w:pos="1568"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3.2  </w:t>
        <w:tab/>
        <w:t xml:space="preserve">Research Design </w:t>
      </w:r>
    </w:p>
    <w:p>
      <w:pPr>
        <w:keepNext w:val="true"/>
        <w:keepLines w:val="true"/>
        <w:tabs>
          <w:tab w:val="center" w:pos="1782"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3.3  </w:t>
        <w:tab/>
        <w:t xml:space="preserve">Research Population   </w:t>
      </w:r>
    </w:p>
    <w:p>
      <w:pPr>
        <w:keepNext w:val="true"/>
        <w:keepLines w:val="true"/>
        <w:tabs>
          <w:tab w:val="center" w:pos="1366"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3.4 </w:t>
        <w:tab/>
        <w:t xml:space="preserve">Sample Size</w:t>
      </w:r>
    </w:p>
    <w:p>
      <w:pPr>
        <w:keepNext w:val="true"/>
        <w:keepLines w:val="true"/>
        <w:tabs>
          <w:tab w:val="center" w:pos="1777"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3.5  </w:t>
        <w:tab/>
        <w:t xml:space="preserve">Sampling Technique </w:t>
      </w:r>
    </w:p>
    <w:p>
      <w:pPr>
        <w:keepNext w:val="true"/>
        <w:keepLines w:val="true"/>
        <w:tabs>
          <w:tab w:val="center" w:pos="1802"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3.6  </w:t>
        <w:tab/>
        <w:t xml:space="preserve">Research Instrument</w:t>
      </w:r>
    </w:p>
    <w:p>
      <w:pPr>
        <w:keepNext w:val="true"/>
        <w:keepLines w:val="true"/>
        <w:tabs>
          <w:tab w:val="center" w:pos="2848"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3.7  </w:t>
        <w:tab/>
        <w:t xml:space="preserve">Validity and Reliability of the Instrument </w:t>
      </w:r>
    </w:p>
    <w:p>
      <w:pPr>
        <w:keepNext w:val="true"/>
        <w:keepLines w:val="true"/>
        <w:tabs>
          <w:tab w:val="center" w:pos="1990"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3.8 </w:t>
        <w:tab/>
        <w:t xml:space="preserve">Method of Data Analysis </w:t>
      </w:r>
    </w:p>
    <w:p>
      <w:pPr>
        <w:spacing w:before="0" w:after="0" w:line="480"/>
        <w:ind w:right="0" w:left="10"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4.1 introduction data presentation and analysis </w:t>
      </w:r>
    </w:p>
    <w:p>
      <w:pPr>
        <w:keepNext w:val="true"/>
        <w:keepLines w:val="true"/>
        <w:tabs>
          <w:tab w:val="center" w:pos="1225"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5.1 </w:t>
        <w:tab/>
        <w:t xml:space="preserve">Summary  </w:t>
      </w:r>
    </w:p>
    <w:p>
      <w:pPr>
        <w:keepNext w:val="true"/>
        <w:keepLines w:val="true"/>
        <w:tabs>
          <w:tab w:val="center" w:pos="1294"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5.2 </w:t>
        <w:tab/>
        <w:t xml:space="preserve">Conclusion</w:t>
      </w:r>
    </w:p>
    <w:p>
      <w:pPr>
        <w:keepNext w:val="true"/>
        <w:keepLines w:val="true"/>
        <w:tabs>
          <w:tab w:val="center" w:pos="1666"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5.3 </w:t>
        <w:tab/>
        <w:t xml:space="preserve">Recommendations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5.4</w:t>
        <w:tab/>
        <w:t xml:space="preserve">Limitation of the Study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5.4</w:t>
        <w:tab/>
        <w:t xml:space="preserve">Suggestions for further studies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480"/>
        <w:ind w:right="496" w:left="10" w:hanging="10"/>
        <w:jc w:val="both"/>
        <w:rPr>
          <w:rFonts w:ascii="Times New Roman" w:hAnsi="Times New Roman" w:cs="Times New Roman" w:eastAsia="Times New Roman"/>
          <w:b/>
          <w:color w:val="000000"/>
          <w:spacing w:val="0"/>
          <w:position w:val="0"/>
          <w:sz w:val="28"/>
          <w:shd w:fill="auto" w:val="clear"/>
        </w:rPr>
      </w:pPr>
    </w:p>
    <w:p>
      <w:pPr>
        <w:spacing w:before="0" w:after="16" w:line="480"/>
        <w:ind w:right="0" w:left="2881"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2881"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ab/>
      </w:r>
    </w:p>
    <w:p>
      <w:pPr>
        <w:spacing w:before="0" w:after="160" w:line="480"/>
        <w:ind w:right="496" w:left="10" w:hanging="10"/>
        <w:jc w:val="both"/>
        <w:rPr>
          <w:rFonts w:ascii="Times New Roman" w:hAnsi="Times New Roman" w:cs="Times New Roman" w:eastAsia="Times New Roman"/>
          <w:color w:val="000000"/>
          <w:spacing w:val="0"/>
          <w:position w:val="0"/>
          <w:sz w:val="28"/>
          <w:shd w:fill="auto" w:val="clear"/>
        </w:rPr>
      </w:pPr>
    </w:p>
    <w:p>
      <w:pPr>
        <w:spacing w:before="0" w:after="0" w:line="480"/>
        <w:ind w:right="639" w:left="236" w:hanging="1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ONE </w:t>
      </w:r>
    </w:p>
    <w:p>
      <w:pPr>
        <w:spacing w:before="0" w:after="0" w:line="480"/>
        <w:ind w:right="470" w:left="236" w:hanging="1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INTRODUCTION </w:t>
      </w:r>
    </w:p>
    <w:p>
      <w:pPr>
        <w:keepNext w:val="true"/>
        <w:keepLines w:val="true"/>
        <w:tabs>
          <w:tab w:val="center" w:pos="2003"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1.1</w:t>
        <w:tab/>
        <w:t xml:space="preserve">Background to the Study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intrinsically linked to increasing economic activities, changing consumption behaviours, and limited sustainable waste management strategies.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addition, the implications of poor waste management stretch beyond unsightly landfills; they encompass environmental degradation, ecosystem disruption, and potential threats to human health (UNEP, 2021).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incentivization emerge as potential transformative mechanisms for enhancing waste management effectiveness and promoting circular economy principles.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pPr>
        <w:keepNext w:val="true"/>
        <w:keepLines w:val="true"/>
        <w:tabs>
          <w:tab w:val="center" w:pos="2030"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1.2 </w:t>
        <w:tab/>
        <w:t xml:space="preserve">Statement of the Problem</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institutional framework governing waste management in Nigeria faces significant challenges, particularly in urban areas like Ilorin. Adekunle,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1.3</w:t>
        <w:tab/>
        <w:t xml:space="preserve">Objective of the Study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following objectives were formulated for the study: </w:t>
      </w:r>
    </w:p>
    <w:p>
      <w:pPr>
        <w:numPr>
          <w:ilvl w:val="0"/>
          <w:numId w:val="76"/>
        </w:numPr>
        <w:spacing w:before="0" w:after="0" w:line="480"/>
        <w:ind w:right="-2" w:left="5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To know the characterized solid waste available at Mandate Market in Ilorin. </w:t>
      </w:r>
    </w:p>
    <w:p>
      <w:pPr>
        <w:numPr>
          <w:ilvl w:val="0"/>
          <w:numId w:val="76"/>
        </w:numPr>
        <w:spacing w:before="0" w:after="0" w:line="480"/>
        <w:ind w:right="-2" w:left="5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To investigate the sustainable waste management approach using at Mandate Market in </w:t>
      </w:r>
    </w:p>
    <w:p>
      <w:pPr>
        <w:spacing w:before="0" w:after="0" w:line="480"/>
        <w:ind w:right="0" w:left="730"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Ilorin. </w:t>
      </w:r>
    </w:p>
    <w:p>
      <w:pPr>
        <w:numPr>
          <w:ilvl w:val="0"/>
          <w:numId w:val="78"/>
        </w:numPr>
        <w:spacing w:before="0" w:after="0" w:line="480"/>
        <w:ind w:right="-2" w:left="5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To assess the level of the effectiveness of sustainable waste management approach using at Mandate Market in Ilorin. </w:t>
      </w:r>
    </w:p>
    <w:p>
      <w:pPr>
        <w:numPr>
          <w:ilvl w:val="0"/>
          <w:numId w:val="78"/>
        </w:numPr>
        <w:spacing w:before="0" w:after="0" w:line="480"/>
        <w:ind w:right="-2" w:left="5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To ascertain the challenges confronting solid waste management at Mandate Market, Ilorin. </w:t>
      </w:r>
    </w:p>
    <w:p>
      <w:pPr>
        <w:keepNext w:val="true"/>
        <w:keepLines w:val="true"/>
        <w:tabs>
          <w:tab w:val="center" w:pos="1730"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1.4 </w:t>
        <w:tab/>
        <w:t xml:space="preserve">Research Questions </w:t>
      </w:r>
    </w:p>
    <w:p>
      <w:pPr>
        <w:numPr>
          <w:ilvl w:val="0"/>
          <w:numId w:val="80"/>
        </w:numPr>
        <w:spacing w:before="0" w:after="0" w:line="480"/>
        <w:ind w:right="0" w:left="63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What is the characterized solid waste available at Mandate Market in Ilorin?</w:t>
      </w:r>
    </w:p>
    <w:p>
      <w:pPr>
        <w:numPr>
          <w:ilvl w:val="0"/>
          <w:numId w:val="80"/>
        </w:numPr>
        <w:spacing w:before="0" w:after="0" w:line="480"/>
        <w:ind w:right="0" w:left="63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What is the sustainable waste management approach using at Mandate Market in Ilorin? </w:t>
      </w:r>
    </w:p>
    <w:p>
      <w:pPr>
        <w:numPr>
          <w:ilvl w:val="0"/>
          <w:numId w:val="80"/>
        </w:numPr>
        <w:spacing w:before="0" w:after="0" w:line="480"/>
        <w:ind w:right="0" w:left="63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What is the level of the effectiveness of sustainable waste management approach using at Mandate Market in Ilorin? </w:t>
      </w:r>
    </w:p>
    <w:p>
      <w:pPr>
        <w:numPr>
          <w:ilvl w:val="0"/>
          <w:numId w:val="80"/>
        </w:numPr>
        <w:spacing w:before="0" w:after="0" w:line="480"/>
        <w:ind w:right="0" w:left="63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What are the challenges confronting solid waste management at Mandate Market, Ilorin? </w:t>
      </w:r>
    </w:p>
    <w:p>
      <w:pPr>
        <w:keepNext w:val="true"/>
        <w:keepLines w:val="true"/>
        <w:tabs>
          <w:tab w:val="center" w:pos="1989"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1.5  </w:t>
        <w:tab/>
        <w:t xml:space="preserve">Significance of the Study </w:t>
      </w:r>
    </w:p>
    <w:p>
      <w:pPr>
        <w:spacing w:before="0" w:after="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study will provides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pollution, and enhanced overall quality of life for the market vendors, workers, and surrounding residential areas.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1.6 </w:t>
        <w:tab/>
        <w:t xml:space="preserve">Scope of the Study</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refers to its size and boundaries, as well as the specific aspects and parameters that will be investigated. The scope assists researchers to define the boundaries within which data will be collected, analysed, and interpreted, ensuring that the study remains manageable and feasible (Creswell, 2014; Sekaran &amp; Bougie, 2016)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1.7 </w:t>
        <w:tab/>
        <w:t xml:space="preserve">Operational Definitions of Terms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Sustainable Management:</w:t>
      </w:r>
      <w:r>
        <w:rPr>
          <w:rFonts w:ascii="Times New Roman" w:hAnsi="Times New Roman" w:cs="Times New Roman" w:eastAsia="Times New Roman"/>
          <w:color w:val="000000"/>
          <w:spacing w:val="0"/>
          <w:position w:val="0"/>
          <w:sz w:val="28"/>
          <w:shd w:fill="auto" w:val="clear"/>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Characterization:</w:t>
      </w:r>
      <w:r>
        <w:rPr>
          <w:rFonts w:ascii="Times New Roman" w:hAnsi="Times New Roman" w:cs="Times New Roman" w:eastAsia="Times New Roman"/>
          <w:color w:val="000000"/>
          <w:spacing w:val="0"/>
          <w:position w:val="0"/>
          <w:sz w:val="28"/>
          <w:shd w:fill="auto" w:val="clear"/>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disposal methods that are tailored to the specific waste stream of the Mandate Market.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Solid Waste: </w:t>
      </w:r>
      <w:r>
        <w:rPr>
          <w:rFonts w:ascii="Times New Roman" w:hAnsi="Times New Roman" w:cs="Times New Roman" w:eastAsia="Times New Roman"/>
          <w:color w:val="000000"/>
          <w:spacing w:val="0"/>
          <w:position w:val="0"/>
          <w:sz w:val="28"/>
          <w:shd w:fill="auto" w:val="clear"/>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Mandate Market: </w:t>
      </w:r>
      <w:r>
        <w:rPr>
          <w:rFonts w:ascii="Times New Roman" w:hAnsi="Times New Roman" w:cs="Times New Roman" w:eastAsia="Times New Roman"/>
          <w:color w:val="000000"/>
          <w:spacing w:val="0"/>
          <w:position w:val="0"/>
          <w:sz w:val="28"/>
          <w:shd w:fill="auto" w:val="clear"/>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pPr>
        <w:spacing w:before="0" w:after="413"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572"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TWO</w:t>
      </w:r>
    </w:p>
    <w:p>
      <w:pPr>
        <w:spacing w:before="0" w:after="0" w:line="480"/>
        <w:ind w:right="944" w:left="236" w:hanging="1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LITERATURE REVIEW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2.1 </w:t>
        <w:tab/>
        <w:t xml:space="preserve">Introduction </w:t>
      </w:r>
    </w:p>
    <w:p>
      <w:pPr>
        <w:spacing w:before="0" w:after="16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literature review for this study will be focused on the following: overview of Waste Management in Nigeria, Concept of Waste Management in the Market and the concept of solid waste.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2.2 </w:t>
        <w:tab/>
        <w:t xml:space="preserve">Overview of Waste Management in Nigeria </w:t>
      </w:r>
    </w:p>
    <w:p>
      <w:pPr>
        <w:spacing w:before="0" w:after="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Nigeria generates a substantial amount of municipal solid waste, estimated at over 32 million tonnes per year (Babayemi &amp; Dauda, 2009). The composition of this waste is diverse, consisting of organic matter, plastics, paper, metals, and other materials. The majority of this waste is disposed of through open dumping and burning, with only a small fraction being properly managed (Ogwueleka, 2009).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government of Nigeria has recognized the importance of addressing the waste management crisis and has implemented various policies and initiatives to improve the situation. The National </w:t>
      </w:r>
    </w:p>
    <w:p>
      <w:pPr>
        <w:spacing w:before="0" w:after="244"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Environmental Standards and Regulations Enforcement Agency (NESREA) was established in 2007 to enforce environmental laws and regulations, including those related to waste management (NESREA, 2007).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waste management crisis.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2.3 </w:t>
        <w:tab/>
        <w:t xml:space="preserve">The Concept of Waste Management in the Market </w:t>
      </w:r>
    </w:p>
    <w:p>
      <w:pPr>
        <w:spacing w:before="0" w:after="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pPr>
        <w:tabs>
          <w:tab w:val="left" w:pos="1350" w:leader="none"/>
          <w:tab w:val="left" w:pos="1710" w:leader="none"/>
        </w:tabs>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 Anyadike, 2015).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shown promise in improving waste management outcomes in markets (Aliyu et al., 2015; Babayemi &amp; Dauda, 2019).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2.4 </w:t>
        <w:tab/>
        <w:t xml:space="preserve">The Concept of Solid Waste  </w:t>
      </w:r>
    </w:p>
    <w:p>
      <w:pPr>
        <w:spacing w:before="0" w:after="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Despite these efforts, the implementation and enforcement of solid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recent years, there has been a growing recognition of the need for a more holistic and sustainable approach to solid waste management in Nigeria. This includes the promotion of the circular economy, which aims to reduce waste and maximize the reuse and recycling of materials (Aliyu et al., 2015). Initiatives such as community-based waste management and the involvement of the informal sector have also shown promise in improving solid waste management outcomes (Nzeadibe &amp; Anyadike, 2015).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2.4 </w:t>
        <w:tab/>
        <w:t xml:space="preserve">Characterization of Solid Waste  </w:t>
      </w:r>
    </w:p>
    <w:p>
      <w:pPr>
        <w:spacing w:before="0" w:after="0" w:line="480"/>
        <w:ind w:right="0" w:left="0"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pPr>
        <w:keepNext w:val="true"/>
        <w:keepLines w:val="true"/>
        <w:tabs>
          <w:tab w:val="center" w:pos="3216" w:leader="none"/>
        </w:tabs>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2.5  </w:t>
        <w:tab/>
        <w:t xml:space="preserve">Strategy for Waste Management Nigeria Market  </w:t>
      </w:r>
    </w:p>
    <w:p>
      <w:pPr>
        <w:spacing w:before="0" w:after="0" w:line="480"/>
        <w:ind w:right="0" w:left="-5"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Developing a comprehensive and multifaceted strategy for waste management in the market is essential to address the environmental, public health, and operational challenges associated with the improper handling and disposal of waste.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 Anyadike, 2015; Adebola, 2020). This approach can be supported by the placement of clearly labeled waste bins and the implementation of educational campaigns.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mechanisms for the enforcement of waste management regulations, ensuring the sustained engagement and participation of market actors.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creating cleaner, healthier, and more functional market environments that contribute to the overall sustainability of urban areas (Adebola, 2020; Ogwueleka, 2023).</w:t>
      </w:r>
    </w:p>
    <w:p>
      <w:pPr>
        <w:keepNext w:val="true"/>
        <w:keepLines w:val="true"/>
        <w:tabs>
          <w:tab w:val="center" w:pos="3731"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2.6 </w:t>
        <w:tab/>
        <w:t xml:space="preserve">Challenges Confronting Waste Management in the Market </w:t>
      </w:r>
    </w:p>
    <w:p>
      <w:pPr>
        <w:spacing w:before="0" w:after="0" w:line="480"/>
        <w:ind w:right="0" w:left="-5" w:firstLine="1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Inadequate Infrastructure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High Waste Generation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Poor Waste Segregation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Limited Funding and Resources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pPr>
        <w:spacing w:before="0" w:after="0" w:line="480"/>
        <w:ind w:right="0" w:left="-5"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Weak Regulatory Framework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Lack of Public Awareness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Cultural Attitudes towards Waste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2.7 </w:t>
        <w:tab/>
        <w:t xml:space="preserve">Empirical Review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Against violators. However, the study noted that some members of the public exhibit resistance to compliance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Amin, Raji and Salawu (2023) examines the effects and obstacles associated with public policy in waste management for environmental security in Kwara State.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negative perceptions regarding particular aspects of solid waste management. It is noteworthy that the scope of the article was confined to Ibadan North local government area.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Lishan, Bo, Tong, Liang, and Ouwen (2023) focused on the promotion and sustenance of public participation in waste separation policies within Shanghai,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Highlighted that, considering existing conditions such as the number of recycling companies and their capacities, the local market can absorb all recyclable wastes generated.</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THREE</w:t>
      </w:r>
    </w:p>
    <w:p>
      <w:pPr>
        <w:spacing w:before="0" w:after="0" w:line="480"/>
        <w:ind w:right="403" w:left="236" w:hanging="1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METHODOLOGY </w:t>
      </w:r>
    </w:p>
    <w:p>
      <w:pPr>
        <w:keepNext w:val="true"/>
        <w:keepLines w:val="true"/>
        <w:tabs>
          <w:tab w:val="center" w:pos="1373" w:leader="none"/>
        </w:tabs>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3.1  </w:t>
        <w:tab/>
        <w:t xml:space="preserve">Introduction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pPr>
        <w:keepNext w:val="true"/>
        <w:keepLines w:val="true"/>
        <w:tabs>
          <w:tab w:val="center" w:pos="1568" w:leader="none"/>
        </w:tabs>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3.2  </w:t>
        <w:tab/>
        <w:t xml:space="preserve">Research Design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pPr>
        <w:keepNext w:val="true"/>
        <w:keepLines w:val="true"/>
        <w:tabs>
          <w:tab w:val="center" w:pos="1782"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3.3  </w:t>
        <w:tab/>
        <w:t xml:space="preserve">Research Population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pPr>
        <w:keepNext w:val="true"/>
        <w:keepLines w:val="true"/>
        <w:tabs>
          <w:tab w:val="center" w:pos="1366"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3.4 </w:t>
        <w:tab/>
        <w:t xml:space="preserve">Sample Size</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According to Taherdoost (2016), the number of participants or observations included in a research study is known as sample size, and it is critical for ensuring the reliability and validity of the research findings (Taherdoost, 2016).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pPr>
        <w:spacing w:before="0" w:after="0" w:line="480"/>
        <w:ind w:right="5249" w:left="-5"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Taro Yamane around 1960 to 1970 The Taro Yamane formula is expressed as: n = N / (1 + Ne^2) Where: </w:t>
      </w:r>
    </w:p>
    <w:p>
      <w:pPr>
        <w:numPr>
          <w:ilvl w:val="0"/>
          <w:numId w:val="159"/>
        </w:numPr>
        <w:spacing w:before="0" w:after="406" w:line="48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 is the sample size </w:t>
      </w:r>
    </w:p>
    <w:p>
      <w:pPr>
        <w:numPr>
          <w:ilvl w:val="0"/>
          <w:numId w:val="159"/>
        </w:numPr>
        <w:spacing w:before="0" w:after="407" w:line="48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 is the total population size </w:t>
      </w:r>
    </w:p>
    <w:p>
      <w:pPr>
        <w:numPr>
          <w:ilvl w:val="0"/>
          <w:numId w:val="159"/>
        </w:numPr>
        <w:spacing w:before="0" w:after="405" w:line="48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 is the desired level of precision or margin of error (%) </w:t>
      </w:r>
    </w:p>
    <w:p>
      <w:pPr>
        <w:spacing w:before="0" w:after="0"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w:t>
      </w:r>
    </w:p>
    <w:p>
      <w:pPr>
        <w:spacing w:before="0" w:after="415" w:line="360"/>
        <w:ind w:right="0" w:left="0" w:firstLine="0"/>
        <w:jc w:val="left"/>
        <w:rPr>
          <w:rFonts w:ascii="Times New Roman" w:hAnsi="Times New Roman" w:cs="Times New Roman" w:eastAsia="Times New Roman"/>
          <w:color w:val="000000"/>
          <w:spacing w:val="0"/>
          <w:position w:val="0"/>
          <w:sz w:val="28"/>
          <w:shd w:fill="auto" w:val="clear"/>
        </w:rPr>
      </w:pPr>
    </w:p>
    <w:p>
      <w:pPr>
        <w:spacing w:before="0" w:after="427"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1+N X (0.0e)</w:t>
      </w:r>
      <w:r>
        <w:rPr>
          <w:rFonts w:ascii="Times New Roman" w:hAnsi="Times New Roman" w:cs="Times New Roman" w:eastAsia="Times New Roman"/>
          <w:color w:val="000000"/>
          <w:spacing w:val="0"/>
          <w:position w:val="0"/>
          <w:sz w:val="28"/>
          <w:shd w:fill="auto" w:val="clear"/>
          <w:vertAlign w:val="superscript"/>
        </w:rPr>
        <w:t xml:space="preserve">2</w:t>
      </w:r>
    </w:p>
    <w:p>
      <w:pPr>
        <w:spacing w:before="0" w:after="0"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986 </w:t>
      </w:r>
    </w:p>
    <w:p>
      <w:pPr>
        <w:spacing w:before="0" w:after="417" w:line="360"/>
        <w:ind w:right="0" w:left="0" w:firstLine="0"/>
        <w:jc w:val="left"/>
        <w:rPr>
          <w:rFonts w:ascii="Times New Roman" w:hAnsi="Times New Roman" w:cs="Times New Roman" w:eastAsia="Times New Roman"/>
          <w:color w:val="000000"/>
          <w:spacing w:val="0"/>
          <w:position w:val="0"/>
          <w:sz w:val="28"/>
          <w:shd w:fill="auto" w:val="clear"/>
        </w:rPr>
      </w:pPr>
    </w:p>
    <w:p>
      <w:pPr>
        <w:tabs>
          <w:tab w:val="center" w:pos="2160" w:leader="none"/>
        </w:tabs>
        <w:spacing w:before="0" w:after="426" w:line="360"/>
        <w:ind w:right="0" w:left="-15"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1+986 X (0.05)</w:t>
      </w:r>
      <w:r>
        <w:rPr>
          <w:rFonts w:ascii="Times New Roman" w:hAnsi="Times New Roman" w:cs="Times New Roman" w:eastAsia="Times New Roman"/>
          <w:color w:val="000000"/>
          <w:spacing w:val="0"/>
          <w:position w:val="0"/>
          <w:sz w:val="28"/>
          <w:shd w:fill="auto" w:val="clear"/>
          <w:vertAlign w:val="superscript"/>
        </w:rPr>
        <w:t xml:space="preserve">2</w:t>
      </w:r>
      <w:r>
        <w:rPr>
          <w:rFonts w:ascii="Times New Roman" w:hAnsi="Times New Roman" w:cs="Times New Roman" w:eastAsia="Times New Roman"/>
          <w:color w:val="000000"/>
          <w:spacing w:val="0"/>
          <w:position w:val="0"/>
          <w:sz w:val="28"/>
          <w:shd w:fill="auto" w:val="clear"/>
        </w:rPr>
        <w:tab/>
      </w:r>
    </w:p>
    <w:p>
      <w:pPr>
        <w:spacing w:before="0" w:after="0"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986 </w:t>
      </w:r>
    </w:p>
    <w:p>
      <w:pPr>
        <w:spacing w:before="0" w:after="417" w:line="360"/>
        <w:ind w:right="0" w:left="0" w:firstLine="0"/>
        <w:jc w:val="left"/>
        <w:rPr>
          <w:rFonts w:ascii="Times New Roman" w:hAnsi="Times New Roman" w:cs="Times New Roman" w:eastAsia="Times New Roman"/>
          <w:color w:val="000000"/>
          <w:spacing w:val="0"/>
          <w:position w:val="0"/>
          <w:sz w:val="28"/>
          <w:shd w:fill="auto" w:val="clear"/>
        </w:rPr>
      </w:pPr>
    </w:p>
    <w:p>
      <w:pPr>
        <w:spacing w:before="0" w:after="403"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1+986 X 0.0025 </w:t>
      </w:r>
    </w:p>
    <w:p>
      <w:pPr>
        <w:spacing w:before="0" w:after="0"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986 </w:t>
      </w:r>
    </w:p>
    <w:p>
      <w:pPr>
        <w:spacing w:before="0" w:after="416" w:line="36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360"/>
        <w:ind w:right="5789"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3.465     n = 284.5 approximately 285 in total.  </w:t>
      </w:r>
    </w:p>
    <w:p>
      <w:pPr>
        <w:spacing w:before="0" w:after="405"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As a result, the sample size for this study is approximately 285.  </w:t>
      </w:r>
    </w:p>
    <w:p>
      <w:pPr>
        <w:keepNext w:val="true"/>
        <w:keepLines w:val="true"/>
        <w:tabs>
          <w:tab w:val="center" w:pos="1777"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3.5  </w:t>
        <w:tab/>
        <w:t xml:space="preserve">Sampling Technique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To select a subset of participants or observations from the target population for inclusion in a study, sampling techniques are applied (Bryman, 2016). Therefore, the sampling technique adopted was Multi-stage. It is a sophisticated sampling technique that selects a representative sample from a target population using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population of marketers was categorized into 5 strata based on their nature of business. The strata are presented as follows:</w:t>
      </w:r>
    </w:p>
    <w:p>
      <w:pPr>
        <w:keepNext w:val="true"/>
        <w:keepLines w:val="true"/>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3.1: Stratified Sampling Technique Table   </w:t>
      </w:r>
    </w:p>
    <w:tbl>
      <w:tblPr/>
      <w:tblGrid>
        <w:gridCol w:w="592"/>
        <w:gridCol w:w="2015"/>
        <w:gridCol w:w="1464"/>
        <w:gridCol w:w="1462"/>
        <w:gridCol w:w="1043"/>
        <w:gridCol w:w="1834"/>
        <w:gridCol w:w="1043"/>
      </w:tblGrid>
      <w:tr>
        <w:trPr>
          <w:trHeight w:val="900"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both"/>
              <w:rPr>
                <w:spacing w:val="0"/>
                <w:position w:val="0"/>
              </w:rPr>
            </w:pPr>
            <w:r>
              <w:rPr>
                <w:rFonts w:ascii="Times New Roman" w:hAnsi="Times New Roman" w:cs="Times New Roman" w:eastAsia="Times New Roman"/>
                <w:b/>
                <w:color w:val="000000"/>
                <w:spacing w:val="0"/>
                <w:position w:val="0"/>
                <w:sz w:val="28"/>
                <w:shd w:fill="auto" w:val="clear"/>
              </w:rPr>
              <w:t xml:space="preserve">S/N </w:t>
            </w: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393"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Nature of Business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Nature of </w:t>
            </w:r>
          </w:p>
          <w:p>
            <w:pPr>
              <w:spacing w:before="0" w:after="0" w:line="360"/>
              <w:ind w:right="0" w:left="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Business </w:t>
            </w:r>
          </w:p>
          <w:p>
            <w:pPr>
              <w:spacing w:before="0" w:after="0" w:line="360"/>
              <w:ind w:right="0"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Population </w:t>
            </w: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Population of </w:t>
            </w:r>
          </w:p>
          <w:p>
            <w:pPr>
              <w:spacing w:before="0" w:after="0" w:line="360"/>
              <w:ind w:right="0" w:left="0" w:firstLine="0"/>
              <w:jc w:val="both"/>
              <w:rPr>
                <w:spacing w:val="0"/>
                <w:position w:val="0"/>
              </w:rPr>
            </w:pPr>
            <w:r>
              <w:rPr>
                <w:rFonts w:ascii="Times New Roman" w:hAnsi="Times New Roman" w:cs="Times New Roman" w:eastAsia="Times New Roman"/>
                <w:b/>
                <w:color w:val="000000"/>
                <w:spacing w:val="0"/>
                <w:position w:val="0"/>
                <w:sz w:val="28"/>
                <w:shd w:fill="auto" w:val="clear"/>
              </w:rPr>
              <w:t xml:space="preserve">Marketers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Sample </w:t>
            </w:r>
          </w:p>
          <w:p>
            <w:pPr>
              <w:spacing w:before="0" w:after="0" w:line="360"/>
              <w:ind w:right="0"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Size </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Proportionate by Percentage (%)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Actual </w:t>
            </w:r>
          </w:p>
          <w:p>
            <w:pPr>
              <w:spacing w:before="0" w:after="0" w:line="360"/>
              <w:ind w:right="0" w:left="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Sample </w:t>
            </w:r>
          </w:p>
          <w:p>
            <w:pPr>
              <w:spacing w:before="0" w:after="0" w:line="360"/>
              <w:ind w:right="0"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Size </w:t>
            </w:r>
          </w:p>
        </w:tc>
      </w:tr>
      <w:tr>
        <w:trPr>
          <w:trHeight w:val="526"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 </w:t>
            </w: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Livestock sellers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center"/>
          </w:tcPr>
          <w:p>
            <w:pPr>
              <w:tabs>
                <w:tab w:val="center" w:pos="36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207 </w:t>
              <w:tab/>
            </w: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986</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285 </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21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60 </w:t>
            </w:r>
          </w:p>
        </w:tc>
      </w:tr>
      <w:tr>
        <w:trPr>
          <w:trHeight w:val="526"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 </w:t>
            </w: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Pepper Sellers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center"/>
          </w:tcPr>
          <w:p>
            <w:pPr>
              <w:tabs>
                <w:tab w:val="center" w:pos="36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301 </w:t>
              <w:tab/>
            </w: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986</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285</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31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87 </w:t>
            </w:r>
          </w:p>
        </w:tc>
      </w:tr>
      <w:tr>
        <w:trPr>
          <w:trHeight w:val="526"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 </w:t>
            </w: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Food stuff/ provision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center"/>
          </w:tcPr>
          <w:p>
            <w:pPr>
              <w:tabs>
                <w:tab w:val="center" w:pos="36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305 </w:t>
              <w:tab/>
            </w: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986</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285</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31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88 </w:t>
            </w:r>
          </w:p>
        </w:tc>
      </w:tr>
      <w:tr>
        <w:trPr>
          <w:trHeight w:val="526"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 </w:t>
            </w: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Abattoir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center"/>
          </w:tcPr>
          <w:p>
            <w:pPr>
              <w:tabs>
                <w:tab w:val="center" w:pos="24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85 </w:t>
              <w:tab/>
            </w: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986</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285</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25 </w:t>
            </w:r>
          </w:p>
        </w:tc>
      </w:tr>
      <w:tr>
        <w:trPr>
          <w:trHeight w:val="526"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 </w:t>
            </w: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Meat/fish seller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center"/>
          </w:tcPr>
          <w:p>
            <w:pPr>
              <w:tabs>
                <w:tab w:val="center" w:pos="24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88 </w:t>
              <w:tab/>
            </w: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986</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285</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25 </w:t>
            </w:r>
          </w:p>
        </w:tc>
      </w:tr>
      <w:tr>
        <w:trPr>
          <w:trHeight w:val="564" w:hRule="auto"/>
          <w:jc w:val="left"/>
        </w:trPr>
        <w:tc>
          <w:tcPr>
            <w:tcW w:w="59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rFonts w:ascii="Calibri" w:hAnsi="Calibri" w:cs="Calibri" w:eastAsia="Calibri"/>
                <w:color w:val="auto"/>
                <w:spacing w:val="0"/>
                <w:position w:val="0"/>
                <w:sz w:val="22"/>
                <w:shd w:fill="auto" w:val="clear"/>
              </w:rPr>
            </w:pPr>
          </w:p>
        </w:tc>
        <w:tc>
          <w:tcPr>
            <w:tcW w:w="2015"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146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986 </w:t>
            </w:r>
          </w:p>
          <w:p>
            <w:pPr>
              <w:spacing w:before="0" w:after="0" w:line="360"/>
              <w:ind w:right="0" w:left="2" w:firstLine="0"/>
              <w:jc w:val="left"/>
              <w:rPr>
                <w:spacing w:val="0"/>
                <w:position w:val="0"/>
              </w:rPr>
            </w:pPr>
          </w:p>
        </w:tc>
        <w:tc>
          <w:tcPr>
            <w:tcW w:w="1462"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 </w:t>
            </w:r>
          </w:p>
        </w:tc>
        <w:tc>
          <w:tcPr>
            <w:tcW w:w="1834"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101 </w:t>
            </w:r>
          </w:p>
        </w:tc>
        <w:tc>
          <w:tcPr>
            <w:tcW w:w="1043" w:type="dxa"/>
            <w:tcBorders>
              <w:top w:val="single" w:color="000000" w:sz="4"/>
              <w:left w:val="single" w:color="000000" w:sz="4"/>
              <w:bottom w:val="single" w:color="000000" w:sz="4"/>
              <w:right w:val="single" w:color="000000" w:sz="4"/>
            </w:tcBorders>
            <w:shd w:color="000000" w:fill="ffffff" w:val="clear"/>
            <w:tcMar>
              <w:left w:w="76" w:type="dxa"/>
              <w:right w:w="76" w:type="dxa"/>
            </w:tcMar>
            <w:vAlign w:val="top"/>
          </w:tcPr>
          <w:p>
            <w:pPr>
              <w:spacing w:before="0" w:after="0" w:line="360"/>
              <w:ind w:right="0" w:left="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285 </w:t>
            </w:r>
          </w:p>
        </w:tc>
      </w:tr>
    </w:tbl>
    <w:p>
      <w:pPr>
        <w:keepNext w:val="true"/>
        <w:keepLines w:val="true"/>
        <w:spacing w:before="0" w:after="0" w:line="360"/>
        <w:ind w:right="0" w:left="0" w:firstLine="0"/>
        <w:jc w:val="left"/>
        <w:rPr>
          <w:rFonts w:ascii="Times New Roman" w:hAnsi="Times New Roman" w:cs="Times New Roman" w:eastAsia="Times New Roman"/>
          <w:b/>
          <w:i/>
          <w:color w:val="000000"/>
          <w:spacing w:val="0"/>
          <w:position w:val="0"/>
          <w:sz w:val="28"/>
          <w:shd w:fill="auto" w:val="clear"/>
        </w:rPr>
      </w:pPr>
    </w:p>
    <w:p>
      <w:pPr>
        <w:keepNext w:val="true"/>
        <w:keepLines w:val="true"/>
        <w:spacing w:before="0" w:after="0" w:line="360"/>
        <w:ind w:right="0" w:left="0" w:firstLine="0"/>
        <w:jc w:val="left"/>
        <w:rPr>
          <w:rFonts w:ascii="Times New Roman" w:hAnsi="Times New Roman" w:cs="Times New Roman" w:eastAsia="Times New Roman"/>
          <w:b/>
          <w:i/>
          <w:color w:val="000000"/>
          <w:spacing w:val="0"/>
          <w:position w:val="0"/>
          <w:sz w:val="28"/>
          <w:shd w:fill="auto" w:val="clear"/>
        </w:rPr>
      </w:pPr>
    </w:p>
    <w:p>
      <w:pPr>
        <w:keepNext w:val="true"/>
        <w:keepLines w:val="true"/>
        <w:spacing w:before="0" w:after="0" w:line="360"/>
        <w:ind w:right="0" w:left="0" w:firstLine="0"/>
        <w:jc w:val="left"/>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AMM (2024)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Having determined the required number of participants from each stratum, the final stratified sample size for Livestock sellers - 60, Pepper Sellers - 87, Food stuff/ provision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88, Abattoir 25, and Meat/fish seller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From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pPr>
        <w:keepNext w:val="true"/>
        <w:keepLines w:val="true"/>
        <w:tabs>
          <w:tab w:val="center" w:pos="1802"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3.6  </w:t>
        <w:tab/>
        <w:t xml:space="preserve">Research Instrument</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Chandel, and Pal, 2021). </w:t>
      </w:r>
    </w:p>
    <w:p>
      <w:pPr>
        <w:keepNext w:val="true"/>
        <w:keepLines w:val="true"/>
        <w:tabs>
          <w:tab w:val="center" w:pos="2848"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3.7  </w:t>
        <w:tab/>
        <w:t xml:space="preserve">Validity and Reliability of the Instrument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Reliability of the Instrument</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given the questionnaire twice at a predetermined time interval, and the consistency of their answers will be assessed.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After that, pilot study will then be conducted on 40 market women at Ipata Market to assess their knowledge of the questionnaire items and identify any ambiguities.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internal consistency of the survey items will be assessed using the Cronbach's Alpha Coefficient.  </w:t>
      </w:r>
    </w:p>
    <w:p>
      <w:pPr>
        <w:keepNext w:val="true"/>
        <w:keepLines w:val="true"/>
        <w:tabs>
          <w:tab w:val="center" w:pos="1990"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3.8 </w:t>
        <w:tab/>
        <w:t xml:space="preserve">Method of Data Analysis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267" w:line="480"/>
        <w:ind w:right="0" w:left="2891" w:hanging="10"/>
        <w:jc w:val="left"/>
        <w:rPr>
          <w:rFonts w:ascii="Times New Roman" w:hAnsi="Times New Roman" w:cs="Times New Roman" w:eastAsia="Times New Roman"/>
          <w:b/>
          <w:color w:val="000000"/>
          <w:spacing w:val="0"/>
          <w:position w:val="0"/>
          <w:sz w:val="28"/>
          <w:shd w:fill="auto" w:val="clear"/>
        </w:rPr>
      </w:pPr>
    </w:p>
    <w:p>
      <w:pPr>
        <w:spacing w:before="0" w:after="267" w:line="480"/>
        <w:ind w:right="0" w:left="2891"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FOUR </w:t>
      </w:r>
    </w:p>
    <w:p>
      <w:pPr>
        <w:spacing w:before="0" w:after="267" w:line="480"/>
        <w:ind w:right="0" w:left="2170"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DATA PRESENTATION AND ANALYSIS </w:t>
      </w:r>
    </w:p>
    <w:p>
      <w:pPr>
        <w:keepNext w:val="true"/>
        <w:keepLines w:val="true"/>
        <w:spacing w:before="0" w:after="267"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INTRODUCTION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pPr>
        <w:keepNext w:val="true"/>
        <w:keepLines w:val="true"/>
        <w:spacing w:before="0" w:after="268"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PRESENTATION OF DATA </w:t>
      </w:r>
    </w:p>
    <w:p>
      <w:pPr>
        <w:keepNext w:val="true"/>
        <w:keepLines w:val="true"/>
        <w:spacing w:before="0" w:after="267"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4.2 </w:t>
        <w:tab/>
        <w:t xml:space="preserve">Data Analysis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 total of 285 questionnaire copies were self-administered to the respondents at Mandate market. 200 copies were dully filled and adopted for the study while 85 were not returned and dully filled for the study.  </w:t>
      </w:r>
    </w:p>
    <w:p>
      <w:pPr>
        <w:keepNext w:val="true"/>
        <w:keepLines w:val="true"/>
        <w:spacing w:before="0" w:after="267"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4.1: Distribution of respondents by demographic data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table 4.1 below shows that, 40% of the respondents were male and 60% of the respondent was female. The distribution of the respondents by age indicated that 2% are below 20years, 21% are 20-29years, 30-49years are 28% while 51% are age 50years above.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pPr>
        <w:keepNext w:val="true"/>
        <w:keepLines w:val="true"/>
        <w:spacing w:before="0" w:after="0" w:line="276"/>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4.1 Demographic characteristics of the respondents</w:t>
      </w:r>
    </w:p>
    <w:tbl>
      <w:tblPr/>
      <w:tblGrid>
        <w:gridCol w:w="3627"/>
        <w:gridCol w:w="2729"/>
        <w:gridCol w:w="3010"/>
      </w:tblGrid>
      <w:tr>
        <w:trPr>
          <w:trHeight w:val="411" w:hRule="auto"/>
          <w:jc w:val="left"/>
        </w:trPr>
        <w:tc>
          <w:tcPr>
            <w:tcW w:w="3627"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Demographic Variable  </w:t>
            </w:r>
          </w:p>
        </w:tc>
        <w:tc>
          <w:tcPr>
            <w:tcW w:w="2729"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767" w:hRule="auto"/>
          <w:jc w:val="left"/>
        </w:trPr>
        <w:tc>
          <w:tcPr>
            <w:tcW w:w="3627"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Gender  </w:t>
            </w:r>
          </w:p>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Male  </w:t>
            </w:r>
          </w:p>
        </w:tc>
        <w:tc>
          <w:tcPr>
            <w:tcW w:w="2729"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80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40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Female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120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60 </w:t>
            </w:r>
          </w:p>
        </w:tc>
      </w:tr>
      <w:tr>
        <w:trPr>
          <w:trHeight w:val="828"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Age  </w:t>
            </w:r>
          </w:p>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Below 20years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20-29years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41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21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30-49years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55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50years above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102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51 </w:t>
            </w:r>
          </w:p>
        </w:tc>
      </w:tr>
      <w:tr>
        <w:trPr>
          <w:trHeight w:val="828"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Occupation  </w:t>
            </w:r>
          </w:p>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Trader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107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54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Cleaner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Market Management/Official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43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22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Others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20 </w:t>
            </w:r>
          </w:p>
        </w:tc>
      </w:tr>
      <w:tr>
        <w:trPr>
          <w:trHeight w:val="828"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Level of Education  </w:t>
            </w:r>
          </w:p>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No formal education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Primary education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 </w:t>
            </w:r>
          </w:p>
        </w:tc>
      </w:tr>
      <w:tr>
        <w:trPr>
          <w:trHeight w:val="414" w:hRule="auto"/>
          <w:jc w:val="left"/>
        </w:trPr>
        <w:tc>
          <w:tcPr>
            <w:tcW w:w="3627"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Secondary education  </w:t>
            </w:r>
          </w:p>
        </w:tc>
        <w:tc>
          <w:tcPr>
            <w:tcW w:w="2729"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81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41 </w:t>
            </w:r>
          </w:p>
        </w:tc>
      </w:tr>
      <w:tr>
        <w:trPr>
          <w:trHeight w:val="484" w:hRule="auto"/>
          <w:jc w:val="left"/>
        </w:trPr>
        <w:tc>
          <w:tcPr>
            <w:tcW w:w="3627"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276"/>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Tertiary education  </w:t>
            </w:r>
          </w:p>
        </w:tc>
        <w:tc>
          <w:tcPr>
            <w:tcW w:w="2729"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115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58 </w:t>
            </w:r>
          </w:p>
        </w:tc>
      </w:tr>
    </w:tbl>
    <w:p>
      <w:pPr>
        <w:keepNext w:val="true"/>
        <w:keepLines w:val="true"/>
        <w:spacing w:before="0" w:after="0" w:line="276"/>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276"/>
        <w:ind w:right="3" w:left="0" w:firstLine="0"/>
        <w:jc w:val="both"/>
        <w:rPr>
          <w:rFonts w:ascii="Times New Roman" w:hAnsi="Times New Roman" w:cs="Times New Roman" w:eastAsia="Times New Roman"/>
          <w:color w:val="000000"/>
          <w:spacing w:val="0"/>
          <w:position w:val="0"/>
          <w:sz w:val="28"/>
          <w:shd w:fill="auto" w:val="clear"/>
        </w:rPr>
      </w:pPr>
    </w:p>
    <w:p>
      <w:pPr>
        <w:spacing w:before="0" w:after="0" w:line="276"/>
        <w:ind w:right="3" w:left="0" w:firstLine="0"/>
        <w:jc w:val="both"/>
        <w:rPr>
          <w:rFonts w:ascii="Times New Roman" w:hAnsi="Times New Roman" w:cs="Times New Roman" w:eastAsia="Times New Roman"/>
          <w:color w:val="000000"/>
          <w:spacing w:val="0"/>
          <w:position w:val="0"/>
          <w:sz w:val="28"/>
          <w:shd w:fill="auto" w:val="clear"/>
        </w:rPr>
      </w:pPr>
    </w:p>
    <w:p>
      <w:pPr>
        <w:spacing w:before="0" w:after="0" w:line="480"/>
        <w:ind w:right="3"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terms of age, the respondents are predominantly older, with more than half (51%) aged 50 years and above. Those in the 30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49 age range comprise 28%, while the younger groups, particularly those under 20 years and those aged 20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29 years, account for 2% and 21% of the respondents, respectively. This suggests that the survey was conducted among a more mature population. </w:t>
      </w:r>
    </w:p>
    <w:p>
      <w:pPr>
        <w:spacing w:before="0" w:after="28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pPr>
        <w:spacing w:before="0" w:after="28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pPr>
        <w:spacing w:before="0" w:after="279"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Overall, the demographic profile shows a predominance of educated, older women, many of whom are traders, suggesting a specific socioeconomic and cultural backdrop to the survey.  </w:t>
      </w:r>
    </w:p>
    <w:p>
      <w:pPr>
        <w:spacing w:before="0" w:after="278"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B: WASTE GENERATION AND HANDLING  </w:t>
      </w:r>
    </w:p>
    <w:p>
      <w:pPr>
        <w:keepNext w:val="true"/>
        <w:keepLines w:val="true"/>
        <w:spacing w:before="0" w:after="0" w:line="36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4.2: Distribution of respondents view on the type of waste they generate at mandate market  </w:t>
      </w:r>
    </w:p>
    <w:tbl>
      <w:tblPr/>
      <w:tblGrid>
        <w:gridCol w:w="2935"/>
        <w:gridCol w:w="2816"/>
        <w:gridCol w:w="2708"/>
      </w:tblGrid>
      <w:tr>
        <w:trPr>
          <w:trHeight w:val="422" w:hRule="auto"/>
          <w:jc w:val="left"/>
        </w:trPr>
        <w:tc>
          <w:tcPr>
            <w:tcW w:w="2935"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2816"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270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2909" w:hRule="auto"/>
          <w:jc w:val="left"/>
        </w:trPr>
        <w:tc>
          <w:tcPr>
            <w:tcW w:w="2935"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Organic waste  </w:t>
            </w:r>
          </w:p>
          <w:p>
            <w:pPr>
              <w:spacing w:before="0" w:after="0" w:line="36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Plastic waste  </w:t>
            </w:r>
          </w:p>
          <w:p>
            <w:pPr>
              <w:spacing w:before="0" w:after="0" w:line="36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Paper waste  </w:t>
            </w:r>
          </w:p>
          <w:p>
            <w:pPr>
              <w:spacing w:before="0" w:after="0" w:line="36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Glass waste  </w:t>
            </w:r>
          </w:p>
          <w:p>
            <w:pPr>
              <w:spacing w:before="0" w:after="0" w:line="36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Metal waste  </w:t>
            </w:r>
          </w:p>
          <w:p>
            <w:pPr>
              <w:spacing w:before="0" w:after="0" w:line="36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Hazardous waste  </w:t>
            </w:r>
          </w:p>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Others  </w:t>
            </w:r>
          </w:p>
        </w:tc>
        <w:tc>
          <w:tcPr>
            <w:tcW w:w="2816"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170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 </w:t>
            </w:r>
          </w:p>
        </w:tc>
        <w:tc>
          <w:tcPr>
            <w:tcW w:w="270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85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 </w:t>
            </w:r>
          </w:p>
        </w:tc>
      </w:tr>
      <w:tr>
        <w:trPr>
          <w:trHeight w:val="425" w:hRule="auto"/>
          <w:jc w:val="left"/>
        </w:trPr>
        <w:tc>
          <w:tcPr>
            <w:tcW w:w="2935"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2816"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270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0" w:line="36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4.3: Distribution of respondents view on how they dispose waste.  </w:t>
      </w:r>
    </w:p>
    <w:tbl>
      <w:tblPr/>
      <w:tblGrid>
        <w:gridCol w:w="3181"/>
        <w:gridCol w:w="3060"/>
        <w:gridCol w:w="2952"/>
      </w:tblGrid>
      <w:tr>
        <w:trPr>
          <w:trHeight w:val="422" w:hRule="auto"/>
          <w:jc w:val="left"/>
        </w:trPr>
        <w:tc>
          <w:tcPr>
            <w:tcW w:w="3181"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06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2952"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2081" w:hRule="auto"/>
          <w:jc w:val="left"/>
        </w:trPr>
        <w:tc>
          <w:tcPr>
            <w:tcW w:w="3181"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112" w:line="48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Dumping in open space </w:t>
            </w:r>
          </w:p>
          <w:p>
            <w:pPr>
              <w:spacing w:before="0" w:after="115" w:line="48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Using waste bins </w:t>
            </w:r>
          </w:p>
          <w:p>
            <w:pPr>
              <w:spacing w:before="0" w:after="112" w:line="48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Burning  </w:t>
            </w:r>
          </w:p>
          <w:p>
            <w:pPr>
              <w:spacing w:before="0" w:after="115" w:line="480"/>
              <w:ind w:right="0" w:left="12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Composing  </w:t>
            </w:r>
          </w:p>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Others   </w:t>
            </w:r>
          </w:p>
        </w:tc>
        <w:tc>
          <w:tcPr>
            <w:tcW w:w="306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112"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184 </w:t>
            </w:r>
          </w:p>
          <w:p>
            <w:pPr>
              <w:spacing w:before="0" w:after="115"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 </w:t>
            </w:r>
          </w:p>
          <w:p>
            <w:pPr>
              <w:spacing w:before="0" w:after="112"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p>
          <w:p>
            <w:pPr>
              <w:spacing w:before="0" w:after="115"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2952"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112"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92 </w:t>
            </w:r>
          </w:p>
          <w:p>
            <w:pPr>
              <w:spacing w:before="0" w:after="115"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p>
          <w:p>
            <w:pPr>
              <w:spacing w:before="0" w:after="112"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p>
          <w:p>
            <w:pPr>
              <w:spacing w:before="0" w:after="115"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0 </w:t>
            </w:r>
          </w:p>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25" w:hRule="auto"/>
          <w:jc w:val="left"/>
        </w:trPr>
        <w:tc>
          <w:tcPr>
            <w:tcW w:w="3181"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06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2952"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48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4.4: Distribution of respondents view on how often they dispose their waste.   </w:t>
      </w:r>
    </w:p>
    <w:tbl>
      <w:tblPr/>
      <w:tblGrid>
        <w:gridCol w:w="3238"/>
        <w:gridCol w:w="3118"/>
        <w:gridCol w:w="3010"/>
      </w:tblGrid>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5"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Daily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101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50.5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Weekly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92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46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Monthly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Others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7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3.5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480"/>
        <w:ind w:right="0" w:left="-5" w:hanging="10"/>
        <w:jc w:val="left"/>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keepNext w:val="true"/>
        <w:keepLines w:val="true"/>
        <w:spacing w:before="0" w:after="0" w:line="360"/>
        <w:ind w:right="0" w:left="-5"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Table 4.4 shows that, 50.5% of the respondents said they disposed their wastes daily while 3.5% said others. This shows that majority of the sampled respondents disposed their waste on daily basis. </w:t>
      </w:r>
      <w:r>
        <w:rPr>
          <w:rFonts w:ascii="Times New Roman" w:hAnsi="Times New Roman" w:cs="Times New Roman" w:eastAsia="Times New Roman"/>
          <w:b/>
          <w:color w:val="000000"/>
          <w:spacing w:val="0"/>
          <w:position w:val="0"/>
          <w:sz w:val="28"/>
          <w:shd w:fill="auto" w:val="clear"/>
        </w:rPr>
        <w:t xml:space="preserve">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C: WASTE MANAGEMENT PRACTICES  </w:t>
      </w:r>
    </w:p>
    <w:p>
      <w:pPr>
        <w:spacing w:before="0" w:after="0" w:line="480"/>
        <w:ind w:right="0" w:left="14"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4.5: Distribution of respondents view on whether there is a designated waste collection point in the market.   </w:t>
      </w:r>
    </w:p>
    <w:tbl>
      <w:tblPr/>
      <w:tblGrid>
        <w:gridCol w:w="3238"/>
        <w:gridCol w:w="3118"/>
        <w:gridCol w:w="3010"/>
      </w:tblGrid>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6"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Yes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200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100 </w:t>
            </w:r>
          </w:p>
        </w:tc>
      </w:tr>
      <w:tr>
        <w:trPr>
          <w:trHeight w:val="484"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No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data presented in table 4.5 shows that all the sampled respondents said yes that there is a designated waste collection point in the market.   </w:t>
      </w:r>
    </w:p>
    <w:p>
      <w:pPr>
        <w:spacing w:before="0" w:after="0" w:line="360"/>
        <w:ind w:right="0" w:left="14"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4.6: Distribution of respondents view on who is responsible for waste collection.   </w:t>
      </w:r>
    </w:p>
    <w:tbl>
      <w:tblPr/>
      <w:tblGrid>
        <w:gridCol w:w="3238"/>
        <w:gridCol w:w="3118"/>
        <w:gridCol w:w="3010"/>
      </w:tblGrid>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5"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Individual trader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81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40.5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Market management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70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35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tabs>
                <w:tab w:val="center" w:pos="302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Government agency  </w:t>
              <w:tab/>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49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24.5 </w:t>
            </w:r>
          </w:p>
        </w:tc>
      </w:tr>
      <w:tr>
        <w:trPr>
          <w:trHeight w:val="828"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Private waste management company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Others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36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in table 4.6 shows that 40% of the respondents said individual are responsible for waste collection while 24.5% said government agency. This shows that individual is responsible for waste collection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480"/>
        <w:ind w:right="0" w:left="14"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4.7: Distribution of respondents view on whether waste bins are provided in the market.   </w:t>
      </w:r>
    </w:p>
    <w:tbl>
      <w:tblPr/>
      <w:tblGrid>
        <w:gridCol w:w="3238"/>
        <w:gridCol w:w="3118"/>
        <w:gridCol w:w="3010"/>
      </w:tblGrid>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5"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Yes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200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100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No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0" w:line="48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shows that, all the sampled respondent stated that waste bins are provided in the market.   </w:t>
      </w:r>
    </w:p>
    <w:p>
      <w:pPr>
        <w:keepNext w:val="true"/>
        <w:keepLines w:val="true"/>
        <w:spacing w:before="0" w:after="0" w:line="36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4.8: Distribution of respondents view on how adequate are the waste bins  </w:t>
      </w:r>
    </w:p>
    <w:tbl>
      <w:tblPr/>
      <w:tblGrid>
        <w:gridCol w:w="3238"/>
        <w:gridCol w:w="3118"/>
        <w:gridCol w:w="3010"/>
      </w:tblGrid>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3"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Very adequate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Adequate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14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tabs>
                <w:tab w:val="center" w:pos="302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Inadequate  </w:t>
              <w:tab/>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170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85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shows that 1% of the respondents said waste bin in the market are very adequate while 85% said inadequate. This shows that waste bins in the market are inadequate. </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4.9: Distribution of respondents view on how waste are transported from the market to disposal sites. </w:t>
      </w:r>
    </w:p>
    <w:tbl>
      <w:tblPr/>
      <w:tblGrid>
        <w:gridCol w:w="3238"/>
        <w:gridCol w:w="3118"/>
        <w:gridCol w:w="3010"/>
      </w:tblGrid>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6"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Wheelbarrows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34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17 </w:t>
            </w:r>
          </w:p>
        </w:tc>
      </w:tr>
      <w:tr>
        <w:trPr>
          <w:trHeight w:val="413"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Trucks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166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83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tabs>
                <w:tab w:val="center" w:pos="3022" w:leader="none"/>
              </w:tabs>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Carts  </w:t>
              <w:tab/>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Others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16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SECTION D: CHALLENGES IN WASTE MANAGEMENT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4.10: Distribution of respondents view on how on the challenges they face while disposing waste  </w:t>
      </w:r>
    </w:p>
    <w:tbl>
      <w:tblPr/>
      <w:tblGrid>
        <w:gridCol w:w="3238"/>
        <w:gridCol w:w="3118"/>
        <w:gridCol w:w="3010"/>
      </w:tblGrid>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Percentage (%) </w:t>
            </w:r>
          </w:p>
        </w:tc>
      </w:tr>
      <w:tr>
        <w:trPr>
          <w:trHeight w:val="354"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Lack of waste bins  </w:t>
            </w:r>
          </w:p>
        </w:tc>
        <w:tc>
          <w:tcPr>
            <w:tcW w:w="3118" w:type="dxa"/>
            <w:tcBorders>
              <w:top w:val="single" w:color="000000" w:sz="4"/>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54 </w:t>
            </w:r>
          </w:p>
        </w:tc>
        <w:tc>
          <w:tcPr>
            <w:tcW w:w="3010" w:type="dxa"/>
            <w:tcBorders>
              <w:top w:val="single" w:color="000000" w:sz="4"/>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27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Poor waste collection service </w:t>
            </w:r>
          </w:p>
        </w:tc>
        <w:tc>
          <w:tcPr>
            <w:tcW w:w="3118"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38 </w:t>
            </w:r>
          </w:p>
        </w:tc>
        <w:tc>
          <w:tcPr>
            <w:tcW w:w="3010"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19 </w:t>
            </w:r>
          </w:p>
        </w:tc>
      </w:tr>
      <w:tr>
        <w:trPr>
          <w:trHeight w:val="828"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122"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Inadequate awareness on waste management   </w:t>
            </w:r>
          </w:p>
        </w:tc>
        <w:tc>
          <w:tcPr>
            <w:tcW w:w="3118"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24 </w:t>
            </w:r>
          </w:p>
        </w:tc>
        <w:tc>
          <w:tcPr>
            <w:tcW w:w="3010"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12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High cost of waste disposal  </w:t>
            </w:r>
          </w:p>
        </w:tc>
        <w:tc>
          <w:tcPr>
            <w:tcW w:w="3118"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0 </w:t>
            </w:r>
          </w:p>
        </w:tc>
        <w:tc>
          <w:tcPr>
            <w:tcW w:w="3010" w:type="dxa"/>
            <w:tcBorders>
              <w:top w:val="single" w:color="000000" w:sz="0"/>
              <w:left w:val="single" w:color="000000" w:sz="0"/>
              <w:bottom w:val="single" w:color="000000" w:sz="0"/>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0 </w:t>
            </w:r>
          </w:p>
        </w:tc>
      </w:tr>
      <w:tr>
        <w:trPr>
          <w:trHeight w:val="897"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122"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Others (lack of waster to flush meat blood and other waste) </w:t>
            </w:r>
          </w:p>
        </w:tc>
        <w:tc>
          <w:tcPr>
            <w:tcW w:w="3118" w:type="dxa"/>
            <w:tcBorders>
              <w:top w:val="single" w:color="000000" w:sz="0"/>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84 </w:t>
            </w:r>
          </w:p>
        </w:tc>
        <w:tc>
          <w:tcPr>
            <w:tcW w:w="3010" w:type="dxa"/>
            <w:tcBorders>
              <w:top w:val="single" w:color="000000" w:sz="0"/>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42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78" w:type="dxa"/>
              <w:right w:w="78"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100 </w:t>
            </w:r>
          </w:p>
        </w:tc>
      </w:tr>
    </w:tbl>
    <w:p>
      <w:pPr>
        <w:keepNext w:val="true"/>
        <w:keepLines w:val="true"/>
        <w:spacing w:before="0" w:after="271" w:line="480"/>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Source: Field Survey, 2025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keepNext w:val="true"/>
        <w:keepLines w:val="true"/>
        <w:spacing w:before="0" w:after="0" w:line="36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4.11: Distribution of respondents view on whether there are penalties for improper waste disposal in the market  </w:t>
      </w:r>
    </w:p>
    <w:tbl>
      <w:tblPr/>
      <w:tblGrid>
        <w:gridCol w:w="3238"/>
        <w:gridCol w:w="3118"/>
        <w:gridCol w:w="3010"/>
      </w:tblGrid>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5"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Yes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143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71.5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No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57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28.5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36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36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shows that 71.5% of the respondents said yes while 28.5% said no that there are penalties for improper waste disposal in the market. This shows that there are penalties for improper waste disposal in the market.</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4.12: Distribution of respondents view on how effective are the penalties for improper waste disposal in the market  </w:t>
      </w:r>
    </w:p>
    <w:tbl>
      <w:tblPr/>
      <w:tblGrid>
        <w:gridCol w:w="3238"/>
        <w:gridCol w:w="3118"/>
        <w:gridCol w:w="3010"/>
      </w:tblGrid>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6"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Very effective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0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Moderately effective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136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68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Ineffective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64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32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48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0"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in table 4.12 revealed that 68% of the respondents said moderately effective while 32% said ineffective. This shows that, majority of the sampled respondents said the penalties for improper waste disposal in the market are moderately effective. </w:t>
      </w:r>
    </w:p>
    <w:p>
      <w:pPr>
        <w:keepNext w:val="true"/>
        <w:keepLines w:val="true"/>
        <w:spacing w:before="0" w:after="270" w:line="480"/>
        <w:ind w:right="0" w:left="14"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SECTION E: SUGGESTION FOR IMPROVEMENT  </w:t>
      </w:r>
    </w:p>
    <w:p>
      <w:pPr>
        <w:spacing w:before="0" w:after="0" w:line="480"/>
        <w:ind w:right="0" w:left="14"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4.13: Distribution of respondents view on measures that can improve waste management in the market.  </w:t>
      </w:r>
    </w:p>
    <w:tbl>
      <w:tblPr/>
      <w:tblGrid>
        <w:gridCol w:w="3718"/>
        <w:gridCol w:w="2638"/>
        <w:gridCol w:w="3010"/>
      </w:tblGrid>
      <w:tr>
        <w:trPr>
          <w:trHeight w:val="425" w:hRule="auto"/>
          <w:jc w:val="left"/>
        </w:trPr>
        <w:tc>
          <w:tcPr>
            <w:tcW w:w="37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Responses </w:t>
            </w:r>
          </w:p>
        </w:tc>
        <w:tc>
          <w:tcPr>
            <w:tcW w:w="26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Percentage (%) </w:t>
            </w:r>
          </w:p>
        </w:tc>
      </w:tr>
      <w:tr>
        <w:trPr>
          <w:trHeight w:val="769" w:hRule="auto"/>
          <w:jc w:val="left"/>
        </w:trPr>
        <w:tc>
          <w:tcPr>
            <w:tcW w:w="37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115" w:line="480"/>
              <w:ind w:right="0" w:left="12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Provision of Government </w:t>
            </w:r>
          </w:p>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Trucks </w:t>
            </w:r>
          </w:p>
        </w:tc>
        <w:tc>
          <w:tcPr>
            <w:tcW w:w="26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126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63 </w:t>
            </w:r>
          </w:p>
        </w:tc>
      </w:tr>
      <w:tr>
        <w:trPr>
          <w:trHeight w:val="482" w:hRule="auto"/>
          <w:jc w:val="left"/>
        </w:trPr>
        <w:tc>
          <w:tcPr>
            <w:tcW w:w="37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Provision of insulator  </w:t>
            </w:r>
          </w:p>
        </w:tc>
        <w:tc>
          <w:tcPr>
            <w:tcW w:w="26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74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37 </w:t>
            </w:r>
          </w:p>
        </w:tc>
      </w:tr>
      <w:tr>
        <w:trPr>
          <w:trHeight w:val="425" w:hRule="auto"/>
          <w:jc w:val="left"/>
        </w:trPr>
        <w:tc>
          <w:tcPr>
            <w:tcW w:w="37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Total  </w:t>
            </w:r>
          </w:p>
        </w:tc>
        <w:tc>
          <w:tcPr>
            <w:tcW w:w="26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100 </w:t>
            </w:r>
          </w:p>
        </w:tc>
      </w:tr>
    </w:tbl>
    <w:p>
      <w:pPr>
        <w:keepNext w:val="true"/>
        <w:keepLines w:val="true"/>
        <w:spacing w:before="0" w:after="271" w:line="48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Source: Field Survey, 2025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shows that, 63% of the respondents said provision of Government Trucks while 37% said insulator. This shows that Government Trucks is an effective measure that can improve waste management in the market.  </w:t>
      </w:r>
    </w:p>
    <w:p>
      <w:pPr>
        <w:spacing w:before="0" w:after="0" w:line="480"/>
        <w:ind w:right="0" w:left="14"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4.14: Distribution of respondents view on whether they will be willing to participate in waste management initiative if introduced.  </w:t>
      </w:r>
    </w:p>
    <w:tbl>
      <w:tblPr/>
      <w:tblGrid>
        <w:gridCol w:w="3238"/>
        <w:gridCol w:w="3118"/>
        <w:gridCol w:w="3010"/>
      </w:tblGrid>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6"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Yes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182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91 </w:t>
            </w:r>
          </w:p>
        </w:tc>
      </w:tr>
      <w:tr>
        <w:trPr>
          <w:trHeight w:val="485"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No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18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9 </w:t>
            </w:r>
          </w:p>
        </w:tc>
      </w:tr>
      <w:tr>
        <w:trPr>
          <w:trHeight w:val="422"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48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in table 4.14 above shows that, 91% of the respondents said yes while 9% said no. This shows that, majority of the respondents are willing to participate in waste management initiative if introduced in the market.  </w:t>
      </w: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Table 4.15: Distribution of respondents view on the additional information that can help waste management in mandate market.  </w:t>
      </w:r>
    </w:p>
    <w:tbl>
      <w:tblPr/>
      <w:tblGrid>
        <w:gridCol w:w="3238"/>
        <w:gridCol w:w="3118"/>
        <w:gridCol w:w="3010"/>
      </w:tblGrid>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Responses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Frequency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Percentage (%) </w:t>
            </w:r>
          </w:p>
        </w:tc>
      </w:tr>
      <w:tr>
        <w:trPr>
          <w:trHeight w:val="353" w:hRule="auto"/>
          <w:jc w:val="left"/>
        </w:trPr>
        <w:tc>
          <w:tcPr>
            <w:tcW w:w="323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Waste bins  </w:t>
            </w:r>
          </w:p>
        </w:tc>
        <w:tc>
          <w:tcPr>
            <w:tcW w:w="3118"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88 </w:t>
            </w:r>
          </w:p>
        </w:tc>
        <w:tc>
          <w:tcPr>
            <w:tcW w:w="3010"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44 </w:t>
            </w:r>
          </w:p>
        </w:tc>
      </w:tr>
      <w:tr>
        <w:trPr>
          <w:trHeight w:val="414" w:hRule="auto"/>
          <w:jc w:val="left"/>
        </w:trPr>
        <w:tc>
          <w:tcPr>
            <w:tcW w:w="323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Market environmental officer  </w:t>
            </w:r>
          </w:p>
        </w:tc>
        <w:tc>
          <w:tcPr>
            <w:tcW w:w="3118"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89 </w:t>
            </w:r>
          </w:p>
        </w:tc>
        <w:tc>
          <w:tcPr>
            <w:tcW w:w="3010" w:type="dxa"/>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44.5 </w:t>
            </w:r>
          </w:p>
        </w:tc>
      </w:tr>
      <w:tr>
        <w:trPr>
          <w:trHeight w:val="483" w:hRule="auto"/>
          <w:jc w:val="left"/>
        </w:trPr>
        <w:tc>
          <w:tcPr>
            <w:tcW w:w="323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Sensitization/ advocacy  </w:t>
            </w:r>
          </w:p>
        </w:tc>
        <w:tc>
          <w:tcPr>
            <w:tcW w:w="3118"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23 </w:t>
            </w:r>
          </w:p>
        </w:tc>
        <w:tc>
          <w:tcPr>
            <w:tcW w:w="3010" w:type="dxa"/>
            <w:tcBorders>
              <w:top w:val="single" w:color="000000" w:sz="0"/>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color w:val="000000"/>
                <w:spacing w:val="0"/>
                <w:position w:val="0"/>
                <w:sz w:val="28"/>
                <w:shd w:fill="auto" w:val="clear"/>
              </w:rPr>
              <w:t xml:space="preserve">11.5 </w:t>
            </w:r>
          </w:p>
        </w:tc>
      </w:tr>
      <w:tr>
        <w:trPr>
          <w:trHeight w:val="425" w:hRule="auto"/>
          <w:jc w:val="left"/>
        </w:trPr>
        <w:tc>
          <w:tcPr>
            <w:tcW w:w="323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122"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Total  </w:t>
            </w:r>
          </w:p>
        </w:tc>
        <w:tc>
          <w:tcPr>
            <w:tcW w:w="3118"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200 </w:t>
            </w:r>
          </w:p>
        </w:tc>
        <w:tc>
          <w:tcPr>
            <w:tcW w:w="3010" w:type="dxa"/>
            <w:tcBorders>
              <w:top w:val="single" w:color="000000" w:sz="4"/>
              <w:left w:val="single" w:color="000000" w:sz="0"/>
              <w:bottom w:val="single" w:color="000000" w:sz="4"/>
              <w:right w:val="single" w:color="000000" w:sz="0"/>
            </w:tcBorders>
            <w:shd w:color="000000" w:fill="ffffff" w:val="clear"/>
            <w:tcMar>
              <w:left w:w="56" w:type="dxa"/>
              <w:right w:w="56"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8"/>
                <w:shd w:fill="auto" w:val="clear"/>
              </w:rPr>
              <w:t xml:space="preserve">100 </w:t>
            </w:r>
          </w:p>
        </w:tc>
      </w:tr>
    </w:tbl>
    <w:p>
      <w:pPr>
        <w:keepNext w:val="true"/>
        <w:keepLines w:val="true"/>
        <w:spacing w:before="0" w:after="271" w:line="480"/>
        <w:ind w:right="0" w:left="-5"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Source: Field Survey, 2025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WASTE GENERATION AND HANDLING </w:t>
      </w:r>
    </w:p>
    <w:p>
      <w:pPr>
        <w:keepNext w:val="true"/>
        <w:keepLines w:val="true"/>
        <w:spacing w:before="0" w:after="0" w:line="480"/>
        <w:ind w:right="0" w:left="14" w:hanging="1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Added that, majority of the respondents are dumping in wastes in open space. The study further revealed that 50.5% of the respondents disclosed that they disposed their waste on daily basis.  </w:t>
      </w:r>
    </w:p>
    <w:p>
      <w:pPr>
        <w:keepNext w:val="true"/>
        <w:keepLines w:val="true"/>
        <w:spacing w:before="0" w:after="0" w:line="480"/>
        <w:ind w:right="0" w:left="14" w:hanging="1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WASTE MANAGEMENT PRACTICES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finding on waste management practices states that there is a designated waste collection point in the market and individual are responsible for waste collection.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study further revealed that waste bins are provided in the market but the waste bins are inadequate and trucks are mostly used to transport waste from the market to disposal sites.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CHALLENGES IN WASTE MANAGEMENT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SUGGESTION FOR IMPROVEMENT  </w:t>
      </w:r>
    </w:p>
    <w:p>
      <w:pPr>
        <w:spacing w:before="0" w:after="160" w:line="480"/>
        <w:ind w:right="0" w:left="-15"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at this stage shows that, 63% suggested Government Trucks as effective measures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60" w:line="48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FIVE</w:t>
      </w:r>
    </w:p>
    <w:p>
      <w:pPr>
        <w:spacing w:before="0" w:after="160" w:line="48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Summary, Conclusion and Recommendation</w:t>
      </w:r>
    </w:p>
    <w:p>
      <w:pPr>
        <w:keepNext w:val="true"/>
        <w:keepLines w:val="true"/>
        <w:tabs>
          <w:tab w:val="center" w:pos="1225" w:leader="none"/>
        </w:tabs>
        <w:spacing w:before="0" w:after="113"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5.1 </w:t>
        <w:tab/>
        <w:t xml:space="preserve">Summary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essence of this study is to examine the impact of sustainable management and characterization of solid waste at mandate market Ilorin.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Some of the analysis conducted in the study are correlated with the extant literatures that are related to the study while others contradicted the extant literatures and they were presented comprehensively the fourth session of the study.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inadequate in number, suggesting that improving waste bin availability could enhance proper disposal methods.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Transportation of waste from the market to disposal sites is predominantly conducted by trucks. This reliance on trucks for waste transport raises questions </w:t>
      </w:r>
    </w:p>
    <w:p>
      <w:pPr>
        <w:spacing w:before="0" w:after="16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about efficiency and effectiveness in waste management within the market. Streamlining waste collection and transport processes could improve overall waste management outcomes, ensuring timely and proper disposal.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pPr>
        <w:spacing w:before="0" w:after="16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pPr>
        <w:keepNext w:val="true"/>
        <w:keepLines w:val="true"/>
        <w:tabs>
          <w:tab w:val="center" w:pos="1294" w:leader="none"/>
        </w:tabs>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5.2 </w:t>
        <w:tab/>
        <w:t xml:space="preserve">Conclusion</w:t>
      </w:r>
    </w:p>
    <w:p>
      <w:pPr>
        <w:spacing w:before="0" w:after="0"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keepNext w:val="true"/>
        <w:keepLines w:val="true"/>
        <w:tabs>
          <w:tab w:val="center" w:pos="1666" w:leader="none"/>
        </w:tabs>
        <w:spacing w:before="0" w:after="274"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5.3 </w:t>
        <w:tab/>
        <w:t xml:space="preserve">Recommendations </w:t>
      </w:r>
    </w:p>
    <w:p>
      <w:pPr>
        <w:spacing w:before="0" w:after="269" w:line="36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following were recommended based on the findings; </w:t>
      </w:r>
    </w:p>
    <w:p>
      <w:pPr>
        <w:numPr>
          <w:ilvl w:val="0"/>
          <w:numId w:val="673"/>
        </w:numPr>
        <w:spacing w:before="0" w:after="2"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Enhance Organic Waste Management:</w:t>
      </w:r>
      <w:r>
        <w:rPr>
          <w:rFonts w:ascii="Times New Roman" w:hAnsi="Times New Roman" w:cs="Times New Roman" w:eastAsia="Times New Roman"/>
          <w:color w:val="000000"/>
          <w:spacing w:val="0"/>
          <w:position w:val="0"/>
          <w:sz w:val="28"/>
          <w:shd w:fill="auto" w:val="clear"/>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pPr>
        <w:numPr>
          <w:ilvl w:val="0"/>
          <w:numId w:val="673"/>
        </w:numPr>
        <w:spacing w:before="0" w:after="5"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Increase Availability of Waste Bins:</w:t>
      </w:r>
      <w:r>
        <w:rPr>
          <w:rFonts w:ascii="Times New Roman" w:hAnsi="Times New Roman" w:cs="Times New Roman" w:eastAsia="Times New Roman"/>
          <w:color w:val="000000"/>
          <w:spacing w:val="0"/>
          <w:position w:val="0"/>
          <w:sz w:val="28"/>
          <w:shd w:fill="auto" w:val="clear"/>
        </w:rPr>
        <w:t xml:space="preserve"> Expand the number and accessibility of waste bins throughout the market. Strategically placing bins in high-traffic areas can encourage proper disposal practices and reduce the incidence of open dumping. </w:t>
      </w:r>
    </w:p>
    <w:p>
      <w:pPr>
        <w:numPr>
          <w:ilvl w:val="0"/>
          <w:numId w:val="673"/>
        </w:numPr>
        <w:spacing w:before="0" w:after="5"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Implement Regular Waste Collection Services:</w:t>
      </w:r>
      <w:r>
        <w:rPr>
          <w:rFonts w:ascii="Times New Roman" w:hAnsi="Times New Roman" w:cs="Times New Roman" w:eastAsia="Times New Roman"/>
          <w:color w:val="000000"/>
          <w:spacing w:val="0"/>
          <w:position w:val="0"/>
          <w:sz w:val="28"/>
          <w:shd w:fill="auto" w:val="clear"/>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pPr>
        <w:numPr>
          <w:ilvl w:val="0"/>
          <w:numId w:val="673"/>
        </w:numPr>
        <w:spacing w:before="0" w:after="201"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Community Engagement:</w:t>
      </w:r>
      <w:r>
        <w:rPr>
          <w:rFonts w:ascii="Times New Roman" w:hAnsi="Times New Roman" w:cs="Times New Roman" w:eastAsia="Times New Roman"/>
          <w:color w:val="000000"/>
          <w:spacing w:val="0"/>
          <w:position w:val="0"/>
          <w:sz w:val="28"/>
          <w:shd w:fill="auto" w:val="clear"/>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pPr>
        <w:keepNext w:val="true"/>
        <w:keepLines w:val="true"/>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5.4</w:t>
        <w:tab/>
        <w:t xml:space="preserve">Limitation of the Study </w:t>
      </w:r>
    </w:p>
    <w:p>
      <w:pPr>
        <w:spacing w:before="0" w:after="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pPr>
        <w:keepNext w:val="true"/>
        <w:keepLines w:val="true"/>
        <w:spacing w:before="0" w:after="274" w:line="48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5.4</w:t>
        <w:tab/>
        <w:t xml:space="preserve">Suggestions for further studies </w:t>
      </w:r>
    </w:p>
    <w:p>
      <w:pPr>
        <w:spacing w:before="0" w:after="160" w:line="480"/>
        <w:ind w:right="0" w:left="-5" w:firstLine="725"/>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pPr>
        <w:spacing w:before="0" w:after="273"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273"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273"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171" w:line="48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71" w:line="480"/>
        <w:ind w:right="0" w:left="14" w:hanging="10"/>
        <w:jc w:val="center"/>
        <w:rPr>
          <w:rFonts w:ascii="Times New Roman" w:hAnsi="Times New Roman" w:cs="Times New Roman" w:eastAsia="Times New Roman"/>
          <w:b/>
          <w:color w:val="000000"/>
          <w:spacing w:val="0"/>
          <w:position w:val="0"/>
          <w:sz w:val="28"/>
          <w:shd w:fill="auto" w:val="clear"/>
        </w:rPr>
      </w:pPr>
    </w:p>
    <w:p>
      <w:pPr>
        <w:spacing w:before="0" w:after="171" w:line="480"/>
        <w:ind w:right="0" w:left="14" w:hanging="10"/>
        <w:jc w:val="center"/>
        <w:rPr>
          <w:rFonts w:ascii="Times New Roman" w:hAnsi="Times New Roman" w:cs="Times New Roman" w:eastAsia="Times New Roman"/>
          <w:b/>
          <w:color w:val="000000"/>
          <w:spacing w:val="0"/>
          <w:position w:val="0"/>
          <w:sz w:val="28"/>
          <w:shd w:fill="auto" w:val="clear"/>
        </w:rPr>
      </w:pPr>
    </w:p>
    <w:p>
      <w:pPr>
        <w:spacing w:before="0" w:after="171" w:line="480"/>
        <w:ind w:right="0" w:left="14" w:hanging="10"/>
        <w:jc w:val="center"/>
        <w:rPr>
          <w:rFonts w:ascii="Times New Roman" w:hAnsi="Times New Roman" w:cs="Times New Roman" w:eastAsia="Times New Roman"/>
          <w:b/>
          <w:color w:val="000000"/>
          <w:spacing w:val="0"/>
          <w:position w:val="0"/>
          <w:sz w:val="28"/>
          <w:shd w:fill="auto" w:val="clear"/>
        </w:rPr>
      </w:pPr>
    </w:p>
    <w:p>
      <w:pPr>
        <w:spacing w:before="0" w:after="171" w:line="480"/>
        <w:ind w:right="0" w:left="14" w:hanging="10"/>
        <w:jc w:val="center"/>
        <w:rPr>
          <w:rFonts w:ascii="Times New Roman" w:hAnsi="Times New Roman" w:cs="Times New Roman" w:eastAsia="Times New Roman"/>
          <w:b/>
          <w:color w:val="000000"/>
          <w:spacing w:val="0"/>
          <w:position w:val="0"/>
          <w:sz w:val="28"/>
          <w:shd w:fill="auto" w:val="clear"/>
        </w:rPr>
      </w:pPr>
    </w:p>
    <w:p>
      <w:pPr>
        <w:spacing w:before="0" w:after="171" w:line="480"/>
        <w:ind w:right="0" w:left="14" w:hanging="1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112" w:line="480"/>
        <w:ind w:right="0" w:left="-15"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Abdulrasaq, O., (2023). </w:t>
      </w:r>
      <w:r>
        <w:rPr>
          <w:rFonts w:ascii="Times New Roman" w:hAnsi="Times New Roman" w:cs="Times New Roman" w:eastAsia="Times New Roman"/>
          <w:i/>
          <w:color w:val="000000"/>
          <w:spacing w:val="0"/>
          <w:position w:val="0"/>
          <w:sz w:val="28"/>
          <w:shd w:fill="auto" w:val="clear"/>
        </w:rPr>
        <w:t xml:space="preserve">Sustainable Waste Management Strategies in Emerging Economies</w:t>
      </w:r>
      <w:r>
        <w:rPr>
          <w:rFonts w:ascii="Times New Roman" w:hAnsi="Times New Roman" w:cs="Times New Roman" w:eastAsia="Times New Roman"/>
          <w:color w:val="000000"/>
          <w:spacing w:val="0"/>
          <w:position w:val="0"/>
          <w:sz w:val="28"/>
          <w:shd w:fill="auto" w:val="clear"/>
        </w:rPr>
        <w:t xml:space="preserve">. Environmental Research, </w:t>
      </w:r>
      <w:r>
        <w:rPr>
          <w:rFonts w:ascii="Times New Roman" w:hAnsi="Times New Roman" w:cs="Times New Roman" w:eastAsia="Times New Roman"/>
          <w:i/>
          <w:color w:val="000000"/>
          <w:spacing w:val="0"/>
          <w:position w:val="0"/>
          <w:sz w:val="28"/>
          <w:shd w:fill="auto" w:val="clear"/>
        </w:rPr>
        <w:t xml:space="preserve">45</w:t>
      </w:r>
      <w:r>
        <w:rPr>
          <w:rFonts w:ascii="Times New Roman" w:hAnsi="Times New Roman" w:cs="Times New Roman" w:eastAsia="Times New Roman"/>
          <w:color w:val="000000"/>
          <w:spacing w:val="0"/>
          <w:position w:val="0"/>
          <w:sz w:val="28"/>
          <w:shd w:fill="auto" w:val="clear"/>
        </w:rPr>
        <w:t xml:space="preserve">(3), 112-129.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Adebola, O. O. (2020). Sustainable municipal solid waste management in Nigeria: a case study. </w:t>
      </w:r>
      <w:r>
        <w:rPr>
          <w:rFonts w:ascii="Times New Roman" w:hAnsi="Times New Roman" w:cs="Times New Roman" w:eastAsia="Times New Roman"/>
          <w:i/>
          <w:color w:val="000000"/>
          <w:spacing w:val="0"/>
          <w:position w:val="0"/>
          <w:sz w:val="28"/>
          <w:shd w:fill="auto" w:val="clear"/>
        </w:rPr>
        <w:t xml:space="preserve">International Journal of Environmental Studies, 77</w:t>
      </w:r>
      <w:r>
        <w:rPr>
          <w:rFonts w:ascii="Times New Roman" w:hAnsi="Times New Roman" w:cs="Times New Roman" w:eastAsia="Times New Roman"/>
          <w:color w:val="000000"/>
          <w:spacing w:val="0"/>
          <w:position w:val="0"/>
          <w:sz w:val="28"/>
          <w:shd w:fill="auto" w:val="clear"/>
        </w:rPr>
        <w:t xml:space="preserve">(1), 22-41.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Adewole, A. T. (2019). </w:t>
      </w:r>
      <w:r>
        <w:rPr>
          <w:rFonts w:ascii="Times New Roman" w:hAnsi="Times New Roman" w:cs="Times New Roman" w:eastAsia="Times New Roman"/>
          <w:i/>
          <w:color w:val="000000"/>
          <w:spacing w:val="0"/>
          <w:position w:val="0"/>
          <w:sz w:val="28"/>
          <w:shd w:fill="auto" w:val="clear"/>
        </w:rPr>
        <w:t xml:space="preserve">Waste management towards sustainable development in Nigeria: A case study of Lagos state</w:t>
      </w:r>
      <w:r>
        <w:rPr>
          <w:rFonts w:ascii="Times New Roman" w:hAnsi="Times New Roman" w:cs="Times New Roman" w:eastAsia="Times New Roman"/>
          <w:color w:val="000000"/>
          <w:spacing w:val="0"/>
          <w:position w:val="0"/>
          <w:sz w:val="28"/>
          <w:shd w:fill="auto" w:val="clear"/>
        </w:rPr>
        <w:t xml:space="preserve">. International NGO Journal, 4(4), 173-179.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Adewumi, I. K., Ogedengbe, M. O., Adepetu, J. A., &amp; Aina, P. O. (2015). </w:t>
      </w:r>
      <w:r>
        <w:rPr>
          <w:rFonts w:ascii="Times New Roman" w:hAnsi="Times New Roman" w:cs="Times New Roman" w:eastAsia="Times New Roman"/>
          <w:i/>
          <w:color w:val="000000"/>
          <w:spacing w:val="0"/>
          <w:position w:val="0"/>
          <w:sz w:val="28"/>
          <w:shd w:fill="auto" w:val="clear"/>
        </w:rPr>
        <w:t xml:space="preserve">Potential for agricultural use of municipal solid waste and wastewater in Nigeria.</w:t>
      </w:r>
      <w:r>
        <w:rPr>
          <w:rFonts w:ascii="Times New Roman" w:hAnsi="Times New Roman" w:cs="Times New Roman" w:eastAsia="Times New Roman"/>
          <w:color w:val="000000"/>
          <w:spacing w:val="0"/>
          <w:position w:val="0"/>
          <w:sz w:val="28"/>
          <w:shd w:fill="auto" w:val="clear"/>
        </w:rPr>
        <w:t xml:space="preserve"> In Proceedings of the 31st WEDC International Conference, Kampala, Uganda (pp. 377-384).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Aliyu, A. A., Kasim, R., &amp; Martin, D. (2015). Towards sustainable solid waste management in Nigeria: a review of the current system and the way forward. </w:t>
      </w:r>
      <w:r>
        <w:rPr>
          <w:rFonts w:ascii="Times New Roman" w:hAnsi="Times New Roman" w:cs="Times New Roman" w:eastAsia="Times New Roman"/>
          <w:i/>
          <w:color w:val="000000"/>
          <w:spacing w:val="0"/>
          <w:position w:val="0"/>
          <w:sz w:val="28"/>
          <w:shd w:fill="auto" w:val="clear"/>
        </w:rPr>
        <w:t xml:space="preserve">International Journal of Civil Engineering and Technology, 6</w:t>
      </w:r>
      <w:r>
        <w:rPr>
          <w:rFonts w:ascii="Times New Roman" w:hAnsi="Times New Roman" w:cs="Times New Roman" w:eastAsia="Times New Roman"/>
          <w:color w:val="000000"/>
          <w:spacing w:val="0"/>
          <w:position w:val="0"/>
          <w:sz w:val="28"/>
          <w:shd w:fill="auto" w:val="clear"/>
        </w:rPr>
        <w:t xml:space="preserve">(6), 75-89.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Amin, A. Raji, S. &amp; Salawu, O.I. (2023). Public policy on waste management in Kwara State, Nigeria: Implications on environmental security. </w:t>
      </w:r>
      <w:r>
        <w:rPr>
          <w:rFonts w:ascii="Times New Roman" w:hAnsi="Times New Roman" w:cs="Times New Roman" w:eastAsia="Times New Roman"/>
          <w:i/>
          <w:color w:val="000000"/>
          <w:spacing w:val="0"/>
          <w:position w:val="0"/>
          <w:sz w:val="28"/>
          <w:shd w:fill="auto" w:val="clear"/>
        </w:rPr>
        <w:t xml:space="preserve">Ilorin Journal of Administration and Development, University of Ilorin, 7(1),12- 24.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Armijo De V. C., Ojeda B. S., &amp; Ramírez B. M. (2008). </w:t>
      </w:r>
      <w:r>
        <w:rPr>
          <w:rFonts w:ascii="Times New Roman" w:hAnsi="Times New Roman" w:cs="Times New Roman" w:eastAsia="Times New Roman"/>
          <w:i/>
          <w:color w:val="000000"/>
          <w:spacing w:val="0"/>
          <w:position w:val="0"/>
          <w:sz w:val="28"/>
          <w:shd w:fill="auto" w:val="clear"/>
        </w:rPr>
        <w:t xml:space="preserve">Solid waste characterization and recycling potential for a university campus</w:t>
      </w:r>
      <w:r>
        <w:rPr>
          <w:rFonts w:ascii="Times New Roman" w:hAnsi="Times New Roman" w:cs="Times New Roman" w:eastAsia="Times New Roman"/>
          <w:color w:val="000000"/>
          <w:spacing w:val="0"/>
          <w:position w:val="0"/>
          <w:sz w:val="28"/>
          <w:shd w:fill="auto" w:val="clear"/>
        </w:rPr>
        <w:t xml:space="preserve">. Waste Management, 28(1), 21</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26.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Babatunde, R.,. (2024). </w:t>
      </w:r>
      <w:r>
        <w:rPr>
          <w:rFonts w:ascii="Times New Roman" w:hAnsi="Times New Roman" w:cs="Times New Roman" w:eastAsia="Times New Roman"/>
          <w:i/>
          <w:color w:val="000000"/>
          <w:spacing w:val="0"/>
          <w:position w:val="0"/>
          <w:sz w:val="28"/>
          <w:shd w:fill="auto" w:val="clear"/>
        </w:rPr>
        <w:t xml:space="preserve">Environmental Health Implications of Waste Management</w:t>
      </w:r>
      <w:r>
        <w:rPr>
          <w:rFonts w:ascii="Times New Roman" w:hAnsi="Times New Roman" w:cs="Times New Roman" w:eastAsia="Times New Roman"/>
          <w:color w:val="000000"/>
          <w:spacing w:val="0"/>
          <w:position w:val="0"/>
          <w:sz w:val="28"/>
          <w:shd w:fill="auto" w:val="clear"/>
        </w:rPr>
        <w:t xml:space="preserve">. Public Health Research, </w:t>
      </w:r>
      <w:r>
        <w:rPr>
          <w:rFonts w:ascii="Times New Roman" w:hAnsi="Times New Roman" w:cs="Times New Roman" w:eastAsia="Times New Roman"/>
          <w:i/>
          <w:color w:val="000000"/>
          <w:spacing w:val="0"/>
          <w:position w:val="0"/>
          <w:sz w:val="28"/>
          <w:shd w:fill="auto" w:val="clear"/>
        </w:rPr>
        <w:t xml:space="preserve">61</w:t>
      </w:r>
      <w:r>
        <w:rPr>
          <w:rFonts w:ascii="Times New Roman" w:hAnsi="Times New Roman" w:cs="Times New Roman" w:eastAsia="Times New Roman"/>
          <w:color w:val="000000"/>
          <w:spacing w:val="0"/>
          <w:position w:val="0"/>
          <w:sz w:val="28"/>
          <w:shd w:fill="auto" w:val="clear"/>
        </w:rPr>
        <w:t xml:space="preserve">(1), 45-62.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Babayemi, J. O., &amp; Dauda, K. T. (2019). Evaluation of solid waste generation, categories, and disposal options in developing countries: a case study of Nigeria. </w:t>
      </w:r>
      <w:r>
        <w:rPr>
          <w:rFonts w:ascii="Times New Roman" w:hAnsi="Times New Roman" w:cs="Times New Roman" w:eastAsia="Times New Roman"/>
          <w:i/>
          <w:color w:val="000000"/>
          <w:spacing w:val="0"/>
          <w:position w:val="0"/>
          <w:sz w:val="28"/>
          <w:shd w:fill="auto" w:val="clear"/>
        </w:rPr>
        <w:t xml:space="preserve">Journal of Applied Sciences and Environmental Management, 13</w:t>
      </w:r>
      <w:r>
        <w:rPr>
          <w:rFonts w:ascii="Times New Roman" w:hAnsi="Times New Roman" w:cs="Times New Roman" w:eastAsia="Times New Roman"/>
          <w:color w:val="000000"/>
          <w:spacing w:val="0"/>
          <w:position w:val="0"/>
          <w:sz w:val="28"/>
          <w:shd w:fill="auto" w:val="clear"/>
        </w:rPr>
        <w:t xml:space="preserve">(3), 83-88. </w:t>
      </w:r>
    </w:p>
    <w:p>
      <w:pPr>
        <w:spacing w:before="0" w:after="266"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Bryman, A. (2016). </w:t>
      </w:r>
      <w:r>
        <w:rPr>
          <w:rFonts w:ascii="Times New Roman" w:hAnsi="Times New Roman" w:cs="Times New Roman" w:eastAsia="Times New Roman"/>
          <w:i/>
          <w:color w:val="000000"/>
          <w:spacing w:val="0"/>
          <w:position w:val="0"/>
          <w:sz w:val="28"/>
          <w:shd w:fill="auto" w:val="clear"/>
        </w:rPr>
        <w:t xml:space="preserve">Social research methods</w:t>
      </w:r>
      <w:r>
        <w:rPr>
          <w:rFonts w:ascii="Times New Roman" w:hAnsi="Times New Roman" w:cs="Times New Roman" w:eastAsia="Times New Roman"/>
          <w:color w:val="000000"/>
          <w:spacing w:val="0"/>
          <w:position w:val="0"/>
          <w:sz w:val="28"/>
          <w:shd w:fill="auto" w:val="clear"/>
        </w:rPr>
        <w:t xml:space="preserve">. Oxford university press.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Chukwu, M.,. (2023). </w:t>
      </w:r>
      <w:r>
        <w:rPr>
          <w:rFonts w:ascii="Times New Roman" w:hAnsi="Times New Roman" w:cs="Times New Roman" w:eastAsia="Times New Roman"/>
          <w:i/>
          <w:color w:val="000000"/>
          <w:spacing w:val="0"/>
          <w:position w:val="0"/>
          <w:sz w:val="28"/>
          <w:shd w:fill="auto" w:val="clear"/>
        </w:rPr>
        <w:t xml:space="preserve">Technological Innovations in Solid Waste Processing</w:t>
      </w:r>
      <w:r>
        <w:rPr>
          <w:rFonts w:ascii="Times New Roman" w:hAnsi="Times New Roman" w:cs="Times New Roman" w:eastAsia="Times New Roman"/>
          <w:color w:val="000000"/>
          <w:spacing w:val="0"/>
          <w:position w:val="0"/>
          <w:sz w:val="28"/>
          <w:shd w:fill="auto" w:val="clear"/>
        </w:rPr>
        <w:t xml:space="preserve">. Sustainability Technologies, </w:t>
      </w:r>
      <w:r>
        <w:rPr>
          <w:rFonts w:ascii="Times New Roman" w:hAnsi="Times New Roman" w:cs="Times New Roman" w:eastAsia="Times New Roman"/>
          <w:i/>
          <w:color w:val="000000"/>
          <w:spacing w:val="0"/>
          <w:position w:val="0"/>
          <w:sz w:val="28"/>
          <w:shd w:fill="auto" w:val="clear"/>
        </w:rPr>
        <w:t xml:space="preserve">37</w:t>
      </w:r>
      <w:r>
        <w:rPr>
          <w:rFonts w:ascii="Times New Roman" w:hAnsi="Times New Roman" w:cs="Times New Roman" w:eastAsia="Times New Roman"/>
          <w:color w:val="000000"/>
          <w:spacing w:val="0"/>
          <w:position w:val="0"/>
          <w:sz w:val="28"/>
          <w:shd w:fill="auto" w:val="clear"/>
        </w:rPr>
        <w:t xml:space="preserve">(4), 201-218.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Creswell, J. W., &amp; Creswell, J. D. (2018). </w:t>
      </w:r>
      <w:r>
        <w:rPr>
          <w:rFonts w:ascii="Times New Roman" w:hAnsi="Times New Roman" w:cs="Times New Roman" w:eastAsia="Times New Roman"/>
          <w:i/>
          <w:color w:val="000000"/>
          <w:spacing w:val="0"/>
          <w:position w:val="0"/>
          <w:sz w:val="28"/>
          <w:shd w:fill="auto" w:val="clear"/>
        </w:rPr>
        <w:t xml:space="preserve">Research design: Qualitative, quantitative, and mixed methods approaches</w:t>
      </w:r>
      <w:r>
        <w:rPr>
          <w:rFonts w:ascii="Times New Roman" w:hAnsi="Times New Roman" w:cs="Times New Roman" w:eastAsia="Times New Roman"/>
          <w:color w:val="000000"/>
          <w:spacing w:val="0"/>
          <w:position w:val="0"/>
          <w:sz w:val="28"/>
          <w:shd w:fill="auto" w:val="clear"/>
        </w:rPr>
        <w:t xml:space="preserve">. Sage publications.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Etikan, I., Musa, S. A., &amp; Alkassim, R. S. (2016). Comparison of convenience sampling and purposive sampling. </w:t>
      </w:r>
      <w:r>
        <w:rPr>
          <w:rFonts w:ascii="Times New Roman" w:hAnsi="Times New Roman" w:cs="Times New Roman" w:eastAsia="Times New Roman"/>
          <w:i/>
          <w:color w:val="000000"/>
          <w:spacing w:val="0"/>
          <w:position w:val="0"/>
          <w:sz w:val="28"/>
          <w:shd w:fill="auto" w:val="clear"/>
        </w:rPr>
        <w:t xml:space="preserve">American journal of theoretical and applied statistics, 5(1), 1-4. </w:t>
      </w:r>
    </w:p>
    <w:p>
      <w:pPr>
        <w:spacing w:before="0" w:after="108"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Hoornweg, D., Bhada-Tata, P., and Kennedy, C. (2023). </w:t>
      </w:r>
      <w:r>
        <w:rPr>
          <w:rFonts w:ascii="Times New Roman" w:hAnsi="Times New Roman" w:cs="Times New Roman" w:eastAsia="Times New Roman"/>
          <w:i/>
          <w:color w:val="000000"/>
          <w:spacing w:val="0"/>
          <w:position w:val="0"/>
          <w:sz w:val="28"/>
          <w:shd w:fill="auto" w:val="clear"/>
        </w:rPr>
        <w:t xml:space="preserve">Waste production must peak this century</w:t>
      </w:r>
      <w:r>
        <w:rPr>
          <w:rFonts w:ascii="Times New Roman" w:hAnsi="Times New Roman" w:cs="Times New Roman" w:eastAsia="Times New Roman"/>
          <w:color w:val="000000"/>
          <w:spacing w:val="0"/>
          <w:position w:val="0"/>
          <w:sz w:val="28"/>
          <w:shd w:fill="auto" w:val="clear"/>
        </w:rPr>
        <w:t xml:space="preserve">. Nature, </w:t>
      </w:r>
      <w:r>
        <w:rPr>
          <w:rFonts w:ascii="Times New Roman" w:hAnsi="Times New Roman" w:cs="Times New Roman" w:eastAsia="Times New Roman"/>
          <w:i/>
          <w:color w:val="000000"/>
          <w:spacing w:val="0"/>
          <w:position w:val="0"/>
          <w:sz w:val="28"/>
          <w:shd w:fill="auto" w:val="clear"/>
        </w:rPr>
        <w:t xml:space="preserve">502</w:t>
      </w:r>
      <w:r>
        <w:rPr>
          <w:rFonts w:ascii="Times New Roman" w:hAnsi="Times New Roman" w:cs="Times New Roman" w:eastAsia="Times New Roman"/>
          <w:color w:val="000000"/>
          <w:spacing w:val="0"/>
          <w:position w:val="0"/>
          <w:sz w:val="28"/>
          <w:shd w:fill="auto" w:val="clear"/>
        </w:rPr>
        <w:t xml:space="preserve">(7473), 615-617. doi:10.1038/502615a </w:t>
      </w:r>
      <w:hyperlink xmlns:r="http://schemas.openxmlformats.org/officeDocument/2006/relationships" r:id="docRId2">
        <w:r>
          <w:rPr>
            <w:rFonts w:ascii="Times New Roman" w:hAnsi="Times New Roman" w:cs="Times New Roman" w:eastAsia="Times New Roman"/>
            <w:i/>
            <w:color w:val="0000FF"/>
            <w:spacing w:val="0"/>
            <w:position w:val="0"/>
            <w:sz w:val="28"/>
            <w:u w:val="single"/>
            <w:shd w:fill="auto" w:val="clear"/>
          </w:rPr>
          <w:t xml:space="preserve">https://citypopulation.de/en/nigeria/admin/kwara/NGA024006__ilorin_east/</w:t>
        </w:r>
      </w:hyperlink>
      <w:r>
        <w:rPr>
          <w:rFonts w:ascii="Times New Roman" w:hAnsi="Times New Roman" w:cs="Times New Roman" w:eastAsia="Times New Roman"/>
          <w:i/>
          <w:color w:val="000000"/>
          <w:spacing w:val="0"/>
          <w:position w:val="0"/>
          <w:sz w:val="28"/>
          <w:shd w:fill="auto" w:val="clear"/>
        </w:rPr>
        <w:t xml:space="preserve">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Imam, A., Mohammed, B., Wilson, D. C., &amp; Cheeseman, C. R. (2018). </w:t>
      </w:r>
      <w:r>
        <w:rPr>
          <w:rFonts w:ascii="Times New Roman" w:hAnsi="Times New Roman" w:cs="Times New Roman" w:eastAsia="Times New Roman"/>
          <w:i/>
          <w:color w:val="000000"/>
          <w:spacing w:val="0"/>
          <w:position w:val="0"/>
          <w:sz w:val="28"/>
          <w:shd w:fill="auto" w:val="clear"/>
        </w:rPr>
        <w:t xml:space="preserve">Solid waste management in Abuja, Nigeria</w:t>
      </w:r>
      <w:r>
        <w:rPr>
          <w:rFonts w:ascii="Times New Roman" w:hAnsi="Times New Roman" w:cs="Times New Roman" w:eastAsia="Times New Roman"/>
          <w:color w:val="000000"/>
          <w:spacing w:val="0"/>
          <w:position w:val="0"/>
          <w:sz w:val="28"/>
          <w:shd w:fill="auto" w:val="clear"/>
        </w:rPr>
        <w:t xml:space="preserve">. Waste management, 28(2), 468-472.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Joshi, A., Kale, S., Chandel, S., &amp; Pal, D. (2021). Likert Scale: A Case Study of Its Use in Research. </w:t>
      </w:r>
      <w:r>
        <w:rPr>
          <w:rFonts w:ascii="Times New Roman" w:hAnsi="Times New Roman" w:cs="Times New Roman" w:eastAsia="Times New Roman"/>
          <w:i/>
          <w:color w:val="000000"/>
          <w:spacing w:val="0"/>
          <w:position w:val="0"/>
          <w:sz w:val="28"/>
          <w:shd w:fill="auto" w:val="clear"/>
        </w:rPr>
        <w:t xml:space="preserve">Journal of Research Methodology, 11(1), 56-66.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Kallio, H., Pietilä, A. M., Johnson, M., &amp; Kangasniemi, M. (2016). Systematic methodological review: developing a framework for a qualitative semi-structured interview guide. </w:t>
      </w:r>
      <w:r>
        <w:rPr>
          <w:rFonts w:ascii="Times New Roman" w:hAnsi="Times New Roman" w:cs="Times New Roman" w:eastAsia="Times New Roman"/>
          <w:i/>
          <w:color w:val="000000"/>
          <w:spacing w:val="0"/>
          <w:position w:val="0"/>
          <w:sz w:val="28"/>
          <w:shd w:fill="auto" w:val="clear"/>
        </w:rPr>
        <w:t xml:space="preserve">Journal of advanced nursing, 72(12), 2954-2965. </w:t>
      </w:r>
    </w:p>
    <w:p>
      <w:pPr>
        <w:spacing w:before="0" w:after="268" w:line="48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Kothari, C. R. (2024). </w:t>
      </w:r>
      <w:r>
        <w:rPr>
          <w:rFonts w:ascii="Times New Roman" w:hAnsi="Times New Roman" w:cs="Times New Roman" w:eastAsia="Times New Roman"/>
          <w:i/>
          <w:color w:val="000000"/>
          <w:spacing w:val="0"/>
          <w:position w:val="0"/>
          <w:sz w:val="28"/>
          <w:shd w:fill="auto" w:val="clear"/>
        </w:rPr>
        <w:t xml:space="preserve">Research methodology: Methods and techniques</w:t>
      </w:r>
      <w:r>
        <w:rPr>
          <w:rFonts w:ascii="Times New Roman" w:hAnsi="Times New Roman" w:cs="Times New Roman" w:eastAsia="Times New Roman"/>
          <w:color w:val="000000"/>
          <w:spacing w:val="0"/>
          <w:position w:val="0"/>
          <w:sz w:val="28"/>
          <w:shd w:fill="auto" w:val="clear"/>
        </w:rPr>
        <w:t xml:space="preserve">. New Age International.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Lishan, X,, Bo, F., Tong, L., Liang, M., and Ouwen, Z. (2023). </w:t>
      </w:r>
      <w:r>
        <w:rPr>
          <w:rFonts w:ascii="Times New Roman" w:hAnsi="Times New Roman" w:cs="Times New Roman" w:eastAsia="Times New Roman"/>
          <w:i/>
          <w:color w:val="000000"/>
          <w:spacing w:val="0"/>
          <w:position w:val="0"/>
          <w:sz w:val="28"/>
          <w:shd w:fill="auto" w:val="clear"/>
        </w:rPr>
        <w:t xml:space="preserve">Promoting and maintaining public participation in waste separation policies: A comparative study in Shanghai, China, Resources, Environment and Sustainability, 12, 100112</w:t>
      </w:r>
      <w:r>
        <w:rPr>
          <w:rFonts w:ascii="Times New Roman" w:hAnsi="Times New Roman" w:cs="Times New Roman" w:eastAsia="Times New Roman"/>
          <w:color w:val="000000"/>
          <w:spacing w:val="0"/>
          <w:position w:val="0"/>
          <w:sz w:val="28"/>
          <w:shd w:fill="auto" w:val="clear"/>
        </w:rPr>
        <w:t xml:space="preserve">.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NESRA (2007). </w:t>
      </w:r>
      <w:r>
        <w:rPr>
          <w:rFonts w:ascii="Times New Roman" w:hAnsi="Times New Roman" w:cs="Times New Roman" w:eastAsia="Times New Roman"/>
          <w:i/>
          <w:color w:val="000000"/>
          <w:spacing w:val="0"/>
          <w:position w:val="0"/>
          <w:sz w:val="28"/>
          <w:shd w:fill="auto" w:val="clear"/>
        </w:rPr>
        <w:t xml:space="preserve">National Environmental Standards and Regulations Enforcement Agency (Establishment) Act, 2007</w:t>
      </w:r>
      <w:r>
        <w:rPr>
          <w:rFonts w:ascii="Times New Roman" w:hAnsi="Times New Roman" w:cs="Times New Roman" w:eastAsia="Times New Roman"/>
          <w:color w:val="000000"/>
          <w:spacing w:val="0"/>
          <w:position w:val="0"/>
          <w:sz w:val="28"/>
          <w:shd w:fill="auto" w:val="clear"/>
        </w:rPr>
        <w:t xml:space="preserve">. </w:t>
      </w:r>
      <w:hyperlink xmlns:r="http://schemas.openxmlformats.org/officeDocument/2006/relationships" r:id="docRId3">
        <w:r>
          <w:rPr>
            <w:rFonts w:ascii="Times New Roman" w:hAnsi="Times New Roman" w:cs="Times New Roman" w:eastAsia="Times New Roman"/>
            <w:color w:val="0563C1"/>
            <w:spacing w:val="0"/>
            <w:position w:val="0"/>
            <w:sz w:val="28"/>
            <w:u w:val="single"/>
            <w:shd w:fill="auto" w:val="clear"/>
          </w:rPr>
          <w:t xml:space="preserve">www.ecolex.org</w:t>
        </w:r>
        <w:r>
          <w:rPr>
            <w:rFonts w:ascii="Times New Roman" w:hAnsi="Times New Roman" w:cs="Times New Roman" w:eastAsia="Times New Roman"/>
            <w:color w:val="000000"/>
            <w:spacing w:val="0"/>
            <w:position w:val="0"/>
            <w:sz w:val="28"/>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 HYPERLINK "http://www.ecolex.org/"</w:t>
        </w:r>
        <w:r>
          <w:rPr>
            <w:rFonts w:ascii="Times New Roman" w:hAnsi="Times New Roman" w:cs="Times New Roman" w:eastAsia="Times New Roman"/>
            <w:color w:val="000000"/>
            <w:spacing w:val="0"/>
            <w:position w:val="0"/>
            <w:sz w:val="28"/>
            <w:u w:val="single"/>
            <w:shd w:fill="auto" w:val="clear"/>
          </w:rPr>
          <w:t xml:space="preserve">.</w:t>
        </w:r>
      </w:hyperlink>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NESREA (National Environmental Standards and Regulations Enforcement Agency). (2007). National Environmental (Sanitation and Waste Control) Regulations, 2009.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Nnorom, I. C., &amp; Osibanjo, O. (2018). </w:t>
      </w:r>
      <w:r>
        <w:rPr>
          <w:rFonts w:ascii="Times New Roman" w:hAnsi="Times New Roman" w:cs="Times New Roman" w:eastAsia="Times New Roman"/>
          <w:i/>
          <w:color w:val="000000"/>
          <w:spacing w:val="0"/>
          <w:position w:val="0"/>
          <w:sz w:val="28"/>
          <w:shd w:fill="auto" w:val="clear"/>
        </w:rPr>
        <w:t xml:space="preserve">Electronic waste (e-waste): Material flows and management practices in Nigeria.</w:t>
      </w:r>
      <w:r>
        <w:rPr>
          <w:rFonts w:ascii="Times New Roman" w:hAnsi="Times New Roman" w:cs="Times New Roman" w:eastAsia="Times New Roman"/>
          <w:color w:val="000000"/>
          <w:spacing w:val="0"/>
          <w:position w:val="0"/>
          <w:sz w:val="28"/>
          <w:shd w:fill="auto" w:val="clear"/>
        </w:rPr>
        <w:t xml:space="preserve"> Waste management, 28(8), 1472-1479.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Nzeadibe, T. C., &amp; Anyadike, R. N. (2015). Informal waste recycling in Lagos, Nigeria: socioeconomic and health perspectives. </w:t>
      </w:r>
      <w:r>
        <w:rPr>
          <w:rFonts w:ascii="Times New Roman" w:hAnsi="Times New Roman" w:cs="Times New Roman" w:eastAsia="Times New Roman"/>
          <w:i/>
          <w:color w:val="000000"/>
          <w:spacing w:val="0"/>
          <w:position w:val="0"/>
          <w:sz w:val="28"/>
          <w:shd w:fill="auto" w:val="clear"/>
        </w:rPr>
        <w:t xml:space="preserve">International Journal of Environmental Technology and Management, 18</w:t>
      </w:r>
      <w:r>
        <w:rPr>
          <w:rFonts w:ascii="Times New Roman" w:hAnsi="Times New Roman" w:cs="Times New Roman" w:eastAsia="Times New Roman"/>
          <w:color w:val="000000"/>
          <w:spacing w:val="0"/>
          <w:position w:val="0"/>
          <w:sz w:val="28"/>
          <w:shd w:fill="auto" w:val="clear"/>
        </w:rPr>
        <w:t xml:space="preserve">(1), 45-62.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Ogunrinola, I., &amp; Adepegba, A. (2024). Urban Waste Dynamics in Nigeria: Challenges and Opportunities. </w:t>
      </w:r>
      <w:r>
        <w:rPr>
          <w:rFonts w:ascii="Times New Roman" w:hAnsi="Times New Roman" w:cs="Times New Roman" w:eastAsia="Times New Roman"/>
          <w:i/>
          <w:color w:val="000000"/>
          <w:spacing w:val="0"/>
          <w:position w:val="0"/>
          <w:sz w:val="28"/>
          <w:shd w:fill="auto" w:val="clear"/>
        </w:rPr>
        <w:t xml:space="preserve">Waste Management Journal,52</w:t>
      </w:r>
      <w:r>
        <w:rPr>
          <w:rFonts w:ascii="Times New Roman" w:hAnsi="Times New Roman" w:cs="Times New Roman" w:eastAsia="Times New Roman"/>
          <w:color w:val="000000"/>
          <w:spacing w:val="0"/>
          <w:position w:val="0"/>
          <w:sz w:val="28"/>
          <w:shd w:fill="auto" w:val="clear"/>
        </w:rPr>
        <w:t xml:space="preserve">(2), 78-95.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Ogwueleka, T. C. (2023</w:t>
      </w:r>
      <w:r>
        <w:rPr>
          <w:rFonts w:ascii="Times New Roman" w:hAnsi="Times New Roman" w:cs="Times New Roman" w:eastAsia="Times New Roman"/>
          <w:i/>
          <w:color w:val="000000"/>
          <w:spacing w:val="0"/>
          <w:position w:val="0"/>
          <w:sz w:val="28"/>
          <w:shd w:fill="auto" w:val="clear"/>
        </w:rPr>
        <w:t xml:space="preserve">). Survey of household waste composition and quantities in Abuja, Nigeria</w:t>
      </w:r>
      <w:r>
        <w:rPr>
          <w:rFonts w:ascii="Times New Roman" w:hAnsi="Times New Roman" w:cs="Times New Roman" w:eastAsia="Times New Roman"/>
          <w:color w:val="000000"/>
          <w:spacing w:val="0"/>
          <w:position w:val="0"/>
          <w:sz w:val="28"/>
          <w:shd w:fill="auto" w:val="clear"/>
        </w:rPr>
        <w:t xml:space="preserve">. Resources, Conservation and Recycling, 77, 52-60.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Okoji, O. O., Adeyemi, T.0, &amp; Olawuni, A. O. (2023). </w:t>
      </w:r>
      <w:r>
        <w:rPr>
          <w:rFonts w:ascii="Times New Roman" w:hAnsi="Times New Roman" w:cs="Times New Roman" w:eastAsia="Times New Roman"/>
          <w:i/>
          <w:color w:val="000000"/>
          <w:spacing w:val="0"/>
          <w:position w:val="0"/>
          <w:sz w:val="28"/>
          <w:shd w:fill="auto" w:val="clear"/>
        </w:rPr>
        <w:t xml:space="preserve">Assessment of community perception on waste management practice in Ilorin metropolis, Kwara State, Nigeria</w:t>
      </w:r>
      <w:r>
        <w:rPr>
          <w:rFonts w:ascii="Times New Roman" w:hAnsi="Times New Roman" w:cs="Times New Roman" w:eastAsia="Times New Roman"/>
          <w:color w:val="000000"/>
          <w:spacing w:val="0"/>
          <w:position w:val="0"/>
          <w:sz w:val="28"/>
          <w:shd w:fill="auto" w:val="clear"/>
        </w:rPr>
        <w:t xml:space="preserve">. Reality of Politics, 25 (3),114-132. </w:t>
      </w:r>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Osibanjo, O., &amp; Nnorom, I. C. (2017). The challenge of electronic waste (e-waste) management in developing countries. Waste management &amp; research, 25(6), 489-501.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Samuel, A . O., and Olamide, S. S. (2016). </w:t>
      </w:r>
      <w:r>
        <w:rPr>
          <w:rFonts w:ascii="Times New Roman" w:hAnsi="Times New Roman" w:cs="Times New Roman" w:eastAsia="Times New Roman"/>
          <w:i/>
          <w:color w:val="000000"/>
          <w:spacing w:val="0"/>
          <w:position w:val="0"/>
          <w:sz w:val="28"/>
          <w:shd w:fill="auto" w:val="clear"/>
        </w:rPr>
        <w:t xml:space="preserve">Worked on an assessment of environmental sanitation and solid waste management in Ibadan North Local Government, Oyo State, Nigeria</w:t>
      </w:r>
      <w:r>
        <w:rPr>
          <w:rFonts w:ascii="Times New Roman" w:hAnsi="Times New Roman" w:cs="Times New Roman" w:eastAsia="Times New Roman"/>
          <w:color w:val="000000"/>
          <w:spacing w:val="0"/>
          <w:position w:val="0"/>
          <w:sz w:val="28"/>
          <w:shd w:fill="auto" w:val="clear"/>
        </w:rPr>
        <w:t xml:space="preserve">. </w:t>
      </w:r>
    </w:p>
    <w:p>
      <w:pPr>
        <w:spacing w:before="0" w:after="161" w:line="480"/>
        <w:ind w:right="0" w:left="715" w:hanging="73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UNEP. (2020). </w:t>
      </w:r>
      <w:r>
        <w:rPr>
          <w:rFonts w:ascii="Times New Roman" w:hAnsi="Times New Roman" w:cs="Times New Roman" w:eastAsia="Times New Roman"/>
          <w:i/>
          <w:color w:val="000000"/>
          <w:spacing w:val="0"/>
          <w:position w:val="0"/>
          <w:sz w:val="28"/>
          <w:shd w:fill="auto" w:val="clear"/>
        </w:rPr>
        <w:t xml:space="preserve">Environmental Protection. United Nations Environment Programme</w:t>
      </w:r>
      <w:r>
        <w:rPr>
          <w:rFonts w:ascii="Times New Roman" w:hAnsi="Times New Roman" w:cs="Times New Roman" w:eastAsia="Times New Roman"/>
          <w:color w:val="000000"/>
          <w:spacing w:val="0"/>
          <w:position w:val="0"/>
          <w:sz w:val="28"/>
          <w:shd w:fill="auto" w:val="clear"/>
        </w:rPr>
        <w:t xml:space="preserve">. </w:t>
      </w:r>
      <w:hyperlink xmlns:r="http://schemas.openxmlformats.org/officeDocument/2006/relationships" r:id="docRId4">
        <w:r>
          <w:rPr>
            <w:rFonts w:ascii="Times New Roman" w:hAnsi="Times New Roman" w:cs="Times New Roman" w:eastAsia="Times New Roman"/>
            <w:color w:val="0563C1"/>
            <w:spacing w:val="0"/>
            <w:position w:val="0"/>
            <w:sz w:val="28"/>
            <w:u w:val="single"/>
            <w:shd w:fill="auto" w:val="clear"/>
          </w:rPr>
          <w:t xml:space="preserve">https://www.unep.org/emissions</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gap</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report</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2020</w:t>
        </w:r>
      </w:hyperlink>
    </w:p>
    <w:p>
      <w:pPr>
        <w:spacing w:before="0" w:after="160" w:line="480"/>
        <w:ind w:right="0" w:left="705"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UNEP. (2020). </w:t>
      </w:r>
      <w:r>
        <w:rPr>
          <w:rFonts w:ascii="Times New Roman" w:hAnsi="Times New Roman" w:cs="Times New Roman" w:eastAsia="Times New Roman"/>
          <w:i/>
          <w:color w:val="000000"/>
          <w:spacing w:val="0"/>
          <w:position w:val="0"/>
          <w:sz w:val="28"/>
          <w:shd w:fill="auto" w:val="clear"/>
        </w:rPr>
        <w:t xml:space="preserve">Environmental Protection</w:t>
      </w:r>
      <w:r>
        <w:rPr>
          <w:rFonts w:ascii="Times New Roman" w:hAnsi="Times New Roman" w:cs="Times New Roman" w:eastAsia="Times New Roman"/>
          <w:color w:val="000000"/>
          <w:spacing w:val="0"/>
          <w:position w:val="0"/>
          <w:sz w:val="28"/>
          <w:shd w:fill="auto" w:val="clear"/>
        </w:rPr>
        <w:t xml:space="preserve">. United Nations Environment Programme. </w:t>
      </w:r>
      <w:hyperlink xmlns:r="http://schemas.openxmlformats.org/officeDocument/2006/relationships" r:id="docRId5">
        <w:r>
          <w:rPr>
            <w:rFonts w:ascii="Times New Roman" w:hAnsi="Times New Roman" w:cs="Times New Roman" w:eastAsia="Times New Roman"/>
            <w:color w:val="0563C1"/>
            <w:spacing w:val="0"/>
            <w:position w:val="0"/>
            <w:sz w:val="28"/>
            <w:u w:val="single"/>
            <w:shd w:fill="auto" w:val="clear"/>
          </w:rPr>
          <w:t xml:space="preserve">https://www.unep.org/emissions</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gap</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report</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 HYPERLINK "https://www.unep.org/emissions-gap-report-2020"</w:t>
        </w:r>
        <w:r>
          <w:rPr>
            <w:rFonts w:ascii="Times New Roman" w:hAnsi="Times New Roman" w:cs="Times New Roman" w:eastAsia="Times New Roman"/>
            <w:color w:val="0563C1"/>
            <w:spacing w:val="0"/>
            <w:position w:val="0"/>
            <w:sz w:val="28"/>
            <w:u w:val="single"/>
            <w:shd w:fill="auto" w:val="clear"/>
          </w:rPr>
          <w:t xml:space="preserve">2020</w:t>
        </w:r>
      </w:hyperlink>
    </w:p>
    <w:p>
      <w:pPr>
        <w:spacing w:before="0" w:after="105" w:line="480"/>
        <w:ind w:right="0" w:left="-5" w:hanging="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World Bank. (2020). What a Waste 2.0: A Global Snapshot of Solid Waste Management to 2050. </w:t>
      </w:r>
    </w:p>
    <w:p>
      <w:pPr>
        <w:spacing w:before="0" w:after="276" w:line="480"/>
        <w:ind w:right="0" w:left="720" w:firstLine="0"/>
        <w:jc w:val="left"/>
        <w:rPr>
          <w:rFonts w:ascii="Times New Roman" w:hAnsi="Times New Roman" w:cs="Times New Roman" w:eastAsia="Times New Roman"/>
          <w:color w:val="000000"/>
          <w:spacing w:val="0"/>
          <w:position w:val="0"/>
          <w:sz w:val="28"/>
          <w:shd w:fill="auto" w:val="clear"/>
        </w:rPr>
      </w:pPr>
      <w:hyperlink xmlns:r="http://schemas.openxmlformats.org/officeDocument/2006/relationships" r:id="docRId6">
        <w:r>
          <w:rPr>
            <w:rFonts w:ascii="Times New Roman" w:hAnsi="Times New Roman" w:cs="Times New Roman" w:eastAsia="Times New Roman"/>
            <w:i/>
            <w:color w:val="0000FF"/>
            <w:spacing w:val="0"/>
            <w:position w:val="0"/>
            <w:sz w:val="28"/>
            <w:u w:val="single"/>
            <w:shd w:fill="auto" w:val="clear"/>
          </w:rPr>
          <w:t xml:space="preserve">https://openknowledge.worldbank.org/handle/10986/32355</w:t>
        </w:r>
      </w:hyperlink>
    </w:p>
    <w:p>
      <w:pPr>
        <w:spacing w:before="0" w:after="410" w:line="48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6">
    <w:abstractNumId w:val="24"/>
  </w:num>
  <w:num w:numId="78">
    <w:abstractNumId w:val="18"/>
  </w:num>
  <w:num w:numId="80">
    <w:abstractNumId w:val="12"/>
  </w:num>
  <w:num w:numId="159">
    <w:abstractNumId w:val="6"/>
  </w:num>
  <w:num w:numId="67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colex.org/" Id="docRId3" Type="http://schemas.openxmlformats.org/officeDocument/2006/relationships/hyperlink" /><Relationship Target="numbering.xml" Id="docRId7" Type="http://schemas.openxmlformats.org/officeDocument/2006/relationships/numbering" /><Relationship Target="embeddings/oleObject0.bin" Id="docRId0" Type="http://schemas.openxmlformats.org/officeDocument/2006/relationships/oleObject" /><Relationship TargetMode="External" Target="https://citypopulation.de/en/nigeria/admin/kwara/NGA024006__ilorin_east/" Id="docRId2" Type="http://schemas.openxmlformats.org/officeDocument/2006/relationships/hyperlink" /><Relationship TargetMode="External" Target="https://www.unep.org/emissions-gap-report-2020" Id="docRId4" Type="http://schemas.openxmlformats.org/officeDocument/2006/relationships/hyperlink" /><Relationship TargetMode="External" Target="https://openknowledge.worldbank.org/handle/10986/32355" Id="docRId6" Type="http://schemas.openxmlformats.org/officeDocument/2006/relationships/hyperlink" /><Relationship Target="styles.xml" Id="docRId8" Type="http://schemas.openxmlformats.org/officeDocument/2006/relationships/styles" /><Relationship Target="media/image0.wmf" Id="docRId1" Type="http://schemas.openxmlformats.org/officeDocument/2006/relationships/image" /><Relationship TargetMode="External" Target="https://www.unep.org/emissions-gap-report-2020" Id="docRId5" Type="http://schemas.openxmlformats.org/officeDocument/2006/relationships/hyperlink" /></Relationships>
</file>