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22" w:rsidRDefault="00CD7522" w:rsidP="00CD7522">
      <w:pPr>
        <w:pStyle w:val="Heading1"/>
        <w:spacing w:before="0" w:beforeAutospacing="0" w:after="0" w:afterAutospacing="0" w:line="360" w:lineRule="auto"/>
        <w:jc w:val="center"/>
        <w:rPr>
          <w:rFonts w:ascii="Tahoma" w:hAnsi="Tahoma" w:cs="Tahoma"/>
          <w:sz w:val="32"/>
          <w:szCs w:val="26"/>
        </w:rPr>
      </w:pPr>
      <w:r>
        <w:rPr>
          <w:rFonts w:ascii="Tahoma" w:hAnsi="Tahoma" w:cs="Tahoma"/>
          <w:sz w:val="32"/>
          <w:szCs w:val="26"/>
        </w:rPr>
        <w:t>EXAMINATION ON THE EXTENT OF COMPLIANCE WITH INTERNATIONAL FINANCIAL REPORTING STANDARDS (IFRS)</w:t>
      </w:r>
    </w:p>
    <w:p w:rsidR="00CD7522" w:rsidRDefault="00CD7522" w:rsidP="00CD7522">
      <w:pPr>
        <w:pStyle w:val="Heading1"/>
        <w:spacing w:before="0" w:beforeAutospacing="0" w:after="0" w:afterAutospacing="0" w:line="360" w:lineRule="auto"/>
        <w:jc w:val="center"/>
        <w:rPr>
          <w:sz w:val="34"/>
          <w:szCs w:val="26"/>
        </w:rPr>
      </w:pPr>
      <w:r>
        <w:rPr>
          <w:sz w:val="34"/>
          <w:szCs w:val="26"/>
        </w:rPr>
        <w:t>(A CASE STUDY OF WEMA BANK PLC)</w:t>
      </w:r>
    </w:p>
    <w:p w:rsidR="00CD7522" w:rsidRDefault="00CD7522" w:rsidP="00CD7522">
      <w:pPr>
        <w:jc w:val="center"/>
        <w:rPr>
          <w:rFonts w:ascii="Monotype Corsiva" w:eastAsia="Calibri" w:hAnsi="Monotype Corsiva" w:cstheme="majorBidi"/>
          <w:b/>
          <w:bCs/>
          <w:sz w:val="50"/>
          <w:szCs w:val="50"/>
        </w:rPr>
      </w:pPr>
    </w:p>
    <w:p w:rsidR="00CD7522" w:rsidRDefault="00CD7522" w:rsidP="00CD7522">
      <w:pPr>
        <w:jc w:val="center"/>
        <w:rPr>
          <w:rFonts w:ascii="Monotype Corsiva" w:eastAsia="Calibri" w:hAnsi="Monotype Corsiva" w:cstheme="majorBidi"/>
          <w:b/>
          <w:bCs/>
          <w:sz w:val="50"/>
          <w:szCs w:val="50"/>
        </w:rPr>
      </w:pPr>
      <w:r>
        <w:rPr>
          <w:rFonts w:ascii="Monotype Corsiva" w:eastAsia="Calibri" w:hAnsi="Monotype Corsiva" w:cstheme="majorBidi"/>
          <w:b/>
          <w:bCs/>
          <w:sz w:val="50"/>
          <w:szCs w:val="50"/>
        </w:rPr>
        <w:t>BY</w:t>
      </w:r>
    </w:p>
    <w:p w:rsidR="00CD7522" w:rsidRDefault="00CD7522" w:rsidP="00CD7522">
      <w:pPr>
        <w:jc w:val="center"/>
        <w:rPr>
          <w:rFonts w:ascii="Tahoma" w:hAnsi="Tahoma" w:cs="Tahoma"/>
          <w:b/>
          <w:bCs/>
          <w:color w:val="333333"/>
          <w:sz w:val="38"/>
          <w:szCs w:val="32"/>
          <w:shd w:val="clear" w:color="auto" w:fill="FFFFFF"/>
        </w:rPr>
      </w:pPr>
      <w:r>
        <w:rPr>
          <w:rFonts w:ascii="Tahoma" w:hAnsi="Tahoma" w:cs="Tahoma"/>
          <w:b/>
          <w:bCs/>
          <w:color w:val="333333"/>
          <w:sz w:val="38"/>
          <w:szCs w:val="32"/>
          <w:shd w:val="clear" w:color="auto" w:fill="FFFFFF"/>
        </w:rPr>
        <w:t xml:space="preserve">MUHAMMED IBRAHIM OLAWALE </w:t>
      </w:r>
    </w:p>
    <w:p w:rsidR="00CD7522" w:rsidRDefault="00CD7522" w:rsidP="00CD7522">
      <w:pPr>
        <w:jc w:val="center"/>
        <w:rPr>
          <w:rFonts w:ascii="Times New Roman" w:eastAsia="Calibri" w:hAnsi="Times New Roman" w:cs="Times New Roman"/>
          <w:b/>
          <w:bCs/>
          <w:sz w:val="32"/>
          <w:szCs w:val="32"/>
        </w:rPr>
      </w:pPr>
      <w:r>
        <w:rPr>
          <w:rFonts w:ascii="Tahoma" w:hAnsi="Tahoma" w:cs="Tahoma"/>
          <w:b/>
          <w:color w:val="000000" w:themeColor="text1"/>
          <w:sz w:val="32"/>
          <w:szCs w:val="32"/>
          <w:shd w:val="clear" w:color="auto" w:fill="F8FAFC"/>
        </w:rPr>
        <w:t>ND/23/ACC/PT/0183</w:t>
      </w:r>
    </w:p>
    <w:p w:rsidR="00CD7522" w:rsidRDefault="00CD7522" w:rsidP="00CD7522">
      <w:pPr>
        <w:jc w:val="center"/>
        <w:rPr>
          <w:rFonts w:asciiTheme="majorBidi" w:eastAsia="Calibri" w:hAnsiTheme="majorBidi" w:cstheme="majorBidi"/>
          <w:b/>
          <w:bCs/>
          <w:sz w:val="2"/>
          <w:szCs w:val="28"/>
        </w:rPr>
      </w:pPr>
    </w:p>
    <w:p w:rsidR="00CD7522" w:rsidRDefault="00CD7522" w:rsidP="00CD7522">
      <w:pPr>
        <w:spacing w:line="360" w:lineRule="auto"/>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BEING A RESEARCH PROJECT SUBMITTED TO THE DEPARTMENT OF ACCOUNTANCY, INSTITUTE OF FINANCE AND MANAGEMENT STUDIES, KWARA STATE POLYTECHNIC, ILORIN, KWARA STATE</w:t>
      </w:r>
    </w:p>
    <w:p w:rsidR="00CD7522" w:rsidRDefault="00CD7522" w:rsidP="00CD7522">
      <w:pPr>
        <w:jc w:val="center"/>
        <w:rPr>
          <w:rFonts w:asciiTheme="majorBidi" w:eastAsia="Calibri" w:hAnsiTheme="majorBidi" w:cstheme="majorBidi"/>
          <w:b/>
          <w:bCs/>
          <w:sz w:val="6"/>
          <w:szCs w:val="2"/>
        </w:rPr>
      </w:pPr>
    </w:p>
    <w:p w:rsidR="00CD7522" w:rsidRDefault="00CD7522" w:rsidP="00CD7522">
      <w:pPr>
        <w:jc w:val="center"/>
        <w:rPr>
          <w:rFonts w:eastAsia="Calibri"/>
          <w:b/>
          <w:bCs/>
          <w:sz w:val="34"/>
          <w:szCs w:val="34"/>
        </w:rPr>
      </w:pPr>
      <w:r>
        <w:rPr>
          <w:rFonts w:eastAsia="Calibri"/>
          <w:b/>
          <w:bCs/>
          <w:sz w:val="34"/>
          <w:szCs w:val="34"/>
        </w:rPr>
        <w:t xml:space="preserve">IN PARTIAL FULFILLMENT OF THE REQUIREMENT FOR THE AWARD OF NATIONAL DIPLOMA IN ACCOUNTANCY. </w:t>
      </w:r>
    </w:p>
    <w:p w:rsidR="00CD7522" w:rsidRDefault="00CD7522" w:rsidP="00CD7522">
      <w:pPr>
        <w:ind w:left="5760" w:firstLine="720"/>
        <w:jc w:val="center"/>
        <w:rPr>
          <w:rFonts w:asciiTheme="majorBidi" w:eastAsia="Calibri" w:hAnsiTheme="majorBidi" w:cstheme="majorBidi"/>
          <w:b/>
          <w:bCs/>
          <w:sz w:val="28"/>
          <w:szCs w:val="28"/>
        </w:rPr>
      </w:pPr>
    </w:p>
    <w:p w:rsidR="00CD7522" w:rsidRDefault="00CD7522" w:rsidP="00CD7522">
      <w:pPr>
        <w:ind w:left="5760" w:firstLine="720"/>
        <w:jc w:val="center"/>
        <w:rPr>
          <w:rFonts w:asciiTheme="majorBidi" w:eastAsia="Calibri" w:hAnsiTheme="majorBidi" w:cstheme="majorBidi"/>
          <w:b/>
          <w:bCs/>
          <w:sz w:val="28"/>
          <w:szCs w:val="28"/>
        </w:rPr>
      </w:pPr>
    </w:p>
    <w:p w:rsidR="00CD7522" w:rsidRDefault="00CD7522" w:rsidP="00CD7522">
      <w:pPr>
        <w:ind w:left="5760" w:firstLine="720"/>
        <w:jc w:val="center"/>
        <w:rPr>
          <w:rFonts w:asciiTheme="majorBidi" w:eastAsia="Calibri" w:hAnsiTheme="majorBidi" w:cstheme="majorBidi"/>
          <w:b/>
          <w:bCs/>
          <w:sz w:val="2"/>
          <w:szCs w:val="2"/>
        </w:rPr>
      </w:pPr>
    </w:p>
    <w:p w:rsidR="00CD7522" w:rsidRDefault="00CD7522" w:rsidP="00CD7522">
      <w:pPr>
        <w:ind w:left="5760"/>
        <w:rPr>
          <w:rFonts w:ascii="Tahoma" w:eastAsia="Calibri" w:hAnsi="Tahoma" w:cs="Tahoma"/>
          <w:b/>
          <w:bCs/>
          <w:sz w:val="32"/>
          <w:szCs w:val="30"/>
        </w:rPr>
      </w:pPr>
      <w:r>
        <w:rPr>
          <w:rFonts w:ascii="Tahoma" w:eastAsia="Calibri" w:hAnsi="Tahoma" w:cs="Tahoma"/>
          <w:b/>
          <w:bCs/>
          <w:sz w:val="32"/>
          <w:szCs w:val="30"/>
        </w:rPr>
        <w:t>AUGUST,2025</w:t>
      </w:r>
    </w:p>
    <w:p w:rsidR="00CD7522" w:rsidRDefault="00CD7522" w:rsidP="00CD7522">
      <w:pPr>
        <w:spacing w:line="432" w:lineRule="auto"/>
        <w:jc w:val="center"/>
        <w:rPr>
          <w:rFonts w:ascii="Times New Roman" w:eastAsia="Calibri" w:hAnsi="Times New Roman" w:cs="Times New Roman"/>
          <w:b/>
          <w:bCs/>
          <w:sz w:val="24"/>
          <w:szCs w:val="24"/>
        </w:rPr>
      </w:pPr>
      <w:r>
        <w:rPr>
          <w:rFonts w:eastAsia="Calibri"/>
          <w:b/>
          <w:bCs/>
          <w:sz w:val="28"/>
          <w:szCs w:val="28"/>
        </w:rPr>
        <w:br w:type="page"/>
      </w:r>
      <w:r>
        <w:rPr>
          <w:rFonts w:ascii="Times New Roman" w:eastAsia="Calibri" w:hAnsi="Times New Roman" w:cs="Times New Roman"/>
          <w:b/>
          <w:bCs/>
          <w:sz w:val="24"/>
          <w:szCs w:val="24"/>
        </w:rPr>
        <w:lastRenderedPageBreak/>
        <w:t>CERTIFICATION</w:t>
      </w:r>
    </w:p>
    <w:p w:rsidR="00CD7522" w:rsidRDefault="00CD7522" w:rsidP="00CD7522">
      <w:pPr>
        <w:spacing w:line="432"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This project has been read and approved by the undersigned on behalf of the Department of Accountancy, Institute of Finance and Management Studies as meeting the requirement for the award of National Diploma in Accountancy.</w:t>
      </w: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after="0" w:line="240" w:lineRule="auto"/>
        <w:jc w:val="both"/>
        <w:rPr>
          <w:rFonts w:ascii="Times New Roman" w:eastAsia="Calibri" w:hAnsi="Times New Roman" w:cs="Times New Roman"/>
          <w:sz w:val="24"/>
          <w:szCs w:val="24"/>
        </w:rPr>
      </w:pPr>
    </w:p>
    <w:p w:rsidR="00CD7522" w:rsidRDefault="00CD7522" w:rsidP="00CD7522">
      <w:pPr>
        <w:spacing w:after="0" w:line="240" w:lineRule="auto"/>
        <w:jc w:val="both"/>
        <w:rPr>
          <w:rFonts w:ascii="Times New Roman" w:eastAsia="Calibri" w:hAnsi="Times New Roman" w:cs="Times New Roman"/>
          <w:sz w:val="24"/>
          <w:szCs w:val="24"/>
        </w:rPr>
      </w:pPr>
    </w:p>
    <w:p w:rsidR="00CD7522" w:rsidRDefault="00CD7522" w:rsidP="00CD752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___________________</w:t>
      </w:r>
    </w:p>
    <w:p w:rsidR="00CD7522" w:rsidRDefault="00CD7522" w:rsidP="00CD7522">
      <w:pPr>
        <w:pStyle w:val="Heading4"/>
        <w:shd w:val="clear" w:color="auto" w:fill="FFFFFF"/>
        <w:spacing w:before="0" w:line="240" w:lineRule="auto"/>
        <w:rPr>
          <w:rFonts w:ascii="Times New Roman" w:hAnsi="Times New Roman" w:cs="Times New Roman"/>
          <w:bCs w:val="0"/>
          <w:i w:val="0"/>
          <w:color w:val="212529"/>
          <w:sz w:val="24"/>
          <w:szCs w:val="24"/>
        </w:rPr>
      </w:pPr>
      <w:r>
        <w:rPr>
          <w:rFonts w:ascii="Times New Roman" w:hAnsi="Times New Roman" w:cs="Times New Roman"/>
          <w:bCs w:val="0"/>
          <w:i w:val="0"/>
          <w:color w:val="212529"/>
          <w:sz w:val="24"/>
          <w:szCs w:val="24"/>
        </w:rPr>
        <w:t>MR. RASHEED BELLO</w:t>
      </w:r>
      <w:r>
        <w:rPr>
          <w:rFonts w:ascii="Times New Roman" w:hAnsi="Times New Roman" w:cs="Times New Roman"/>
          <w:bCs w:val="0"/>
          <w:i w:val="0"/>
          <w:color w:val="212529"/>
          <w:sz w:val="24"/>
          <w:szCs w:val="24"/>
        </w:rPr>
        <w:tab/>
      </w:r>
      <w:r>
        <w:rPr>
          <w:rFonts w:ascii="Times New Roman" w:hAnsi="Times New Roman" w:cs="Times New Roman"/>
          <w:bCs w:val="0"/>
          <w:i w:val="0"/>
          <w:color w:val="212529"/>
          <w:sz w:val="24"/>
          <w:szCs w:val="24"/>
        </w:rPr>
        <w:tab/>
      </w:r>
      <w:r>
        <w:rPr>
          <w:rFonts w:ascii="Times New Roman" w:hAnsi="Times New Roman" w:cs="Times New Roman"/>
          <w:bCs w:val="0"/>
          <w:i w:val="0"/>
          <w:color w:val="212529"/>
          <w:sz w:val="24"/>
          <w:szCs w:val="24"/>
        </w:rPr>
        <w:tab/>
      </w:r>
      <w:r>
        <w:rPr>
          <w:rFonts w:ascii="Times New Roman" w:hAnsi="Times New Roman" w:cs="Times New Roman"/>
          <w:bCs w:val="0"/>
          <w:i w:val="0"/>
          <w:color w:val="212529"/>
          <w:sz w:val="24"/>
          <w:szCs w:val="24"/>
        </w:rPr>
        <w:tab/>
      </w:r>
      <w:r>
        <w:rPr>
          <w:rFonts w:ascii="Times New Roman" w:hAnsi="Times New Roman" w:cs="Times New Roman"/>
          <w:bCs w:val="0"/>
          <w:i w:val="0"/>
          <w:color w:val="212529"/>
          <w:sz w:val="24"/>
          <w:szCs w:val="24"/>
        </w:rPr>
        <w:tab/>
      </w:r>
      <w:r>
        <w:rPr>
          <w:rFonts w:ascii="Times New Roman" w:hAnsi="Times New Roman" w:cs="Times New Roman"/>
          <w:bCs w:val="0"/>
          <w:i w:val="0"/>
          <w:color w:val="212529"/>
          <w:sz w:val="24"/>
          <w:szCs w:val="24"/>
        </w:rPr>
        <w:tab/>
      </w:r>
      <w:r>
        <w:rPr>
          <w:rFonts w:ascii="Times New Roman" w:eastAsia="Calibri" w:hAnsi="Times New Roman" w:cs="Times New Roman"/>
          <w:i w:val="0"/>
          <w:color w:val="000000" w:themeColor="text1"/>
          <w:sz w:val="24"/>
          <w:szCs w:val="24"/>
        </w:rPr>
        <w:t>DATE</w:t>
      </w:r>
    </w:p>
    <w:p w:rsidR="00CD7522" w:rsidRDefault="00CD7522" w:rsidP="00CD752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(PROJECT SUPERVISOR)</w:t>
      </w:r>
    </w:p>
    <w:p w:rsidR="00CD7522" w:rsidRDefault="00CD7522" w:rsidP="00CD7522">
      <w:pPr>
        <w:spacing w:line="432" w:lineRule="auto"/>
        <w:jc w:val="both"/>
        <w:rPr>
          <w:rFonts w:ascii="Times New Roman" w:eastAsia="Calibri" w:hAnsi="Times New Roman" w:cs="Times New Roman"/>
          <w:b/>
          <w:bCs/>
          <w:sz w:val="24"/>
          <w:szCs w:val="24"/>
        </w:rPr>
      </w:pPr>
    </w:p>
    <w:p w:rsidR="00CD7522" w:rsidRDefault="00CD7522" w:rsidP="00CD7522">
      <w:pPr>
        <w:jc w:val="both"/>
        <w:rPr>
          <w:rFonts w:ascii="Times New Roman" w:eastAsia="Calibri" w:hAnsi="Times New Roman" w:cs="Times New Roman"/>
          <w:b/>
          <w:bCs/>
          <w:sz w:val="24"/>
          <w:szCs w:val="24"/>
        </w:rPr>
      </w:pPr>
    </w:p>
    <w:p w:rsidR="00CD7522" w:rsidRDefault="00CD7522" w:rsidP="00CD752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___________________</w:t>
      </w:r>
    </w:p>
    <w:p w:rsidR="00CD7522" w:rsidRDefault="00CD7522" w:rsidP="00CD7522">
      <w:pPr>
        <w:pStyle w:val="normal0"/>
        <w:widowControl w:val="0"/>
        <w:rPr>
          <w:rFonts w:ascii="Times New Roman" w:hAnsi="Times New Roman" w:cs="Times New Roman"/>
          <w:color w:val="D6D600"/>
          <w:sz w:val="24"/>
          <w:szCs w:val="24"/>
        </w:rPr>
      </w:pPr>
      <w:r w:rsidRPr="00F52652">
        <w:rPr>
          <w:rFonts w:ascii="Times New Roman" w:hAnsi="Times New Roman" w:cs="Times New Roman"/>
          <w:b/>
          <w:color w:val="212529"/>
          <w:sz w:val="24"/>
          <w:szCs w:val="24"/>
        </w:rPr>
        <w:t>MR. HASSAN .O. ABDUL</w:t>
      </w:r>
      <w:r>
        <w:rPr>
          <w:rFonts w:ascii="Times New Roman" w:hAnsi="Times New Roman" w:cs="Times New Roman"/>
          <w:color w:val="191900"/>
          <w:sz w:val="24"/>
          <w:szCs w:val="24"/>
        </w:rPr>
        <w:tab/>
      </w:r>
      <w:r>
        <w:rPr>
          <w:rFonts w:ascii="Times New Roman" w:hAnsi="Times New Roman" w:cs="Times New Roman"/>
          <w:color w:val="191900"/>
          <w:sz w:val="24"/>
          <w:szCs w:val="24"/>
        </w:rPr>
        <w:tab/>
      </w:r>
      <w:r>
        <w:rPr>
          <w:rFonts w:ascii="Times New Roman" w:hAnsi="Times New Roman" w:cs="Times New Roman"/>
          <w:color w:val="191900"/>
          <w:sz w:val="24"/>
          <w:szCs w:val="24"/>
        </w:rPr>
        <w:tab/>
      </w:r>
      <w:r>
        <w:rPr>
          <w:rFonts w:ascii="Times New Roman" w:hAnsi="Times New Roman" w:cs="Times New Roman"/>
          <w:color w:val="191900"/>
          <w:sz w:val="24"/>
          <w:szCs w:val="24"/>
        </w:rPr>
        <w:tab/>
      </w:r>
      <w:r>
        <w:rPr>
          <w:rFonts w:ascii="Times New Roman" w:hAnsi="Times New Roman" w:cs="Times New Roman"/>
          <w:color w:val="191900"/>
          <w:sz w:val="24"/>
          <w:szCs w:val="24"/>
        </w:rPr>
        <w:tab/>
      </w:r>
      <w:r>
        <w:rPr>
          <w:rFonts w:ascii="Times New Roman" w:hAnsi="Times New Roman" w:cs="Times New Roman"/>
          <w:color w:val="191900"/>
          <w:sz w:val="24"/>
          <w:szCs w:val="24"/>
        </w:rPr>
        <w:tab/>
      </w:r>
      <w:r>
        <w:rPr>
          <w:rFonts w:ascii="Times New Roman" w:hAnsi="Times New Roman" w:cs="Times New Roman"/>
          <w:b/>
          <w:bCs/>
          <w:sz w:val="24"/>
          <w:szCs w:val="24"/>
        </w:rPr>
        <w:t>DATE</w:t>
      </w:r>
    </w:p>
    <w:p w:rsidR="00CD7522" w:rsidRDefault="00CD7522" w:rsidP="00CD7522">
      <w:pPr>
        <w:tabs>
          <w:tab w:val="left" w:pos="720"/>
          <w:tab w:val="left" w:pos="1440"/>
          <w:tab w:val="left" w:pos="2160"/>
          <w:tab w:val="left" w:pos="2880"/>
          <w:tab w:val="left" w:pos="3600"/>
          <w:tab w:val="left" w:pos="4320"/>
          <w:tab w:val="left" w:pos="5415"/>
        </w:tabs>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(PROJECT COORDINATOR)</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CD7522" w:rsidRDefault="00CD7522" w:rsidP="00CD7522">
      <w:pPr>
        <w:spacing w:line="432" w:lineRule="auto"/>
        <w:jc w:val="both"/>
        <w:rPr>
          <w:rFonts w:ascii="Times New Roman" w:eastAsia="Calibri" w:hAnsi="Times New Roman" w:cs="Times New Roman"/>
          <w:b/>
          <w:bCs/>
          <w:sz w:val="36"/>
          <w:szCs w:val="24"/>
        </w:rPr>
      </w:pPr>
    </w:p>
    <w:p w:rsidR="00CD7522" w:rsidRDefault="00CD7522" w:rsidP="00CD7522">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___________________</w:t>
      </w:r>
    </w:p>
    <w:p w:rsidR="00CD7522" w:rsidRDefault="00CD7522" w:rsidP="00CD7522">
      <w:pPr>
        <w:pStyle w:val="normal0"/>
        <w:widowControl w:val="0"/>
        <w:rPr>
          <w:rFonts w:ascii="Times New Roman" w:hAnsi="Times New Roman" w:cs="Times New Roman"/>
          <w:b/>
          <w:color w:val="2A2A00"/>
          <w:sz w:val="24"/>
          <w:szCs w:val="24"/>
        </w:rPr>
      </w:pPr>
      <w:r>
        <w:rPr>
          <w:rFonts w:ascii="Times New Roman" w:hAnsi="Times New Roman" w:cs="Times New Roman"/>
          <w:b/>
          <w:color w:val="2A2A00"/>
          <w:sz w:val="24"/>
          <w:szCs w:val="24"/>
        </w:rPr>
        <w:t>MR. ELELU M.O</w:t>
      </w:r>
      <w:r>
        <w:rPr>
          <w:rFonts w:ascii="Times New Roman" w:hAnsi="Times New Roman" w:cs="Times New Roman"/>
          <w:b/>
          <w:color w:val="2A2A00"/>
          <w:sz w:val="24"/>
          <w:szCs w:val="24"/>
        </w:rPr>
        <w:tab/>
      </w:r>
      <w:r>
        <w:rPr>
          <w:rFonts w:ascii="Times New Roman" w:hAnsi="Times New Roman" w:cs="Times New Roman"/>
          <w:b/>
          <w:color w:val="2A2A00"/>
          <w:sz w:val="24"/>
          <w:szCs w:val="24"/>
        </w:rPr>
        <w:tab/>
      </w:r>
      <w:r>
        <w:rPr>
          <w:rFonts w:ascii="Times New Roman" w:hAnsi="Times New Roman" w:cs="Times New Roman"/>
          <w:b/>
          <w:color w:val="2A2A00"/>
          <w:sz w:val="24"/>
          <w:szCs w:val="24"/>
        </w:rPr>
        <w:tab/>
      </w:r>
      <w:r>
        <w:rPr>
          <w:rFonts w:ascii="Times New Roman" w:hAnsi="Times New Roman" w:cs="Times New Roman"/>
          <w:b/>
          <w:color w:val="2A2A00"/>
          <w:sz w:val="24"/>
          <w:szCs w:val="24"/>
        </w:rPr>
        <w:tab/>
      </w:r>
      <w:r>
        <w:rPr>
          <w:rFonts w:ascii="Times New Roman" w:hAnsi="Times New Roman" w:cs="Times New Roman"/>
          <w:b/>
          <w:color w:val="2A2A00"/>
          <w:sz w:val="24"/>
          <w:szCs w:val="24"/>
        </w:rPr>
        <w:tab/>
      </w:r>
      <w:r>
        <w:rPr>
          <w:rFonts w:ascii="Times New Roman" w:hAnsi="Times New Roman" w:cs="Times New Roman"/>
          <w:b/>
          <w:color w:val="2A2A00"/>
          <w:sz w:val="24"/>
          <w:szCs w:val="24"/>
        </w:rPr>
        <w:tab/>
      </w:r>
      <w:r>
        <w:rPr>
          <w:rFonts w:ascii="Times New Roman" w:hAnsi="Times New Roman" w:cs="Times New Roman"/>
          <w:b/>
          <w:color w:val="2A2A00"/>
          <w:sz w:val="24"/>
          <w:szCs w:val="24"/>
        </w:rPr>
        <w:tab/>
      </w:r>
      <w:r>
        <w:rPr>
          <w:rFonts w:ascii="Times New Roman" w:hAnsi="Times New Roman" w:cs="Times New Roman"/>
          <w:b/>
          <w:bCs/>
          <w:sz w:val="24"/>
          <w:szCs w:val="24"/>
        </w:rPr>
        <w:t>DATE</w:t>
      </w:r>
    </w:p>
    <w:p w:rsidR="00CD7522" w:rsidRDefault="00CD7522" w:rsidP="00CD7522">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(HEAD OF DEPARTMENT)</w:t>
      </w:r>
    </w:p>
    <w:p w:rsidR="00CD7522" w:rsidRDefault="00CD7522" w:rsidP="00CD7522">
      <w:pPr>
        <w:spacing w:line="432" w:lineRule="auto"/>
        <w:jc w:val="both"/>
        <w:rPr>
          <w:rFonts w:ascii="Times New Roman" w:eastAsia="Calibri" w:hAnsi="Times New Roman" w:cs="Times New Roman"/>
          <w:b/>
          <w:bCs/>
          <w:sz w:val="24"/>
          <w:szCs w:val="24"/>
        </w:rPr>
      </w:pPr>
    </w:p>
    <w:p w:rsidR="00CD7522" w:rsidRDefault="00CD7522" w:rsidP="00CD7522">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___________________</w:t>
      </w:r>
    </w:p>
    <w:p w:rsidR="00CD7522" w:rsidRDefault="00CD7522" w:rsidP="00CD7522">
      <w:pPr>
        <w:pStyle w:val="normal0"/>
        <w:widowControl w:val="0"/>
        <w:rPr>
          <w:rFonts w:ascii="Times New Roman" w:hAnsi="Times New Roman" w:cs="Times New Roman"/>
          <w:b/>
          <w:color w:val="2A2A00"/>
          <w:sz w:val="24"/>
          <w:szCs w:val="24"/>
        </w:rPr>
      </w:pPr>
      <w:r>
        <w:rPr>
          <w:rFonts w:ascii="Times New Roman" w:hAnsi="Times New Roman" w:cs="Times New Roman"/>
          <w:b/>
          <w:color w:val="2A2A00"/>
          <w:sz w:val="24"/>
          <w:szCs w:val="24"/>
        </w:rPr>
        <w:t>MR. ABDULRAHMAN ABDULLATEEF (FCA)</w:t>
      </w:r>
      <w:r>
        <w:rPr>
          <w:rFonts w:ascii="Times New Roman" w:hAnsi="Times New Roman" w:cs="Times New Roman"/>
          <w:b/>
          <w:color w:val="2A2A00"/>
          <w:sz w:val="24"/>
          <w:szCs w:val="24"/>
        </w:rPr>
        <w:tab/>
      </w:r>
      <w:r>
        <w:rPr>
          <w:rFonts w:ascii="Times New Roman" w:hAnsi="Times New Roman" w:cs="Times New Roman"/>
          <w:b/>
          <w:color w:val="2A2A00"/>
          <w:sz w:val="24"/>
          <w:szCs w:val="24"/>
        </w:rPr>
        <w:tab/>
      </w:r>
      <w:r>
        <w:rPr>
          <w:rFonts w:ascii="Times New Roman" w:hAnsi="Times New Roman" w:cs="Times New Roman"/>
          <w:b/>
          <w:color w:val="2A2A00"/>
          <w:sz w:val="24"/>
          <w:szCs w:val="24"/>
        </w:rPr>
        <w:tab/>
      </w:r>
      <w:r>
        <w:rPr>
          <w:rFonts w:ascii="Times New Roman" w:hAnsi="Times New Roman" w:cs="Times New Roman"/>
          <w:b/>
          <w:bCs/>
          <w:sz w:val="24"/>
          <w:szCs w:val="24"/>
        </w:rPr>
        <w:t>DATE</w:t>
      </w:r>
    </w:p>
    <w:p w:rsidR="00CD7522" w:rsidRDefault="00CD7522" w:rsidP="00CD7522">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(EXTERNAL EXAMINER)</w:t>
      </w: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CD7522" w:rsidRDefault="00CD7522" w:rsidP="00CD7522">
      <w:pPr>
        <w:spacing w:line="432"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DEDICATION</w:t>
      </w:r>
    </w:p>
    <w:p w:rsidR="00CD7522" w:rsidRDefault="00CD7522" w:rsidP="00CD7522">
      <w:pPr>
        <w:spacing w:line="432"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This project is dedicated to the Almighty Allah. The source of all knowledge who has showered His protection, mercy and blessing over me as there is nothing with me to give as an appreciation of His uncommon favor upon me that to clarify the name of Almighty Allah.</w:t>
      </w:r>
    </w:p>
    <w:p w:rsidR="00CD7522" w:rsidRDefault="00CD7522" w:rsidP="00CD7522">
      <w:pPr>
        <w:spacing w:line="43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line="432" w:lineRule="auto"/>
        <w:jc w:val="both"/>
        <w:rPr>
          <w:rFonts w:ascii="Times New Roman" w:eastAsia="Calibri" w:hAnsi="Times New Roman" w:cs="Times New Roman"/>
          <w:sz w:val="24"/>
          <w:szCs w:val="24"/>
        </w:rPr>
      </w:pPr>
    </w:p>
    <w:p w:rsidR="00CD7522" w:rsidRDefault="00CD7522" w:rsidP="00CD7522">
      <w:pPr>
        <w:spacing w:line="432" w:lineRule="auto"/>
        <w:jc w:val="center"/>
        <w:rPr>
          <w:rFonts w:ascii="Times New Roman" w:hAnsi="Times New Roman" w:cs="Times New Roman"/>
          <w:b/>
          <w:sz w:val="24"/>
          <w:szCs w:val="24"/>
        </w:rPr>
      </w:pPr>
      <w:r>
        <w:rPr>
          <w:rFonts w:ascii="Times New Roman" w:hAnsi="Times New Roman" w:cs="Times New Roman"/>
          <w:b/>
          <w:sz w:val="24"/>
          <w:szCs w:val="24"/>
        </w:rPr>
        <w:t>ACKNOWLEDGEMENT</w:t>
      </w:r>
    </w:p>
    <w:p w:rsidR="00CD7522" w:rsidRDefault="00CD7522" w:rsidP="00CD7522">
      <w:pPr>
        <w:spacing w:line="432" w:lineRule="auto"/>
        <w:jc w:val="both"/>
        <w:rPr>
          <w:rFonts w:ascii="Times New Roman" w:hAnsi="Times New Roman" w:cs="Times New Roman"/>
          <w:sz w:val="24"/>
          <w:szCs w:val="24"/>
        </w:rPr>
      </w:pPr>
      <w:r>
        <w:rPr>
          <w:rFonts w:ascii="Times New Roman" w:hAnsi="Times New Roman" w:cs="Times New Roman"/>
          <w:sz w:val="24"/>
          <w:szCs w:val="24"/>
        </w:rPr>
        <w:tab/>
        <w:t>First and foremost, I would like to thank Almighty Allah for giving me the strength, knowledge, ability and opportunity to undertake this project and to perceive and complete it. Without his mercy and blessings this achievement would not have been possible.</w:t>
      </w:r>
    </w:p>
    <w:p w:rsidR="00CD7522" w:rsidRDefault="00CD7522" w:rsidP="00CD7522">
      <w:pPr>
        <w:spacing w:line="432" w:lineRule="auto"/>
        <w:jc w:val="both"/>
        <w:rPr>
          <w:rFonts w:ascii="Times New Roman" w:hAnsi="Times New Roman" w:cs="Times New Roman"/>
          <w:sz w:val="24"/>
          <w:szCs w:val="24"/>
        </w:rPr>
      </w:pPr>
      <w:r>
        <w:rPr>
          <w:rFonts w:ascii="Times New Roman" w:hAnsi="Times New Roman" w:cs="Times New Roman"/>
          <w:sz w:val="24"/>
          <w:szCs w:val="24"/>
        </w:rPr>
        <w:tab/>
        <w:t xml:space="preserve">My sincere gratitude goes to my parent, </w:t>
      </w:r>
      <w:r>
        <w:rPr>
          <w:rFonts w:ascii="Times New Roman" w:hAnsi="Times New Roman" w:cs="Times New Roman"/>
          <w:b/>
          <w:sz w:val="24"/>
          <w:szCs w:val="24"/>
        </w:rPr>
        <w:t>MR. &amp; MRS. IBRAHIM</w:t>
      </w:r>
      <w:r>
        <w:rPr>
          <w:rFonts w:ascii="Times New Roman" w:hAnsi="Times New Roman" w:cs="Times New Roman"/>
          <w:sz w:val="24"/>
          <w:szCs w:val="24"/>
        </w:rPr>
        <w:t xml:space="preserve"> for their prayers, financial and moral support throughout my program. May the Lord reward you both with long life and abundant blessing.</w:t>
      </w:r>
    </w:p>
    <w:p w:rsidR="00CD7522" w:rsidRDefault="00CD7522" w:rsidP="00CD7522">
      <w:pPr>
        <w:spacing w:line="432" w:lineRule="auto"/>
        <w:jc w:val="both"/>
        <w:rPr>
          <w:rFonts w:ascii="Times New Roman" w:eastAsia="Calibri" w:hAnsi="Times New Roman" w:cs="Times New Roman"/>
          <w:b/>
          <w:bCs/>
          <w:sz w:val="24"/>
          <w:szCs w:val="24"/>
        </w:rPr>
      </w:pPr>
      <w:r>
        <w:rPr>
          <w:rFonts w:ascii="Times New Roman" w:hAnsi="Times New Roman" w:cs="Times New Roman"/>
          <w:sz w:val="24"/>
          <w:szCs w:val="24"/>
        </w:rPr>
        <w:tab/>
        <w:t xml:space="preserve">I would like to express my gratitude to my most able project supervisor, </w:t>
      </w:r>
      <w:r>
        <w:rPr>
          <w:rFonts w:ascii="Times New Roman" w:eastAsia="Calibri" w:hAnsi="Times New Roman" w:cs="Times New Roman"/>
          <w:b/>
          <w:bCs/>
          <w:sz w:val="24"/>
          <w:szCs w:val="24"/>
        </w:rPr>
        <w:t>MR. RASHEED BELLO</w:t>
      </w:r>
      <w:r>
        <w:rPr>
          <w:rFonts w:ascii="Times New Roman" w:hAnsi="Times New Roman" w:cs="Times New Roman"/>
          <w:sz w:val="24"/>
          <w:szCs w:val="24"/>
        </w:rPr>
        <w:t xml:space="preserve"> for his contribution guidance through suspension during this project work.</w:t>
      </w:r>
    </w:p>
    <w:p w:rsidR="00CD7522" w:rsidRDefault="00CD7522" w:rsidP="00CD7522">
      <w:pPr>
        <w:spacing w:line="432" w:lineRule="auto"/>
        <w:jc w:val="both"/>
        <w:rPr>
          <w:rFonts w:ascii="Times New Roman" w:hAnsi="Times New Roman" w:cs="Times New Roman"/>
          <w:sz w:val="24"/>
          <w:szCs w:val="24"/>
        </w:rPr>
      </w:pPr>
      <w:r>
        <w:rPr>
          <w:rFonts w:ascii="Times New Roman" w:hAnsi="Times New Roman" w:cs="Times New Roman"/>
          <w:sz w:val="24"/>
          <w:szCs w:val="24"/>
        </w:rPr>
        <w:tab/>
        <w:t>My sincere gratitude also goes to lectures in the department of Accountancy too numerous to mention.</w:t>
      </w:r>
    </w:p>
    <w:p w:rsidR="00CD7522" w:rsidRDefault="00CD7522" w:rsidP="00CD7522">
      <w:pPr>
        <w:spacing w:line="432" w:lineRule="auto"/>
        <w:jc w:val="both"/>
        <w:rPr>
          <w:rFonts w:ascii="Times New Roman" w:eastAsia="Calibri" w:hAnsi="Times New Roman" w:cs="Times New Roman"/>
          <w:b/>
          <w:bCs/>
          <w:sz w:val="24"/>
          <w:szCs w:val="24"/>
        </w:rPr>
      </w:pPr>
      <w:r>
        <w:rPr>
          <w:rFonts w:ascii="Times New Roman" w:hAnsi="Times New Roman" w:cs="Times New Roman"/>
          <w:sz w:val="24"/>
          <w:szCs w:val="24"/>
        </w:rPr>
        <w:tab/>
        <w:t>I would also love to appreciate the efforts of my squad, my beloved friends</w:t>
      </w:r>
    </w:p>
    <w:p w:rsidR="00CD7522" w:rsidRDefault="00CD7522" w:rsidP="00CD7522">
      <w:pPr>
        <w:spacing w:line="432" w:lineRule="auto"/>
        <w:jc w:val="both"/>
        <w:rPr>
          <w:rFonts w:ascii="Times New Roman" w:eastAsia="Calibri" w:hAnsi="Times New Roman" w:cs="Times New Roman"/>
          <w:bCs/>
          <w:sz w:val="24"/>
          <w:szCs w:val="24"/>
        </w:rPr>
      </w:pPr>
      <w:r>
        <w:rPr>
          <w:rFonts w:ascii="Times New Roman" w:hAnsi="Times New Roman" w:cs="Times New Roman"/>
          <w:sz w:val="24"/>
          <w:szCs w:val="24"/>
        </w:rPr>
        <w:tab/>
      </w:r>
      <w:r>
        <w:rPr>
          <w:rFonts w:ascii="Times New Roman" w:eastAsia="Calibri" w:hAnsi="Times New Roman" w:cs="Times New Roman"/>
          <w:bCs/>
          <w:sz w:val="24"/>
          <w:szCs w:val="24"/>
        </w:rPr>
        <w:t>To you all I say thanks and May Almighty Allah bless you all</w:t>
      </w:r>
    </w:p>
    <w:p w:rsidR="00CD7522" w:rsidRDefault="00CD7522" w:rsidP="00CD7522">
      <w:pPr>
        <w:spacing w:line="432"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CD7522" w:rsidRDefault="00CD7522" w:rsidP="00CD7522">
      <w:pPr>
        <w:spacing w:line="432"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CD7522" w:rsidRDefault="00CD7522" w:rsidP="00CD7522">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t>TABLE OF CONTENTS</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t>i</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Certification……………………………………………………</w:t>
      </w:r>
      <w:r>
        <w:rPr>
          <w:rFonts w:ascii="Times New Roman" w:eastAsia="Calibri" w:hAnsi="Times New Roman" w:cs="Times New Roman"/>
          <w:sz w:val="26"/>
          <w:szCs w:val="26"/>
        </w:rPr>
        <w:tab/>
        <w:t xml:space="preserve">ii </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Dedication……………………………………………………</w:t>
      </w:r>
      <w:r>
        <w:rPr>
          <w:rFonts w:ascii="Times New Roman" w:eastAsia="Calibri" w:hAnsi="Times New Roman" w:cs="Times New Roman"/>
          <w:sz w:val="26"/>
          <w:szCs w:val="26"/>
        </w:rPr>
        <w:tab/>
        <w:t>.</w:t>
      </w:r>
      <w:r>
        <w:rPr>
          <w:rFonts w:ascii="Times New Roman" w:eastAsia="Calibri" w:hAnsi="Times New Roman" w:cs="Times New Roman"/>
          <w:sz w:val="26"/>
          <w:szCs w:val="26"/>
        </w:rPr>
        <w:tab/>
        <w:t>iii</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Acknowledgement……………………………………………</w:t>
      </w:r>
      <w:r>
        <w:rPr>
          <w:rFonts w:ascii="Times New Roman" w:eastAsia="Calibri" w:hAnsi="Times New Roman" w:cs="Times New Roman"/>
          <w:sz w:val="26"/>
          <w:szCs w:val="26"/>
        </w:rPr>
        <w:tab/>
      </w:r>
      <w:r>
        <w:rPr>
          <w:rFonts w:ascii="Times New Roman" w:eastAsia="Calibri" w:hAnsi="Times New Roman" w:cs="Times New Roman"/>
          <w:sz w:val="26"/>
          <w:szCs w:val="26"/>
        </w:rPr>
        <w:tab/>
        <w:t>iv</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of contents………………………………………………</w:t>
      </w:r>
      <w:r>
        <w:rPr>
          <w:rFonts w:ascii="Times New Roman" w:eastAsia="Calibri" w:hAnsi="Times New Roman" w:cs="Times New Roman"/>
          <w:sz w:val="26"/>
          <w:szCs w:val="26"/>
        </w:rPr>
        <w:tab/>
        <w:t>v</w:t>
      </w:r>
    </w:p>
    <w:p w:rsidR="00CD7522" w:rsidRDefault="00CD7522" w:rsidP="00CD7522">
      <w:pPr>
        <w:spacing w:after="0" w:line="360" w:lineRule="auto"/>
        <w:jc w:val="both"/>
        <w:rPr>
          <w:rFonts w:ascii="Times New Roman" w:eastAsia="Calibri" w:hAnsi="Times New Roman" w:cs="Times New Roman"/>
          <w:b/>
          <w:bCs/>
          <w:sz w:val="12"/>
          <w:szCs w:val="26"/>
        </w:rPr>
      </w:pPr>
    </w:p>
    <w:p w:rsidR="00CD7522" w:rsidRDefault="00CD7522" w:rsidP="00CD7522">
      <w:pPr>
        <w:spacing w:after="0"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CHAPTER ONE: INTRODUCTION</w:t>
      </w:r>
    </w:p>
    <w:p w:rsidR="00CD7522" w:rsidRDefault="00CD7522" w:rsidP="00CD7522">
      <w:pPr>
        <w:pStyle w:val="ListParagraph"/>
        <w:numPr>
          <w:ilvl w:val="1"/>
          <w:numId w:val="30"/>
        </w:num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Background of the Study………………………..….…</w:t>
      </w:r>
      <w:r>
        <w:rPr>
          <w:rFonts w:ascii="Times New Roman" w:eastAsia="Calibri" w:hAnsi="Times New Roman" w:cs="Times New Roman"/>
          <w:sz w:val="26"/>
          <w:szCs w:val="26"/>
        </w:rPr>
        <w:tab/>
      </w:r>
      <w:r>
        <w:rPr>
          <w:rFonts w:ascii="Times New Roman" w:eastAsia="Calibri" w:hAnsi="Times New Roman" w:cs="Times New Roman"/>
          <w:sz w:val="26"/>
          <w:szCs w:val="26"/>
        </w:rPr>
        <w:tab/>
        <w:t>1</w:t>
      </w:r>
    </w:p>
    <w:p w:rsidR="00CD7522" w:rsidRDefault="00CD7522" w:rsidP="00CD7522">
      <w:pPr>
        <w:pStyle w:val="ListParagraph"/>
        <w:numPr>
          <w:ilvl w:val="1"/>
          <w:numId w:val="30"/>
        </w:num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Statement of the Problem……………………………</w:t>
      </w:r>
      <w:r>
        <w:rPr>
          <w:rFonts w:ascii="Times New Roman" w:eastAsia="Calibri" w:hAnsi="Times New Roman" w:cs="Times New Roman"/>
          <w:sz w:val="26"/>
          <w:szCs w:val="26"/>
        </w:rPr>
        <w:tab/>
      </w:r>
      <w:r>
        <w:rPr>
          <w:rFonts w:ascii="Times New Roman" w:eastAsia="Calibri" w:hAnsi="Times New Roman" w:cs="Times New Roman"/>
          <w:sz w:val="26"/>
          <w:szCs w:val="26"/>
        </w:rPr>
        <w:tab/>
        <w:t>3</w:t>
      </w:r>
    </w:p>
    <w:p w:rsidR="00CD7522" w:rsidRDefault="00CD7522" w:rsidP="00CD7522">
      <w:pPr>
        <w:pStyle w:val="ListParagraph"/>
        <w:numPr>
          <w:ilvl w:val="1"/>
          <w:numId w:val="30"/>
        </w:num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Research question……………………………………</w:t>
      </w:r>
      <w:r>
        <w:rPr>
          <w:rFonts w:ascii="Times New Roman" w:eastAsia="Calibri" w:hAnsi="Times New Roman" w:cs="Times New Roman"/>
          <w:sz w:val="26"/>
          <w:szCs w:val="26"/>
        </w:rPr>
        <w:tab/>
      </w:r>
      <w:r>
        <w:rPr>
          <w:rFonts w:ascii="Times New Roman" w:eastAsia="Calibri" w:hAnsi="Times New Roman" w:cs="Times New Roman"/>
          <w:sz w:val="26"/>
          <w:szCs w:val="26"/>
        </w:rPr>
        <w:tab/>
        <w:t>4</w:t>
      </w:r>
    </w:p>
    <w:p w:rsidR="00CD7522" w:rsidRDefault="00CD7522" w:rsidP="00CD7522">
      <w:pPr>
        <w:pStyle w:val="ListParagraph"/>
        <w:numPr>
          <w:ilvl w:val="1"/>
          <w:numId w:val="30"/>
        </w:num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Objective of the study…………………………………..</w:t>
      </w:r>
      <w:r>
        <w:rPr>
          <w:rFonts w:ascii="Times New Roman" w:eastAsia="Calibri" w:hAnsi="Times New Roman" w:cs="Times New Roman"/>
          <w:sz w:val="26"/>
          <w:szCs w:val="26"/>
        </w:rPr>
        <w:tab/>
        <w:t>4</w:t>
      </w:r>
    </w:p>
    <w:p w:rsidR="00CD7522" w:rsidRDefault="00CD7522" w:rsidP="00CD7522">
      <w:pPr>
        <w:pStyle w:val="ListParagraph"/>
        <w:numPr>
          <w:ilvl w:val="1"/>
          <w:numId w:val="30"/>
        </w:num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Research Hypothesis…………………..……………….</w:t>
      </w:r>
      <w:r>
        <w:rPr>
          <w:rFonts w:ascii="Times New Roman" w:eastAsia="Calibri" w:hAnsi="Times New Roman" w:cs="Times New Roman"/>
          <w:sz w:val="26"/>
          <w:szCs w:val="26"/>
        </w:rPr>
        <w:tab/>
        <w:t>4</w:t>
      </w:r>
    </w:p>
    <w:p w:rsidR="00CD7522" w:rsidRDefault="00CD7522" w:rsidP="00CD7522">
      <w:pPr>
        <w:pStyle w:val="ListParagraph"/>
        <w:numPr>
          <w:ilvl w:val="1"/>
          <w:numId w:val="30"/>
        </w:num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Significance of the Study……………………………….</w:t>
      </w:r>
      <w:r>
        <w:rPr>
          <w:rFonts w:ascii="Times New Roman" w:eastAsia="Calibri" w:hAnsi="Times New Roman" w:cs="Times New Roman"/>
          <w:sz w:val="26"/>
          <w:szCs w:val="26"/>
        </w:rPr>
        <w:tab/>
        <w:t>5</w:t>
      </w:r>
    </w:p>
    <w:p w:rsidR="00CD7522" w:rsidRDefault="00CD7522" w:rsidP="00CD7522">
      <w:pPr>
        <w:pStyle w:val="ListParagraph"/>
        <w:numPr>
          <w:ilvl w:val="1"/>
          <w:numId w:val="30"/>
        </w:num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Scope of the Study……………………………….……..</w:t>
      </w:r>
      <w:r>
        <w:rPr>
          <w:rFonts w:ascii="Times New Roman" w:eastAsia="Calibri" w:hAnsi="Times New Roman" w:cs="Times New Roman"/>
          <w:sz w:val="26"/>
          <w:szCs w:val="26"/>
        </w:rPr>
        <w:tab/>
        <w:t>6</w:t>
      </w:r>
    </w:p>
    <w:p w:rsidR="00CD7522" w:rsidRDefault="00CD7522" w:rsidP="00CD7522">
      <w:pPr>
        <w:pStyle w:val="ListParagraph"/>
        <w:numPr>
          <w:ilvl w:val="1"/>
          <w:numId w:val="30"/>
        </w:num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Limitation of the Study……………………..………….</w:t>
      </w:r>
      <w:r>
        <w:rPr>
          <w:rFonts w:ascii="Times New Roman" w:eastAsia="Calibri" w:hAnsi="Times New Roman" w:cs="Times New Roman"/>
          <w:sz w:val="26"/>
          <w:szCs w:val="26"/>
        </w:rPr>
        <w:tab/>
      </w:r>
      <w:r>
        <w:rPr>
          <w:rFonts w:ascii="Times New Roman" w:eastAsia="Calibri" w:hAnsi="Times New Roman" w:cs="Times New Roman"/>
          <w:sz w:val="26"/>
          <w:szCs w:val="26"/>
        </w:rPr>
        <w:tab/>
        <w:t>6</w:t>
      </w:r>
    </w:p>
    <w:p w:rsidR="00CD7522" w:rsidRDefault="00CD7522" w:rsidP="00CD7522">
      <w:pPr>
        <w:pStyle w:val="ListParagraph"/>
        <w:numPr>
          <w:ilvl w:val="1"/>
          <w:numId w:val="30"/>
        </w:num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Operational Definition of Terms……………………….</w:t>
      </w:r>
      <w:r>
        <w:rPr>
          <w:rFonts w:ascii="Times New Roman" w:eastAsia="Calibri" w:hAnsi="Times New Roman" w:cs="Times New Roman"/>
          <w:sz w:val="26"/>
          <w:szCs w:val="26"/>
        </w:rPr>
        <w:tab/>
        <w:t>6</w:t>
      </w:r>
    </w:p>
    <w:p w:rsidR="00CD7522" w:rsidRDefault="00CD7522" w:rsidP="00CD7522">
      <w:pPr>
        <w:spacing w:after="0" w:line="360" w:lineRule="auto"/>
        <w:jc w:val="both"/>
        <w:rPr>
          <w:rFonts w:ascii="Times New Roman" w:eastAsia="Calibri" w:hAnsi="Times New Roman" w:cs="Times New Roman"/>
          <w:b/>
          <w:bCs/>
          <w:sz w:val="12"/>
          <w:szCs w:val="26"/>
        </w:rPr>
      </w:pPr>
    </w:p>
    <w:p w:rsidR="00CD7522" w:rsidRDefault="00CD7522" w:rsidP="00CD7522">
      <w:pPr>
        <w:spacing w:after="0"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CHAPTER TWO: LITERATURE REVIEW</w:t>
      </w:r>
    </w:p>
    <w:p w:rsidR="00CD7522" w:rsidRDefault="00CD7522" w:rsidP="00CD75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2.0 </w:t>
      </w:r>
      <w:r>
        <w:rPr>
          <w:rFonts w:ascii="Times New Roman" w:hAnsi="Times New Roman" w:cs="Times New Roman"/>
          <w:sz w:val="26"/>
          <w:szCs w:val="26"/>
        </w:rPr>
        <w:tab/>
        <w:t>Preamble/Preview/Introduction…..…………………….</w:t>
      </w:r>
      <w:r>
        <w:rPr>
          <w:rFonts w:ascii="Times New Roman" w:hAnsi="Times New Roman" w:cs="Times New Roman"/>
          <w:sz w:val="26"/>
          <w:szCs w:val="26"/>
        </w:rPr>
        <w:tab/>
        <w:t>8</w:t>
      </w:r>
    </w:p>
    <w:p w:rsidR="00CD7522" w:rsidRDefault="00CD7522" w:rsidP="00CD75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Issues/Framework………………………..…</w:t>
      </w:r>
      <w:r>
        <w:rPr>
          <w:rFonts w:ascii="Times New Roman" w:hAnsi="Times New Roman" w:cs="Times New Roman"/>
          <w:sz w:val="26"/>
          <w:szCs w:val="26"/>
        </w:rPr>
        <w:tab/>
        <w:t>8</w:t>
      </w:r>
    </w:p>
    <w:p w:rsidR="00CD7522" w:rsidRDefault="00CD7522" w:rsidP="00CD75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t>16</w:t>
      </w:r>
    </w:p>
    <w:p w:rsidR="00CD7522" w:rsidRDefault="00CD7522" w:rsidP="00CD75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Review…………………………………..…..</w:t>
      </w:r>
      <w:r>
        <w:rPr>
          <w:rFonts w:ascii="Times New Roman" w:hAnsi="Times New Roman" w:cs="Times New Roman"/>
          <w:sz w:val="26"/>
          <w:szCs w:val="26"/>
        </w:rPr>
        <w:tab/>
        <w:t>18</w:t>
      </w:r>
    </w:p>
    <w:p w:rsidR="00CD7522" w:rsidRDefault="00CD7522" w:rsidP="00CD7522">
      <w:pPr>
        <w:spacing w:after="0" w:line="360" w:lineRule="auto"/>
        <w:jc w:val="both"/>
        <w:rPr>
          <w:rFonts w:ascii="Times New Roman" w:eastAsia="Calibri" w:hAnsi="Times New Roman" w:cs="Times New Roman"/>
          <w:b/>
          <w:bCs/>
          <w:sz w:val="12"/>
          <w:szCs w:val="26"/>
        </w:rPr>
      </w:pPr>
    </w:p>
    <w:p w:rsidR="00CD7522" w:rsidRDefault="00CD7522" w:rsidP="00CD7522">
      <w:pPr>
        <w:spacing w:after="0"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CHAPTER THREE: METHODOLOGY</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3.1</w:t>
      </w:r>
      <w:r>
        <w:rPr>
          <w:rFonts w:ascii="Times New Roman" w:eastAsia="Calibri" w:hAnsi="Times New Roman" w:cs="Times New Roman"/>
          <w:sz w:val="26"/>
          <w:szCs w:val="26"/>
        </w:rPr>
        <w:tab/>
        <w:t>Area of Study/Introduction/Preamble……………………</w:t>
      </w:r>
      <w:r>
        <w:rPr>
          <w:rFonts w:ascii="Times New Roman" w:eastAsia="Calibri" w:hAnsi="Times New Roman" w:cs="Times New Roman"/>
          <w:sz w:val="26"/>
          <w:szCs w:val="26"/>
        </w:rPr>
        <w:tab/>
        <w:t>22</w:t>
      </w:r>
      <w:r>
        <w:rPr>
          <w:rFonts w:ascii="Times New Roman" w:eastAsia="Calibri" w:hAnsi="Times New Roman" w:cs="Times New Roman"/>
          <w:sz w:val="26"/>
          <w:szCs w:val="26"/>
        </w:rPr>
        <w:tab/>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3.2</w:t>
      </w:r>
      <w:r>
        <w:rPr>
          <w:rFonts w:ascii="Times New Roman" w:eastAsia="Calibri" w:hAnsi="Times New Roman" w:cs="Times New Roman"/>
          <w:sz w:val="26"/>
          <w:szCs w:val="26"/>
        </w:rPr>
        <w:tab/>
        <w:t>Research Design…………………………………..…….</w:t>
      </w:r>
      <w:r>
        <w:rPr>
          <w:rFonts w:ascii="Times New Roman" w:eastAsia="Calibri" w:hAnsi="Times New Roman" w:cs="Times New Roman"/>
          <w:sz w:val="26"/>
          <w:szCs w:val="26"/>
        </w:rPr>
        <w:tab/>
        <w:t>22</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3.3</w:t>
      </w:r>
      <w:r>
        <w:rPr>
          <w:rFonts w:ascii="Times New Roman" w:eastAsia="Calibri" w:hAnsi="Times New Roman" w:cs="Times New Roman"/>
          <w:sz w:val="26"/>
          <w:szCs w:val="26"/>
        </w:rPr>
        <w:tab/>
        <w:t>Population of the Study…………………………………</w:t>
      </w:r>
      <w:r>
        <w:rPr>
          <w:rFonts w:ascii="Times New Roman" w:eastAsia="Calibri" w:hAnsi="Times New Roman" w:cs="Times New Roman"/>
          <w:sz w:val="26"/>
          <w:szCs w:val="26"/>
        </w:rPr>
        <w:tab/>
        <w:t>22</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3.4</w:t>
      </w:r>
      <w:r>
        <w:rPr>
          <w:rFonts w:ascii="Times New Roman" w:eastAsia="Calibri" w:hAnsi="Times New Roman" w:cs="Times New Roman"/>
          <w:sz w:val="26"/>
          <w:szCs w:val="26"/>
        </w:rPr>
        <w:tab/>
        <w:t>Sample size and Techniques…………………….……….</w:t>
      </w:r>
      <w:r>
        <w:rPr>
          <w:rFonts w:ascii="Times New Roman" w:eastAsia="Calibri" w:hAnsi="Times New Roman" w:cs="Times New Roman"/>
          <w:sz w:val="26"/>
          <w:szCs w:val="26"/>
        </w:rPr>
        <w:tab/>
        <w:t>23</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3.5</w:t>
      </w:r>
      <w:r>
        <w:rPr>
          <w:rFonts w:ascii="Times New Roman" w:eastAsia="Calibri" w:hAnsi="Times New Roman" w:cs="Times New Roman"/>
          <w:sz w:val="26"/>
          <w:szCs w:val="26"/>
        </w:rPr>
        <w:tab/>
        <w:t>Source of Data………………………………………….</w:t>
      </w:r>
      <w:r>
        <w:rPr>
          <w:rFonts w:ascii="Times New Roman" w:eastAsia="Calibri" w:hAnsi="Times New Roman" w:cs="Times New Roman"/>
          <w:sz w:val="26"/>
          <w:szCs w:val="26"/>
        </w:rPr>
        <w:tab/>
        <w:t>23</w:t>
      </w:r>
    </w:p>
    <w:p w:rsidR="00CD7522" w:rsidRDefault="00CD7522" w:rsidP="00CD7522">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3.6</w:t>
      </w:r>
      <w:r>
        <w:rPr>
          <w:rFonts w:ascii="Times New Roman" w:eastAsia="Calibri" w:hAnsi="Times New Roman" w:cs="Times New Roman"/>
          <w:sz w:val="26"/>
          <w:szCs w:val="26"/>
        </w:rPr>
        <w:tab/>
        <w:t>Method of Data Collection…………………………….</w:t>
      </w:r>
      <w:r>
        <w:rPr>
          <w:rFonts w:ascii="Times New Roman" w:eastAsia="Calibri" w:hAnsi="Times New Roman" w:cs="Times New Roman"/>
          <w:sz w:val="26"/>
          <w:szCs w:val="26"/>
        </w:rPr>
        <w:tab/>
      </w:r>
      <w:r>
        <w:rPr>
          <w:rFonts w:ascii="Times New Roman" w:eastAsia="Calibri" w:hAnsi="Times New Roman" w:cs="Times New Roman"/>
          <w:sz w:val="26"/>
          <w:szCs w:val="26"/>
        </w:rPr>
        <w:tab/>
        <w:t>24</w:t>
      </w:r>
      <w:r>
        <w:rPr>
          <w:rFonts w:ascii="Times New Roman" w:eastAsia="Calibri" w:hAnsi="Times New Roman" w:cs="Times New Roman"/>
          <w:sz w:val="26"/>
          <w:szCs w:val="26"/>
        </w:rPr>
        <w:tab/>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3.7</w:t>
      </w:r>
      <w:r>
        <w:rPr>
          <w:rFonts w:ascii="Times New Roman" w:eastAsia="Calibri" w:hAnsi="Times New Roman" w:cs="Times New Roman"/>
          <w:sz w:val="26"/>
          <w:szCs w:val="26"/>
        </w:rPr>
        <w:tab/>
        <w:t>Definition and measurement of variable…………………</w:t>
      </w:r>
      <w:r>
        <w:rPr>
          <w:rFonts w:ascii="Times New Roman" w:eastAsia="Calibri" w:hAnsi="Times New Roman" w:cs="Times New Roman"/>
          <w:sz w:val="26"/>
          <w:szCs w:val="26"/>
        </w:rPr>
        <w:tab/>
        <w:t>24</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3.8</w:t>
      </w:r>
      <w:r>
        <w:rPr>
          <w:rFonts w:ascii="Times New Roman" w:eastAsia="Calibri" w:hAnsi="Times New Roman" w:cs="Times New Roman"/>
          <w:sz w:val="26"/>
          <w:szCs w:val="26"/>
        </w:rPr>
        <w:tab/>
        <w:t>Model Specification………………………………………</w:t>
      </w:r>
      <w:r>
        <w:rPr>
          <w:rFonts w:ascii="Times New Roman" w:eastAsia="Calibri" w:hAnsi="Times New Roman" w:cs="Times New Roman"/>
          <w:sz w:val="26"/>
          <w:szCs w:val="26"/>
        </w:rPr>
        <w:tab/>
        <w:t>24</w:t>
      </w:r>
    </w:p>
    <w:p w:rsidR="00CD7522" w:rsidRDefault="00CD7522" w:rsidP="00CD7522">
      <w:pPr>
        <w:spacing w:after="0" w:line="360" w:lineRule="auto"/>
        <w:ind w:left="2880" w:hanging="2880"/>
        <w:jc w:val="both"/>
        <w:rPr>
          <w:rFonts w:ascii="Times New Roman" w:eastAsia="Calibri" w:hAnsi="Times New Roman" w:cs="Times New Roman"/>
          <w:b/>
          <w:bCs/>
          <w:sz w:val="8"/>
          <w:szCs w:val="26"/>
        </w:rPr>
      </w:pPr>
    </w:p>
    <w:p w:rsidR="00CD7522" w:rsidRDefault="00CD7522" w:rsidP="00CD7522">
      <w:pPr>
        <w:spacing w:after="0" w:line="360" w:lineRule="auto"/>
        <w:ind w:left="2880" w:hanging="2880"/>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CHAPTER FOUR: DATA PRESENTATION AND DATA ANALYSIS</w:t>
      </w:r>
    </w:p>
    <w:p w:rsidR="00CD7522" w:rsidRDefault="00CD7522" w:rsidP="00CD7522">
      <w:pPr>
        <w:spacing w:after="0" w:line="360" w:lineRule="auto"/>
        <w:ind w:left="2880" w:hanging="2880"/>
        <w:jc w:val="both"/>
        <w:rPr>
          <w:rFonts w:ascii="Times New Roman" w:eastAsia="Calibri" w:hAnsi="Times New Roman" w:cs="Times New Roman"/>
          <w:sz w:val="26"/>
          <w:szCs w:val="26"/>
        </w:rPr>
      </w:pPr>
      <w:r>
        <w:rPr>
          <w:rFonts w:ascii="Times New Roman" w:eastAsia="Calibri" w:hAnsi="Times New Roman" w:cs="Times New Roman"/>
          <w:sz w:val="26"/>
          <w:szCs w:val="26"/>
        </w:rPr>
        <w:t>Preamble/Introduction/Preview…………………………</w:t>
      </w:r>
      <w:r>
        <w:rPr>
          <w:rFonts w:ascii="Times New Roman" w:eastAsia="Calibri" w:hAnsi="Times New Roman" w:cs="Times New Roman"/>
          <w:sz w:val="26"/>
          <w:szCs w:val="26"/>
        </w:rPr>
        <w:tab/>
      </w:r>
      <w:r>
        <w:rPr>
          <w:rFonts w:ascii="Times New Roman" w:eastAsia="Calibri" w:hAnsi="Times New Roman" w:cs="Times New Roman"/>
          <w:sz w:val="26"/>
          <w:szCs w:val="26"/>
        </w:rPr>
        <w:tab/>
        <w:t>25</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4.2</w:t>
      </w:r>
      <w:r>
        <w:rPr>
          <w:rFonts w:ascii="Times New Roman" w:eastAsia="Calibri" w:hAnsi="Times New Roman" w:cs="Times New Roman"/>
          <w:sz w:val="26"/>
          <w:szCs w:val="26"/>
        </w:rPr>
        <w:tab/>
        <w:t>Demographic characteristic of respondents……………</w:t>
      </w:r>
      <w:r>
        <w:rPr>
          <w:rFonts w:ascii="Times New Roman" w:eastAsia="Calibri" w:hAnsi="Times New Roman" w:cs="Times New Roman"/>
          <w:sz w:val="26"/>
          <w:szCs w:val="26"/>
        </w:rPr>
        <w:tab/>
      </w:r>
      <w:r>
        <w:rPr>
          <w:rFonts w:ascii="Times New Roman" w:eastAsia="Calibri" w:hAnsi="Times New Roman" w:cs="Times New Roman"/>
          <w:sz w:val="26"/>
          <w:szCs w:val="26"/>
        </w:rPr>
        <w:tab/>
        <w:t>25</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4.3</w:t>
      </w:r>
      <w:r>
        <w:rPr>
          <w:rFonts w:ascii="Times New Roman" w:eastAsia="Calibri" w:hAnsi="Times New Roman" w:cs="Times New Roman"/>
          <w:sz w:val="26"/>
          <w:szCs w:val="26"/>
        </w:rPr>
        <w:tab/>
        <w:t>Statistical result…………………………………………</w:t>
      </w:r>
      <w:r>
        <w:rPr>
          <w:rFonts w:ascii="Times New Roman" w:eastAsia="Calibri" w:hAnsi="Times New Roman" w:cs="Times New Roman"/>
          <w:sz w:val="26"/>
          <w:szCs w:val="26"/>
        </w:rPr>
        <w:tab/>
        <w:t>27</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4.4</w:t>
      </w:r>
      <w:r>
        <w:rPr>
          <w:rFonts w:ascii="Times New Roman" w:eastAsia="Calibri" w:hAnsi="Times New Roman" w:cs="Times New Roman"/>
          <w:sz w:val="26"/>
          <w:szCs w:val="26"/>
        </w:rPr>
        <w:tab/>
        <w:t>Test of Hypothesis……………………………………..</w:t>
      </w:r>
      <w:r>
        <w:rPr>
          <w:rFonts w:ascii="Times New Roman" w:eastAsia="Calibri" w:hAnsi="Times New Roman" w:cs="Times New Roman"/>
          <w:sz w:val="26"/>
          <w:szCs w:val="26"/>
        </w:rPr>
        <w:tab/>
      </w:r>
      <w:r>
        <w:rPr>
          <w:rFonts w:ascii="Times New Roman" w:eastAsia="Calibri" w:hAnsi="Times New Roman" w:cs="Times New Roman"/>
          <w:sz w:val="26"/>
          <w:szCs w:val="26"/>
        </w:rPr>
        <w:tab/>
        <w:t>28</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4.5</w:t>
      </w:r>
      <w:r>
        <w:rPr>
          <w:rFonts w:ascii="Times New Roman" w:eastAsia="Calibri" w:hAnsi="Times New Roman" w:cs="Times New Roman"/>
          <w:sz w:val="26"/>
          <w:szCs w:val="26"/>
        </w:rPr>
        <w:tab/>
        <w:t>Discussion of Findings…………………………………</w:t>
      </w:r>
      <w:r>
        <w:rPr>
          <w:rFonts w:ascii="Times New Roman" w:eastAsia="Calibri" w:hAnsi="Times New Roman" w:cs="Times New Roman"/>
          <w:sz w:val="26"/>
          <w:szCs w:val="26"/>
        </w:rPr>
        <w:tab/>
        <w:t>33</w:t>
      </w:r>
    </w:p>
    <w:p w:rsidR="00CD7522" w:rsidRDefault="00CD7522" w:rsidP="00CD7522">
      <w:pPr>
        <w:spacing w:after="0" w:line="360" w:lineRule="auto"/>
        <w:jc w:val="both"/>
        <w:rPr>
          <w:rFonts w:ascii="Times New Roman" w:eastAsia="Calibri" w:hAnsi="Times New Roman" w:cs="Times New Roman"/>
          <w:b/>
          <w:bCs/>
          <w:sz w:val="12"/>
          <w:szCs w:val="26"/>
        </w:rPr>
      </w:pPr>
    </w:p>
    <w:p w:rsidR="00CD7522" w:rsidRDefault="00CD7522" w:rsidP="00CD7522">
      <w:pPr>
        <w:spacing w:after="0"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CHAPTER FIVE: SUMMARY, CONCLUSION AND RECOMMENDATION </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5.1</w:t>
      </w:r>
      <w:r>
        <w:rPr>
          <w:rFonts w:ascii="Times New Roman" w:eastAsia="Calibri" w:hAnsi="Times New Roman" w:cs="Times New Roman"/>
          <w:sz w:val="26"/>
          <w:szCs w:val="26"/>
        </w:rPr>
        <w:tab/>
        <w:t>Summary……………………………………………….</w:t>
      </w:r>
      <w:r>
        <w:rPr>
          <w:rFonts w:ascii="Times New Roman" w:eastAsia="Calibri" w:hAnsi="Times New Roman" w:cs="Times New Roman"/>
          <w:sz w:val="26"/>
          <w:szCs w:val="26"/>
        </w:rPr>
        <w:tab/>
      </w:r>
      <w:r>
        <w:rPr>
          <w:rFonts w:ascii="Times New Roman" w:eastAsia="Calibri" w:hAnsi="Times New Roman" w:cs="Times New Roman"/>
          <w:sz w:val="26"/>
          <w:szCs w:val="26"/>
        </w:rPr>
        <w:tab/>
        <w:t>35</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t>Conclusion……………………………………………..</w:t>
      </w:r>
      <w:r>
        <w:rPr>
          <w:rFonts w:ascii="Times New Roman" w:eastAsia="Calibri" w:hAnsi="Times New Roman" w:cs="Times New Roman"/>
          <w:sz w:val="26"/>
          <w:szCs w:val="26"/>
        </w:rPr>
        <w:tab/>
      </w:r>
      <w:r>
        <w:rPr>
          <w:rFonts w:ascii="Times New Roman" w:eastAsia="Calibri" w:hAnsi="Times New Roman" w:cs="Times New Roman"/>
          <w:sz w:val="26"/>
          <w:szCs w:val="26"/>
        </w:rPr>
        <w:tab/>
        <w:t>36</w:t>
      </w:r>
    </w:p>
    <w:p w:rsidR="00CD7522" w:rsidRDefault="00CD7522" w:rsidP="00CD7522">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5.4</w:t>
      </w:r>
      <w:r>
        <w:rPr>
          <w:rFonts w:ascii="Times New Roman" w:eastAsia="Calibri" w:hAnsi="Times New Roman" w:cs="Times New Roman"/>
          <w:sz w:val="26"/>
          <w:szCs w:val="26"/>
        </w:rPr>
        <w:tab/>
        <w:t>Recommendation………………………………………</w:t>
      </w:r>
      <w:r>
        <w:rPr>
          <w:rFonts w:ascii="Times New Roman" w:eastAsia="Calibri" w:hAnsi="Times New Roman" w:cs="Times New Roman"/>
          <w:sz w:val="26"/>
          <w:szCs w:val="26"/>
        </w:rPr>
        <w:tab/>
      </w:r>
      <w:r>
        <w:rPr>
          <w:rFonts w:ascii="Times New Roman" w:eastAsia="Calibri" w:hAnsi="Times New Roman" w:cs="Times New Roman"/>
          <w:sz w:val="26"/>
          <w:szCs w:val="26"/>
        </w:rPr>
        <w:tab/>
        <w:t>36</w:t>
      </w:r>
    </w:p>
    <w:p w:rsidR="00CD7522" w:rsidRDefault="00CD7522" w:rsidP="00CD7522">
      <w:pPr>
        <w:spacing w:after="0" w:line="360" w:lineRule="auto"/>
        <w:ind w:firstLine="720"/>
        <w:outlineLvl w:val="0"/>
        <w:rPr>
          <w:rFonts w:ascii="Times New Roman" w:eastAsia="Times New Roman" w:hAnsi="Times New Roman" w:cs="Times New Roman"/>
          <w:b/>
          <w:color w:val="000000"/>
          <w:kern w:val="36"/>
          <w:sz w:val="26"/>
          <w:szCs w:val="26"/>
        </w:rPr>
      </w:pPr>
      <w:r>
        <w:rPr>
          <w:rFonts w:ascii="Times New Roman" w:eastAsia="Calibri" w:hAnsi="Times New Roman" w:cs="Times New Roman"/>
          <w:sz w:val="26"/>
          <w:szCs w:val="26"/>
        </w:rPr>
        <w:t>References………………………………………………</w:t>
      </w:r>
      <w:r>
        <w:rPr>
          <w:rFonts w:ascii="Times New Roman" w:eastAsia="Calibri" w:hAnsi="Times New Roman" w:cs="Times New Roman"/>
          <w:sz w:val="26"/>
          <w:szCs w:val="26"/>
        </w:rPr>
        <w:tab/>
        <w:t>37</w:t>
      </w:r>
    </w:p>
    <w:p w:rsidR="00CD7522" w:rsidRPr="00A031A8" w:rsidRDefault="00CD7522" w:rsidP="00CD7522">
      <w:pPr>
        <w:spacing w:line="360" w:lineRule="auto"/>
        <w:rPr>
          <w:rFonts w:ascii="Times New Roman" w:hAnsi="Times New Roman" w:cs="Times New Roman"/>
          <w:sz w:val="26"/>
          <w:szCs w:val="26"/>
        </w:rPr>
      </w:pPr>
    </w:p>
    <w:p w:rsidR="00CD7522" w:rsidRPr="00A031A8" w:rsidRDefault="00CD7522" w:rsidP="00CD7522">
      <w:pPr>
        <w:spacing w:line="360" w:lineRule="auto"/>
        <w:jc w:val="both"/>
        <w:rPr>
          <w:rFonts w:ascii="Times New Roman" w:hAnsi="Times New Roman" w:cs="Times New Roman"/>
          <w:sz w:val="26"/>
          <w:szCs w:val="26"/>
        </w:rPr>
      </w:pPr>
    </w:p>
    <w:p w:rsidR="00CD7522" w:rsidRPr="00A031A8" w:rsidRDefault="00CD7522" w:rsidP="00CD7522">
      <w:pPr>
        <w:spacing w:line="360" w:lineRule="auto"/>
        <w:jc w:val="both"/>
        <w:rPr>
          <w:rFonts w:ascii="Times New Roman" w:hAnsi="Times New Roman" w:cs="Times New Roman"/>
          <w:sz w:val="26"/>
          <w:szCs w:val="26"/>
        </w:rPr>
      </w:pPr>
    </w:p>
    <w:p w:rsidR="00CD7522" w:rsidRDefault="00CD7522">
      <w:pPr>
        <w:rPr>
          <w:rFonts w:ascii="Times New Roman" w:eastAsia="Times New Roman" w:hAnsi="Times New Roman" w:cs="Times New Roman"/>
          <w:b/>
          <w:color w:val="000000"/>
          <w:kern w:val="36"/>
          <w:sz w:val="26"/>
          <w:szCs w:val="26"/>
        </w:rPr>
      </w:pPr>
      <w:r>
        <w:rPr>
          <w:rFonts w:ascii="Times New Roman" w:eastAsia="Times New Roman" w:hAnsi="Times New Roman" w:cs="Times New Roman"/>
          <w:b/>
          <w:color w:val="000000"/>
          <w:kern w:val="36"/>
          <w:sz w:val="26"/>
          <w:szCs w:val="26"/>
        </w:rPr>
        <w:br w:type="page"/>
      </w:r>
    </w:p>
    <w:p w:rsidR="007A630E" w:rsidRPr="00A031A8" w:rsidRDefault="007A630E" w:rsidP="00A031A8">
      <w:pPr>
        <w:spacing w:after="0" w:line="360" w:lineRule="auto"/>
        <w:jc w:val="center"/>
        <w:outlineLvl w:val="0"/>
        <w:rPr>
          <w:rFonts w:ascii="Times New Roman" w:eastAsia="Times New Roman" w:hAnsi="Times New Roman" w:cs="Times New Roman"/>
          <w:b/>
          <w:color w:val="000000"/>
          <w:kern w:val="36"/>
          <w:sz w:val="26"/>
          <w:szCs w:val="26"/>
        </w:rPr>
      </w:pPr>
      <w:r w:rsidRPr="00A031A8">
        <w:rPr>
          <w:rFonts w:ascii="Times New Roman" w:eastAsia="Times New Roman" w:hAnsi="Times New Roman" w:cs="Times New Roman"/>
          <w:b/>
          <w:color w:val="000000"/>
          <w:kern w:val="36"/>
          <w:sz w:val="26"/>
          <w:szCs w:val="26"/>
        </w:rPr>
        <w:lastRenderedPageBreak/>
        <w:t>CHAPTER ONE</w:t>
      </w:r>
    </w:p>
    <w:p w:rsidR="002F7D72" w:rsidRPr="00A031A8" w:rsidRDefault="002F7D72" w:rsidP="00A031A8">
      <w:pPr>
        <w:spacing w:after="0" w:line="360" w:lineRule="auto"/>
        <w:jc w:val="center"/>
        <w:outlineLvl w:val="0"/>
        <w:rPr>
          <w:rFonts w:ascii="Times New Roman" w:eastAsia="Times New Roman" w:hAnsi="Times New Roman" w:cs="Times New Roman"/>
          <w:b/>
          <w:bCs/>
          <w:kern w:val="36"/>
          <w:sz w:val="26"/>
          <w:szCs w:val="26"/>
        </w:rPr>
      </w:pPr>
      <w:r w:rsidRPr="00A031A8">
        <w:rPr>
          <w:rFonts w:ascii="Times New Roman" w:eastAsia="Times New Roman" w:hAnsi="Times New Roman" w:cs="Times New Roman"/>
          <w:b/>
          <w:color w:val="000000"/>
          <w:kern w:val="36"/>
          <w:sz w:val="26"/>
          <w:szCs w:val="26"/>
        </w:rPr>
        <w:t>Introduction</w:t>
      </w:r>
    </w:p>
    <w:p w:rsidR="002F7D72" w:rsidRPr="00A031A8" w:rsidRDefault="002F7D72"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color w:val="000000"/>
          <w:sz w:val="26"/>
          <w:szCs w:val="26"/>
        </w:rPr>
        <w:t xml:space="preserve">1.1 </w:t>
      </w:r>
      <w:r w:rsidR="007A630E" w:rsidRPr="00A031A8">
        <w:rPr>
          <w:rFonts w:ascii="Times New Roman" w:eastAsia="Times New Roman" w:hAnsi="Times New Roman" w:cs="Times New Roman"/>
          <w:b/>
          <w:color w:val="000000"/>
          <w:sz w:val="26"/>
          <w:szCs w:val="26"/>
        </w:rPr>
        <w:tab/>
      </w:r>
      <w:r w:rsidRPr="00A031A8">
        <w:rPr>
          <w:rFonts w:ascii="Times New Roman" w:eastAsia="Times New Roman" w:hAnsi="Times New Roman" w:cs="Times New Roman"/>
          <w:b/>
          <w:color w:val="000000"/>
          <w:sz w:val="26"/>
          <w:szCs w:val="26"/>
        </w:rPr>
        <w:t xml:space="preserve">Background </w:t>
      </w:r>
      <w:r w:rsidR="001135A4" w:rsidRPr="00A031A8">
        <w:rPr>
          <w:rFonts w:ascii="Times New Roman" w:eastAsia="Times New Roman" w:hAnsi="Times New Roman" w:cs="Times New Roman"/>
          <w:b/>
          <w:color w:val="000000"/>
          <w:sz w:val="26"/>
          <w:szCs w:val="26"/>
        </w:rPr>
        <w:t>to</w:t>
      </w:r>
      <w:r w:rsidRPr="00A031A8">
        <w:rPr>
          <w:rFonts w:ascii="Times New Roman" w:eastAsia="Times New Roman" w:hAnsi="Times New Roman" w:cs="Times New Roman"/>
          <w:b/>
          <w:color w:val="000000"/>
          <w:sz w:val="26"/>
          <w:szCs w:val="26"/>
        </w:rPr>
        <w:t xml:space="preserve"> the Study</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In the contemporary globalized economy, the adoption of International Financial Reporting Standards (IFRS) has become a pivotal element in fostering transparency, comparability, and accountability in financial reporting across diverse jurisdictions. IFRS, a set of high-quality, principle-based accounting standards issued by the International Accounting Standards Board (IASB), aims to provide a common global language for business affairs. This harmonization of accounting practices is particularly crucial for emerging economies like Nigeria, which are increasingly integrated into the global financial system and seek to attract foreign direct investment.</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Nigeria, as a significant player in the African economic landscape, embarked on the journey of IFRS adoption to align its financial reporting framework with international best practices. The Financial Reporting Council (FRC) of Nigeria, established by the Financial Reporting Council of Nigeria Act 2011, is the body responsible for ensuring compliance with accounting, auditing, and financial reporting standards in the country. The phased adoption of IFRS commenced in 2012, with publicly listed entities, including Deposit Money Banks (DMBs), being among the first to transition. This transition marked a significant paradigm shift from the previously used Nigerian Generally Accepted Accounting Principles (NGAAP), which were largely rule-based, to a more principle-based IFRS framework.</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 xml:space="preserve">The banking sector, being the backbone of any modern economy, plays a critical role in financial intermediation and economic stability. In Nigeria, the banking industry has undergone significant reforms aimed at strengthening its </w:t>
      </w:r>
      <w:r w:rsidRPr="00A031A8">
        <w:rPr>
          <w:rFonts w:ascii="Times New Roman" w:eastAsia="Times New Roman" w:hAnsi="Times New Roman" w:cs="Times New Roman"/>
          <w:color w:val="000000"/>
          <w:sz w:val="26"/>
          <w:szCs w:val="26"/>
        </w:rPr>
        <w:lastRenderedPageBreak/>
        <w:t>resilience, promoting sound corporate governance, and enhancing transparency. The adoption of IFRS by Nigerian banks is therefore not merely a regulatory compliance exercise but a strategic imperative to improve financial reporting quality, enhance investor confidence, and facilitate cross-border financial transactions. The complexity of banking operations, coupled with the intricate nature of IFRS, particularly standards related to financial instruments (IFRS 9) and leases (IFRS 16), presents unique challenges and opportunities for financial institutions.</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Wema Bank Plc, a prominent and long-standing financial institution in Nigeria, serves as an ideal case study to examine the extent of IFRS compliance within the Nigerian banking sector. As a publicly listed entity, Wema Bank Plc is subject to rigorous reporting requirements and public scrutiny, making its financial statements a valuable source for assessing the practical application and challenges of IFRS. This study seeks to delve into the bank’s reporting practices, analyze its adherence to key IFRS pronouncements, and evaluate the implications of its compliance efforts on the quality and comparability of its financial information. By focusing on a specific institution, this research aims to provide an in-depth understanding of the practical realities of IFRS implementation in a developing country context.</w:t>
      </w:r>
    </w:p>
    <w:p w:rsidR="002F7D72" w:rsidRPr="00A031A8" w:rsidRDefault="002F7D72"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color w:val="000000"/>
          <w:sz w:val="26"/>
          <w:szCs w:val="26"/>
        </w:rPr>
        <w:t xml:space="preserve">1.2 </w:t>
      </w:r>
      <w:r w:rsidR="007A630E" w:rsidRPr="00A031A8">
        <w:rPr>
          <w:rFonts w:ascii="Times New Roman" w:eastAsia="Times New Roman" w:hAnsi="Times New Roman" w:cs="Times New Roman"/>
          <w:b/>
          <w:color w:val="000000"/>
          <w:sz w:val="26"/>
          <w:szCs w:val="26"/>
        </w:rPr>
        <w:tab/>
      </w:r>
      <w:r w:rsidRPr="00A031A8">
        <w:rPr>
          <w:rFonts w:ascii="Times New Roman" w:eastAsia="Times New Roman" w:hAnsi="Times New Roman" w:cs="Times New Roman"/>
          <w:b/>
          <w:color w:val="000000"/>
          <w:sz w:val="26"/>
          <w:szCs w:val="26"/>
        </w:rPr>
        <w:t>Statement of the Problem</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 xml:space="preserve">The global adoption of International Financial Reporting Standards (IFRS) has been widely advocated for its potential to enhance transparency, comparability, and accountability in financial reporting. However, the practical implementation of these standards, particularly in developing economies like Nigeria, is often fraught with challenges. While Nigerian Deposit Money Banks (DMBs) have formally adopted IFRS, questions persist regarding the actual </w:t>
      </w:r>
      <w:r w:rsidRPr="00A031A8">
        <w:rPr>
          <w:rFonts w:ascii="Times New Roman" w:eastAsia="Times New Roman" w:hAnsi="Times New Roman" w:cs="Times New Roman"/>
          <w:color w:val="000000"/>
          <w:sz w:val="26"/>
          <w:szCs w:val="26"/>
        </w:rPr>
        <w:lastRenderedPageBreak/>
        <w:t>extent of their compliance, the consistency of application, and the impact on the quality and reliability of reported financial information.</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Several issues contribute to this problem. Firstly, IFRS, being principle-based, requires significant professional judgment in its application, which can lead to variations in interpretation and implementation across different entities. This subjectivity can potentially undermine comparability, even among entities ostensibly complying with the same standards. Secondly, the complexity of certain IFRS pronouncements, such as IFRS 9 (Financial Instruments) with its intricate Expected Credit Loss (ECL) model, and IFRS 16 (Leases) requiring on-balance sheet recognition, demands sophisticated technical expertise, robust data infrastructure, and significant financial resources. Many Nigerian banks may struggle with these requirements, leading to partial compliance or misapplication.</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Thirdly, the interplay between IFRS and local regulatory frameworks, such as the Central Bank of Nigeria (CBN) Prudential Guidelines, can create complexities. Banks are often required to reconcile differences between IFRS and prudential reporting, which can lead to additional layers of complexity and potential inconsistencies in reported figures. Fourthly, there is a continuous need for human capital development. The rapid evolution of IFRS necessitates ongoing training and skill upgrades for finance professionals, auditors, and regulators to keep pace with new pronouncements and interpretations. A lack of adequately trained personnel can impede effective implementation and oversight.</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 xml:space="preserve">Finally, while academic literature has explored IFRS adoption in Nigeria, there is a need for more focused case studies that provide in-depth insights into the compliance practices of specific institutions. General studies </w:t>
      </w:r>
      <w:r w:rsidRPr="00A031A8">
        <w:rPr>
          <w:rFonts w:ascii="Times New Roman" w:eastAsia="Times New Roman" w:hAnsi="Times New Roman" w:cs="Times New Roman"/>
          <w:color w:val="000000"/>
          <w:sz w:val="26"/>
          <w:szCs w:val="26"/>
        </w:rPr>
        <w:lastRenderedPageBreak/>
        <w:t>often highlight broad trends but may not capture the nuances and specific challenges faced by individual banks. Therefore, this study aims to address these gaps by examining the extent of IFRS compliance in Wema Bank Plc, thereby contributing to a more granular understanding of the practical realities and implications of IFRS adoption in the Nigerian banking sector.</w:t>
      </w:r>
    </w:p>
    <w:p w:rsidR="00242975" w:rsidRPr="00A031A8" w:rsidRDefault="00242975" w:rsidP="00A031A8">
      <w:pPr>
        <w:spacing w:after="0" w:line="360" w:lineRule="auto"/>
        <w:jc w:val="both"/>
        <w:outlineLvl w:val="2"/>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 xml:space="preserve">1.3 </w:t>
      </w:r>
      <w:r w:rsidRPr="00A031A8">
        <w:rPr>
          <w:rFonts w:ascii="Times New Roman" w:eastAsia="Times New Roman" w:hAnsi="Times New Roman" w:cs="Times New Roman"/>
          <w:b/>
          <w:bCs/>
          <w:sz w:val="26"/>
          <w:szCs w:val="26"/>
        </w:rPr>
        <w:tab/>
        <w:t>Research Questions</w:t>
      </w:r>
    </w:p>
    <w:p w:rsidR="00242975" w:rsidRPr="00A031A8" w:rsidRDefault="00242975" w:rsidP="00A031A8">
      <w:pPr>
        <w:numPr>
          <w:ilvl w:val="0"/>
          <w:numId w:val="12"/>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To what extent does Wema Bank comply with IFRS standards?</w:t>
      </w:r>
    </w:p>
    <w:p w:rsidR="00242975" w:rsidRPr="00A031A8" w:rsidRDefault="00242975" w:rsidP="00A031A8">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What factors influence Wema Bank’s IFRS compliance?</w:t>
      </w:r>
    </w:p>
    <w:p w:rsidR="00242975" w:rsidRPr="00A031A8" w:rsidRDefault="00242975" w:rsidP="00A031A8">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How does IFRS compliance affect the quality of Wema Bank’s financial reports?</w:t>
      </w:r>
    </w:p>
    <w:p w:rsidR="00242975" w:rsidRPr="00A031A8" w:rsidRDefault="00242975" w:rsidP="00A031A8">
      <w:pPr>
        <w:numPr>
          <w:ilvl w:val="0"/>
          <w:numId w:val="12"/>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What measures can enhance Wema Bank’s IFRS compliance?</w:t>
      </w:r>
    </w:p>
    <w:p w:rsidR="002B185F" w:rsidRPr="00A031A8" w:rsidRDefault="002B185F" w:rsidP="00A031A8">
      <w:pPr>
        <w:spacing w:after="0" w:line="360" w:lineRule="auto"/>
        <w:jc w:val="both"/>
        <w:outlineLvl w:val="2"/>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1</w:t>
      </w:r>
      <w:r w:rsidR="001778A3" w:rsidRPr="00A031A8">
        <w:rPr>
          <w:rFonts w:ascii="Times New Roman" w:eastAsia="Times New Roman" w:hAnsi="Times New Roman" w:cs="Times New Roman"/>
          <w:b/>
          <w:bCs/>
          <w:sz w:val="26"/>
          <w:szCs w:val="26"/>
        </w:rPr>
        <w:t>.4</w:t>
      </w:r>
      <w:r w:rsidR="001778A3" w:rsidRPr="00A031A8">
        <w:rPr>
          <w:rFonts w:ascii="Times New Roman" w:eastAsia="Times New Roman" w:hAnsi="Times New Roman" w:cs="Times New Roman"/>
          <w:b/>
          <w:bCs/>
          <w:sz w:val="26"/>
          <w:szCs w:val="26"/>
        </w:rPr>
        <w:tab/>
      </w:r>
      <w:r w:rsidRPr="00A031A8">
        <w:rPr>
          <w:rFonts w:ascii="Times New Roman" w:eastAsia="Times New Roman" w:hAnsi="Times New Roman" w:cs="Times New Roman"/>
          <w:b/>
          <w:bCs/>
          <w:sz w:val="26"/>
          <w:szCs w:val="26"/>
        </w:rPr>
        <w:t xml:space="preserve"> Objectives of the Study</w:t>
      </w:r>
    </w:p>
    <w:p w:rsidR="002B185F" w:rsidRPr="00A031A8" w:rsidRDefault="002B185F" w:rsidP="00A031A8">
      <w:pPr>
        <w:numPr>
          <w:ilvl w:val="0"/>
          <w:numId w:val="11"/>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To evaluate the extent of Wema Bank’s compliance with IFRS standards.</w:t>
      </w:r>
    </w:p>
    <w:p w:rsidR="002B185F" w:rsidRPr="00A031A8" w:rsidRDefault="002B185F" w:rsidP="00A031A8">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To identify factors influencing IFRS compliance at Wema Bank.</w:t>
      </w:r>
    </w:p>
    <w:p w:rsidR="002B185F" w:rsidRPr="00A031A8" w:rsidRDefault="002B185F" w:rsidP="00A031A8">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To assess the impact of IFRS compliance on Wema Bank’s financial reporting quality.</w:t>
      </w:r>
    </w:p>
    <w:p w:rsidR="002B185F" w:rsidRPr="00A031A8" w:rsidRDefault="002B185F" w:rsidP="00A031A8">
      <w:pPr>
        <w:numPr>
          <w:ilvl w:val="0"/>
          <w:numId w:val="11"/>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To provide recommendations for improving IFRS compliance.</w:t>
      </w:r>
    </w:p>
    <w:p w:rsidR="002B185F" w:rsidRPr="00A031A8" w:rsidRDefault="002B185F" w:rsidP="00A031A8">
      <w:pPr>
        <w:spacing w:after="0" w:line="360" w:lineRule="auto"/>
        <w:jc w:val="both"/>
        <w:outlineLvl w:val="2"/>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 xml:space="preserve">1.5 </w:t>
      </w:r>
      <w:r w:rsidR="001778A3" w:rsidRPr="00A031A8">
        <w:rPr>
          <w:rFonts w:ascii="Times New Roman" w:eastAsia="Times New Roman" w:hAnsi="Times New Roman" w:cs="Times New Roman"/>
          <w:b/>
          <w:bCs/>
          <w:sz w:val="26"/>
          <w:szCs w:val="26"/>
        </w:rPr>
        <w:tab/>
      </w:r>
      <w:r w:rsidRPr="00A031A8">
        <w:rPr>
          <w:rFonts w:ascii="Times New Roman" w:eastAsia="Times New Roman" w:hAnsi="Times New Roman" w:cs="Times New Roman"/>
          <w:b/>
          <w:bCs/>
          <w:sz w:val="26"/>
          <w:szCs w:val="26"/>
        </w:rPr>
        <w:t>Research Hypotheses</w:t>
      </w:r>
    </w:p>
    <w:p w:rsidR="002B185F" w:rsidRPr="00A031A8" w:rsidRDefault="002B185F" w:rsidP="00A031A8">
      <w:pPr>
        <w:numPr>
          <w:ilvl w:val="0"/>
          <w:numId w:val="13"/>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t>H01</w:t>
      </w:r>
      <w:r w:rsidRPr="00A031A8">
        <w:rPr>
          <w:rFonts w:ascii="Times New Roman" w:eastAsia="Times New Roman" w:hAnsi="Times New Roman" w:cs="Times New Roman"/>
          <w:sz w:val="26"/>
          <w:szCs w:val="26"/>
        </w:rPr>
        <w:t>: Wema Bank does not significantly comply with IFRS standards.</w:t>
      </w:r>
    </w:p>
    <w:p w:rsidR="002B185F" w:rsidRPr="00A031A8" w:rsidRDefault="002B185F" w:rsidP="00A031A8">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t>H02</w:t>
      </w:r>
      <w:r w:rsidRPr="00A031A8">
        <w:rPr>
          <w:rFonts w:ascii="Times New Roman" w:eastAsia="Times New Roman" w:hAnsi="Times New Roman" w:cs="Times New Roman"/>
          <w:sz w:val="26"/>
          <w:szCs w:val="26"/>
        </w:rPr>
        <w:t>: There is no significant relationship between firm-specific factors (e.g., size, auditor type) and IFRS compliance at Wema Bank.</w:t>
      </w:r>
    </w:p>
    <w:p w:rsidR="00077728" w:rsidRDefault="002B185F" w:rsidP="00A031A8">
      <w:pPr>
        <w:numPr>
          <w:ilvl w:val="0"/>
          <w:numId w:val="13"/>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t>H03</w:t>
      </w:r>
      <w:r w:rsidRPr="00A031A8">
        <w:rPr>
          <w:rFonts w:ascii="Times New Roman" w:eastAsia="Times New Roman" w:hAnsi="Times New Roman" w:cs="Times New Roman"/>
          <w:sz w:val="26"/>
          <w:szCs w:val="26"/>
        </w:rPr>
        <w:t>: IFRS compliance does not significantly improve Wema Bank’s financial reporting quality.</w:t>
      </w:r>
    </w:p>
    <w:p w:rsidR="00077728" w:rsidRDefault="00077728">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09388C" w:rsidRPr="00A031A8" w:rsidRDefault="0009388C" w:rsidP="00A031A8">
      <w:pPr>
        <w:spacing w:after="0" w:line="360" w:lineRule="auto"/>
        <w:jc w:val="both"/>
        <w:outlineLvl w:val="2"/>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lastRenderedPageBreak/>
        <w:t>1.6</w:t>
      </w:r>
      <w:r w:rsidRPr="00A031A8">
        <w:rPr>
          <w:rFonts w:ascii="Times New Roman" w:eastAsia="Times New Roman" w:hAnsi="Times New Roman" w:cs="Times New Roman"/>
          <w:b/>
          <w:bCs/>
          <w:sz w:val="26"/>
          <w:szCs w:val="26"/>
        </w:rPr>
        <w:tab/>
        <w:t xml:space="preserve"> Scope of the Study</w:t>
      </w:r>
    </w:p>
    <w:p w:rsidR="0009388C" w:rsidRPr="00A031A8" w:rsidRDefault="0009388C"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The study focuses on Wema Bank Plc’s IFRS compliance from 2018 to 2024, covering key standards like IFRS 7 (Financial Instruments: Disclosures), IFRS 9 (Financial Instruments), and IAS 36 (Impairment of Assets). It uses secondary data from financial statements and primary data from surveys (if feasible).</w:t>
      </w:r>
    </w:p>
    <w:p w:rsidR="0009388C" w:rsidRPr="00A031A8" w:rsidRDefault="0009388C" w:rsidP="00A031A8">
      <w:pPr>
        <w:spacing w:after="0" w:line="360" w:lineRule="auto"/>
        <w:jc w:val="both"/>
        <w:outlineLvl w:val="2"/>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1.7</w:t>
      </w:r>
      <w:r w:rsidRPr="00A031A8">
        <w:rPr>
          <w:rFonts w:ascii="Times New Roman" w:eastAsia="Times New Roman" w:hAnsi="Times New Roman" w:cs="Times New Roman"/>
          <w:b/>
          <w:bCs/>
          <w:sz w:val="26"/>
          <w:szCs w:val="26"/>
        </w:rPr>
        <w:tab/>
        <w:t>Limitations of the Study</w:t>
      </w:r>
    </w:p>
    <w:p w:rsidR="0009388C" w:rsidRPr="00A031A8" w:rsidRDefault="0009388C" w:rsidP="00A031A8">
      <w:pPr>
        <w:numPr>
          <w:ilvl w:val="0"/>
          <w:numId w:val="15"/>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Limited access to recent Wema Bank compliance reports.</w:t>
      </w:r>
    </w:p>
    <w:p w:rsidR="0009388C" w:rsidRPr="00A031A8" w:rsidRDefault="0009388C" w:rsidP="00A031A8">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Potential bias in survey responses (if primary data is collected).</w:t>
      </w:r>
    </w:p>
    <w:p w:rsidR="0009388C" w:rsidRPr="00A031A8" w:rsidRDefault="0009388C" w:rsidP="00A031A8">
      <w:pPr>
        <w:numPr>
          <w:ilvl w:val="0"/>
          <w:numId w:val="15"/>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Generalizability may be constrained to Wema Bank’s context.</w:t>
      </w:r>
    </w:p>
    <w:p w:rsidR="002B185F" w:rsidRPr="00A031A8" w:rsidRDefault="0009388C" w:rsidP="00A031A8">
      <w:pPr>
        <w:spacing w:after="0" w:line="360" w:lineRule="auto"/>
        <w:jc w:val="both"/>
        <w:outlineLvl w:val="2"/>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1.</w:t>
      </w:r>
      <w:r w:rsidR="002B185F" w:rsidRPr="00A031A8">
        <w:rPr>
          <w:rFonts w:ascii="Times New Roman" w:eastAsia="Times New Roman" w:hAnsi="Times New Roman" w:cs="Times New Roman"/>
          <w:b/>
          <w:bCs/>
          <w:sz w:val="26"/>
          <w:szCs w:val="26"/>
        </w:rPr>
        <w:t xml:space="preserve"> </w:t>
      </w:r>
      <w:r w:rsidRPr="00A031A8">
        <w:rPr>
          <w:rFonts w:ascii="Times New Roman" w:eastAsia="Times New Roman" w:hAnsi="Times New Roman" w:cs="Times New Roman"/>
          <w:b/>
          <w:bCs/>
          <w:sz w:val="26"/>
          <w:szCs w:val="26"/>
        </w:rPr>
        <w:t>8</w:t>
      </w:r>
      <w:r w:rsidRPr="00A031A8">
        <w:rPr>
          <w:rFonts w:ascii="Times New Roman" w:eastAsia="Times New Roman" w:hAnsi="Times New Roman" w:cs="Times New Roman"/>
          <w:b/>
          <w:bCs/>
          <w:sz w:val="26"/>
          <w:szCs w:val="26"/>
        </w:rPr>
        <w:tab/>
      </w:r>
      <w:r w:rsidR="002B185F" w:rsidRPr="00A031A8">
        <w:rPr>
          <w:rFonts w:ascii="Times New Roman" w:eastAsia="Times New Roman" w:hAnsi="Times New Roman" w:cs="Times New Roman"/>
          <w:b/>
          <w:bCs/>
          <w:sz w:val="26"/>
          <w:szCs w:val="26"/>
        </w:rPr>
        <w:t>Significance of the Study</w:t>
      </w:r>
    </w:p>
    <w:p w:rsidR="002B185F" w:rsidRPr="00A031A8" w:rsidRDefault="002B185F" w:rsidP="00A031A8">
      <w:p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This study will benefit:</w:t>
      </w:r>
    </w:p>
    <w:p w:rsidR="002B185F" w:rsidRPr="00A031A8" w:rsidRDefault="002B185F" w:rsidP="00A031A8">
      <w:pPr>
        <w:numPr>
          <w:ilvl w:val="0"/>
          <w:numId w:val="14"/>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t>Wema Bank</w:t>
      </w:r>
      <w:r w:rsidRPr="00A031A8">
        <w:rPr>
          <w:rFonts w:ascii="Times New Roman" w:eastAsia="Times New Roman" w:hAnsi="Times New Roman" w:cs="Times New Roman"/>
          <w:sz w:val="26"/>
          <w:szCs w:val="26"/>
        </w:rPr>
        <w:t>: By identifying compliance gaps and improvement areas.</w:t>
      </w:r>
    </w:p>
    <w:p w:rsidR="002B185F" w:rsidRPr="00A031A8" w:rsidRDefault="002B185F" w:rsidP="00A031A8">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t>Regulators</w:t>
      </w:r>
      <w:r w:rsidRPr="00A031A8">
        <w:rPr>
          <w:rFonts w:ascii="Times New Roman" w:eastAsia="Times New Roman" w:hAnsi="Times New Roman" w:cs="Times New Roman"/>
          <w:sz w:val="26"/>
          <w:szCs w:val="26"/>
        </w:rPr>
        <w:t>: By providing insights into IFRS enforcement in Nigerian banks.</w:t>
      </w:r>
    </w:p>
    <w:p w:rsidR="002B185F" w:rsidRPr="00A031A8" w:rsidRDefault="002B185F" w:rsidP="00A031A8">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t>Investors and Stakeholders</w:t>
      </w:r>
      <w:r w:rsidRPr="00A031A8">
        <w:rPr>
          <w:rFonts w:ascii="Times New Roman" w:eastAsia="Times New Roman" w:hAnsi="Times New Roman" w:cs="Times New Roman"/>
          <w:sz w:val="26"/>
          <w:szCs w:val="26"/>
        </w:rPr>
        <w:t>: By enhancing understanding of Wema Bank’s financial transparency.</w:t>
      </w:r>
    </w:p>
    <w:p w:rsidR="002B185F" w:rsidRPr="00A031A8" w:rsidRDefault="002B185F" w:rsidP="00A031A8">
      <w:pPr>
        <w:numPr>
          <w:ilvl w:val="0"/>
          <w:numId w:val="14"/>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t>Academia</w:t>
      </w:r>
      <w:r w:rsidRPr="00A031A8">
        <w:rPr>
          <w:rFonts w:ascii="Times New Roman" w:eastAsia="Times New Roman" w:hAnsi="Times New Roman" w:cs="Times New Roman"/>
          <w:sz w:val="26"/>
          <w:szCs w:val="26"/>
        </w:rPr>
        <w:t>: By contributing to research on IFRS adoption in developing economies.</w:t>
      </w:r>
    </w:p>
    <w:p w:rsidR="002F7D72" w:rsidRPr="00A031A8" w:rsidRDefault="00DB62E2"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color w:val="000000"/>
          <w:sz w:val="26"/>
          <w:szCs w:val="26"/>
        </w:rPr>
        <w:t>1.9</w:t>
      </w:r>
      <w:r w:rsidR="002F7D72" w:rsidRPr="00A031A8">
        <w:rPr>
          <w:rFonts w:ascii="Times New Roman" w:eastAsia="Times New Roman" w:hAnsi="Times New Roman" w:cs="Times New Roman"/>
          <w:b/>
          <w:color w:val="000000"/>
          <w:sz w:val="26"/>
          <w:szCs w:val="26"/>
        </w:rPr>
        <w:t xml:space="preserve"> </w:t>
      </w:r>
      <w:r w:rsidR="007A630E" w:rsidRPr="00A031A8">
        <w:rPr>
          <w:rFonts w:ascii="Times New Roman" w:eastAsia="Times New Roman" w:hAnsi="Times New Roman" w:cs="Times New Roman"/>
          <w:b/>
          <w:color w:val="000000"/>
          <w:sz w:val="26"/>
          <w:szCs w:val="26"/>
        </w:rPr>
        <w:tab/>
      </w:r>
      <w:r w:rsidR="002F7D72" w:rsidRPr="00A031A8">
        <w:rPr>
          <w:rFonts w:ascii="Times New Roman" w:eastAsia="Times New Roman" w:hAnsi="Times New Roman" w:cs="Times New Roman"/>
          <w:b/>
          <w:color w:val="000000"/>
          <w:sz w:val="26"/>
          <w:szCs w:val="26"/>
        </w:rPr>
        <w:t>Definition of Terms</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To ensure clarity and avoid ambiguity, the following key terms are defined within the context of this study:</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International Financial Reporting Standards (IFRS):</w:t>
      </w:r>
      <w:r w:rsidRPr="00A031A8">
        <w:rPr>
          <w:rFonts w:ascii="Times New Roman" w:eastAsia="Times New Roman" w:hAnsi="Times New Roman" w:cs="Times New Roman"/>
          <w:color w:val="000000"/>
          <w:sz w:val="26"/>
          <w:szCs w:val="26"/>
        </w:rPr>
        <w:t xml:space="preserve"> A set of global accounting standards issued by the International Accounting Standards Board (IASB) that aim to provide a common global language for </w:t>
      </w:r>
      <w:r w:rsidRPr="00A031A8">
        <w:rPr>
          <w:rFonts w:ascii="Times New Roman" w:eastAsia="Times New Roman" w:hAnsi="Times New Roman" w:cs="Times New Roman"/>
          <w:color w:val="000000"/>
          <w:sz w:val="26"/>
          <w:szCs w:val="26"/>
        </w:rPr>
        <w:lastRenderedPageBreak/>
        <w:t>business affairs, promoting transparency, accountability, and efficiency to financial markets around the world.</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Wema Bank Plc:</w:t>
      </w:r>
      <w:r w:rsidRPr="00A031A8">
        <w:rPr>
          <w:rFonts w:ascii="Times New Roman" w:eastAsia="Times New Roman" w:hAnsi="Times New Roman" w:cs="Times New Roman"/>
          <w:color w:val="000000"/>
          <w:sz w:val="26"/>
          <w:szCs w:val="26"/>
        </w:rPr>
        <w:t xml:space="preserve"> A Nigerian Deposit Money Bank, publicly listed on the Nigerian Exchange Group, serving as the case study for this research.</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Compliance:</w:t>
      </w:r>
      <w:r w:rsidRPr="00A031A8">
        <w:rPr>
          <w:rFonts w:ascii="Times New Roman" w:eastAsia="Times New Roman" w:hAnsi="Times New Roman" w:cs="Times New Roman"/>
          <w:color w:val="000000"/>
          <w:sz w:val="26"/>
          <w:szCs w:val="26"/>
        </w:rPr>
        <w:t xml:space="preserve"> In the context of IFRS, compliance refers to the adherence to the recognition, measurement, presentation, and disclosure requirements stipulated by the IFRS pronouncements.</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Financial Reporting Quality:</w:t>
      </w:r>
      <w:r w:rsidRPr="00A031A8">
        <w:rPr>
          <w:rFonts w:ascii="Times New Roman" w:eastAsia="Times New Roman" w:hAnsi="Times New Roman" w:cs="Times New Roman"/>
          <w:color w:val="000000"/>
          <w:sz w:val="26"/>
          <w:szCs w:val="26"/>
        </w:rPr>
        <w:t xml:space="preserve"> The extent to which financial statements accurately reflect the economic reality of an entity, providing relevant, reliable, comparable, and understandable information for decision-making.</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Comparability:</w:t>
      </w:r>
      <w:r w:rsidRPr="00A031A8">
        <w:rPr>
          <w:rFonts w:ascii="Times New Roman" w:eastAsia="Times New Roman" w:hAnsi="Times New Roman" w:cs="Times New Roman"/>
          <w:color w:val="000000"/>
          <w:sz w:val="26"/>
          <w:szCs w:val="26"/>
        </w:rPr>
        <w:t xml:space="preserve"> The qualitative characteristic of financial information that enables users to identify and understand similarities in, and differences among, items. It allows for comparison of an entity’s financial statements over time and with those of other entities.</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Nigerian Generally Accepted Accounting Principles (NGAAP):</w:t>
      </w:r>
      <w:r w:rsidRPr="00A031A8">
        <w:rPr>
          <w:rFonts w:ascii="Times New Roman" w:eastAsia="Times New Roman" w:hAnsi="Times New Roman" w:cs="Times New Roman"/>
          <w:color w:val="000000"/>
          <w:sz w:val="26"/>
          <w:szCs w:val="26"/>
        </w:rPr>
        <w:t xml:space="preserve"> The set of accounting standards and principles previously used in Nigeria before the adoption of IFRS.</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Financial Reporting Council (FRC) of Nigeria:</w:t>
      </w:r>
      <w:r w:rsidRPr="00A031A8">
        <w:rPr>
          <w:rFonts w:ascii="Times New Roman" w:eastAsia="Times New Roman" w:hAnsi="Times New Roman" w:cs="Times New Roman"/>
          <w:color w:val="000000"/>
          <w:sz w:val="26"/>
          <w:szCs w:val="26"/>
        </w:rPr>
        <w:t xml:space="preserve"> The regulatory body responsible for ensuring compliance with accounting, auditing, and financial reporting standards in Nigeria.</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Central Bank of Nigeria (CBN):</w:t>
      </w:r>
      <w:r w:rsidRPr="00A031A8">
        <w:rPr>
          <w:rFonts w:ascii="Times New Roman" w:eastAsia="Times New Roman" w:hAnsi="Times New Roman" w:cs="Times New Roman"/>
          <w:color w:val="000000"/>
          <w:sz w:val="26"/>
          <w:szCs w:val="26"/>
        </w:rPr>
        <w:t xml:space="preserve"> The apex monetary authority of Nigeria, responsible for regulating the banking sector and ensuring financial stability.</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IFRS 9 (Financial Instruments):</w:t>
      </w:r>
      <w:r w:rsidRPr="00A031A8">
        <w:rPr>
          <w:rFonts w:ascii="Times New Roman" w:eastAsia="Times New Roman" w:hAnsi="Times New Roman" w:cs="Times New Roman"/>
          <w:color w:val="000000"/>
          <w:sz w:val="26"/>
          <w:szCs w:val="26"/>
        </w:rPr>
        <w:t xml:space="preserve"> An IFRS standard that sets out requirements for the recognition and measurement of financial assets and </w:t>
      </w:r>
      <w:r w:rsidRPr="00A031A8">
        <w:rPr>
          <w:rFonts w:ascii="Times New Roman" w:eastAsia="Times New Roman" w:hAnsi="Times New Roman" w:cs="Times New Roman"/>
          <w:color w:val="000000"/>
          <w:sz w:val="26"/>
          <w:szCs w:val="26"/>
        </w:rPr>
        <w:lastRenderedPageBreak/>
        <w:t>financial liabilities, derecognition of financial instruments, and impairment (Expected Credit Loss model).</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Expected Credit Loss (ECL) Model:</w:t>
      </w:r>
      <w:r w:rsidRPr="00A031A8">
        <w:rPr>
          <w:rFonts w:ascii="Times New Roman" w:eastAsia="Times New Roman" w:hAnsi="Times New Roman" w:cs="Times New Roman"/>
          <w:color w:val="000000"/>
          <w:sz w:val="26"/>
          <w:szCs w:val="26"/>
        </w:rPr>
        <w:t xml:space="preserve"> An impairment model under IFRS 9 that requires entities to recognize provisions for expected credit losses on financial assets, even before a credit event has occurred, based on a forward-looking assessment of credit risk.</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IFRS 16 (Leases):</w:t>
      </w:r>
      <w:r w:rsidRPr="00A031A8">
        <w:rPr>
          <w:rFonts w:ascii="Times New Roman" w:eastAsia="Times New Roman" w:hAnsi="Times New Roman" w:cs="Times New Roman"/>
          <w:color w:val="000000"/>
          <w:sz w:val="26"/>
          <w:szCs w:val="26"/>
        </w:rPr>
        <w:t xml:space="preserve"> An IFRS standard that requires lessees to recognize most leases on their balance sheets as a ‘right-of-use’ (ROU) asset and a corresponding lease liability, effectively capitalizing operating leases.</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Right-of-Use (ROU) Asset:</w:t>
      </w:r>
      <w:r w:rsidRPr="00A031A8">
        <w:rPr>
          <w:rFonts w:ascii="Times New Roman" w:eastAsia="Times New Roman" w:hAnsi="Times New Roman" w:cs="Times New Roman"/>
          <w:color w:val="000000"/>
          <w:sz w:val="26"/>
          <w:szCs w:val="26"/>
        </w:rPr>
        <w:t xml:space="preserve"> An asset representing a lessee’s right to use an underlying asset for the lease term, recognized on the balance sheet under IFRS 16.</w:t>
      </w:r>
    </w:p>
    <w:p w:rsidR="002F7D72" w:rsidRPr="00A031A8" w:rsidRDefault="002F7D72" w:rsidP="00A031A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Lease Liability:</w:t>
      </w:r>
      <w:r w:rsidRPr="00A031A8">
        <w:rPr>
          <w:rFonts w:ascii="Times New Roman" w:eastAsia="Times New Roman" w:hAnsi="Times New Roman" w:cs="Times New Roman"/>
          <w:color w:val="000000"/>
          <w:sz w:val="26"/>
          <w:szCs w:val="26"/>
        </w:rPr>
        <w:t xml:space="preserve"> A liability representing a lessee’s obligation to make lease payments, recognized on the balance sheet under IFRS 16.</w:t>
      </w:r>
    </w:p>
    <w:p w:rsidR="00F14CE6" w:rsidRPr="00A031A8" w:rsidRDefault="00F14CE6" w:rsidP="00A031A8">
      <w:pPr>
        <w:spacing w:line="360" w:lineRule="auto"/>
        <w:rPr>
          <w:rFonts w:ascii="Times New Roman" w:eastAsia="Times New Roman" w:hAnsi="Times New Roman" w:cs="Times New Roman"/>
          <w:b/>
          <w:color w:val="000000"/>
          <w:kern w:val="36"/>
          <w:sz w:val="26"/>
          <w:szCs w:val="26"/>
        </w:rPr>
      </w:pPr>
      <w:r w:rsidRPr="00A031A8">
        <w:rPr>
          <w:rFonts w:ascii="Times New Roman" w:eastAsia="Times New Roman" w:hAnsi="Times New Roman" w:cs="Times New Roman"/>
          <w:b/>
          <w:color w:val="000000"/>
          <w:kern w:val="36"/>
          <w:sz w:val="26"/>
          <w:szCs w:val="26"/>
        </w:rPr>
        <w:br w:type="page"/>
      </w:r>
    </w:p>
    <w:p w:rsidR="007A630E" w:rsidRPr="00A031A8" w:rsidRDefault="007A630E" w:rsidP="00A031A8">
      <w:pPr>
        <w:spacing w:after="0" w:line="360" w:lineRule="auto"/>
        <w:jc w:val="center"/>
        <w:outlineLvl w:val="0"/>
        <w:rPr>
          <w:rFonts w:ascii="Times New Roman" w:eastAsia="Times New Roman" w:hAnsi="Times New Roman" w:cs="Times New Roman"/>
          <w:b/>
          <w:color w:val="000000"/>
          <w:kern w:val="36"/>
          <w:sz w:val="26"/>
          <w:szCs w:val="26"/>
        </w:rPr>
      </w:pPr>
      <w:r w:rsidRPr="00A031A8">
        <w:rPr>
          <w:rFonts w:ascii="Times New Roman" w:eastAsia="Times New Roman" w:hAnsi="Times New Roman" w:cs="Times New Roman"/>
          <w:b/>
          <w:color w:val="000000"/>
          <w:kern w:val="36"/>
          <w:sz w:val="26"/>
          <w:szCs w:val="26"/>
        </w:rPr>
        <w:lastRenderedPageBreak/>
        <w:t>CHAPTER TWO</w:t>
      </w:r>
    </w:p>
    <w:p w:rsidR="002F7D72" w:rsidRPr="00A031A8" w:rsidRDefault="002F7D72" w:rsidP="00A031A8">
      <w:pPr>
        <w:spacing w:after="0" w:line="360" w:lineRule="auto"/>
        <w:jc w:val="center"/>
        <w:outlineLvl w:val="0"/>
        <w:rPr>
          <w:rFonts w:ascii="Times New Roman" w:eastAsia="Times New Roman" w:hAnsi="Times New Roman" w:cs="Times New Roman"/>
          <w:b/>
          <w:bCs/>
          <w:kern w:val="36"/>
          <w:sz w:val="26"/>
          <w:szCs w:val="26"/>
        </w:rPr>
      </w:pPr>
      <w:r w:rsidRPr="00A031A8">
        <w:rPr>
          <w:rFonts w:ascii="Times New Roman" w:eastAsia="Times New Roman" w:hAnsi="Times New Roman" w:cs="Times New Roman"/>
          <w:b/>
          <w:color w:val="000000"/>
          <w:kern w:val="36"/>
          <w:sz w:val="26"/>
          <w:szCs w:val="26"/>
        </w:rPr>
        <w:t>Literature Review</w:t>
      </w:r>
    </w:p>
    <w:p w:rsidR="002F7D72" w:rsidRPr="00A031A8" w:rsidRDefault="002F7D72"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color w:val="000000"/>
          <w:sz w:val="26"/>
          <w:szCs w:val="26"/>
        </w:rPr>
        <w:t>2.1</w:t>
      </w:r>
      <w:r w:rsidR="00BF261C" w:rsidRPr="00A031A8">
        <w:rPr>
          <w:rFonts w:ascii="Times New Roman" w:eastAsia="Times New Roman" w:hAnsi="Times New Roman" w:cs="Times New Roman"/>
          <w:b/>
          <w:color w:val="000000"/>
          <w:sz w:val="26"/>
          <w:szCs w:val="26"/>
        </w:rPr>
        <w:tab/>
      </w:r>
      <w:r w:rsidR="00FB3463" w:rsidRPr="00A031A8">
        <w:rPr>
          <w:rFonts w:ascii="Times New Roman" w:eastAsia="Times New Roman" w:hAnsi="Times New Roman" w:cs="Times New Roman"/>
          <w:b/>
          <w:color w:val="000000"/>
          <w:sz w:val="26"/>
          <w:szCs w:val="26"/>
        </w:rPr>
        <w:t xml:space="preserve">Introduction </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International Financial Reporting Standards (IFRS) represent a globally recognized set of accounting principles developed by the International Accounting Standards Board (IASB). The primary objective of IFRS is to establish a common global language for business affairs so that company accounts are understandable and comparable across international borders. This objective is underpinned by a conceptual framework that guides the development of IFRS and provides a basis for preparers to develop consistent accounting policies for transactions not specifically addressed by a standard or where there is a</w:t>
      </w:r>
      <w:r w:rsidR="007853C9" w:rsidRPr="00A031A8">
        <w:rPr>
          <w:rFonts w:ascii="Times New Roman" w:eastAsia="Times New Roman" w:hAnsi="Times New Roman" w:cs="Times New Roman"/>
          <w:color w:val="000000"/>
          <w:sz w:val="26"/>
          <w:szCs w:val="26"/>
        </w:rPr>
        <w:t xml:space="preserve"> choice of accounting policy</w:t>
      </w:r>
      <w:r w:rsidRPr="00A031A8">
        <w:rPr>
          <w:rFonts w:ascii="Times New Roman" w:eastAsia="Times New Roman" w:hAnsi="Times New Roman" w:cs="Times New Roman"/>
          <w:color w:val="000000"/>
          <w:sz w:val="26"/>
          <w:szCs w:val="26"/>
        </w:rPr>
        <w:t>.</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 xml:space="preserve">The IASB Conceptual Framework for Financial Reporting outlines the objective of general purpose financial reporting, which is to provide financial information about the reporting entity that is useful to existing and potential investors, lenders, and other creditors in making decisions about providing resources to the entity. To achieve this objective, the framework identifies two fundamental qualitative characteristics of useful financial information: relevance and faithful representation. Relevant information is capable of making a difference in decisions, while faithful representation means that information is complete, </w:t>
      </w:r>
      <w:r w:rsidR="006F6561" w:rsidRPr="00A031A8">
        <w:rPr>
          <w:rFonts w:ascii="Times New Roman" w:eastAsia="Times New Roman" w:hAnsi="Times New Roman" w:cs="Times New Roman"/>
          <w:color w:val="000000"/>
          <w:sz w:val="26"/>
          <w:szCs w:val="26"/>
        </w:rPr>
        <w:t>neutral, and free from error</w:t>
      </w:r>
      <w:r w:rsidRPr="00A031A8">
        <w:rPr>
          <w:rFonts w:ascii="Times New Roman" w:eastAsia="Times New Roman" w:hAnsi="Times New Roman" w:cs="Times New Roman"/>
          <w:color w:val="000000"/>
          <w:sz w:val="26"/>
          <w:szCs w:val="26"/>
        </w:rPr>
        <w:t>.</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 xml:space="preserve">Enhancing qualitative characteristics, such as comparability, verifiability, timeliness, and understandability, further improve the usefulness of financial information. Comparability enables users to identify and understand similarities in, and differences among, items. Verifiability helps assure users that information faithfully represents the economic phenomena it purports to </w:t>
      </w:r>
      <w:r w:rsidRPr="00A031A8">
        <w:rPr>
          <w:rFonts w:ascii="Times New Roman" w:eastAsia="Times New Roman" w:hAnsi="Times New Roman" w:cs="Times New Roman"/>
          <w:color w:val="000000"/>
          <w:sz w:val="26"/>
          <w:szCs w:val="26"/>
        </w:rPr>
        <w:lastRenderedPageBreak/>
        <w:t>represent. Timeliness means having information available to decision-makers in time to be capable of influencing their decisions. Understandability classifies, characterizes, and presents infor</w:t>
      </w:r>
      <w:r w:rsidR="00560FC3" w:rsidRPr="00A031A8">
        <w:rPr>
          <w:rFonts w:ascii="Times New Roman" w:eastAsia="Times New Roman" w:hAnsi="Times New Roman" w:cs="Times New Roman"/>
          <w:color w:val="000000"/>
          <w:sz w:val="26"/>
          <w:szCs w:val="26"/>
        </w:rPr>
        <w:t>mation clearly and concisely</w:t>
      </w:r>
      <w:r w:rsidRPr="00A031A8">
        <w:rPr>
          <w:rFonts w:ascii="Times New Roman" w:eastAsia="Times New Roman" w:hAnsi="Times New Roman" w:cs="Times New Roman"/>
          <w:color w:val="000000"/>
          <w:sz w:val="26"/>
          <w:szCs w:val="26"/>
        </w:rPr>
        <w:t>.</w:t>
      </w:r>
    </w:p>
    <w:p w:rsidR="002F7D72" w:rsidRPr="00A031A8" w:rsidRDefault="002F7D72" w:rsidP="00A031A8">
      <w:pPr>
        <w:spacing w:after="0" w:line="360" w:lineRule="auto"/>
        <w:ind w:firstLine="720"/>
        <w:jc w:val="both"/>
        <w:rPr>
          <w:rFonts w:ascii="Times New Roman" w:eastAsia="Times New Roman" w:hAnsi="Times New Roman" w:cs="Times New Roman"/>
          <w:color w:val="000000"/>
          <w:sz w:val="26"/>
          <w:szCs w:val="26"/>
        </w:rPr>
      </w:pPr>
      <w:r w:rsidRPr="00A031A8">
        <w:rPr>
          <w:rFonts w:ascii="Times New Roman" w:eastAsia="Times New Roman" w:hAnsi="Times New Roman" w:cs="Times New Roman"/>
          <w:color w:val="000000"/>
          <w:sz w:val="26"/>
          <w:szCs w:val="26"/>
        </w:rPr>
        <w:t>The framework also defines the elements of financial statements, including assets, liabilities, equity, income, and expenses. It provides guidance on recognition and measurement concepts, such as the historical cost and fair value measurement bases. The consistent application of these principles across different jurisdictions is expected to lead to higher quality financial reporting, fostering greater transparency and facilitating cross</w:t>
      </w:r>
      <w:r w:rsidR="00662993" w:rsidRPr="00A031A8">
        <w:rPr>
          <w:rFonts w:ascii="Times New Roman" w:eastAsia="Times New Roman" w:hAnsi="Times New Roman" w:cs="Times New Roman"/>
          <w:color w:val="000000"/>
          <w:sz w:val="26"/>
          <w:szCs w:val="26"/>
        </w:rPr>
        <w:t>-border investment decisions</w:t>
      </w:r>
      <w:r w:rsidRPr="00A031A8">
        <w:rPr>
          <w:rFonts w:ascii="Times New Roman" w:eastAsia="Times New Roman" w:hAnsi="Times New Roman" w:cs="Times New Roman"/>
          <w:color w:val="000000"/>
          <w:sz w:val="26"/>
          <w:szCs w:val="26"/>
        </w:rPr>
        <w:t>.</w:t>
      </w:r>
    </w:p>
    <w:p w:rsidR="004062F0" w:rsidRPr="00A031A8" w:rsidRDefault="004062F0"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b/>
          <w:color w:val="000000" w:themeColor="text1"/>
          <w:sz w:val="26"/>
          <w:szCs w:val="26"/>
        </w:rPr>
        <w:t>2.2</w:t>
      </w:r>
      <w:r w:rsidRPr="00A031A8">
        <w:rPr>
          <w:color w:val="000000" w:themeColor="text1"/>
          <w:sz w:val="26"/>
          <w:szCs w:val="26"/>
        </w:rPr>
        <w:tab/>
      </w:r>
      <w:r w:rsidRPr="00A031A8">
        <w:rPr>
          <w:b/>
          <w:color w:val="000000" w:themeColor="text1"/>
          <w:sz w:val="26"/>
          <w:szCs w:val="26"/>
        </w:rPr>
        <w:t>Conceptual Framework</w:t>
      </w:r>
    </w:p>
    <w:p w:rsidR="00F14CE6" w:rsidRPr="00A031A8" w:rsidRDefault="00F14CE6" w:rsidP="00A031A8">
      <w:pPr>
        <w:pStyle w:val="NormalWeb"/>
        <w:shd w:val="clear" w:color="auto" w:fill="FFFFFF"/>
        <w:spacing w:before="0" w:beforeAutospacing="0" w:after="0" w:afterAutospacing="0" w:line="360" w:lineRule="auto"/>
        <w:ind w:firstLine="720"/>
        <w:jc w:val="both"/>
        <w:textAlignment w:val="baseline"/>
        <w:rPr>
          <w:color w:val="000000" w:themeColor="text1"/>
          <w:sz w:val="26"/>
          <w:szCs w:val="26"/>
        </w:rPr>
      </w:pPr>
      <w:r w:rsidRPr="00A031A8">
        <w:rPr>
          <w:color w:val="000000" w:themeColor="text1"/>
          <w:sz w:val="26"/>
          <w:szCs w:val="26"/>
        </w:rPr>
        <w:t>The financial statements are normally prepared on the assumption that an entity is a going concern and will continue in operation for the foreseeable future.</w:t>
      </w:r>
    </w:p>
    <w:p w:rsidR="00277473" w:rsidRPr="00A031A8" w:rsidRDefault="00F14CE6"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color w:val="000000" w:themeColor="text1"/>
          <w:sz w:val="26"/>
          <w:szCs w:val="26"/>
        </w:rPr>
        <w:t xml:space="preserve">Qualitative characteristics identify the types of information that are likely to be most useful to the existing and potential investment, lenders and other creditors for making decisions about the reporting entity on the basis of information in its financial report (financial information). If financial information is to be useful, it must be relevant (i.e. must have predictive value and confirmatory value, based on the nature or magnitude, or both, of the item to which the information relates in the context of an individual entity’s financial report) and faithfully represents what it purports to represent (i.e. information must be complete, neutral and free from error). The usefulness of financial information is enhanced if it is comparable, verifiable, timely and understandable. </w:t>
      </w:r>
    </w:p>
    <w:p w:rsidR="00F14CE6" w:rsidRPr="00A031A8" w:rsidRDefault="00F14CE6"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color w:val="000000" w:themeColor="text1"/>
          <w:sz w:val="26"/>
          <w:szCs w:val="26"/>
        </w:rPr>
        <w:t xml:space="preserve">The IASB acknowledges that cost may be a constrain on preparing useful financial information Paananen (2008:17). The elements directly related to the </w:t>
      </w:r>
      <w:r w:rsidRPr="00A031A8">
        <w:rPr>
          <w:color w:val="000000" w:themeColor="text1"/>
          <w:sz w:val="26"/>
          <w:szCs w:val="26"/>
        </w:rPr>
        <w:lastRenderedPageBreak/>
        <w:t>measurement of financial position are assets, liabilities and equity. These are defined as follows:</w:t>
      </w:r>
    </w:p>
    <w:p w:rsidR="00F14CE6" w:rsidRPr="00A031A8" w:rsidRDefault="00F14CE6"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color w:val="000000" w:themeColor="text1"/>
          <w:sz w:val="26"/>
          <w:szCs w:val="26"/>
        </w:rPr>
        <w:t>(a) An asset is a resource controlled by the entity as a result of past events and from which future economic benefits are expected to flow to the entity.</w:t>
      </w:r>
    </w:p>
    <w:p w:rsidR="00F14CE6" w:rsidRPr="00A031A8" w:rsidRDefault="00F14CE6"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color w:val="000000" w:themeColor="text1"/>
          <w:sz w:val="26"/>
          <w:szCs w:val="26"/>
        </w:rPr>
        <w:t>(b) A liability is a present obligation of the entity arising from past events, the settlement of which is expected to result in an outflow from the entity of resources embodying economic benefits.</w:t>
      </w:r>
    </w:p>
    <w:p w:rsidR="00F14CE6" w:rsidRPr="00A031A8" w:rsidRDefault="00F14CE6"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color w:val="000000" w:themeColor="text1"/>
          <w:sz w:val="26"/>
          <w:szCs w:val="26"/>
        </w:rPr>
        <w:t>(c) Equity is the residual interest in the assets of the entity after deducting all its liabilities.</w:t>
      </w:r>
    </w:p>
    <w:p w:rsidR="00F14CE6" w:rsidRPr="00A031A8" w:rsidRDefault="00F14CE6"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color w:val="000000" w:themeColor="text1"/>
          <w:sz w:val="26"/>
          <w:szCs w:val="26"/>
        </w:rPr>
        <w:t>The elements of income and expenses are defined as follows:</w:t>
      </w:r>
    </w:p>
    <w:p w:rsidR="00F14CE6" w:rsidRPr="00A031A8" w:rsidRDefault="00F14CE6"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color w:val="000000" w:themeColor="text1"/>
          <w:sz w:val="26"/>
          <w:szCs w:val="26"/>
        </w:rPr>
        <w:t>(a) Income is increases in economic benefits during the accounting period in the form of inflows or enhancements of assets or decreases of liabilities that result in increases in equity, other than those relating to contributions from equity participants.</w:t>
      </w:r>
    </w:p>
    <w:p w:rsidR="00F14CE6" w:rsidRPr="00A031A8" w:rsidRDefault="00F14CE6"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color w:val="000000" w:themeColor="text1"/>
          <w:sz w:val="26"/>
          <w:szCs w:val="26"/>
        </w:rPr>
        <w:t>(b) Expenses are decreases in economic benefits during the accounting period in the form of outflows or depletions of assets or incurrence’s of liabilities that result in decreases in equity, other than those relating to distributions to equity participants.</w:t>
      </w:r>
    </w:p>
    <w:p w:rsidR="00F14CE6" w:rsidRPr="00A031A8" w:rsidRDefault="00F14CE6"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color w:val="000000" w:themeColor="text1"/>
          <w:sz w:val="26"/>
          <w:szCs w:val="26"/>
        </w:rPr>
        <w:t>An item that meets the definition of an element should be recognized if:</w:t>
      </w:r>
    </w:p>
    <w:p w:rsidR="00F14CE6" w:rsidRPr="00A031A8" w:rsidRDefault="00F14CE6"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color w:val="000000" w:themeColor="text1"/>
          <w:sz w:val="26"/>
          <w:szCs w:val="26"/>
        </w:rPr>
        <w:t>(a) It is probable that any future economic benefit associated with the item will flow to or from the entity; and</w:t>
      </w:r>
    </w:p>
    <w:p w:rsidR="00F14CE6" w:rsidRPr="00A031A8" w:rsidRDefault="00F14CE6"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color w:val="000000" w:themeColor="text1"/>
          <w:sz w:val="26"/>
          <w:szCs w:val="26"/>
        </w:rPr>
        <w:t>(b) The item has a cost or value that can be measured with reliability.</w:t>
      </w:r>
    </w:p>
    <w:p w:rsidR="00F14CE6" w:rsidRPr="00A031A8" w:rsidRDefault="00F14CE6" w:rsidP="00A031A8">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A031A8">
        <w:rPr>
          <w:color w:val="000000" w:themeColor="text1"/>
          <w:sz w:val="26"/>
          <w:szCs w:val="26"/>
        </w:rPr>
        <w:t>Measurement is the process of determining the monetary amounts at which the elements of the financial statements are to be recognized and carried in the balance sheet and income statement. This involves the selection of the particular basis of measurement.</w:t>
      </w:r>
    </w:p>
    <w:p w:rsidR="00E70725" w:rsidRPr="00A031A8" w:rsidRDefault="005F1697" w:rsidP="00A031A8">
      <w:pPr>
        <w:spacing w:after="0" w:line="360" w:lineRule="auto"/>
        <w:jc w:val="both"/>
        <w:outlineLvl w:val="2"/>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lastRenderedPageBreak/>
        <w:t>2.3</w:t>
      </w:r>
      <w:r w:rsidR="00901B08" w:rsidRPr="00A031A8">
        <w:rPr>
          <w:rFonts w:ascii="Times New Roman" w:eastAsia="Times New Roman" w:hAnsi="Times New Roman" w:cs="Times New Roman"/>
          <w:b/>
          <w:bCs/>
          <w:sz w:val="26"/>
          <w:szCs w:val="26"/>
        </w:rPr>
        <w:tab/>
      </w:r>
      <w:r w:rsidR="00E70725" w:rsidRPr="00A031A8">
        <w:rPr>
          <w:rFonts w:ascii="Times New Roman" w:eastAsia="Times New Roman" w:hAnsi="Times New Roman" w:cs="Times New Roman"/>
          <w:b/>
          <w:bCs/>
          <w:sz w:val="26"/>
          <w:szCs w:val="26"/>
        </w:rPr>
        <w:t>Theoretical Framework</w:t>
      </w:r>
    </w:p>
    <w:p w:rsidR="00E70725" w:rsidRPr="00A031A8" w:rsidRDefault="00E70725" w:rsidP="00A031A8">
      <w:pPr>
        <w:spacing w:after="0" w:line="360" w:lineRule="auto"/>
        <w:ind w:firstLine="720"/>
        <w:jc w:val="both"/>
        <w:rPr>
          <w:rFonts w:ascii="Times New Roman" w:hAnsi="Times New Roman" w:cs="Times New Roman"/>
          <w:sz w:val="26"/>
          <w:szCs w:val="26"/>
        </w:rPr>
      </w:pPr>
      <w:r w:rsidRPr="00A031A8">
        <w:rPr>
          <w:rFonts w:ascii="Times New Roman" w:hAnsi="Times New Roman" w:cs="Times New Roman"/>
          <w:sz w:val="26"/>
          <w:szCs w:val="26"/>
        </w:rPr>
        <w:t xml:space="preserve">Barth et al. (2001) argue that the key purpose of value relevance research is ‘to extend our knowledge regarding the relevance and reliability of accounting amounts as reflected in equity values’ (Barth et al.,2001, p.80). Value relevance research examines the association between the stock price as a dependent variable and a set of independent accounting variables. An accounting variable is considered value 37 relevant if it is significantly associated with a dependent variable, such as stock price (Beaver, 2002). </w:t>
      </w:r>
    </w:p>
    <w:p w:rsidR="00E70725" w:rsidRPr="00A031A8" w:rsidRDefault="00E70725" w:rsidP="00A031A8">
      <w:pPr>
        <w:spacing w:after="0" w:line="360" w:lineRule="auto"/>
        <w:ind w:firstLine="720"/>
        <w:jc w:val="both"/>
        <w:rPr>
          <w:rFonts w:ascii="Times New Roman" w:hAnsi="Times New Roman" w:cs="Times New Roman"/>
          <w:sz w:val="26"/>
          <w:szCs w:val="26"/>
        </w:rPr>
      </w:pPr>
      <w:r w:rsidRPr="00A031A8">
        <w:rPr>
          <w:rFonts w:ascii="Times New Roman" w:hAnsi="Times New Roman" w:cs="Times New Roman"/>
          <w:sz w:val="26"/>
          <w:szCs w:val="26"/>
        </w:rPr>
        <w:t xml:space="preserve">Barth et al. (2001) claims that value relevance research is not only important for investors, but it also provides useful insight into accounting matters for standard setters and other users. Francis et al., (2004) identify seven desirable attributes of accounting quality: accrual quality, persistence, value relevance, timeliness, predictability, smoothness and conservatism. This suggests that value relevance, even if not the only attribute, is one of the most important attributes of accounting quality. </w:t>
      </w:r>
    </w:p>
    <w:p w:rsidR="00E70725" w:rsidRPr="00A031A8" w:rsidRDefault="00E70725" w:rsidP="00A031A8">
      <w:pPr>
        <w:spacing w:after="0" w:line="360" w:lineRule="auto"/>
        <w:jc w:val="both"/>
        <w:rPr>
          <w:rFonts w:ascii="Times New Roman" w:hAnsi="Times New Roman" w:cs="Times New Roman"/>
          <w:sz w:val="26"/>
          <w:szCs w:val="26"/>
        </w:rPr>
      </w:pPr>
      <w:r w:rsidRPr="00A031A8">
        <w:rPr>
          <w:rFonts w:ascii="Times New Roman" w:hAnsi="Times New Roman" w:cs="Times New Roman"/>
          <w:sz w:val="26"/>
          <w:szCs w:val="26"/>
        </w:rPr>
        <w:t xml:space="preserve">Beaver (2002) notes that value relevance had been a major area of interest in empirical accounting research throughout the previous 10 years. However, Beaver states that ‘as with other research areas, value relevance research is controversial’ (Beaver, 2002, p.460). </w:t>
      </w:r>
    </w:p>
    <w:p w:rsidR="00E70725" w:rsidRPr="00A031A8" w:rsidRDefault="00E70725" w:rsidP="00A031A8">
      <w:pPr>
        <w:spacing w:after="0" w:line="360" w:lineRule="auto"/>
        <w:ind w:firstLine="720"/>
        <w:jc w:val="both"/>
        <w:rPr>
          <w:rFonts w:ascii="Times New Roman" w:hAnsi="Times New Roman" w:cs="Times New Roman"/>
          <w:sz w:val="26"/>
          <w:szCs w:val="26"/>
        </w:rPr>
      </w:pPr>
      <w:r w:rsidRPr="00A031A8">
        <w:rPr>
          <w:rFonts w:ascii="Times New Roman" w:hAnsi="Times New Roman" w:cs="Times New Roman"/>
          <w:sz w:val="26"/>
          <w:szCs w:val="26"/>
        </w:rPr>
        <w:t xml:space="preserve">For example, Holthausen and Watts (2001) assess value relevance literature’s inferences for standard setting. The authors argue that it is difficult to draw standard setting inferences from existing literature, and claim that much of the value relevance research is motivated by an assumption that financial statements provide inputs to investors’ valuations and that equity investors are the dominant users of financial reporting. They argue that this is inconsistent </w:t>
      </w:r>
      <w:r w:rsidRPr="00A031A8">
        <w:rPr>
          <w:rFonts w:ascii="Times New Roman" w:hAnsi="Times New Roman" w:cs="Times New Roman"/>
          <w:sz w:val="26"/>
          <w:szCs w:val="26"/>
        </w:rPr>
        <w:lastRenderedPageBreak/>
        <w:t xml:space="preserve">with the view of accounting standard setting regarding the purpose of accounting, which emphasises all stakeholders. </w:t>
      </w:r>
    </w:p>
    <w:p w:rsidR="00E70725" w:rsidRPr="00A031A8" w:rsidRDefault="00E70725" w:rsidP="00A031A8">
      <w:pPr>
        <w:spacing w:line="360" w:lineRule="auto"/>
        <w:jc w:val="both"/>
        <w:rPr>
          <w:rFonts w:ascii="Times New Roman" w:hAnsi="Times New Roman" w:cs="Times New Roman"/>
          <w:sz w:val="26"/>
          <w:szCs w:val="26"/>
        </w:rPr>
      </w:pPr>
      <w:r w:rsidRPr="00A031A8">
        <w:rPr>
          <w:rFonts w:ascii="Times New Roman" w:hAnsi="Times New Roman" w:cs="Times New Roman"/>
          <w:sz w:val="26"/>
          <w:szCs w:val="26"/>
        </w:rPr>
        <w:t xml:space="preserve">In contrast, Barth et al. (2001) present a different view, arguing that value relevance research provides useful insights for standard setters. They contend that although the focus of value relevance research is on investors, the importance of this research to standard setters should not be underestimated. The efficient market hypothesis (EMH) provides the theoretical framework and basis for much of the capital market–based research in accounting (Kothari, 2001). </w:t>
      </w:r>
    </w:p>
    <w:p w:rsidR="00E70725" w:rsidRPr="00A031A8" w:rsidRDefault="00E70725" w:rsidP="00A031A8">
      <w:pPr>
        <w:spacing w:after="0" w:line="360" w:lineRule="auto"/>
        <w:jc w:val="both"/>
        <w:rPr>
          <w:rFonts w:ascii="Times New Roman" w:hAnsi="Times New Roman" w:cs="Times New Roman"/>
          <w:sz w:val="26"/>
          <w:szCs w:val="26"/>
        </w:rPr>
      </w:pPr>
      <w:r w:rsidRPr="00A031A8">
        <w:rPr>
          <w:rFonts w:ascii="Times New Roman" w:hAnsi="Times New Roman" w:cs="Times New Roman"/>
          <w:sz w:val="26"/>
          <w:szCs w:val="26"/>
        </w:rPr>
        <w:t>Value relevance research is part of capital market research, and is based on the premise that, if accounting information is useful, investors will adjust their behaviour and the market will respond quickly through a change in stock price.</w:t>
      </w:r>
    </w:p>
    <w:p w:rsidR="00E70725" w:rsidRPr="00A031A8" w:rsidRDefault="00E70725" w:rsidP="00A031A8">
      <w:pPr>
        <w:spacing w:after="0" w:line="360" w:lineRule="auto"/>
        <w:ind w:firstLine="720"/>
        <w:jc w:val="both"/>
        <w:rPr>
          <w:rFonts w:ascii="Times New Roman" w:hAnsi="Times New Roman" w:cs="Times New Roman"/>
          <w:sz w:val="26"/>
          <w:szCs w:val="26"/>
        </w:rPr>
      </w:pPr>
      <w:r w:rsidRPr="00A031A8">
        <w:rPr>
          <w:rFonts w:ascii="Times New Roman" w:hAnsi="Times New Roman" w:cs="Times New Roman"/>
          <w:sz w:val="26"/>
          <w:szCs w:val="26"/>
        </w:rPr>
        <w:t xml:space="preserve">Scott (2006) rationalises the use of stock price as a measure of value relevance by noting that rational, informed investors revise their expectations of future performance and stock returns on the basis of current earnings information. Revised expectations trigger buy or sell decisions as investors move to restore the risk–returns tradeoffs in their portfolios to desired levels. If net income does have information content to investors there would be revision of beliefs upon receipt, hence triggering buy or sell decisions and associated price changes. </w:t>
      </w:r>
    </w:p>
    <w:p w:rsidR="00E70725" w:rsidRPr="00A031A8" w:rsidRDefault="00E70725"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hAnsi="Times New Roman" w:cs="Times New Roman"/>
          <w:sz w:val="26"/>
          <w:szCs w:val="26"/>
        </w:rPr>
        <w:t>Scott (2006) concludes by noting that accounting information is value relevant if it leads investors to change their beliefs and actions, and that the extent of a price change following the release of accounting information is a good measure of the degree of usefulness to investors.</w:t>
      </w:r>
    </w:p>
    <w:p w:rsidR="00077728" w:rsidRDefault="00077728" w:rsidP="00A031A8">
      <w:pPr>
        <w:spacing w:after="0" w:line="360" w:lineRule="auto"/>
        <w:jc w:val="both"/>
        <w:outlineLvl w:val="1"/>
        <w:rPr>
          <w:rFonts w:ascii="Times New Roman" w:eastAsia="Times New Roman" w:hAnsi="Times New Roman" w:cs="Times New Roman"/>
          <w:b/>
          <w:color w:val="000000"/>
          <w:sz w:val="26"/>
          <w:szCs w:val="26"/>
        </w:rPr>
      </w:pPr>
    </w:p>
    <w:p w:rsidR="002F7D72" w:rsidRPr="00A031A8" w:rsidRDefault="00BF261C"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color w:val="000000"/>
          <w:sz w:val="26"/>
          <w:szCs w:val="26"/>
        </w:rPr>
        <w:lastRenderedPageBreak/>
        <w:t xml:space="preserve"> </w:t>
      </w:r>
      <w:r w:rsidRPr="00A031A8">
        <w:rPr>
          <w:rFonts w:ascii="Times New Roman" w:eastAsia="Times New Roman" w:hAnsi="Times New Roman" w:cs="Times New Roman"/>
          <w:b/>
          <w:color w:val="000000"/>
          <w:sz w:val="26"/>
          <w:szCs w:val="26"/>
        </w:rPr>
        <w:tab/>
        <w:t xml:space="preserve">IFRS </w:t>
      </w:r>
      <w:r w:rsidR="003D1382" w:rsidRPr="00A031A8">
        <w:rPr>
          <w:rFonts w:ascii="Times New Roman" w:eastAsia="Times New Roman" w:hAnsi="Times New Roman" w:cs="Times New Roman"/>
          <w:b/>
          <w:color w:val="000000"/>
          <w:sz w:val="26"/>
          <w:szCs w:val="26"/>
        </w:rPr>
        <w:t>Adoption and Implementation in Nigeria</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Nigeria's journey towards the adoption of International Financial Reporting Standards (IFRS) commenced with a clear directive from the Federal Executive Council on July 28, 2010, setting January 1, 2012, as the effective date for convergence. This decision was a strategic response to the global movement towards a single set of high-quality accounting standards, aimed at enhancing the credibility, transparency, and comparability of financial reporting</w:t>
      </w:r>
      <w:r w:rsidR="007853C9" w:rsidRPr="00A031A8">
        <w:rPr>
          <w:rFonts w:ascii="Times New Roman" w:eastAsia="Times New Roman" w:hAnsi="Times New Roman" w:cs="Times New Roman"/>
          <w:color w:val="000000"/>
          <w:sz w:val="26"/>
          <w:szCs w:val="26"/>
        </w:rPr>
        <w:t xml:space="preserve"> within the Nigerian economy</w:t>
      </w:r>
      <w:r w:rsidRPr="00A031A8">
        <w:rPr>
          <w:rFonts w:ascii="Times New Roman" w:eastAsia="Times New Roman" w:hAnsi="Times New Roman" w:cs="Times New Roman"/>
          <w:color w:val="000000"/>
          <w:sz w:val="26"/>
          <w:szCs w:val="26"/>
        </w:rPr>
        <w:t>. The phased implementation approach was designed to allow various categories of entities sufficient time to transition, with publicly listed entities and significant public interest entities leading the adoption by January 1, 2012, followed by other public interest entities by January 1, 2013, and small and medium-sized entities by January 1, 2014.</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The transition from Nigerian Generally Accepted Accounting Principles (Nigerian GAAP) to IFRS presented a myriad of challenges for Nigerian entities. These challenges spanned across various dimensions, including technical complexities, human capital development, technological infrastructure, and regulatory adjustments. Technically, the differences between Nigerian GAAP and IFRS, particularly in areas such as financial instruments (IFRS 9), revenue recognition (IFRS 15), and leases (IFRS 16), required significant changes in accounting policies, systems, and processes. For instance, the shift from an incurred loss model to an expected credit loss (ECL) model under IFRS 9 for financial assets had a substantial impact on banks' provisioning for loan losses.</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 xml:space="preserve">Human capital development was another critical aspect, as accountants and financial professionals needed to acquire new knowledge and skills to effectively apply IFRS. This necessitated extensive training and capacity </w:t>
      </w:r>
      <w:r w:rsidRPr="00A031A8">
        <w:rPr>
          <w:rFonts w:ascii="Times New Roman" w:eastAsia="Times New Roman" w:hAnsi="Times New Roman" w:cs="Times New Roman"/>
          <w:color w:val="000000"/>
          <w:sz w:val="26"/>
          <w:szCs w:val="26"/>
        </w:rPr>
        <w:lastRenderedPageBreak/>
        <w:t>building initiatives across various sectors. Furthermore, existing accounting software and IT infrastructure often required significant upgrades or replacements to accommodate the new reporting requirements and data demands of IFRS. Regulatory bodies, most notably the Financial Reporting Council (FRC) of Nigeria, which replaced the Nigerian Accounting Standards Board (NASB) in June 2011, played a pivotal role in overseeing the implementation process, issuing guida</w:t>
      </w:r>
      <w:r w:rsidR="00931A00" w:rsidRPr="00A031A8">
        <w:rPr>
          <w:rFonts w:ascii="Times New Roman" w:eastAsia="Times New Roman" w:hAnsi="Times New Roman" w:cs="Times New Roman"/>
          <w:color w:val="000000"/>
          <w:sz w:val="26"/>
          <w:szCs w:val="26"/>
        </w:rPr>
        <w:t>nce, and ensuring compliance</w:t>
      </w:r>
      <w:r w:rsidRPr="00A031A8">
        <w:rPr>
          <w:rFonts w:ascii="Times New Roman" w:eastAsia="Times New Roman" w:hAnsi="Times New Roman" w:cs="Times New Roman"/>
          <w:color w:val="000000"/>
          <w:sz w:val="26"/>
          <w:szCs w:val="26"/>
        </w:rPr>
        <w:t>.</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Despite these challenges, the adoption of IFRS in Nigeria was anticipated to yield substantial benefits. These benefits include improved access to international capital markets, as Nigerian financial statements become more understandable and attractive to foreign investors. Enhanced comparability of financial information is expected to facilitate better investment decisions and reduce information asymmetry. Moreover, IFRS adoption is believed to foster greater transparency and accountability, leading to improved corporate governance practices withi</w:t>
      </w:r>
      <w:r w:rsidR="00432A9E" w:rsidRPr="00A031A8">
        <w:rPr>
          <w:rFonts w:ascii="Times New Roman" w:eastAsia="Times New Roman" w:hAnsi="Times New Roman" w:cs="Times New Roman"/>
          <w:color w:val="000000"/>
          <w:sz w:val="26"/>
          <w:szCs w:val="26"/>
        </w:rPr>
        <w:t>n Nigerian entities</w:t>
      </w:r>
      <w:r w:rsidRPr="00A031A8">
        <w:rPr>
          <w:rFonts w:ascii="Times New Roman" w:eastAsia="Times New Roman" w:hAnsi="Times New Roman" w:cs="Times New Roman"/>
          <w:color w:val="000000"/>
          <w:sz w:val="26"/>
          <w:szCs w:val="26"/>
        </w:rPr>
        <w:t>. However, the actual realization of these benefits is contingent upon the extent and quality of IFRS compliance by reporting entities.</w:t>
      </w:r>
    </w:p>
    <w:p w:rsidR="002F7D72" w:rsidRPr="00A031A8" w:rsidRDefault="005F1697"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color w:val="000000"/>
          <w:sz w:val="26"/>
          <w:szCs w:val="26"/>
        </w:rPr>
        <w:t>2.4</w:t>
      </w:r>
      <w:r w:rsidR="002F7D72" w:rsidRPr="00A031A8">
        <w:rPr>
          <w:rFonts w:ascii="Times New Roman" w:eastAsia="Times New Roman" w:hAnsi="Times New Roman" w:cs="Times New Roman"/>
          <w:b/>
          <w:color w:val="000000"/>
          <w:sz w:val="26"/>
          <w:szCs w:val="26"/>
        </w:rPr>
        <w:t xml:space="preserve"> </w:t>
      </w:r>
      <w:r w:rsidR="00325093" w:rsidRPr="00A031A8">
        <w:rPr>
          <w:rFonts w:ascii="Times New Roman" w:eastAsia="Times New Roman" w:hAnsi="Times New Roman" w:cs="Times New Roman"/>
          <w:b/>
          <w:color w:val="000000"/>
          <w:sz w:val="26"/>
          <w:szCs w:val="26"/>
        </w:rPr>
        <w:tab/>
      </w:r>
      <w:r w:rsidR="002F7D72" w:rsidRPr="00A031A8">
        <w:rPr>
          <w:rFonts w:ascii="Times New Roman" w:eastAsia="Times New Roman" w:hAnsi="Times New Roman" w:cs="Times New Roman"/>
          <w:b/>
          <w:color w:val="000000"/>
          <w:sz w:val="26"/>
          <w:szCs w:val="26"/>
        </w:rPr>
        <w:t xml:space="preserve">Empirical </w:t>
      </w:r>
      <w:r w:rsidR="008A6D6F" w:rsidRPr="00A031A8">
        <w:rPr>
          <w:rFonts w:ascii="Times New Roman" w:eastAsia="Times New Roman" w:hAnsi="Times New Roman" w:cs="Times New Roman"/>
          <w:b/>
          <w:color w:val="000000"/>
          <w:sz w:val="26"/>
          <w:szCs w:val="26"/>
        </w:rPr>
        <w:t>Review</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The adoption of International Financial Reporting Standards (IFRS) in Nigeria has spurred a considerable amount of empirical research aimed at assessing its impact on financial reporting quality, comparability, and the overall performance of entities, particularly within the banking sector. These studies have employed various methodologies, including descriptive statistics, financial ratio analysis, and econometric models, to evaluate the extent of IFRS compliance and its implications.</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lastRenderedPageBreak/>
        <w:t>One prominent area of research has focused on the level of IFRS compliance and disclosure practices among Nigerian banks.</w:t>
      </w:r>
      <w:r w:rsidR="00432A9E" w:rsidRPr="00A031A8">
        <w:rPr>
          <w:rFonts w:ascii="Times New Roman" w:eastAsia="Times New Roman" w:hAnsi="Times New Roman" w:cs="Times New Roman"/>
          <w:color w:val="000000"/>
          <w:sz w:val="26"/>
          <w:szCs w:val="26"/>
        </w:rPr>
        <w:t xml:space="preserve"> For instance, Adeuja (2015)</w:t>
      </w:r>
      <w:r w:rsidRPr="00A031A8">
        <w:rPr>
          <w:rFonts w:ascii="Times New Roman" w:eastAsia="Times New Roman" w:hAnsi="Times New Roman" w:cs="Times New Roman"/>
          <w:color w:val="000000"/>
          <w:sz w:val="26"/>
          <w:szCs w:val="26"/>
        </w:rPr>
        <w:t xml:space="preserve"> conducted a comparative study on the impact of IFRS on the financial performance of Nigerian banks, analyzing data from ten sampled banks over a four-year period (2010-2013). The study compared financial ratios calculated under both Nigerian Generally Accepted Accounting Principles (NGAAP) and IFRS. While the study found no statistically significant difference in the overall financial performance due to IFRS adoption, it provided insights into the changes in accounting figures and ratios under the two standards. The study noted that banks generally showed lower assets under IFRS than NGAAP, and mixed results for liabilities, suggesting that IFRS adoption led to reclassifications and re-measurements that altered the reported financial position.</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Another stu</w:t>
      </w:r>
      <w:r w:rsidR="00432A9E" w:rsidRPr="00A031A8">
        <w:rPr>
          <w:rFonts w:ascii="Times New Roman" w:eastAsia="Times New Roman" w:hAnsi="Times New Roman" w:cs="Times New Roman"/>
          <w:color w:val="000000"/>
          <w:sz w:val="26"/>
          <w:szCs w:val="26"/>
        </w:rPr>
        <w:t>dy by Saidu and Dauda (2014)</w:t>
      </w:r>
      <w:r w:rsidRPr="00A031A8">
        <w:rPr>
          <w:rFonts w:ascii="Times New Roman" w:eastAsia="Times New Roman" w:hAnsi="Times New Roman" w:cs="Times New Roman"/>
          <w:color w:val="000000"/>
          <w:sz w:val="26"/>
          <w:szCs w:val="26"/>
        </w:rPr>
        <w:t xml:space="preserve"> specifically assessed the extent of compliance with the IFRS framework at first-time adoption by quoted banks in Nigeria. Their findings indicated varying levels of compliance across different aspects of IFRS, suggesting that while banks made efforts to comply, full adherence to all disclosure requirements remained a challenge. This aligns with the broader observation that the complexity of IFRS, coupled with potential knowledge gaps and infrastructural limitations, can impede complete compliance in developing economies.</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Research has also delved into the challenges faced by Nigerian banks during the IFRS implementation process. Studies consistently highlight issues such as the lack of technical expertise, the high cost of training and system upgrades, and the need for continuous professional development for accountants and audit</w:t>
      </w:r>
      <w:r w:rsidR="00432A9E" w:rsidRPr="00A031A8">
        <w:rPr>
          <w:rFonts w:ascii="Times New Roman" w:eastAsia="Times New Roman" w:hAnsi="Times New Roman" w:cs="Times New Roman"/>
          <w:color w:val="000000"/>
          <w:sz w:val="26"/>
          <w:szCs w:val="26"/>
        </w:rPr>
        <w:t>ors</w:t>
      </w:r>
      <w:r w:rsidRPr="00A031A8">
        <w:rPr>
          <w:rFonts w:ascii="Times New Roman" w:eastAsia="Times New Roman" w:hAnsi="Times New Roman" w:cs="Times New Roman"/>
          <w:color w:val="000000"/>
          <w:sz w:val="26"/>
          <w:szCs w:val="26"/>
        </w:rPr>
        <w:t xml:space="preserve">. The transition from a rule-based accounting system </w:t>
      </w:r>
      <w:r w:rsidRPr="00A031A8">
        <w:rPr>
          <w:rFonts w:ascii="Times New Roman" w:eastAsia="Times New Roman" w:hAnsi="Times New Roman" w:cs="Times New Roman"/>
          <w:color w:val="000000"/>
          <w:sz w:val="26"/>
          <w:szCs w:val="26"/>
        </w:rPr>
        <w:lastRenderedPageBreak/>
        <w:t>(NGAAP) to a principle-based system (IFRS) required a significant shift in mindset and judgment, which posed a considerable hurdle for many practitioners. Furthermore, the frequent updates and amendments to IFRS pronouncements necessitate ongoing efforts to stay abreast of the latest requirements, adding to the compliance burden.</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 xml:space="preserve">The impact of IFRS on the quality of financial reporting in Nigerian banks has also been a subject of empirical investigation. While some studies suggest that IFRS adoption has generally enhanced the quality of financial reporting by promoting greater transparency and comparability, others point to persistent issues such as earnings management and insufficient disclosures </w:t>
      </w:r>
      <w:r w:rsidR="00432A9E" w:rsidRPr="00A031A8">
        <w:rPr>
          <w:rFonts w:ascii="Times New Roman" w:eastAsia="Times New Roman" w:hAnsi="Times New Roman" w:cs="Times New Roman"/>
          <w:color w:val="000000"/>
          <w:sz w:val="26"/>
          <w:szCs w:val="26"/>
        </w:rPr>
        <w:t>in certain areas</w:t>
      </w:r>
      <w:r w:rsidRPr="00A031A8">
        <w:rPr>
          <w:rFonts w:ascii="Times New Roman" w:eastAsia="Times New Roman" w:hAnsi="Times New Roman" w:cs="Times New Roman"/>
          <w:color w:val="000000"/>
          <w:sz w:val="26"/>
          <w:szCs w:val="26"/>
        </w:rPr>
        <w:t>. The debate often revolves around whether the benefits of IFRS, such as improved access to capital markets and enhanced investor confidence, have been fully realized in the Nigerian context. Some researchers argue that the effectiveness of IFRS in improving financial reporting quality is contingent upon strong corporate governance mechanisms and r</w:t>
      </w:r>
      <w:r w:rsidR="00432A9E" w:rsidRPr="00A031A8">
        <w:rPr>
          <w:rFonts w:ascii="Times New Roman" w:eastAsia="Times New Roman" w:hAnsi="Times New Roman" w:cs="Times New Roman"/>
          <w:color w:val="000000"/>
          <w:sz w:val="26"/>
          <w:szCs w:val="26"/>
        </w:rPr>
        <w:t>obust regulatory enforcement</w:t>
      </w:r>
      <w:r w:rsidRPr="00A031A8">
        <w:rPr>
          <w:rFonts w:ascii="Times New Roman" w:eastAsia="Times New Roman" w:hAnsi="Times New Roman" w:cs="Times New Roman"/>
          <w:color w:val="000000"/>
          <w:sz w:val="26"/>
          <w:szCs w:val="26"/>
        </w:rPr>
        <w:t>.</w:t>
      </w:r>
    </w:p>
    <w:p w:rsidR="00C178BC" w:rsidRPr="00A031A8" w:rsidRDefault="002F7D72" w:rsidP="00A031A8">
      <w:pPr>
        <w:spacing w:after="0" w:line="360" w:lineRule="auto"/>
        <w:ind w:firstLine="720"/>
        <w:jc w:val="both"/>
        <w:rPr>
          <w:rFonts w:ascii="Times New Roman" w:eastAsia="Times New Roman" w:hAnsi="Times New Roman" w:cs="Times New Roman"/>
          <w:color w:val="000000"/>
          <w:sz w:val="26"/>
          <w:szCs w:val="26"/>
        </w:rPr>
      </w:pPr>
      <w:r w:rsidRPr="00A031A8">
        <w:rPr>
          <w:rFonts w:ascii="Times New Roman" w:eastAsia="Times New Roman" w:hAnsi="Times New Roman" w:cs="Times New Roman"/>
          <w:color w:val="000000"/>
          <w:sz w:val="26"/>
          <w:szCs w:val="26"/>
        </w:rPr>
        <w:t>In summary, empirical evidence suggests that while Nigerian banks have made significant strides in adopting IFRS, challenges related to full compliance, technical application, and the continuous evolution of standards persist. The impact on financial performance metrics has been mixed, with some studies indicating no significant statistical differences, while others highlight changes in specific financial ratios. The consensus, however, is that IFRS has contributed to increased transparency and comparability, albeit with room for further improvement in the quality and completeness of financial disclosures.</w:t>
      </w:r>
    </w:p>
    <w:p w:rsidR="00C178BC" w:rsidRPr="00A031A8" w:rsidRDefault="00C178BC" w:rsidP="00A031A8">
      <w:pPr>
        <w:spacing w:line="360" w:lineRule="auto"/>
        <w:rPr>
          <w:rFonts w:ascii="Times New Roman" w:eastAsia="Times New Roman" w:hAnsi="Times New Roman" w:cs="Times New Roman"/>
          <w:color w:val="000000"/>
          <w:sz w:val="26"/>
          <w:szCs w:val="26"/>
        </w:rPr>
      </w:pPr>
      <w:r w:rsidRPr="00A031A8">
        <w:rPr>
          <w:rFonts w:ascii="Times New Roman" w:eastAsia="Times New Roman" w:hAnsi="Times New Roman" w:cs="Times New Roman"/>
          <w:color w:val="000000"/>
          <w:sz w:val="26"/>
          <w:szCs w:val="26"/>
        </w:rPr>
        <w:br w:type="page"/>
      </w:r>
    </w:p>
    <w:p w:rsidR="00C178BC" w:rsidRPr="00A031A8" w:rsidRDefault="00C178BC" w:rsidP="00A031A8">
      <w:pPr>
        <w:spacing w:after="0" w:line="360" w:lineRule="auto"/>
        <w:jc w:val="center"/>
        <w:outlineLvl w:val="0"/>
        <w:rPr>
          <w:rFonts w:ascii="Times New Roman" w:eastAsia="Times New Roman" w:hAnsi="Times New Roman" w:cs="Times New Roman"/>
          <w:b/>
          <w:bCs/>
          <w:kern w:val="36"/>
          <w:sz w:val="26"/>
          <w:szCs w:val="26"/>
        </w:rPr>
      </w:pPr>
      <w:r w:rsidRPr="00A031A8">
        <w:rPr>
          <w:rFonts w:ascii="Times New Roman" w:eastAsia="Times New Roman" w:hAnsi="Times New Roman" w:cs="Times New Roman"/>
          <w:b/>
          <w:bCs/>
          <w:kern w:val="36"/>
          <w:sz w:val="26"/>
          <w:szCs w:val="26"/>
        </w:rPr>
        <w:lastRenderedPageBreak/>
        <w:t>CHAPTER THREE</w:t>
      </w:r>
    </w:p>
    <w:p w:rsidR="00C178BC" w:rsidRPr="00A031A8" w:rsidRDefault="00C178BC" w:rsidP="00A031A8">
      <w:pPr>
        <w:spacing w:after="0" w:line="360" w:lineRule="auto"/>
        <w:jc w:val="center"/>
        <w:outlineLvl w:val="0"/>
        <w:rPr>
          <w:rFonts w:ascii="Times New Roman" w:eastAsia="Times New Roman" w:hAnsi="Times New Roman" w:cs="Times New Roman"/>
          <w:b/>
          <w:bCs/>
          <w:kern w:val="36"/>
          <w:sz w:val="26"/>
          <w:szCs w:val="26"/>
        </w:rPr>
      </w:pPr>
      <w:r w:rsidRPr="00A031A8">
        <w:rPr>
          <w:rFonts w:ascii="Times New Roman" w:eastAsia="Times New Roman" w:hAnsi="Times New Roman" w:cs="Times New Roman"/>
          <w:b/>
          <w:bCs/>
          <w:kern w:val="36"/>
          <w:sz w:val="26"/>
          <w:szCs w:val="26"/>
        </w:rPr>
        <w:t>RESEARCH METHODOLOGY</w:t>
      </w:r>
    </w:p>
    <w:p w:rsidR="00C178BC" w:rsidRPr="00A031A8" w:rsidRDefault="00C178BC"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3.1</w:t>
      </w:r>
      <w:r w:rsidRPr="00A031A8">
        <w:rPr>
          <w:rFonts w:ascii="Times New Roman" w:eastAsia="Times New Roman" w:hAnsi="Times New Roman" w:cs="Times New Roman"/>
          <w:b/>
          <w:bCs/>
          <w:sz w:val="26"/>
          <w:szCs w:val="26"/>
        </w:rPr>
        <w:tab/>
        <w:t>Introduction</w:t>
      </w:r>
    </w:p>
    <w:p w:rsidR="00C178BC" w:rsidRPr="00A031A8" w:rsidRDefault="00C178BC"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This chapter outlines the methodological framework employed to examine the extent of compliance with International Financial Reporting Standards (IFRS) by Wema Bank Plc. It provides a detailed description of the research design, population, sample size, sampling techniques, data collection methods, and data analysis procedures. The chapter also discusses the validity and reliability of the research instruments, ethical considerations, and the limitations of the study. The methodology is structured to ensure a systematic and objective investigation into the research objectives, which include assessing the level of IFRS compliance, identifying factors influencing compliance, and evaluating the impact of compliance on financial reporting quality at Wema Bank Plc.</w:t>
      </w:r>
    </w:p>
    <w:p w:rsidR="00C178BC" w:rsidRPr="00A031A8" w:rsidRDefault="00C178BC"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3.2</w:t>
      </w:r>
      <w:r w:rsidRPr="00A031A8">
        <w:rPr>
          <w:rFonts w:ascii="Times New Roman" w:eastAsia="Times New Roman" w:hAnsi="Times New Roman" w:cs="Times New Roman"/>
          <w:b/>
          <w:bCs/>
          <w:sz w:val="26"/>
          <w:szCs w:val="26"/>
        </w:rPr>
        <w:tab/>
        <w:t>Research Design</w:t>
      </w:r>
    </w:p>
    <w:p w:rsidR="00C178BC" w:rsidRPr="00A031A8" w:rsidRDefault="00C178BC"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The study adopts a descriptive research design, which is suitable for examining the extent of compliance with IFRS by Wema Bank Plc. A descriptive design allows for a detailed analysis of the bank's financial reporting practices in relation to IFRS requirements. This approach facilitates the collection of both quantitative and qualitative data to provide a comprehensive understanding of the compliance level, factors influencing adherence, and the implications for financial reporting quality. The case study approach is particularly appropriate as it focuses on a single entity, Wema Bank Plc, enabling an in-depth exploration of its IFRS compliance practices within the Nigerian banking sector context.</w:t>
      </w:r>
    </w:p>
    <w:p w:rsidR="00077728" w:rsidRDefault="00077728">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C178BC" w:rsidRPr="00A031A8" w:rsidRDefault="00C178BC"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lastRenderedPageBreak/>
        <w:t>3.3</w:t>
      </w:r>
      <w:r w:rsidRPr="00A031A8">
        <w:rPr>
          <w:rFonts w:ascii="Times New Roman" w:eastAsia="Times New Roman" w:hAnsi="Times New Roman" w:cs="Times New Roman"/>
          <w:b/>
          <w:bCs/>
          <w:sz w:val="26"/>
          <w:szCs w:val="26"/>
        </w:rPr>
        <w:tab/>
        <w:t>Population of the Study</w:t>
      </w:r>
    </w:p>
    <w:p w:rsidR="00C178BC" w:rsidRPr="00A031A8" w:rsidRDefault="00C178BC"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The population of this study comprises all employees and management personnel involved in the financial reporting process at Wema Bank Plc, including accountants, financial analysts, internal auditors, and senior management at the bank's headquarters in Lagos, Nigeria. As of 2025, Wema Bank Plc employs approximately 1,500 staff across its operations, with an estimated 200 employees directly engaged in financial reporting and compliance activities. Additionally, the study considers the bank's annual financial reports from 2019 to 2024 as part of the population for documentary analysis, as these reports reflect the bank's compliance with IFRS post-adoption in Nigeria.</w:t>
      </w:r>
    </w:p>
    <w:p w:rsidR="00C178BC" w:rsidRPr="00A031A8" w:rsidRDefault="00C178BC"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3.4</w:t>
      </w:r>
      <w:r w:rsidRPr="00A031A8">
        <w:rPr>
          <w:rFonts w:ascii="Times New Roman" w:eastAsia="Times New Roman" w:hAnsi="Times New Roman" w:cs="Times New Roman"/>
          <w:b/>
          <w:bCs/>
          <w:sz w:val="26"/>
          <w:szCs w:val="26"/>
        </w:rPr>
        <w:tab/>
        <w:t>Sample Size and Sampling Technique</w:t>
      </w:r>
    </w:p>
    <w:p w:rsidR="00C178BC" w:rsidRPr="00A031A8" w:rsidRDefault="00C178BC"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A purposive sampling technique was employed to select a sample of 100 respondents from the population of employees involved in financial reporting at Wema Bank Plc. Purposive sampling ensures that only individuals with relevant knowledge and experience in IFRS compliance, such as accountants, financial reporting officers, and auditors, are included in the study. This technique enhances the reliability and relevance of the data collected. Additionally, the study includes a documentary analysis of Wema Bank Plc’s annual financial reports for the period 2019–2024, totaling six annual reports. The selection of this period aligns with recent IFRS updates and provides sufficient data to assess compliance trends.</w:t>
      </w:r>
    </w:p>
    <w:p w:rsidR="00C178BC" w:rsidRPr="00A031A8" w:rsidRDefault="00C178BC"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 xml:space="preserve">3.5 </w:t>
      </w:r>
      <w:r w:rsidRPr="00A031A8">
        <w:rPr>
          <w:rFonts w:ascii="Times New Roman" w:eastAsia="Times New Roman" w:hAnsi="Times New Roman" w:cs="Times New Roman"/>
          <w:b/>
          <w:bCs/>
          <w:sz w:val="26"/>
          <w:szCs w:val="26"/>
        </w:rPr>
        <w:tab/>
        <w:t xml:space="preserve">Methods of Data Collection </w:t>
      </w:r>
    </w:p>
    <w:p w:rsidR="00C178BC" w:rsidRPr="00A031A8" w:rsidRDefault="00C178BC" w:rsidP="00A031A8">
      <w:pPr>
        <w:spacing w:after="0" w:line="360" w:lineRule="auto"/>
        <w:jc w:val="both"/>
        <w:outlineLvl w:val="2"/>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 xml:space="preserve">3.5.1 </w:t>
      </w:r>
      <w:r w:rsidRPr="00A031A8">
        <w:rPr>
          <w:rFonts w:ascii="Times New Roman" w:eastAsia="Times New Roman" w:hAnsi="Times New Roman" w:cs="Times New Roman"/>
          <w:b/>
          <w:bCs/>
          <w:sz w:val="26"/>
          <w:szCs w:val="26"/>
        </w:rPr>
        <w:tab/>
        <w:t>Primary Data</w:t>
      </w:r>
    </w:p>
    <w:p w:rsidR="00C178BC" w:rsidRPr="00A031A8" w:rsidRDefault="00C178BC"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 xml:space="preserve">Primary data were collected through a structured questionnaire administered to the selected respondents. The questionnaire was designed to </w:t>
      </w:r>
      <w:r w:rsidRPr="00A031A8">
        <w:rPr>
          <w:rFonts w:ascii="Times New Roman" w:eastAsia="Times New Roman" w:hAnsi="Times New Roman" w:cs="Times New Roman"/>
          <w:sz w:val="26"/>
          <w:szCs w:val="26"/>
        </w:rPr>
        <w:lastRenderedPageBreak/>
        <w:t>gather information on the extent of IFRS compliance, challenges faced during implementation, and the perceived impact of IFRS on financial reporting quality. The questionnaire consists of closed-ended questions using a five-point Likert scale (ranging from "Strongly Agree" to "Strongly Disagree") to measure respondents’ perceptions and experiences. The questions were developed based on IFRS disclosure requirements, including IFRS 7 (Financial Instruments: Disclosures), IFRS 8 (Operating Segments), and IAS 1 (Presentation of Financial Statements).</w:t>
      </w:r>
    </w:p>
    <w:p w:rsidR="00C178BC" w:rsidRPr="00A031A8" w:rsidRDefault="00C178BC" w:rsidP="00A031A8">
      <w:pPr>
        <w:spacing w:after="0" w:line="360" w:lineRule="auto"/>
        <w:jc w:val="both"/>
        <w:outlineLvl w:val="2"/>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 xml:space="preserve">3.5.2 </w:t>
      </w:r>
      <w:r w:rsidRPr="00A031A8">
        <w:rPr>
          <w:rFonts w:ascii="Times New Roman" w:eastAsia="Times New Roman" w:hAnsi="Times New Roman" w:cs="Times New Roman"/>
          <w:b/>
          <w:bCs/>
          <w:sz w:val="26"/>
          <w:szCs w:val="26"/>
        </w:rPr>
        <w:tab/>
        <w:t>Secondary Data</w:t>
      </w:r>
    </w:p>
    <w:p w:rsidR="00C178BC" w:rsidRPr="00A031A8" w:rsidRDefault="00C178BC"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Secondary data were obtained from Wema Bank Plc’s annual financial reports for the years 2019 to 2024, available on the bank’s official website and the Nigerian Stock Exchange (now NGX Group). These reports were analyzed to assess the level of compliance with IFRS disclosure requirements, focusing on key standards such as IFRS 7, IFRS 8, and IAS 1. Additional secondary data were sourced from academic journals, IFRS Foundation publications, and regulatory guidelines from the Financial Reporting Council of Nigeria (FRCN) to provide context and benchmarks for compliance evaluation.</w:t>
      </w:r>
    </w:p>
    <w:p w:rsidR="00C178BC" w:rsidRPr="00A031A8" w:rsidRDefault="00C178BC"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3.6</w:t>
      </w:r>
      <w:r w:rsidRPr="00A031A8">
        <w:rPr>
          <w:rFonts w:ascii="Times New Roman" w:eastAsia="Times New Roman" w:hAnsi="Times New Roman" w:cs="Times New Roman"/>
          <w:b/>
          <w:bCs/>
          <w:sz w:val="26"/>
          <w:szCs w:val="26"/>
        </w:rPr>
        <w:tab/>
        <w:t>Research Instrument</w:t>
      </w:r>
    </w:p>
    <w:p w:rsidR="00C178BC" w:rsidRPr="00A031A8" w:rsidRDefault="00C178BC"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The primary research instrument is a self-structured questionnaire tailored to the study’s objectives. The questionnaire is divided into four sections:</w:t>
      </w:r>
    </w:p>
    <w:p w:rsidR="00C178BC" w:rsidRPr="00A031A8" w:rsidRDefault="00C178BC" w:rsidP="00A031A8">
      <w:pPr>
        <w:numPr>
          <w:ilvl w:val="0"/>
          <w:numId w:val="20"/>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t>Demographic Information</w:t>
      </w:r>
      <w:r w:rsidRPr="00A031A8">
        <w:rPr>
          <w:rFonts w:ascii="Times New Roman" w:eastAsia="Times New Roman" w:hAnsi="Times New Roman" w:cs="Times New Roman"/>
          <w:sz w:val="26"/>
          <w:szCs w:val="26"/>
        </w:rPr>
        <w:t>: Captures respondents’ roles, years of experience, and familiarity with IFRS.</w:t>
      </w:r>
    </w:p>
    <w:p w:rsidR="00C178BC" w:rsidRPr="00A031A8" w:rsidRDefault="00C178BC" w:rsidP="00A031A8">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t>Extent of IFRS Compliance</w:t>
      </w:r>
      <w:r w:rsidRPr="00A031A8">
        <w:rPr>
          <w:rFonts w:ascii="Times New Roman" w:eastAsia="Times New Roman" w:hAnsi="Times New Roman" w:cs="Times New Roman"/>
          <w:sz w:val="26"/>
          <w:szCs w:val="26"/>
        </w:rPr>
        <w:t>: Assesses the degree to which Wema Bank Plc adheres to IFRS requirements in its financial reporting.</w:t>
      </w:r>
    </w:p>
    <w:p w:rsidR="00C178BC" w:rsidRPr="00A031A8" w:rsidRDefault="00C178BC" w:rsidP="00A031A8">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lastRenderedPageBreak/>
        <w:t>Factors Influencing Compliance</w:t>
      </w:r>
      <w:r w:rsidRPr="00A031A8">
        <w:rPr>
          <w:rFonts w:ascii="Times New Roman" w:eastAsia="Times New Roman" w:hAnsi="Times New Roman" w:cs="Times New Roman"/>
          <w:sz w:val="26"/>
          <w:szCs w:val="26"/>
        </w:rPr>
        <w:t>: Identifies challenges, such as resource constraints, training needs, or regulatory oversight, that affect IFRS implementation.</w:t>
      </w:r>
    </w:p>
    <w:p w:rsidR="00C178BC" w:rsidRPr="00A031A8" w:rsidRDefault="00C178BC" w:rsidP="00A031A8">
      <w:pPr>
        <w:numPr>
          <w:ilvl w:val="0"/>
          <w:numId w:val="20"/>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t>Impact on Financial Reporting Quality</w:t>
      </w:r>
      <w:r w:rsidRPr="00A031A8">
        <w:rPr>
          <w:rFonts w:ascii="Times New Roman" w:eastAsia="Times New Roman" w:hAnsi="Times New Roman" w:cs="Times New Roman"/>
          <w:sz w:val="26"/>
          <w:szCs w:val="26"/>
        </w:rPr>
        <w:t>: Evaluates the influence of IFRS compliance on the transparency, comparability, and reliability of financial statements.</w:t>
      </w:r>
    </w:p>
    <w:p w:rsidR="00C178BC" w:rsidRPr="00A031A8" w:rsidRDefault="00C178BC" w:rsidP="00A031A8">
      <w:pPr>
        <w:spacing w:after="0" w:line="360" w:lineRule="auto"/>
        <w:ind w:firstLine="36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The questionnaire was pre-tested with a pilot group of 10 employees from Wema Bank Plc to ensure clarity and relevance. Feedback from the pilot study was used to refine the questions for improved comprehension and response accuracy.</w:t>
      </w:r>
    </w:p>
    <w:p w:rsidR="00C178BC" w:rsidRPr="00A031A8" w:rsidRDefault="00C178BC"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 xml:space="preserve">3.7 </w:t>
      </w:r>
      <w:r w:rsidRPr="00A031A8">
        <w:rPr>
          <w:rFonts w:ascii="Times New Roman" w:eastAsia="Times New Roman" w:hAnsi="Times New Roman" w:cs="Times New Roman"/>
          <w:b/>
          <w:bCs/>
          <w:sz w:val="26"/>
          <w:szCs w:val="26"/>
        </w:rPr>
        <w:tab/>
        <w:t>Validity and Reliability of the Instrument</w:t>
      </w:r>
    </w:p>
    <w:p w:rsidR="00C178BC" w:rsidRPr="00A031A8" w:rsidRDefault="00C178BC"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 xml:space="preserve">To ensure the validity of the questionnaire, it was reviewed by accounting experts and academics familiar with IFRS and financial reporting in the Nigerian banking sector. Content validity was established by aligning the questionnaire items with IFRS disclosure checklists and the study’s objectives. Reliability was tested using Cronbach’s Alpha, with a coefficient of 0.82 obtained during the pilot study, indicating a high level of internal consistency. For the documentary analysis, validity was censured by using official financial reports published by Wema Bank Plc, which are subject to external audits by reputable firms. </w:t>
      </w:r>
    </w:p>
    <w:p w:rsidR="00C178BC" w:rsidRPr="00A031A8" w:rsidRDefault="00C178BC"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 xml:space="preserve">3.8 </w:t>
      </w:r>
      <w:r w:rsidRPr="00A031A8">
        <w:rPr>
          <w:rFonts w:ascii="Times New Roman" w:eastAsia="Times New Roman" w:hAnsi="Times New Roman" w:cs="Times New Roman"/>
          <w:b/>
          <w:bCs/>
          <w:sz w:val="26"/>
          <w:szCs w:val="26"/>
        </w:rPr>
        <w:tab/>
        <w:t>Data Collection Procedure</w:t>
      </w:r>
    </w:p>
    <w:p w:rsidR="00C178BC" w:rsidRPr="00A031A8" w:rsidRDefault="00C178BC"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 xml:space="preserve">The questionnaires were administered electronically via email to the selected respondents, with a follow-up reminder sent after one week to maximize response rates. The data collection process spanned four weeks, from June 1 to June 28, 2025, to accommodate respondents’ schedules and ensure adequate participation. Permission was obtained from Wema Bank Plc’s </w:t>
      </w:r>
      <w:r w:rsidRPr="00A031A8">
        <w:rPr>
          <w:rFonts w:ascii="Times New Roman" w:eastAsia="Times New Roman" w:hAnsi="Times New Roman" w:cs="Times New Roman"/>
          <w:sz w:val="26"/>
          <w:szCs w:val="26"/>
        </w:rPr>
        <w:lastRenderedPageBreak/>
        <w:t>management to distribute the questionnaires and access relevant financial reports. The annual reports were downloaded from the bank’s website and the NGX Group platform, and a content analysis checklist was used to evaluate IFRS compliance.</w:t>
      </w:r>
    </w:p>
    <w:p w:rsidR="00C178BC" w:rsidRPr="00A031A8" w:rsidRDefault="00C178BC"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t xml:space="preserve">3.9 </w:t>
      </w:r>
      <w:r w:rsidRPr="00A031A8">
        <w:rPr>
          <w:rFonts w:ascii="Times New Roman" w:eastAsia="Times New Roman" w:hAnsi="Times New Roman" w:cs="Times New Roman"/>
          <w:b/>
          <w:bCs/>
          <w:sz w:val="26"/>
          <w:szCs w:val="26"/>
        </w:rPr>
        <w:tab/>
        <w:t>Data Analysis Techniques</w:t>
      </w:r>
    </w:p>
    <w:p w:rsidR="00C178BC" w:rsidRPr="00A031A8" w:rsidRDefault="00C178BC"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The data collected were analyzed using both descriptive and inferential statistical methods. For the questionnaire responses:</w:t>
      </w:r>
    </w:p>
    <w:p w:rsidR="00C178BC" w:rsidRPr="00A031A8" w:rsidRDefault="00C178BC" w:rsidP="00A031A8">
      <w:pPr>
        <w:numPr>
          <w:ilvl w:val="0"/>
          <w:numId w:val="21"/>
        </w:num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t>Descriptive Statistics</w:t>
      </w:r>
      <w:r w:rsidRPr="00A031A8">
        <w:rPr>
          <w:rFonts w:ascii="Times New Roman" w:eastAsia="Times New Roman" w:hAnsi="Times New Roman" w:cs="Times New Roman"/>
          <w:sz w:val="26"/>
          <w:szCs w:val="26"/>
        </w:rPr>
        <w:t>: Frequencies, percentages, and mean scores were used to summarize respondents’ perceptions of IFRS compliance, challenges, and impacts on financial reporting quality.</w:t>
      </w:r>
    </w:p>
    <w:p w:rsidR="00C178BC" w:rsidRPr="00A031A8" w:rsidRDefault="00C178BC" w:rsidP="00A031A8">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sz w:val="26"/>
          <w:szCs w:val="26"/>
        </w:rPr>
        <w:t>Inferential Statistics</w:t>
      </w:r>
      <w:r w:rsidRPr="00A031A8">
        <w:rPr>
          <w:rFonts w:ascii="Times New Roman" w:eastAsia="Times New Roman" w:hAnsi="Times New Roman" w:cs="Times New Roman"/>
          <w:sz w:val="26"/>
          <w:szCs w:val="26"/>
        </w:rPr>
        <w:t>: Regression analysis was employed to test the relationship between IFRS compliance (independent variable) and financial reporting quality (dependent variable). The analysis also examined the influence of factors such as firm size, auditor type, and training on compliance levels.</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p>
    <w:p w:rsidR="00A36386" w:rsidRPr="00A031A8" w:rsidRDefault="00A36386" w:rsidP="00A031A8">
      <w:pPr>
        <w:spacing w:line="360" w:lineRule="auto"/>
        <w:rPr>
          <w:rFonts w:ascii="Times New Roman" w:eastAsia="Times New Roman" w:hAnsi="Times New Roman" w:cs="Times New Roman"/>
          <w:color w:val="000000"/>
          <w:kern w:val="36"/>
          <w:sz w:val="26"/>
          <w:szCs w:val="26"/>
        </w:rPr>
      </w:pPr>
      <w:r w:rsidRPr="00A031A8">
        <w:rPr>
          <w:rFonts w:ascii="Times New Roman" w:eastAsia="Times New Roman" w:hAnsi="Times New Roman" w:cs="Times New Roman"/>
          <w:color w:val="000000"/>
          <w:kern w:val="36"/>
          <w:sz w:val="26"/>
          <w:szCs w:val="26"/>
        </w:rPr>
        <w:br w:type="page"/>
      </w:r>
    </w:p>
    <w:p w:rsidR="009E032F" w:rsidRPr="00A031A8" w:rsidRDefault="009E032F" w:rsidP="00A031A8">
      <w:pPr>
        <w:spacing w:after="0" w:line="360" w:lineRule="auto"/>
        <w:ind w:left="17" w:right="66" w:hanging="12"/>
        <w:jc w:val="center"/>
        <w:rPr>
          <w:rFonts w:ascii="Times New Roman" w:eastAsia="Times New Roman" w:hAnsi="Times New Roman" w:cs="Times New Roman"/>
          <w:b/>
          <w:bCs/>
          <w:color w:val="333333"/>
          <w:sz w:val="26"/>
          <w:szCs w:val="26"/>
        </w:rPr>
      </w:pPr>
      <w:r w:rsidRPr="00A031A8">
        <w:rPr>
          <w:rFonts w:ascii="Times New Roman" w:eastAsia="Times New Roman" w:hAnsi="Times New Roman" w:cs="Times New Roman"/>
          <w:b/>
          <w:bCs/>
          <w:color w:val="333333"/>
          <w:sz w:val="26"/>
          <w:szCs w:val="26"/>
        </w:rPr>
        <w:lastRenderedPageBreak/>
        <w:t>CHAPTER FOUR</w:t>
      </w:r>
    </w:p>
    <w:p w:rsidR="00D52B8C" w:rsidRPr="00A031A8" w:rsidRDefault="00D52B8C" w:rsidP="00A031A8">
      <w:pPr>
        <w:pStyle w:val="Heading1"/>
        <w:spacing w:before="0" w:beforeAutospacing="0" w:after="0" w:afterAutospacing="0" w:line="360" w:lineRule="auto"/>
        <w:jc w:val="center"/>
        <w:rPr>
          <w:color w:val="000000" w:themeColor="text1"/>
          <w:sz w:val="26"/>
          <w:szCs w:val="26"/>
        </w:rPr>
      </w:pPr>
      <w:r w:rsidRPr="00A031A8">
        <w:rPr>
          <w:color w:val="000000" w:themeColor="text1"/>
          <w:sz w:val="26"/>
          <w:szCs w:val="26"/>
        </w:rPr>
        <w:t>DATA PRESENTATION, ANALYSIS AND DISCUSSION</w:t>
      </w:r>
    </w:p>
    <w:p w:rsidR="00D52B8C" w:rsidRPr="00A031A8" w:rsidRDefault="00D52B8C" w:rsidP="00A031A8">
      <w:pPr>
        <w:pStyle w:val="Heading2"/>
        <w:spacing w:before="0" w:beforeAutospacing="0" w:after="0" w:afterAutospacing="0" w:line="360" w:lineRule="auto"/>
        <w:jc w:val="both"/>
        <w:rPr>
          <w:sz w:val="26"/>
          <w:szCs w:val="26"/>
        </w:rPr>
      </w:pPr>
      <w:r w:rsidRPr="00A031A8">
        <w:rPr>
          <w:sz w:val="26"/>
          <w:szCs w:val="26"/>
        </w:rPr>
        <w:t xml:space="preserve">4.1 </w:t>
      </w:r>
      <w:r w:rsidRPr="00A031A8">
        <w:rPr>
          <w:sz w:val="26"/>
          <w:szCs w:val="26"/>
        </w:rPr>
        <w:tab/>
        <w:t>Introduction</w:t>
      </w:r>
    </w:p>
    <w:p w:rsidR="00D52B8C" w:rsidRPr="00A031A8" w:rsidRDefault="00D52B8C" w:rsidP="00A031A8">
      <w:pPr>
        <w:pStyle w:val="NormalWeb"/>
        <w:spacing w:before="0" w:beforeAutospacing="0" w:after="0" w:afterAutospacing="0" w:line="360" w:lineRule="auto"/>
        <w:ind w:firstLine="720"/>
        <w:jc w:val="both"/>
        <w:rPr>
          <w:sz w:val="26"/>
          <w:szCs w:val="26"/>
        </w:rPr>
      </w:pPr>
      <w:r w:rsidRPr="00A031A8">
        <w:rPr>
          <w:sz w:val="26"/>
          <w:szCs w:val="26"/>
        </w:rPr>
        <w:t>This chapter presents the data collected, analysis conducted, and discussion of findings regarding the extent of Wema Bank Plc's compliance with International Financial Reporting Standards (IFRS). The study aims to evaluate the level of compliance, identify influencing factors, and assess differences in compliance across banking industry standards. Data were gathered from Wema Bank Plc's annual reports (2020–2024), structured questionnaires administered to accounting staff, and interviews with key financial officers. The analysis employs descriptive statistics, a compliance index, and regression analysis to test hypotheses. The results are discussed in the context of existing literature, with a focus on the Nigerian banking sector.</w:t>
      </w:r>
    </w:p>
    <w:p w:rsidR="00D52B8C" w:rsidRPr="00A031A8" w:rsidRDefault="00D52B8C" w:rsidP="00A031A8">
      <w:pPr>
        <w:pStyle w:val="Heading2"/>
        <w:spacing w:before="0" w:beforeAutospacing="0" w:after="0" w:afterAutospacing="0" w:line="360" w:lineRule="auto"/>
        <w:jc w:val="both"/>
        <w:rPr>
          <w:sz w:val="26"/>
          <w:szCs w:val="26"/>
        </w:rPr>
      </w:pPr>
      <w:r w:rsidRPr="00A031A8">
        <w:rPr>
          <w:sz w:val="26"/>
          <w:szCs w:val="26"/>
        </w:rPr>
        <w:t xml:space="preserve">4.2 </w:t>
      </w:r>
      <w:r w:rsidRPr="00A031A8">
        <w:rPr>
          <w:sz w:val="26"/>
          <w:szCs w:val="26"/>
        </w:rPr>
        <w:tab/>
        <w:t>Data Presentation</w:t>
      </w:r>
    </w:p>
    <w:p w:rsidR="00D52B8C" w:rsidRPr="00A031A8" w:rsidRDefault="00D52B8C" w:rsidP="00A031A8">
      <w:pPr>
        <w:pStyle w:val="NormalWeb"/>
        <w:spacing w:before="0" w:beforeAutospacing="0" w:after="0" w:afterAutospacing="0" w:line="360" w:lineRule="auto"/>
        <w:ind w:firstLine="720"/>
        <w:jc w:val="both"/>
        <w:rPr>
          <w:sz w:val="26"/>
          <w:szCs w:val="26"/>
        </w:rPr>
      </w:pPr>
      <w:r w:rsidRPr="00A031A8">
        <w:rPr>
          <w:sz w:val="26"/>
          <w:szCs w:val="26"/>
        </w:rPr>
        <w:t xml:space="preserve">The data were sourced from Wema Bank Plc’s annual reports for the fiscal years 2020 to 2024, focusing on financial statements prepared under IFRS. A compliance checklist based on IFRS disclosure requirements (e.g., IFRS 7, IFRS 8, IAS 1, IAS 39) was used to assess adherence. </w:t>
      </w:r>
    </w:p>
    <w:p w:rsidR="00D52B8C" w:rsidRPr="00A031A8" w:rsidRDefault="00D52B8C" w:rsidP="00A031A8">
      <w:pPr>
        <w:pStyle w:val="Heading3"/>
        <w:spacing w:before="0" w:beforeAutospacing="0" w:after="0" w:afterAutospacing="0" w:line="360" w:lineRule="auto"/>
        <w:jc w:val="both"/>
        <w:rPr>
          <w:sz w:val="26"/>
          <w:szCs w:val="26"/>
        </w:rPr>
      </w:pPr>
      <w:r w:rsidRPr="00A031A8">
        <w:rPr>
          <w:sz w:val="26"/>
          <w:szCs w:val="26"/>
        </w:rPr>
        <w:t>4.2.1 Descriptive Statistics</w:t>
      </w:r>
    </w:p>
    <w:p w:rsidR="00D52B8C" w:rsidRPr="00A031A8" w:rsidRDefault="00D52B8C" w:rsidP="00A031A8">
      <w:pPr>
        <w:pStyle w:val="NormalWeb"/>
        <w:spacing w:before="0" w:beforeAutospacing="0" w:after="0" w:afterAutospacing="0" w:line="360" w:lineRule="auto"/>
        <w:ind w:firstLine="720"/>
        <w:jc w:val="both"/>
        <w:rPr>
          <w:sz w:val="26"/>
          <w:szCs w:val="26"/>
        </w:rPr>
      </w:pPr>
      <w:r w:rsidRPr="00A031A8">
        <w:rPr>
          <w:sz w:val="26"/>
          <w:szCs w:val="26"/>
        </w:rPr>
        <w:t>The descriptive analysis provides an overview of Wema Bank Plc’s compliance with IFRS across the study period. The MDI scores were calculated for key IFRS standards, including IFRS 7 (Financial Instruments: Disclosures), IFRS 8 (Operating Segments), IAS 1 (Presentation of Financial Statements), and IAS 39 (Financial Instruments: Recognition and Measurement).</w:t>
      </w:r>
    </w:p>
    <w:p w:rsidR="00F11A6D" w:rsidRPr="00A031A8" w:rsidRDefault="00F11A6D" w:rsidP="00A031A8">
      <w:pPr>
        <w:spacing w:line="360" w:lineRule="auto"/>
        <w:rPr>
          <w:rStyle w:val="Strong"/>
          <w:rFonts w:ascii="Times New Roman" w:eastAsia="Times New Roman" w:hAnsi="Times New Roman" w:cs="Times New Roman"/>
          <w:sz w:val="26"/>
          <w:szCs w:val="26"/>
        </w:rPr>
      </w:pPr>
      <w:r w:rsidRPr="00A031A8">
        <w:rPr>
          <w:rStyle w:val="Strong"/>
          <w:rFonts w:ascii="Times New Roman" w:hAnsi="Times New Roman" w:cs="Times New Roman"/>
          <w:sz w:val="26"/>
          <w:szCs w:val="26"/>
        </w:rPr>
        <w:br w:type="page"/>
      </w:r>
    </w:p>
    <w:p w:rsidR="00484960" w:rsidRPr="00A031A8" w:rsidRDefault="00484960" w:rsidP="00A031A8">
      <w:pPr>
        <w:pStyle w:val="NormalWeb"/>
        <w:spacing w:line="360" w:lineRule="auto"/>
        <w:jc w:val="both"/>
        <w:rPr>
          <w:rStyle w:val="Strong"/>
          <w:sz w:val="26"/>
          <w:szCs w:val="26"/>
        </w:rPr>
      </w:pPr>
      <w:r w:rsidRPr="00A031A8">
        <w:rPr>
          <w:rStyle w:val="Strong"/>
          <w:sz w:val="26"/>
          <w:szCs w:val="26"/>
        </w:rPr>
        <w:lastRenderedPageBreak/>
        <w:t>Table 4.1: Summary of IFRS Compliance Levels for Wema Bank Plc (2020–2024)</w:t>
      </w:r>
    </w:p>
    <w:tbl>
      <w:tblPr>
        <w:tblStyle w:val="TableGrid"/>
        <w:tblW w:w="0" w:type="auto"/>
        <w:tblLook w:val="04A0"/>
      </w:tblPr>
      <w:tblGrid>
        <w:gridCol w:w="765"/>
        <w:gridCol w:w="1632"/>
        <w:gridCol w:w="1444"/>
        <w:gridCol w:w="1790"/>
        <w:gridCol w:w="1718"/>
        <w:gridCol w:w="1219"/>
      </w:tblGrid>
      <w:tr w:rsidR="00484960" w:rsidRPr="00A031A8" w:rsidTr="00474AEE">
        <w:tc>
          <w:tcPr>
            <w:tcW w:w="738" w:type="dxa"/>
          </w:tcPr>
          <w:p w:rsidR="00484960" w:rsidRPr="00A031A8" w:rsidRDefault="00484960" w:rsidP="00A031A8">
            <w:pPr>
              <w:spacing w:line="360" w:lineRule="auto"/>
              <w:rPr>
                <w:rStyle w:val="Strong"/>
                <w:rFonts w:ascii="Times New Roman" w:hAnsi="Times New Roman" w:cs="Times New Roman"/>
                <w:sz w:val="26"/>
                <w:szCs w:val="26"/>
              </w:rPr>
            </w:pPr>
            <w:r w:rsidRPr="00A031A8">
              <w:rPr>
                <w:rStyle w:val="Strong"/>
                <w:rFonts w:ascii="Times New Roman" w:hAnsi="Times New Roman" w:cs="Times New Roman"/>
                <w:sz w:val="26"/>
                <w:szCs w:val="26"/>
              </w:rPr>
              <w:t>Year</w:t>
            </w:r>
          </w:p>
        </w:tc>
        <w:tc>
          <w:tcPr>
            <w:tcW w:w="1530" w:type="dxa"/>
          </w:tcPr>
          <w:p w:rsidR="00484960" w:rsidRPr="00A031A8" w:rsidRDefault="00484960" w:rsidP="00A031A8">
            <w:pPr>
              <w:spacing w:line="360" w:lineRule="auto"/>
              <w:rPr>
                <w:rStyle w:val="Strong"/>
                <w:rFonts w:ascii="Times New Roman" w:hAnsi="Times New Roman" w:cs="Times New Roman"/>
                <w:sz w:val="26"/>
                <w:szCs w:val="26"/>
              </w:rPr>
            </w:pPr>
            <w:r w:rsidRPr="00A031A8">
              <w:rPr>
                <w:rStyle w:val="Strong"/>
                <w:rFonts w:ascii="Times New Roman" w:hAnsi="Times New Roman" w:cs="Times New Roman"/>
                <w:sz w:val="26"/>
                <w:szCs w:val="26"/>
              </w:rPr>
              <w:t>IFRS (Financial instruments)</w:t>
            </w:r>
          </w:p>
        </w:tc>
        <w:tc>
          <w:tcPr>
            <w:tcW w:w="1350" w:type="dxa"/>
          </w:tcPr>
          <w:p w:rsidR="00484960" w:rsidRPr="00A031A8" w:rsidRDefault="00484960" w:rsidP="00A031A8">
            <w:pPr>
              <w:spacing w:line="360" w:lineRule="auto"/>
              <w:rPr>
                <w:rStyle w:val="Strong"/>
                <w:rFonts w:ascii="Times New Roman" w:hAnsi="Times New Roman" w:cs="Times New Roman"/>
                <w:sz w:val="26"/>
                <w:szCs w:val="26"/>
              </w:rPr>
            </w:pPr>
            <w:r w:rsidRPr="00A031A8">
              <w:rPr>
                <w:rStyle w:val="Strong"/>
                <w:rFonts w:ascii="Times New Roman" w:hAnsi="Times New Roman" w:cs="Times New Roman"/>
                <w:sz w:val="26"/>
                <w:szCs w:val="26"/>
              </w:rPr>
              <w:t>7 IFRS (Operating Segments)</w:t>
            </w:r>
          </w:p>
        </w:tc>
        <w:tc>
          <w:tcPr>
            <w:tcW w:w="1710" w:type="dxa"/>
          </w:tcPr>
          <w:p w:rsidR="00484960" w:rsidRPr="00A031A8" w:rsidRDefault="00484960" w:rsidP="00A031A8">
            <w:pPr>
              <w:spacing w:line="360" w:lineRule="auto"/>
              <w:rPr>
                <w:rStyle w:val="Strong"/>
                <w:rFonts w:ascii="Times New Roman" w:hAnsi="Times New Roman" w:cs="Times New Roman"/>
                <w:sz w:val="26"/>
                <w:szCs w:val="26"/>
              </w:rPr>
            </w:pPr>
            <w:r w:rsidRPr="00A031A8">
              <w:rPr>
                <w:rStyle w:val="Strong"/>
                <w:rFonts w:ascii="Times New Roman" w:hAnsi="Times New Roman" w:cs="Times New Roman"/>
                <w:sz w:val="26"/>
                <w:szCs w:val="26"/>
              </w:rPr>
              <w:t>8 IAS (Presentation)</w:t>
            </w:r>
          </w:p>
        </w:tc>
        <w:tc>
          <w:tcPr>
            <w:tcW w:w="1620" w:type="dxa"/>
          </w:tcPr>
          <w:p w:rsidR="00484960" w:rsidRPr="00A031A8" w:rsidRDefault="00484960" w:rsidP="00A031A8">
            <w:pPr>
              <w:spacing w:line="360" w:lineRule="auto"/>
              <w:rPr>
                <w:rStyle w:val="Strong"/>
                <w:rFonts w:ascii="Times New Roman" w:hAnsi="Times New Roman" w:cs="Times New Roman"/>
                <w:sz w:val="26"/>
                <w:szCs w:val="26"/>
              </w:rPr>
            </w:pPr>
            <w:r w:rsidRPr="00A031A8">
              <w:rPr>
                <w:rStyle w:val="Strong"/>
                <w:rFonts w:ascii="Times New Roman" w:hAnsi="Times New Roman" w:cs="Times New Roman"/>
                <w:sz w:val="26"/>
                <w:szCs w:val="26"/>
              </w:rPr>
              <w:t>1 IAS (Recognition)</w:t>
            </w:r>
          </w:p>
        </w:tc>
        <w:tc>
          <w:tcPr>
            <w:tcW w:w="1710" w:type="dxa"/>
          </w:tcPr>
          <w:p w:rsidR="00484960" w:rsidRPr="00A031A8" w:rsidRDefault="00474AEE" w:rsidP="00A031A8">
            <w:pPr>
              <w:spacing w:line="360" w:lineRule="auto"/>
              <w:rPr>
                <w:rStyle w:val="Strong"/>
                <w:rFonts w:ascii="Times New Roman" w:hAnsi="Times New Roman" w:cs="Times New Roman"/>
                <w:sz w:val="26"/>
                <w:szCs w:val="26"/>
              </w:rPr>
            </w:pPr>
            <w:r w:rsidRPr="00A031A8">
              <w:rPr>
                <w:rStyle w:val="Strong"/>
                <w:rFonts w:ascii="Times New Roman" w:hAnsi="Times New Roman" w:cs="Times New Roman"/>
                <w:sz w:val="26"/>
                <w:szCs w:val="26"/>
              </w:rPr>
              <w:t>39 Average MDI Score</w:t>
            </w:r>
          </w:p>
        </w:tc>
      </w:tr>
      <w:tr w:rsidR="00484960" w:rsidRPr="00A031A8" w:rsidTr="00474AEE">
        <w:tc>
          <w:tcPr>
            <w:tcW w:w="738" w:type="dxa"/>
          </w:tcPr>
          <w:p w:rsidR="00484960"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2020</w:t>
            </w:r>
          </w:p>
        </w:tc>
        <w:tc>
          <w:tcPr>
            <w:tcW w:w="1530" w:type="dxa"/>
          </w:tcPr>
          <w:p w:rsidR="00484960"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0.82</w:t>
            </w:r>
          </w:p>
        </w:tc>
        <w:tc>
          <w:tcPr>
            <w:tcW w:w="1350" w:type="dxa"/>
          </w:tcPr>
          <w:p w:rsidR="00484960"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0.65</w:t>
            </w:r>
          </w:p>
        </w:tc>
        <w:tc>
          <w:tcPr>
            <w:tcW w:w="1710" w:type="dxa"/>
          </w:tcPr>
          <w:p w:rsidR="00484960"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0.90</w:t>
            </w:r>
          </w:p>
        </w:tc>
        <w:tc>
          <w:tcPr>
            <w:tcW w:w="1620" w:type="dxa"/>
          </w:tcPr>
          <w:p w:rsidR="00484960"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0.78</w:t>
            </w:r>
          </w:p>
        </w:tc>
        <w:tc>
          <w:tcPr>
            <w:tcW w:w="1710" w:type="dxa"/>
          </w:tcPr>
          <w:p w:rsidR="00484960"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78.75</w:t>
            </w:r>
          </w:p>
        </w:tc>
      </w:tr>
      <w:tr w:rsidR="005110F3" w:rsidRPr="00A031A8" w:rsidTr="00474AEE">
        <w:tc>
          <w:tcPr>
            <w:tcW w:w="738"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2021</w:t>
            </w:r>
          </w:p>
        </w:tc>
        <w:tc>
          <w:tcPr>
            <w:tcW w:w="153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0.85</w:t>
            </w:r>
          </w:p>
        </w:tc>
        <w:tc>
          <w:tcPr>
            <w:tcW w:w="135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0.68</w:t>
            </w:r>
          </w:p>
        </w:tc>
        <w:tc>
          <w:tcPr>
            <w:tcW w:w="171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0.92</w:t>
            </w:r>
          </w:p>
        </w:tc>
        <w:tc>
          <w:tcPr>
            <w:tcW w:w="162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0.80</w:t>
            </w:r>
          </w:p>
        </w:tc>
        <w:tc>
          <w:tcPr>
            <w:tcW w:w="171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81.25</w:t>
            </w:r>
          </w:p>
        </w:tc>
      </w:tr>
      <w:tr w:rsidR="005110F3" w:rsidRPr="00A031A8" w:rsidTr="00474AEE">
        <w:tc>
          <w:tcPr>
            <w:tcW w:w="738"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2022</w:t>
            </w:r>
          </w:p>
        </w:tc>
        <w:tc>
          <w:tcPr>
            <w:tcW w:w="153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0.88</w:t>
            </w:r>
          </w:p>
        </w:tc>
        <w:tc>
          <w:tcPr>
            <w:tcW w:w="135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0.70</w:t>
            </w:r>
          </w:p>
        </w:tc>
        <w:tc>
          <w:tcPr>
            <w:tcW w:w="171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0.94</w:t>
            </w:r>
          </w:p>
        </w:tc>
        <w:tc>
          <w:tcPr>
            <w:tcW w:w="162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0.83</w:t>
            </w:r>
          </w:p>
        </w:tc>
        <w:tc>
          <w:tcPr>
            <w:tcW w:w="171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83.75</w:t>
            </w:r>
          </w:p>
        </w:tc>
      </w:tr>
      <w:tr w:rsidR="005110F3" w:rsidRPr="00A031A8" w:rsidTr="00474AEE">
        <w:tc>
          <w:tcPr>
            <w:tcW w:w="738"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2023</w:t>
            </w:r>
          </w:p>
        </w:tc>
        <w:tc>
          <w:tcPr>
            <w:tcW w:w="153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0.90</w:t>
            </w:r>
          </w:p>
        </w:tc>
        <w:tc>
          <w:tcPr>
            <w:tcW w:w="135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0.73</w:t>
            </w:r>
          </w:p>
        </w:tc>
        <w:tc>
          <w:tcPr>
            <w:tcW w:w="171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0.95</w:t>
            </w:r>
          </w:p>
        </w:tc>
        <w:tc>
          <w:tcPr>
            <w:tcW w:w="162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0.85</w:t>
            </w:r>
          </w:p>
        </w:tc>
        <w:tc>
          <w:tcPr>
            <w:tcW w:w="171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85.75</w:t>
            </w:r>
          </w:p>
        </w:tc>
      </w:tr>
      <w:tr w:rsidR="005110F3" w:rsidRPr="00A031A8" w:rsidTr="00474AEE">
        <w:tc>
          <w:tcPr>
            <w:tcW w:w="738"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2024</w:t>
            </w:r>
          </w:p>
        </w:tc>
        <w:tc>
          <w:tcPr>
            <w:tcW w:w="153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0.92</w:t>
            </w:r>
          </w:p>
        </w:tc>
        <w:tc>
          <w:tcPr>
            <w:tcW w:w="135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0.75</w:t>
            </w:r>
          </w:p>
        </w:tc>
        <w:tc>
          <w:tcPr>
            <w:tcW w:w="171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0.96</w:t>
            </w:r>
          </w:p>
        </w:tc>
        <w:tc>
          <w:tcPr>
            <w:tcW w:w="162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0.87</w:t>
            </w:r>
          </w:p>
        </w:tc>
        <w:tc>
          <w:tcPr>
            <w:tcW w:w="1710" w:type="dxa"/>
          </w:tcPr>
          <w:p w:rsidR="005110F3" w:rsidRPr="00A031A8" w:rsidRDefault="005110F3" w:rsidP="00A031A8">
            <w:pPr>
              <w:spacing w:line="360" w:lineRule="auto"/>
              <w:rPr>
                <w:rStyle w:val="Strong"/>
                <w:rFonts w:ascii="Times New Roman" w:hAnsi="Times New Roman" w:cs="Times New Roman"/>
                <w:b w:val="0"/>
                <w:sz w:val="26"/>
                <w:szCs w:val="26"/>
              </w:rPr>
            </w:pPr>
            <w:r w:rsidRPr="00A031A8">
              <w:rPr>
                <w:rStyle w:val="Strong"/>
                <w:rFonts w:ascii="Times New Roman" w:hAnsi="Times New Roman" w:cs="Times New Roman"/>
                <w:b w:val="0"/>
                <w:sz w:val="26"/>
                <w:szCs w:val="26"/>
              </w:rPr>
              <w:t>87.50</w:t>
            </w:r>
          </w:p>
        </w:tc>
      </w:tr>
    </w:tbl>
    <w:p w:rsidR="00D52B8C" w:rsidRPr="00A031A8" w:rsidRDefault="00D52B8C" w:rsidP="00A031A8">
      <w:pPr>
        <w:pStyle w:val="NormalWeb"/>
        <w:spacing w:before="0" w:beforeAutospacing="0" w:after="0" w:afterAutospacing="0" w:line="360" w:lineRule="auto"/>
        <w:ind w:firstLine="720"/>
        <w:jc w:val="both"/>
        <w:rPr>
          <w:sz w:val="26"/>
          <w:szCs w:val="26"/>
        </w:rPr>
      </w:pPr>
      <w:r w:rsidRPr="00A031A8">
        <w:rPr>
          <w:sz w:val="26"/>
          <w:szCs w:val="26"/>
        </w:rPr>
        <w:t>The table shows a consistent increase in compliance levels over the five-year period, with the average MDI score rising from 78.75% in 2020 to 87.50% in 2024. IFRS 7 and IAS 1 consistently showed higher compliance rates, while IFRS 8 had the lowest scores, possibly due to complexities in segment reporting.</w:t>
      </w:r>
    </w:p>
    <w:p w:rsidR="00202691" w:rsidRPr="00A031A8" w:rsidRDefault="00202691" w:rsidP="00A031A8">
      <w:pPr>
        <w:spacing w:after="0" w:line="360" w:lineRule="auto"/>
        <w:ind w:left="6"/>
        <w:jc w:val="both"/>
        <w:rPr>
          <w:rFonts w:ascii="Times New Roman" w:eastAsia="Times New Roman" w:hAnsi="Times New Roman" w:cs="Times New Roman"/>
          <w:sz w:val="26"/>
          <w:szCs w:val="26"/>
        </w:rPr>
      </w:pPr>
      <w:r w:rsidRPr="00A031A8">
        <w:rPr>
          <w:rFonts w:ascii="Times New Roman" w:eastAsia="Times New Roman" w:hAnsi="Times New Roman" w:cs="Times New Roman"/>
          <w:b/>
          <w:bCs/>
          <w:color w:val="333333"/>
          <w:sz w:val="26"/>
          <w:szCs w:val="26"/>
        </w:rPr>
        <w:t>Table 4.2: Illustrative IFRS Compliance Levels Across 20 Hypothetical Banks </w:t>
      </w:r>
    </w:p>
    <w:tbl>
      <w:tblPr>
        <w:tblW w:w="0" w:type="auto"/>
        <w:tblLayout w:type="fixed"/>
        <w:tblCellMar>
          <w:top w:w="15" w:type="dxa"/>
          <w:left w:w="15" w:type="dxa"/>
          <w:bottom w:w="15" w:type="dxa"/>
          <w:right w:w="15" w:type="dxa"/>
        </w:tblCellMar>
        <w:tblLook w:val="04A0"/>
      </w:tblPr>
      <w:tblGrid>
        <w:gridCol w:w="1450"/>
        <w:gridCol w:w="1046"/>
        <w:gridCol w:w="1718"/>
        <w:gridCol w:w="1919"/>
        <w:gridCol w:w="3096"/>
      </w:tblGrid>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b/>
                <w:bCs/>
                <w:color w:val="333333"/>
                <w:sz w:val="26"/>
                <w:szCs w:val="26"/>
              </w:rPr>
              <w:t>Bank </w:t>
            </w:r>
          </w:p>
          <w:p w:rsidR="00202691" w:rsidRPr="00A031A8" w:rsidRDefault="00202691" w:rsidP="00077728">
            <w:pPr>
              <w:spacing w:before="56"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b/>
                <w:bCs/>
                <w:color w:val="333333"/>
                <w:sz w:val="26"/>
                <w:szCs w:val="26"/>
              </w:rPr>
              <w:t>Name</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2"/>
              <w:jc w:val="both"/>
              <w:rPr>
                <w:rFonts w:ascii="Times New Roman" w:eastAsia="Times New Roman" w:hAnsi="Times New Roman" w:cs="Times New Roman"/>
                <w:sz w:val="26"/>
                <w:szCs w:val="26"/>
              </w:rPr>
            </w:pPr>
            <w:r w:rsidRPr="00A031A8">
              <w:rPr>
                <w:rFonts w:ascii="Times New Roman" w:eastAsia="Times New Roman" w:hAnsi="Times New Roman" w:cs="Times New Roman"/>
                <w:b/>
                <w:bCs/>
                <w:color w:val="333333"/>
                <w:sz w:val="26"/>
                <w:szCs w:val="26"/>
              </w:rPr>
              <w:t>IFRS </w:t>
            </w:r>
          </w:p>
          <w:p w:rsidR="00202691" w:rsidRPr="00A031A8" w:rsidRDefault="00202691" w:rsidP="00077728">
            <w:pPr>
              <w:spacing w:before="56" w:after="0" w:line="360" w:lineRule="auto"/>
              <w:ind w:left="95"/>
              <w:jc w:val="both"/>
              <w:rPr>
                <w:rFonts w:ascii="Times New Roman" w:eastAsia="Times New Roman" w:hAnsi="Times New Roman" w:cs="Times New Roman"/>
                <w:sz w:val="26"/>
                <w:szCs w:val="26"/>
              </w:rPr>
            </w:pPr>
            <w:r w:rsidRPr="00A031A8">
              <w:rPr>
                <w:rFonts w:ascii="Times New Roman" w:eastAsia="Times New Roman" w:hAnsi="Times New Roman" w:cs="Times New Roman"/>
                <w:b/>
                <w:bCs/>
                <w:color w:val="333333"/>
                <w:sz w:val="26"/>
                <w:szCs w:val="26"/>
              </w:rPr>
              <w:t>Standard</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97"/>
              <w:jc w:val="both"/>
              <w:rPr>
                <w:rFonts w:ascii="Times New Roman" w:eastAsia="Times New Roman" w:hAnsi="Times New Roman" w:cs="Times New Roman"/>
                <w:sz w:val="26"/>
                <w:szCs w:val="26"/>
              </w:rPr>
            </w:pPr>
            <w:r w:rsidRPr="00A031A8">
              <w:rPr>
                <w:rFonts w:ascii="Times New Roman" w:eastAsia="Times New Roman" w:hAnsi="Times New Roman" w:cs="Times New Roman"/>
                <w:b/>
                <w:bCs/>
                <w:color w:val="333333"/>
                <w:sz w:val="26"/>
                <w:szCs w:val="26"/>
              </w:rPr>
              <w:t>Compliance </w:t>
            </w:r>
          </w:p>
          <w:p w:rsidR="00202691" w:rsidRPr="00A031A8" w:rsidRDefault="00202691" w:rsidP="00077728">
            <w:pPr>
              <w:spacing w:before="56" w:after="0" w:line="360" w:lineRule="auto"/>
              <w:ind w:left="102"/>
              <w:jc w:val="both"/>
              <w:rPr>
                <w:rFonts w:ascii="Times New Roman" w:eastAsia="Times New Roman" w:hAnsi="Times New Roman" w:cs="Times New Roman"/>
                <w:sz w:val="26"/>
                <w:szCs w:val="26"/>
              </w:rPr>
            </w:pPr>
            <w:r w:rsidRPr="00A031A8">
              <w:rPr>
                <w:rFonts w:ascii="Times New Roman" w:eastAsia="Times New Roman" w:hAnsi="Times New Roman" w:cs="Times New Roman"/>
                <w:b/>
                <w:bCs/>
                <w:color w:val="333333"/>
                <w:sz w:val="26"/>
                <w:szCs w:val="26"/>
              </w:rPr>
              <w:t>Level</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2"/>
              <w:jc w:val="both"/>
              <w:rPr>
                <w:rFonts w:ascii="Times New Roman" w:eastAsia="Times New Roman" w:hAnsi="Times New Roman" w:cs="Times New Roman"/>
                <w:sz w:val="26"/>
                <w:szCs w:val="26"/>
              </w:rPr>
            </w:pPr>
            <w:r w:rsidRPr="00A031A8">
              <w:rPr>
                <w:rFonts w:ascii="Times New Roman" w:eastAsia="Times New Roman" w:hAnsi="Times New Roman" w:cs="Times New Roman"/>
                <w:b/>
                <w:bCs/>
                <w:color w:val="333333"/>
                <w:sz w:val="26"/>
                <w:szCs w:val="26"/>
              </w:rPr>
              <w:t>Key Compliance Area </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98"/>
              <w:jc w:val="both"/>
              <w:rPr>
                <w:rFonts w:ascii="Times New Roman" w:eastAsia="Times New Roman" w:hAnsi="Times New Roman" w:cs="Times New Roman"/>
                <w:sz w:val="26"/>
                <w:szCs w:val="26"/>
              </w:rPr>
            </w:pPr>
            <w:r w:rsidRPr="00A031A8">
              <w:rPr>
                <w:rFonts w:ascii="Times New Roman" w:eastAsia="Times New Roman" w:hAnsi="Times New Roman" w:cs="Times New Roman"/>
                <w:b/>
                <w:bCs/>
                <w:color w:val="333333"/>
                <w:sz w:val="26"/>
                <w:szCs w:val="26"/>
              </w:rPr>
              <w:t>Notes</w:t>
            </w:r>
          </w:p>
        </w:tc>
      </w:tr>
      <w:tr w:rsidR="00202691" w:rsidRPr="00A031A8" w:rsidTr="008E161E">
        <w:trPr>
          <w:trHeight w:val="40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9F5765"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First Bank</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9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High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Financial Instruments </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0"/>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Robust ECL models, comprehensive </w:t>
            </w:r>
            <w:r w:rsidRPr="00A031A8">
              <w:rPr>
                <w:rFonts w:ascii="Times New Roman" w:eastAsia="Times New Roman" w:hAnsi="Times New Roman" w:cs="Times New Roman"/>
                <w:color w:val="333333"/>
                <w:sz w:val="26"/>
                <w:szCs w:val="26"/>
              </w:rPr>
              <w:lastRenderedPageBreak/>
              <w:t>disclosures.</w:t>
            </w:r>
          </w:p>
        </w:tc>
      </w:tr>
      <w:tr w:rsidR="00202691" w:rsidRPr="00A031A8" w:rsidTr="008E161E">
        <w:trPr>
          <w:trHeight w:val="40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9F5765"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lastRenderedPageBreak/>
              <w:t xml:space="preserve">Access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9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Medium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Financial Instruments </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0"/>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ECL models require refinement, some disclosure gaps.</w:t>
            </w:r>
          </w:p>
        </w:tc>
      </w:tr>
      <w:tr w:rsidR="00202691" w:rsidRPr="00A031A8" w:rsidTr="008E161E">
        <w:trPr>
          <w:trHeight w:val="41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9F5765"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Eco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9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High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Financial Instruments </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86"/>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Advanced risk management integration.</w:t>
            </w:r>
          </w:p>
        </w:tc>
      </w:tr>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9F5765"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GT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9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Low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Financial Instruments</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87" w:right="211" w:firstLine="5"/>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Significant challenges with data aggregation and model validation.</w:t>
            </w:r>
          </w:p>
        </w:tc>
      </w:tr>
      <w:tr w:rsidR="00202691" w:rsidRPr="00A031A8" w:rsidTr="008E161E">
        <w:trPr>
          <w:trHeight w:val="40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8C68F8"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Wema  Bank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16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High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Leases </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86"/>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All leases correctly identified and capitalized.</w:t>
            </w:r>
          </w:p>
        </w:tc>
      </w:tr>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9F5765"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Polaris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16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Medium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Leases</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92" w:right="315" w:hanging="6"/>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Some embedded leases</w:t>
            </w:r>
            <w:r w:rsidR="009F5765" w:rsidRPr="00A031A8">
              <w:rPr>
                <w:rFonts w:ascii="Times New Roman" w:eastAsia="Times New Roman" w:hAnsi="Times New Roman" w:cs="Times New Roman"/>
                <w:color w:val="333333"/>
                <w:sz w:val="26"/>
                <w:szCs w:val="26"/>
              </w:rPr>
              <w:t xml:space="preserve"> not fully captured, disclosure </w:t>
            </w:r>
            <w:r w:rsidRPr="00A031A8">
              <w:rPr>
                <w:rFonts w:ascii="Times New Roman" w:eastAsia="Times New Roman" w:hAnsi="Times New Roman" w:cs="Times New Roman"/>
                <w:color w:val="333333"/>
                <w:sz w:val="26"/>
                <w:szCs w:val="26"/>
              </w:rPr>
              <w:t>minor issues.</w:t>
            </w:r>
          </w:p>
        </w:tc>
      </w:tr>
      <w:tr w:rsidR="00202691" w:rsidRPr="00A031A8" w:rsidTr="008E161E">
        <w:trPr>
          <w:trHeight w:val="40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9F5765"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Stanbic IBTC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16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High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Leases </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94"/>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Centralized lease management system, full compliance.</w:t>
            </w:r>
          </w:p>
        </w:tc>
      </w:tr>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8E161E"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Sterling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16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Low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Leases</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93" w:right="239" w:firstLine="7"/>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Incomplete lease identification, incorrect lease liability </w:t>
            </w:r>
            <w:r w:rsidRPr="00A031A8">
              <w:rPr>
                <w:rFonts w:ascii="Times New Roman" w:eastAsia="Times New Roman" w:hAnsi="Times New Roman" w:cs="Times New Roman"/>
                <w:color w:val="333333"/>
                <w:sz w:val="26"/>
                <w:szCs w:val="26"/>
              </w:rPr>
              <w:lastRenderedPageBreak/>
              <w:t>calculations.</w:t>
            </w:r>
          </w:p>
        </w:tc>
      </w:tr>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8E161E"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lastRenderedPageBreak/>
              <w:t xml:space="preserve">Union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IAS 1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High</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Presentation of Financial </w:t>
            </w:r>
          </w:p>
          <w:p w:rsidR="00202691" w:rsidRPr="00A031A8" w:rsidRDefault="00202691" w:rsidP="00077728">
            <w:pPr>
              <w:spacing w:before="56" w:after="0" w:line="360" w:lineRule="auto"/>
              <w:ind w:left="96"/>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Statements</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94" w:right="94" w:hanging="5"/>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Clear, consistent, and comprehensive financial statement presentation.</w:t>
            </w:r>
          </w:p>
        </w:tc>
      </w:tr>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8E161E"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United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IAS 1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Medium</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Presentation of Financial </w:t>
            </w:r>
          </w:p>
          <w:p w:rsidR="00202691" w:rsidRPr="00A031A8" w:rsidRDefault="00202691" w:rsidP="00077728">
            <w:pPr>
              <w:spacing w:before="56" w:after="0" w:line="360" w:lineRule="auto"/>
              <w:ind w:left="96"/>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Statements</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99" w:right="181" w:firstLine="1"/>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Minor inconsistencies in presentation, some disclosures lack detail.</w:t>
            </w:r>
          </w:p>
        </w:tc>
      </w:tr>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8E161E"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Unity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IAS 1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High</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Presentation of Financial </w:t>
            </w:r>
          </w:p>
          <w:p w:rsidR="00202691" w:rsidRPr="00A031A8" w:rsidRDefault="00202691" w:rsidP="00077728">
            <w:pPr>
              <w:spacing w:before="56" w:after="0" w:line="360" w:lineRule="auto"/>
              <w:ind w:left="96"/>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Statements</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99" w:right="367" w:firstLine="1"/>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Exemplary adherence to presentation and disclosure requirements.</w:t>
            </w:r>
          </w:p>
        </w:tc>
      </w:tr>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8E161E"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Wema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IAS 1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Low</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Presentation of Financial </w:t>
            </w:r>
          </w:p>
          <w:p w:rsidR="00202691" w:rsidRPr="00A031A8" w:rsidRDefault="00202691" w:rsidP="00077728">
            <w:pPr>
              <w:spacing w:before="56" w:after="0" w:line="360" w:lineRule="auto"/>
              <w:ind w:left="96"/>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Statements</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92" w:right="332" w:hanging="1"/>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Significant deviations from required formats, material omissions.</w:t>
            </w:r>
          </w:p>
        </w:tc>
      </w:tr>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8E161E"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Zenith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7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High</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Financial Instruments </w:t>
            </w:r>
          </w:p>
          <w:p w:rsidR="00202691" w:rsidRPr="00A031A8" w:rsidRDefault="00202691" w:rsidP="00077728">
            <w:pPr>
              <w:spacing w:before="56"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Disclosures</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Detailed and transparent risk disclosures.</w:t>
            </w:r>
          </w:p>
        </w:tc>
      </w:tr>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8E161E"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Citi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7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Medium</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Financial Instruments </w:t>
            </w:r>
          </w:p>
          <w:p w:rsidR="00202691" w:rsidRPr="00A031A8" w:rsidRDefault="00202691" w:rsidP="00077728">
            <w:pPr>
              <w:spacing w:before="56"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Disclosures</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92"/>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Some qualitative disclosures need enhancement.</w:t>
            </w:r>
          </w:p>
        </w:tc>
      </w:tr>
      <w:tr w:rsidR="00202691" w:rsidRPr="00A031A8" w:rsidTr="008E161E">
        <w:trPr>
          <w:trHeight w:val="64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8E161E"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lastRenderedPageBreak/>
              <w:t xml:space="preserve">Fidelity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7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High</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Financial Instruments </w:t>
            </w:r>
          </w:p>
          <w:p w:rsidR="00202691" w:rsidRPr="00A031A8" w:rsidRDefault="00202691" w:rsidP="00077728">
            <w:pPr>
              <w:spacing w:before="66"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Disclosures</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0"/>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Proactive and forward-looking risk reporting.</w:t>
            </w:r>
          </w:p>
        </w:tc>
      </w:tr>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8E161E"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First City Monument </w:t>
            </w:r>
            <w:r w:rsidR="00202691" w:rsidRPr="00A031A8">
              <w:rPr>
                <w:rFonts w:ascii="Times New Roman" w:eastAsia="Times New Roman" w:hAnsi="Times New Roman" w:cs="Times New Roman"/>
                <w:color w:val="333333"/>
                <w:sz w:val="26"/>
                <w:szCs w:val="26"/>
              </w:rPr>
              <w:t xml:space="preserve">Bank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7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Low</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Financial Instruments </w:t>
            </w:r>
          </w:p>
          <w:p w:rsidR="00202691" w:rsidRPr="00A031A8" w:rsidRDefault="00202691" w:rsidP="00077728">
            <w:pPr>
              <w:spacing w:before="56"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Disclosures</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0"/>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Limited quantitative and qualitative risk information.</w:t>
            </w:r>
          </w:p>
        </w:tc>
      </w:tr>
      <w:tr w:rsidR="00202691" w:rsidRPr="00A031A8" w:rsidTr="008E161E">
        <w:trPr>
          <w:trHeight w:val="40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8E161E"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Globus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15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Not Applicable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Revenue Recognition </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Primarily interest income, less complex revenue streams.</w:t>
            </w:r>
          </w:p>
        </w:tc>
      </w:tr>
      <w:tr w:rsidR="00202691" w:rsidRPr="00A031A8" w:rsidTr="008E161E">
        <w:trPr>
          <w:trHeight w:val="40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562731"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Premium </w:t>
            </w:r>
            <w:r w:rsidR="008E161E" w:rsidRPr="00A031A8">
              <w:rPr>
                <w:rFonts w:ascii="Times New Roman" w:eastAsia="Times New Roman" w:hAnsi="Times New Roman" w:cs="Times New Roman"/>
                <w:color w:val="333333"/>
                <w:sz w:val="26"/>
                <w:szCs w:val="26"/>
              </w:rPr>
              <w:t xml:space="preserve">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15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High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Revenue Recognition </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0"/>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Diverse revenue streams, robust contract identification.</w:t>
            </w:r>
          </w:p>
        </w:tc>
      </w:tr>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8C68F8"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Keystone Bank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15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Medium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Revenue Recognition</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94" w:right="442" w:hanging="5"/>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Challenges with variable consideration and contract modifications.</w:t>
            </w:r>
          </w:p>
        </w:tc>
      </w:tr>
      <w:tr w:rsidR="00202691" w:rsidRPr="00A031A8" w:rsidTr="008E161E">
        <w:trPr>
          <w:trHeight w:val="63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682FEB" w:rsidP="00077728">
            <w:pPr>
              <w:spacing w:after="0" w:line="360" w:lineRule="auto"/>
              <w:ind w:left="10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 xml:space="preserve">Zenith Bank </w:t>
            </w:r>
            <w:r w:rsidR="00202691" w:rsidRPr="00A031A8">
              <w:rPr>
                <w:rFonts w:ascii="Times New Roman" w:eastAsia="Times New Roman" w:hAnsi="Times New Roman" w:cs="Times New Roman"/>
                <w:color w:val="333333"/>
                <w:sz w:val="26"/>
                <w:szCs w:val="26"/>
              </w:rPr>
              <w:t> </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IFRS 13 </w:t>
            </w:r>
          </w:p>
        </w:tc>
        <w:tc>
          <w:tcPr>
            <w:tcW w:w="17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3"/>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High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104"/>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Fair Value Measurement</w:t>
            </w:r>
          </w:p>
        </w:tc>
        <w:tc>
          <w:tcPr>
            <w:tcW w:w="3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02691" w:rsidRPr="00A031A8" w:rsidRDefault="00202691" w:rsidP="00077728">
            <w:pPr>
              <w:spacing w:after="0" w:line="360" w:lineRule="auto"/>
              <w:ind w:left="93" w:right="537" w:firstLine="1"/>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t>Consistent application of fair value hierarchy, clear disclosures.</w:t>
            </w:r>
          </w:p>
        </w:tc>
      </w:tr>
    </w:tbl>
    <w:p w:rsidR="00202691" w:rsidRPr="00A031A8" w:rsidRDefault="00202691" w:rsidP="00A031A8">
      <w:pPr>
        <w:spacing w:after="240" w:line="360" w:lineRule="auto"/>
        <w:jc w:val="both"/>
        <w:rPr>
          <w:rFonts w:ascii="Times New Roman" w:eastAsia="Times New Roman" w:hAnsi="Times New Roman" w:cs="Times New Roman"/>
          <w:sz w:val="26"/>
          <w:szCs w:val="26"/>
        </w:rPr>
      </w:pPr>
    </w:p>
    <w:p w:rsidR="00202691" w:rsidRPr="00A031A8" w:rsidRDefault="00202691" w:rsidP="00A031A8">
      <w:pPr>
        <w:spacing w:after="0" w:line="360" w:lineRule="auto"/>
        <w:ind w:left="5" w:right="11" w:firstLine="715"/>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333333"/>
          <w:sz w:val="26"/>
          <w:szCs w:val="26"/>
        </w:rPr>
        <w:lastRenderedPageBreak/>
        <w:t xml:space="preserve">This illustrative table demonstrates that compliance levels can vary significantly across different IFRS standards and among different banks, reflecting diverse operational complexities, internal control environments, and levels of investment in compliance infrastructure. While some banks may achieve high compliance across the board, others might face specific challenges in areas such as complex financial instruments (IFRS 9) or lease accounting (IFRS 16). </w:t>
      </w:r>
    </w:p>
    <w:p w:rsidR="00D52B8C" w:rsidRPr="00A031A8" w:rsidRDefault="00D52B8C" w:rsidP="00A031A8">
      <w:pPr>
        <w:pStyle w:val="Heading2"/>
        <w:spacing w:before="0" w:beforeAutospacing="0" w:after="0" w:afterAutospacing="0" w:line="360" w:lineRule="auto"/>
        <w:jc w:val="both"/>
        <w:rPr>
          <w:sz w:val="26"/>
          <w:szCs w:val="26"/>
        </w:rPr>
      </w:pPr>
      <w:r w:rsidRPr="00A031A8">
        <w:rPr>
          <w:sz w:val="26"/>
          <w:szCs w:val="26"/>
        </w:rPr>
        <w:t xml:space="preserve">4.3 </w:t>
      </w:r>
      <w:r w:rsidR="00F177AC" w:rsidRPr="00A031A8">
        <w:rPr>
          <w:sz w:val="26"/>
          <w:szCs w:val="26"/>
        </w:rPr>
        <w:tab/>
      </w:r>
      <w:r w:rsidRPr="00A031A8">
        <w:rPr>
          <w:sz w:val="26"/>
          <w:szCs w:val="26"/>
        </w:rPr>
        <w:t>Data Analysis</w:t>
      </w:r>
    </w:p>
    <w:p w:rsidR="00D52B8C" w:rsidRPr="00A031A8" w:rsidRDefault="00D52B8C" w:rsidP="00A031A8">
      <w:pPr>
        <w:pStyle w:val="NormalWeb"/>
        <w:spacing w:before="0" w:beforeAutospacing="0" w:after="0" w:afterAutospacing="0" w:line="360" w:lineRule="auto"/>
        <w:ind w:firstLine="720"/>
        <w:jc w:val="both"/>
        <w:rPr>
          <w:sz w:val="26"/>
          <w:szCs w:val="26"/>
        </w:rPr>
      </w:pPr>
      <w:r w:rsidRPr="00A031A8">
        <w:rPr>
          <w:sz w:val="26"/>
          <w:szCs w:val="26"/>
        </w:rPr>
        <w:t>The analysis tested two hypotheses:</w:t>
      </w:r>
    </w:p>
    <w:p w:rsidR="00D52B8C" w:rsidRPr="00A031A8" w:rsidRDefault="00D52B8C" w:rsidP="00A031A8">
      <w:pPr>
        <w:pStyle w:val="NormalWeb"/>
        <w:numPr>
          <w:ilvl w:val="0"/>
          <w:numId w:val="25"/>
        </w:numPr>
        <w:spacing w:before="0" w:beforeAutospacing="0" w:after="0" w:afterAutospacing="0" w:line="360" w:lineRule="auto"/>
        <w:jc w:val="both"/>
        <w:rPr>
          <w:sz w:val="26"/>
          <w:szCs w:val="26"/>
        </w:rPr>
      </w:pPr>
      <w:r w:rsidRPr="00A031A8">
        <w:rPr>
          <w:rStyle w:val="Strong"/>
          <w:sz w:val="26"/>
          <w:szCs w:val="26"/>
        </w:rPr>
        <w:t>H01</w:t>
      </w:r>
      <w:r w:rsidRPr="00A031A8">
        <w:rPr>
          <w:sz w:val="26"/>
          <w:szCs w:val="26"/>
        </w:rPr>
        <w:t>: There is no significant relationship between firm-specific factors (e.g., firm size, auditor type, leverage) and IFRS compliance levels.</w:t>
      </w:r>
    </w:p>
    <w:p w:rsidR="00D52B8C" w:rsidRPr="00A031A8" w:rsidRDefault="00D52B8C" w:rsidP="00A031A8">
      <w:pPr>
        <w:pStyle w:val="NormalWeb"/>
        <w:numPr>
          <w:ilvl w:val="0"/>
          <w:numId w:val="25"/>
        </w:numPr>
        <w:spacing w:before="0" w:beforeAutospacing="0" w:after="0" w:afterAutospacing="0" w:line="360" w:lineRule="auto"/>
        <w:jc w:val="both"/>
        <w:rPr>
          <w:sz w:val="26"/>
          <w:szCs w:val="26"/>
        </w:rPr>
      </w:pPr>
      <w:r w:rsidRPr="00A031A8">
        <w:rPr>
          <w:rStyle w:val="Strong"/>
          <w:sz w:val="26"/>
          <w:szCs w:val="26"/>
        </w:rPr>
        <w:t>H02</w:t>
      </w:r>
      <w:r w:rsidRPr="00A031A8">
        <w:rPr>
          <w:sz w:val="26"/>
          <w:szCs w:val="26"/>
        </w:rPr>
        <w:t>: There is no significant difference in IFRS compliance across types of industries (e.g., banking vs. other sectors).</w:t>
      </w:r>
    </w:p>
    <w:p w:rsidR="00D52B8C" w:rsidRPr="00A031A8" w:rsidRDefault="00D52B8C" w:rsidP="00A031A8">
      <w:pPr>
        <w:pStyle w:val="Heading3"/>
        <w:spacing w:before="0" w:beforeAutospacing="0" w:after="0" w:afterAutospacing="0" w:line="360" w:lineRule="auto"/>
        <w:jc w:val="both"/>
        <w:rPr>
          <w:sz w:val="26"/>
          <w:szCs w:val="26"/>
        </w:rPr>
      </w:pPr>
      <w:r w:rsidRPr="00A031A8">
        <w:rPr>
          <w:sz w:val="26"/>
          <w:szCs w:val="26"/>
        </w:rPr>
        <w:t>4.3.1 Regression Analysis (H01)</w:t>
      </w:r>
    </w:p>
    <w:p w:rsidR="00D52B8C" w:rsidRPr="00A031A8" w:rsidRDefault="00D52B8C" w:rsidP="00A031A8">
      <w:pPr>
        <w:pStyle w:val="NormalWeb"/>
        <w:spacing w:before="0" w:beforeAutospacing="0" w:after="0" w:afterAutospacing="0" w:line="360" w:lineRule="auto"/>
        <w:ind w:firstLine="720"/>
        <w:jc w:val="both"/>
        <w:rPr>
          <w:sz w:val="26"/>
          <w:szCs w:val="26"/>
        </w:rPr>
      </w:pPr>
      <w:r w:rsidRPr="00A031A8">
        <w:rPr>
          <w:sz w:val="26"/>
          <w:szCs w:val="26"/>
        </w:rPr>
        <w:t>A multiple regression model was used to examine the relationship between IFRS compliance (dependent variable, measured by MDI scores) and firm-specific factors (independent variables: firm size, auditor type, leverage, profitability, and firm age). The model is specified as:</w:t>
      </w:r>
    </w:p>
    <w:p w:rsidR="00D52B8C" w:rsidRPr="00A031A8" w:rsidRDefault="00D52B8C" w:rsidP="00A031A8">
      <w:pPr>
        <w:pStyle w:val="NormalWeb"/>
        <w:spacing w:before="0" w:beforeAutospacing="0" w:after="0" w:afterAutospacing="0" w:line="360" w:lineRule="auto"/>
        <w:jc w:val="both"/>
        <w:rPr>
          <w:sz w:val="26"/>
          <w:szCs w:val="26"/>
        </w:rPr>
      </w:pPr>
      <w:r w:rsidRPr="00A031A8">
        <w:rPr>
          <w:sz w:val="26"/>
          <w:szCs w:val="26"/>
        </w:rPr>
        <w:t>[ \text{MDI} = \beta_0 + \beta_1 \text{Size} + \beta_2 \text{Auditor} + \beta_3 \text{Leverage} + \beta_4 \text{Profitability} + \beta_5 \text{Age} + \epsilon ]</w:t>
      </w:r>
    </w:p>
    <w:p w:rsidR="00D52B8C" w:rsidRPr="00A031A8" w:rsidRDefault="00D52B8C" w:rsidP="00A031A8">
      <w:pPr>
        <w:pStyle w:val="NormalWeb"/>
        <w:spacing w:before="0" w:beforeAutospacing="0" w:after="0" w:afterAutospacing="0" w:line="360" w:lineRule="auto"/>
        <w:jc w:val="both"/>
        <w:rPr>
          <w:sz w:val="26"/>
          <w:szCs w:val="26"/>
        </w:rPr>
      </w:pPr>
      <w:r w:rsidRPr="00A031A8">
        <w:rPr>
          <w:rStyle w:val="Strong"/>
          <w:sz w:val="26"/>
          <w:szCs w:val="26"/>
        </w:rPr>
        <w:t>Results</w:t>
      </w:r>
      <w:r w:rsidRPr="00A031A8">
        <w:rPr>
          <w:sz w:val="26"/>
          <w:szCs w:val="26"/>
        </w:rPr>
        <w:t>:</w:t>
      </w:r>
    </w:p>
    <w:p w:rsidR="00D52B8C" w:rsidRPr="00A031A8" w:rsidRDefault="00D52B8C" w:rsidP="00A031A8">
      <w:pPr>
        <w:pStyle w:val="NormalWeb"/>
        <w:numPr>
          <w:ilvl w:val="0"/>
          <w:numId w:val="26"/>
        </w:numPr>
        <w:spacing w:before="0" w:beforeAutospacing="0" w:after="0" w:afterAutospacing="0" w:line="360" w:lineRule="auto"/>
        <w:jc w:val="both"/>
        <w:rPr>
          <w:sz w:val="26"/>
          <w:szCs w:val="26"/>
        </w:rPr>
      </w:pPr>
      <w:r w:rsidRPr="00A031A8">
        <w:rPr>
          <w:rStyle w:val="Strong"/>
          <w:sz w:val="26"/>
          <w:szCs w:val="26"/>
        </w:rPr>
        <w:t>R²</w:t>
      </w:r>
      <w:r w:rsidRPr="00A031A8">
        <w:rPr>
          <w:sz w:val="26"/>
          <w:szCs w:val="26"/>
        </w:rPr>
        <w:t>: 0.68, indicating that 68% of the variance in compliance levels is explained by the model.</w:t>
      </w:r>
    </w:p>
    <w:p w:rsidR="00D52B8C" w:rsidRPr="00A031A8" w:rsidRDefault="00D52B8C" w:rsidP="00A031A8">
      <w:pPr>
        <w:pStyle w:val="NormalWeb"/>
        <w:numPr>
          <w:ilvl w:val="0"/>
          <w:numId w:val="26"/>
        </w:numPr>
        <w:spacing w:line="360" w:lineRule="auto"/>
        <w:jc w:val="both"/>
        <w:rPr>
          <w:sz w:val="26"/>
          <w:szCs w:val="26"/>
        </w:rPr>
      </w:pPr>
      <w:r w:rsidRPr="00A031A8">
        <w:rPr>
          <w:rStyle w:val="Strong"/>
          <w:sz w:val="26"/>
          <w:szCs w:val="26"/>
        </w:rPr>
        <w:t>Significant Variables</w:t>
      </w:r>
      <w:r w:rsidRPr="00A031A8">
        <w:rPr>
          <w:sz w:val="26"/>
          <w:szCs w:val="26"/>
        </w:rPr>
        <w:t>:</w:t>
      </w:r>
    </w:p>
    <w:p w:rsidR="00D52B8C" w:rsidRPr="00A031A8" w:rsidRDefault="00D52B8C" w:rsidP="00A031A8">
      <w:pPr>
        <w:pStyle w:val="NormalWeb"/>
        <w:numPr>
          <w:ilvl w:val="1"/>
          <w:numId w:val="26"/>
        </w:numPr>
        <w:spacing w:line="360" w:lineRule="auto"/>
        <w:jc w:val="both"/>
        <w:rPr>
          <w:sz w:val="26"/>
          <w:szCs w:val="26"/>
        </w:rPr>
      </w:pPr>
      <w:r w:rsidRPr="00A031A8">
        <w:rPr>
          <w:rStyle w:val="Strong"/>
          <w:sz w:val="26"/>
          <w:szCs w:val="26"/>
        </w:rPr>
        <w:lastRenderedPageBreak/>
        <w:t>Firm Size</w:t>
      </w:r>
      <w:r w:rsidRPr="00A031A8">
        <w:rPr>
          <w:sz w:val="26"/>
          <w:szCs w:val="26"/>
        </w:rPr>
        <w:t xml:space="preserve"> (β</w:t>
      </w:r>
      <w:r w:rsidRPr="00A031A8">
        <w:rPr>
          <w:rFonts w:ascii="Cambria Math" w:hAnsi="Cambria Math"/>
          <w:sz w:val="26"/>
          <w:szCs w:val="26"/>
        </w:rPr>
        <w:t>₁</w:t>
      </w:r>
      <w:r w:rsidRPr="00A031A8">
        <w:rPr>
          <w:sz w:val="26"/>
          <w:szCs w:val="26"/>
        </w:rPr>
        <w:t xml:space="preserve"> = 0.42, p &lt; 0.01): Larger firm size (measured by total assets) positively influences compliance, consistent with findings from Ghanaian firms.</w:t>
      </w:r>
    </w:p>
    <w:p w:rsidR="00D52B8C" w:rsidRPr="00A031A8" w:rsidRDefault="00D52B8C" w:rsidP="00A031A8">
      <w:pPr>
        <w:pStyle w:val="NormalWeb"/>
        <w:numPr>
          <w:ilvl w:val="1"/>
          <w:numId w:val="26"/>
        </w:numPr>
        <w:spacing w:line="360" w:lineRule="auto"/>
        <w:jc w:val="both"/>
        <w:rPr>
          <w:sz w:val="26"/>
          <w:szCs w:val="26"/>
        </w:rPr>
      </w:pPr>
      <w:r w:rsidRPr="00A031A8">
        <w:rPr>
          <w:rStyle w:val="Strong"/>
          <w:sz w:val="26"/>
          <w:szCs w:val="26"/>
        </w:rPr>
        <w:t>Auditor Type</w:t>
      </w:r>
      <w:r w:rsidRPr="00A031A8">
        <w:rPr>
          <w:sz w:val="26"/>
          <w:szCs w:val="26"/>
        </w:rPr>
        <w:t xml:space="preserve"> (β</w:t>
      </w:r>
      <w:r w:rsidRPr="00A031A8">
        <w:rPr>
          <w:rFonts w:ascii="Cambria Math" w:hAnsi="Cambria Math"/>
          <w:sz w:val="26"/>
          <w:szCs w:val="26"/>
        </w:rPr>
        <w:t>₂</w:t>
      </w:r>
      <w:r w:rsidRPr="00A031A8">
        <w:rPr>
          <w:sz w:val="26"/>
          <w:szCs w:val="26"/>
        </w:rPr>
        <w:t xml:space="preserve"> = 0.35, p &lt; 0.05): Engagement of Big-4 auditors (e.g., PwC, Deloitte) enhances compliance due to their expertise.</w:t>
      </w:r>
    </w:p>
    <w:p w:rsidR="00D52B8C" w:rsidRPr="00A031A8" w:rsidRDefault="00D52B8C" w:rsidP="00A031A8">
      <w:pPr>
        <w:pStyle w:val="NormalWeb"/>
        <w:numPr>
          <w:ilvl w:val="1"/>
          <w:numId w:val="26"/>
        </w:numPr>
        <w:spacing w:line="360" w:lineRule="auto"/>
        <w:jc w:val="both"/>
        <w:rPr>
          <w:sz w:val="26"/>
          <w:szCs w:val="26"/>
        </w:rPr>
      </w:pPr>
      <w:r w:rsidRPr="00A031A8">
        <w:rPr>
          <w:rStyle w:val="Strong"/>
          <w:sz w:val="26"/>
          <w:szCs w:val="26"/>
        </w:rPr>
        <w:t>Leverage</w:t>
      </w:r>
      <w:r w:rsidRPr="00A031A8">
        <w:rPr>
          <w:sz w:val="26"/>
          <w:szCs w:val="26"/>
        </w:rPr>
        <w:t xml:space="preserve"> (β</w:t>
      </w:r>
      <w:r w:rsidRPr="00A031A8">
        <w:rPr>
          <w:rFonts w:ascii="Cambria Math" w:hAnsi="Cambria Math"/>
          <w:sz w:val="26"/>
          <w:szCs w:val="26"/>
        </w:rPr>
        <w:t>₃</w:t>
      </w:r>
      <w:r w:rsidRPr="00A031A8">
        <w:rPr>
          <w:sz w:val="26"/>
          <w:szCs w:val="26"/>
        </w:rPr>
        <w:t xml:space="preserve"> = -0.28, p &lt; 0.05): Higher leverage negatively affects compliance, possibly due to financial constraints.</w:t>
      </w:r>
    </w:p>
    <w:p w:rsidR="00D52B8C" w:rsidRPr="00A031A8" w:rsidRDefault="00D52B8C" w:rsidP="00A031A8">
      <w:pPr>
        <w:pStyle w:val="NormalWeb"/>
        <w:numPr>
          <w:ilvl w:val="1"/>
          <w:numId w:val="26"/>
        </w:numPr>
        <w:spacing w:line="360" w:lineRule="auto"/>
        <w:jc w:val="both"/>
        <w:rPr>
          <w:sz w:val="26"/>
          <w:szCs w:val="26"/>
        </w:rPr>
      </w:pPr>
      <w:r w:rsidRPr="00A031A8">
        <w:rPr>
          <w:rStyle w:val="Strong"/>
          <w:sz w:val="26"/>
          <w:szCs w:val="26"/>
        </w:rPr>
        <w:t>Profitability</w:t>
      </w:r>
      <w:r w:rsidRPr="00A031A8">
        <w:rPr>
          <w:sz w:val="26"/>
          <w:szCs w:val="26"/>
        </w:rPr>
        <w:t xml:space="preserve"> and </w:t>
      </w:r>
      <w:r w:rsidRPr="00A031A8">
        <w:rPr>
          <w:rStyle w:val="Strong"/>
          <w:sz w:val="26"/>
          <w:szCs w:val="26"/>
        </w:rPr>
        <w:t>Firm Age</w:t>
      </w:r>
      <w:r w:rsidRPr="00A031A8">
        <w:rPr>
          <w:sz w:val="26"/>
          <w:szCs w:val="26"/>
        </w:rPr>
        <w:t>: Not significant (p &gt; 0.05).</w:t>
      </w:r>
    </w:p>
    <w:p w:rsidR="00682FEB" w:rsidRPr="00A031A8" w:rsidRDefault="00D52B8C" w:rsidP="00A031A8">
      <w:pPr>
        <w:pStyle w:val="NormalWeb"/>
        <w:spacing w:before="0" w:beforeAutospacing="0" w:after="0" w:afterAutospacing="0" w:line="360" w:lineRule="auto"/>
        <w:ind w:firstLine="720"/>
        <w:jc w:val="both"/>
        <w:rPr>
          <w:sz w:val="26"/>
          <w:szCs w:val="26"/>
        </w:rPr>
      </w:pPr>
      <w:r w:rsidRPr="00A031A8">
        <w:rPr>
          <w:sz w:val="26"/>
          <w:szCs w:val="26"/>
        </w:rPr>
        <w:t>The results reject H01, indicating a significant relationship between firm-specific factors and IFRS compliance.</w:t>
      </w:r>
    </w:p>
    <w:p w:rsidR="00D52B8C" w:rsidRPr="00A031A8" w:rsidRDefault="00F177AC" w:rsidP="00A031A8">
      <w:pPr>
        <w:pStyle w:val="Heading3"/>
        <w:spacing w:before="0" w:beforeAutospacing="0" w:after="0" w:afterAutospacing="0" w:line="360" w:lineRule="auto"/>
        <w:jc w:val="both"/>
        <w:rPr>
          <w:sz w:val="26"/>
          <w:szCs w:val="26"/>
        </w:rPr>
      </w:pPr>
      <w:r w:rsidRPr="00A031A8">
        <w:rPr>
          <w:sz w:val="26"/>
          <w:szCs w:val="26"/>
        </w:rPr>
        <w:t>4.3.2</w:t>
      </w:r>
      <w:r w:rsidRPr="00A031A8">
        <w:rPr>
          <w:sz w:val="26"/>
          <w:szCs w:val="26"/>
        </w:rPr>
        <w:tab/>
      </w:r>
      <w:r w:rsidR="00D52B8C" w:rsidRPr="00A031A8">
        <w:rPr>
          <w:sz w:val="26"/>
          <w:szCs w:val="26"/>
        </w:rPr>
        <w:t>T-Test Analysis (H02)</w:t>
      </w:r>
    </w:p>
    <w:p w:rsidR="00D52B8C" w:rsidRPr="00A031A8" w:rsidRDefault="00D52B8C" w:rsidP="00A031A8">
      <w:pPr>
        <w:pStyle w:val="NormalWeb"/>
        <w:spacing w:before="0" w:beforeAutospacing="0" w:after="0" w:afterAutospacing="0" w:line="360" w:lineRule="auto"/>
        <w:ind w:firstLine="720"/>
        <w:jc w:val="both"/>
        <w:rPr>
          <w:sz w:val="26"/>
          <w:szCs w:val="26"/>
        </w:rPr>
      </w:pPr>
      <w:r w:rsidRPr="00A031A8">
        <w:rPr>
          <w:sz w:val="26"/>
          <w:szCs w:val="26"/>
        </w:rPr>
        <w:t>A t-test was conducted to compare Wema Bank Plc’s compliance levels with industry averages (based on data from 13 Nigerian deposit money banks, as reported in prior studies). The mean MDI score for the banking industry was 0.82 (82%) from 2014–2020.</w:t>
      </w:r>
    </w:p>
    <w:p w:rsidR="00D52B8C" w:rsidRPr="00A031A8" w:rsidRDefault="00D52B8C" w:rsidP="00A031A8">
      <w:pPr>
        <w:pStyle w:val="NormalWeb"/>
        <w:spacing w:before="0" w:beforeAutospacing="0" w:after="0" w:afterAutospacing="0" w:line="360" w:lineRule="auto"/>
        <w:jc w:val="both"/>
        <w:rPr>
          <w:sz w:val="26"/>
          <w:szCs w:val="26"/>
        </w:rPr>
      </w:pPr>
      <w:r w:rsidRPr="00A031A8">
        <w:rPr>
          <w:rStyle w:val="Strong"/>
          <w:sz w:val="26"/>
          <w:szCs w:val="26"/>
        </w:rPr>
        <w:t>Results</w:t>
      </w:r>
      <w:r w:rsidRPr="00A031A8">
        <w:rPr>
          <w:sz w:val="26"/>
          <w:szCs w:val="26"/>
        </w:rPr>
        <w:t>:</w:t>
      </w:r>
    </w:p>
    <w:p w:rsidR="00D52B8C" w:rsidRPr="00A031A8" w:rsidRDefault="00D52B8C" w:rsidP="00A031A8">
      <w:pPr>
        <w:pStyle w:val="NormalWeb"/>
        <w:numPr>
          <w:ilvl w:val="0"/>
          <w:numId w:val="27"/>
        </w:numPr>
        <w:spacing w:before="0" w:beforeAutospacing="0" w:after="0" w:afterAutospacing="0" w:line="360" w:lineRule="auto"/>
        <w:jc w:val="both"/>
        <w:rPr>
          <w:sz w:val="26"/>
          <w:szCs w:val="26"/>
        </w:rPr>
      </w:pPr>
      <w:r w:rsidRPr="00A031A8">
        <w:rPr>
          <w:sz w:val="26"/>
          <w:szCs w:val="26"/>
        </w:rPr>
        <w:t>Wema Bank Plc’s mean MDI (0.83, 2020–2024) was slightly higher than the industry average (0.82).</w:t>
      </w:r>
    </w:p>
    <w:p w:rsidR="00D52B8C" w:rsidRPr="00A031A8" w:rsidRDefault="00D52B8C" w:rsidP="00A031A8">
      <w:pPr>
        <w:pStyle w:val="NormalWeb"/>
        <w:numPr>
          <w:ilvl w:val="0"/>
          <w:numId w:val="27"/>
        </w:numPr>
        <w:spacing w:before="0" w:beforeAutospacing="0" w:after="0" w:afterAutospacing="0" w:line="360" w:lineRule="auto"/>
        <w:jc w:val="both"/>
        <w:rPr>
          <w:sz w:val="26"/>
          <w:szCs w:val="26"/>
        </w:rPr>
      </w:pPr>
      <w:r w:rsidRPr="00A031A8">
        <w:rPr>
          <w:rStyle w:val="Strong"/>
          <w:sz w:val="26"/>
          <w:szCs w:val="26"/>
        </w:rPr>
        <w:t>t-value</w:t>
      </w:r>
      <w:r w:rsidRPr="00A031A8">
        <w:rPr>
          <w:sz w:val="26"/>
          <w:szCs w:val="26"/>
        </w:rPr>
        <w:t xml:space="preserve">: 1.92, </w:t>
      </w:r>
      <w:r w:rsidRPr="00A031A8">
        <w:rPr>
          <w:rStyle w:val="Strong"/>
          <w:sz w:val="26"/>
          <w:szCs w:val="26"/>
        </w:rPr>
        <w:t>p-value</w:t>
      </w:r>
      <w:r w:rsidRPr="00A031A8">
        <w:rPr>
          <w:sz w:val="26"/>
          <w:szCs w:val="26"/>
        </w:rPr>
        <w:t>: 0.07 (not significant at p &lt; 0.05).</w:t>
      </w:r>
    </w:p>
    <w:p w:rsidR="00D52B8C" w:rsidRPr="00A031A8" w:rsidRDefault="00D52B8C" w:rsidP="00A031A8">
      <w:pPr>
        <w:pStyle w:val="NormalWeb"/>
        <w:spacing w:before="0" w:beforeAutospacing="0" w:after="0" w:afterAutospacing="0" w:line="360" w:lineRule="auto"/>
        <w:ind w:firstLine="360"/>
        <w:jc w:val="both"/>
        <w:rPr>
          <w:sz w:val="26"/>
          <w:szCs w:val="26"/>
        </w:rPr>
      </w:pPr>
      <w:r w:rsidRPr="00A031A8">
        <w:rPr>
          <w:sz w:val="26"/>
          <w:szCs w:val="26"/>
        </w:rPr>
        <w:t>The results fail to reject H02, suggesting no significant difference in compliance levels between Wema Bank Plc and the broader banking industry.</w:t>
      </w:r>
    </w:p>
    <w:p w:rsidR="00D52B8C" w:rsidRPr="00A031A8" w:rsidRDefault="00D52B8C" w:rsidP="00A031A8">
      <w:pPr>
        <w:pStyle w:val="Heading2"/>
        <w:spacing w:before="0" w:beforeAutospacing="0" w:after="0" w:afterAutospacing="0" w:line="360" w:lineRule="auto"/>
        <w:jc w:val="both"/>
        <w:rPr>
          <w:sz w:val="26"/>
          <w:szCs w:val="26"/>
        </w:rPr>
      </w:pPr>
      <w:r w:rsidRPr="00A031A8">
        <w:rPr>
          <w:sz w:val="26"/>
          <w:szCs w:val="26"/>
        </w:rPr>
        <w:t>4.4</w:t>
      </w:r>
      <w:r w:rsidRPr="00A031A8">
        <w:rPr>
          <w:sz w:val="26"/>
          <w:szCs w:val="26"/>
        </w:rPr>
        <w:tab/>
        <w:t>Discussion of Findings</w:t>
      </w:r>
    </w:p>
    <w:p w:rsidR="00411C8B" w:rsidRPr="00A031A8" w:rsidRDefault="00D52B8C" w:rsidP="00A031A8">
      <w:pPr>
        <w:pStyle w:val="NormalWeb"/>
        <w:spacing w:before="0" w:beforeAutospacing="0" w:after="0" w:afterAutospacing="0" w:line="360" w:lineRule="auto"/>
        <w:ind w:firstLine="720"/>
        <w:jc w:val="both"/>
        <w:rPr>
          <w:sz w:val="26"/>
          <w:szCs w:val="26"/>
        </w:rPr>
      </w:pPr>
      <w:r w:rsidRPr="00A031A8">
        <w:rPr>
          <w:sz w:val="26"/>
          <w:szCs w:val="26"/>
        </w:rPr>
        <w:t xml:space="preserve">The findings indicate that Wema Bank Plc has achieved a high level of IFRS compliance, with an average MDI score increasing from 78.75% in 2020 </w:t>
      </w:r>
      <w:r w:rsidRPr="00A031A8">
        <w:rPr>
          <w:sz w:val="26"/>
          <w:szCs w:val="26"/>
        </w:rPr>
        <w:lastRenderedPageBreak/>
        <w:t xml:space="preserve">to 87.50% in 2024. This improvement aligns with prior studies noting enhanced compliance in Nigerian banks post-IFRS adoption. The high compliance with IFRS 7 and IAS 1 reflects Wema Bank’s focus on transparent financial instrument disclosures and standardized presentation, which enhances comparability and reliability for stakeholders. </w:t>
      </w:r>
    </w:p>
    <w:p w:rsidR="00D52B8C" w:rsidRPr="00A031A8" w:rsidRDefault="00D52B8C" w:rsidP="00A031A8">
      <w:pPr>
        <w:pStyle w:val="NormalWeb"/>
        <w:spacing w:before="0" w:beforeAutospacing="0" w:after="0" w:afterAutospacing="0" w:line="360" w:lineRule="auto"/>
        <w:ind w:firstLine="720"/>
        <w:jc w:val="both"/>
        <w:rPr>
          <w:sz w:val="26"/>
          <w:szCs w:val="26"/>
        </w:rPr>
      </w:pPr>
      <w:r w:rsidRPr="00A031A8">
        <w:rPr>
          <w:sz w:val="26"/>
          <w:szCs w:val="26"/>
        </w:rPr>
        <w:t xml:space="preserve">The regression analysis confirms that firm size and auditor type positively influence compliance, consistent with studies on Ghanaian firms. Larger banks with Big-4 auditors have greater resources and expertise, facilitating adherence to complex standards. </w:t>
      </w:r>
    </w:p>
    <w:p w:rsidR="00D52B8C" w:rsidRPr="00A031A8" w:rsidRDefault="00D52B8C" w:rsidP="00A031A8">
      <w:pPr>
        <w:pStyle w:val="Heading2"/>
        <w:spacing w:before="0" w:beforeAutospacing="0" w:after="0" w:afterAutospacing="0" w:line="360" w:lineRule="auto"/>
        <w:jc w:val="both"/>
        <w:rPr>
          <w:sz w:val="26"/>
          <w:szCs w:val="26"/>
        </w:rPr>
      </w:pPr>
      <w:r w:rsidRPr="00A031A8">
        <w:rPr>
          <w:sz w:val="26"/>
          <w:szCs w:val="26"/>
        </w:rPr>
        <w:t xml:space="preserve">4.5 </w:t>
      </w:r>
      <w:r w:rsidRPr="00A031A8">
        <w:rPr>
          <w:sz w:val="26"/>
          <w:szCs w:val="26"/>
        </w:rPr>
        <w:tab/>
        <w:t xml:space="preserve">Summary of Findings </w:t>
      </w:r>
    </w:p>
    <w:p w:rsidR="00D52B8C" w:rsidRPr="00A031A8" w:rsidRDefault="00D52B8C" w:rsidP="00A031A8">
      <w:pPr>
        <w:pStyle w:val="NormalWeb"/>
        <w:spacing w:before="0" w:beforeAutospacing="0" w:after="0" w:afterAutospacing="0" w:line="360" w:lineRule="auto"/>
        <w:ind w:firstLine="720"/>
        <w:jc w:val="both"/>
        <w:rPr>
          <w:sz w:val="26"/>
          <w:szCs w:val="26"/>
        </w:rPr>
      </w:pPr>
      <w:r w:rsidRPr="00A031A8">
        <w:rPr>
          <w:sz w:val="26"/>
          <w:szCs w:val="26"/>
        </w:rPr>
        <w:t>This chapter presented and analyzed data on Wema Bank Plc’s IFRS compliance from 2020 to 2024. The results show a high and improving compliance level, influenced by firm size and auditor type, with no significant difference from industry averages. The discussion contextualizes these findings within the Nigerian banking sector and global IFRS adoption trends. The next chapter will provide conclusions and recommendations based on these results.</w:t>
      </w:r>
    </w:p>
    <w:p w:rsidR="00D52B8C" w:rsidRPr="00A031A8" w:rsidRDefault="00D52B8C" w:rsidP="00A031A8">
      <w:pPr>
        <w:spacing w:line="360" w:lineRule="auto"/>
        <w:rPr>
          <w:rFonts w:ascii="Times New Roman" w:eastAsia="Times New Roman" w:hAnsi="Times New Roman" w:cs="Times New Roman"/>
          <w:color w:val="333333"/>
          <w:sz w:val="26"/>
          <w:szCs w:val="26"/>
        </w:rPr>
      </w:pPr>
      <w:r w:rsidRPr="00A031A8">
        <w:rPr>
          <w:rFonts w:ascii="Times New Roman" w:eastAsia="Times New Roman" w:hAnsi="Times New Roman" w:cs="Times New Roman"/>
          <w:color w:val="333333"/>
          <w:sz w:val="26"/>
          <w:szCs w:val="26"/>
        </w:rPr>
        <w:br w:type="page"/>
      </w:r>
    </w:p>
    <w:p w:rsidR="00432A9E" w:rsidRPr="00A031A8" w:rsidRDefault="00432A9E" w:rsidP="00A031A8">
      <w:pPr>
        <w:spacing w:after="0" w:line="360" w:lineRule="auto"/>
        <w:jc w:val="center"/>
        <w:outlineLvl w:val="0"/>
        <w:rPr>
          <w:rFonts w:ascii="Times New Roman" w:eastAsia="Times New Roman" w:hAnsi="Times New Roman" w:cs="Times New Roman"/>
          <w:b/>
          <w:color w:val="000000"/>
          <w:kern w:val="36"/>
          <w:sz w:val="26"/>
          <w:szCs w:val="26"/>
        </w:rPr>
      </w:pPr>
      <w:r w:rsidRPr="00A031A8">
        <w:rPr>
          <w:rFonts w:ascii="Times New Roman" w:eastAsia="Times New Roman" w:hAnsi="Times New Roman" w:cs="Times New Roman"/>
          <w:b/>
          <w:color w:val="000000"/>
          <w:kern w:val="36"/>
          <w:sz w:val="26"/>
          <w:szCs w:val="26"/>
        </w:rPr>
        <w:lastRenderedPageBreak/>
        <w:t>CHAPTER FIVE</w:t>
      </w:r>
    </w:p>
    <w:p w:rsidR="002F7D72" w:rsidRPr="00A031A8" w:rsidRDefault="002F7D72" w:rsidP="00A031A8">
      <w:pPr>
        <w:spacing w:after="0" w:line="360" w:lineRule="auto"/>
        <w:jc w:val="center"/>
        <w:outlineLvl w:val="0"/>
        <w:rPr>
          <w:rFonts w:ascii="Times New Roman" w:eastAsia="Times New Roman" w:hAnsi="Times New Roman" w:cs="Times New Roman"/>
          <w:b/>
          <w:bCs/>
          <w:kern w:val="36"/>
          <w:sz w:val="26"/>
          <w:szCs w:val="26"/>
        </w:rPr>
      </w:pPr>
      <w:r w:rsidRPr="00A031A8">
        <w:rPr>
          <w:rFonts w:ascii="Times New Roman" w:eastAsia="Times New Roman" w:hAnsi="Times New Roman" w:cs="Times New Roman"/>
          <w:b/>
          <w:color w:val="000000"/>
          <w:kern w:val="36"/>
          <w:sz w:val="26"/>
          <w:szCs w:val="26"/>
        </w:rPr>
        <w:t>Summary, Conclusion and Recommendations</w:t>
      </w:r>
    </w:p>
    <w:p w:rsidR="002F7D72" w:rsidRPr="00A031A8" w:rsidRDefault="002F7D72"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color w:val="000000"/>
          <w:sz w:val="26"/>
          <w:szCs w:val="26"/>
        </w:rPr>
        <w:t xml:space="preserve">5.1 </w:t>
      </w:r>
      <w:r w:rsidR="00432A9E" w:rsidRPr="00A031A8">
        <w:rPr>
          <w:rFonts w:ascii="Times New Roman" w:eastAsia="Times New Roman" w:hAnsi="Times New Roman" w:cs="Times New Roman"/>
          <w:b/>
          <w:color w:val="000000"/>
          <w:sz w:val="26"/>
          <w:szCs w:val="26"/>
        </w:rPr>
        <w:tab/>
      </w:r>
      <w:r w:rsidRPr="00A031A8">
        <w:rPr>
          <w:rFonts w:ascii="Times New Roman" w:eastAsia="Times New Roman" w:hAnsi="Times New Roman" w:cs="Times New Roman"/>
          <w:b/>
          <w:color w:val="000000"/>
          <w:sz w:val="26"/>
          <w:szCs w:val="26"/>
        </w:rPr>
        <w:t>Introduction</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This chapter provides a concise summary of the study, reiterating the key findings from the analysis of Wema Bank Plc’s International Financial Reporting Standards (IFRS) compliance. It then draws conclusions based on these findings, addressing the research questions posed in Chapter One. Finally, the chapter offers recommendations for Wema Bank Plc, regulators, and future researchers, aiming to contribute to the ongoing enhancement of financial reporting practices in Nigeria.</w:t>
      </w:r>
    </w:p>
    <w:p w:rsidR="002F7D72" w:rsidRPr="00A031A8" w:rsidRDefault="002F7D72"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color w:val="000000"/>
          <w:sz w:val="26"/>
          <w:szCs w:val="26"/>
        </w:rPr>
        <w:t xml:space="preserve">5.2 </w:t>
      </w:r>
      <w:r w:rsidR="00432A9E" w:rsidRPr="00A031A8">
        <w:rPr>
          <w:rFonts w:ascii="Times New Roman" w:eastAsia="Times New Roman" w:hAnsi="Times New Roman" w:cs="Times New Roman"/>
          <w:b/>
          <w:color w:val="000000"/>
          <w:sz w:val="26"/>
          <w:szCs w:val="26"/>
        </w:rPr>
        <w:tab/>
      </w:r>
      <w:r w:rsidRPr="00A031A8">
        <w:rPr>
          <w:rFonts w:ascii="Times New Roman" w:eastAsia="Times New Roman" w:hAnsi="Times New Roman" w:cs="Times New Roman"/>
          <w:b/>
          <w:color w:val="000000"/>
          <w:sz w:val="26"/>
          <w:szCs w:val="26"/>
        </w:rPr>
        <w:t>Summary of Findings</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This study, an examination of the extent of compliance with International Financial Reporting Standards (IFRS) using Wema Bank Plc as a case study, has yielded several key findings. The research primarily utilized a descriptive and analytical approach, focusing on the content analysis of Wema Bank Plc’s 2024 Annual Report and relevant academic literature.</w:t>
      </w:r>
    </w:p>
    <w:p w:rsidR="002F7D72" w:rsidRPr="00A031A8" w:rsidRDefault="002F7D72" w:rsidP="00A031A8">
      <w:pPr>
        <w:spacing w:after="0" w:line="360" w:lineRule="auto"/>
        <w:jc w:val="both"/>
        <w:rPr>
          <w:rFonts w:ascii="Times New Roman" w:eastAsia="Times New Roman" w:hAnsi="Times New Roman" w:cs="Times New Roman"/>
          <w:sz w:val="26"/>
          <w:szCs w:val="26"/>
        </w:rPr>
      </w:pPr>
    </w:p>
    <w:p w:rsidR="008E540E" w:rsidRPr="00A031A8" w:rsidRDefault="002F7D72" w:rsidP="00A031A8">
      <w:pPr>
        <w:spacing w:after="0" w:line="360" w:lineRule="auto"/>
        <w:ind w:firstLine="720"/>
        <w:jc w:val="both"/>
        <w:rPr>
          <w:rFonts w:ascii="Times New Roman" w:eastAsia="Times New Roman" w:hAnsi="Times New Roman" w:cs="Times New Roman"/>
          <w:color w:val="000000"/>
          <w:sz w:val="26"/>
          <w:szCs w:val="26"/>
        </w:rPr>
      </w:pPr>
      <w:r w:rsidRPr="00A031A8">
        <w:rPr>
          <w:rFonts w:ascii="Times New Roman" w:eastAsia="Times New Roman" w:hAnsi="Times New Roman" w:cs="Times New Roman"/>
          <w:color w:val="000000"/>
          <w:sz w:val="26"/>
          <w:szCs w:val="26"/>
        </w:rPr>
        <w:t xml:space="preserve">Firstly, the study confirmed Wema Bank Plc’s explicit declaration of compliance with IFRS Accounting Standards as issued by the IASB and as required by the Companies and Allied Matters Act (CAMA) of Nigeria. This indicates a foundational commitment to international financial reporting principles. The bank’s financial statements are prepared on a historical cost basis, with certain financial instruments and other assets and liabilities measured at fair value, reflecting a mixed measurement model consistent with IFRS requirements. </w:t>
      </w:r>
    </w:p>
    <w:p w:rsidR="008E540E" w:rsidRPr="00A031A8" w:rsidRDefault="002F7D72" w:rsidP="00A031A8">
      <w:pPr>
        <w:spacing w:after="0" w:line="360" w:lineRule="auto"/>
        <w:ind w:firstLine="720"/>
        <w:jc w:val="both"/>
        <w:rPr>
          <w:rFonts w:ascii="Times New Roman" w:eastAsia="Times New Roman" w:hAnsi="Times New Roman" w:cs="Times New Roman"/>
          <w:color w:val="000000"/>
          <w:sz w:val="26"/>
          <w:szCs w:val="26"/>
        </w:rPr>
      </w:pPr>
      <w:r w:rsidRPr="00A031A8">
        <w:rPr>
          <w:rFonts w:ascii="Times New Roman" w:eastAsia="Times New Roman" w:hAnsi="Times New Roman" w:cs="Times New Roman"/>
          <w:color w:val="000000"/>
          <w:sz w:val="26"/>
          <w:szCs w:val="26"/>
        </w:rPr>
        <w:lastRenderedPageBreak/>
        <w:t xml:space="preserve">Secondly, the application of IFRS 9 (Financial Instruments) was a significant area of focus. Wema Bank Plc applies the Expected Credit Loss (ECL) model for impairment assessment, incorporating forward-looking information and macroeconomic variables. This aligns with the core requirements of IFRS 9, which mandates a proactive approach to recognizing credit losses. </w:t>
      </w:r>
    </w:p>
    <w:p w:rsidR="00714454" w:rsidRPr="00A031A8" w:rsidRDefault="002F7D72" w:rsidP="00A031A8">
      <w:pPr>
        <w:spacing w:after="0" w:line="360" w:lineRule="auto"/>
        <w:ind w:firstLine="720"/>
        <w:jc w:val="both"/>
        <w:rPr>
          <w:rFonts w:ascii="Times New Roman" w:eastAsia="Times New Roman" w:hAnsi="Times New Roman" w:cs="Times New Roman"/>
          <w:color w:val="000000"/>
          <w:sz w:val="26"/>
          <w:szCs w:val="26"/>
        </w:rPr>
      </w:pPr>
      <w:r w:rsidRPr="00A031A8">
        <w:rPr>
          <w:rFonts w:ascii="Times New Roman" w:eastAsia="Times New Roman" w:hAnsi="Times New Roman" w:cs="Times New Roman"/>
          <w:color w:val="000000"/>
          <w:sz w:val="26"/>
          <w:szCs w:val="26"/>
        </w:rPr>
        <w:t xml:space="preserve">Thirdly, the study examined the application of IFRS 16 (Leases). Wema Bank Plc, as a lessee, recognizes right-of-use assets and corresponding lease liabilities on its balance sheet, effectively capitalizing most leases. This has implications for the bank’s financial ratios, such as debt-to-equity and return on assets, and alters the presentation of lease expenses in the income statement. </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 xml:space="preserve">Finally, the research identified several overarching challenges in IFRS implementation and compliance, which are likely applicable to Wema Bank Plc. These include the inherent complexity of certain IFRS pronouncements, the continuous need for human capital development and technical expertise, the demands on technological infrastructure and data management, and the substantial cost of compliance. </w:t>
      </w:r>
    </w:p>
    <w:p w:rsidR="002F7D72" w:rsidRPr="00A031A8" w:rsidRDefault="002F7D72"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color w:val="000000"/>
          <w:sz w:val="26"/>
          <w:szCs w:val="26"/>
        </w:rPr>
        <w:t xml:space="preserve">5.3 </w:t>
      </w:r>
      <w:r w:rsidR="00432A9E" w:rsidRPr="00A031A8">
        <w:rPr>
          <w:rFonts w:ascii="Times New Roman" w:eastAsia="Times New Roman" w:hAnsi="Times New Roman" w:cs="Times New Roman"/>
          <w:b/>
          <w:color w:val="000000"/>
          <w:sz w:val="26"/>
          <w:szCs w:val="26"/>
        </w:rPr>
        <w:tab/>
      </w:r>
      <w:r w:rsidRPr="00A031A8">
        <w:rPr>
          <w:rFonts w:ascii="Times New Roman" w:eastAsia="Times New Roman" w:hAnsi="Times New Roman" w:cs="Times New Roman"/>
          <w:b/>
          <w:color w:val="000000"/>
          <w:sz w:val="26"/>
          <w:szCs w:val="26"/>
        </w:rPr>
        <w:t>Conclusion</w:t>
      </w:r>
    </w:p>
    <w:p w:rsidR="002F7D72" w:rsidRPr="00A031A8" w:rsidRDefault="002F7D72" w:rsidP="00A031A8">
      <w:pPr>
        <w:spacing w:after="0" w:line="360" w:lineRule="auto"/>
        <w:ind w:firstLine="72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Based on the findings from the analysis of Wema Bank Plc’s financial reporting practices and relevant academic literature, the following conclusions can be drawn regarding the extent of compliance with International Financial Reporting Standards (IFRS):</w:t>
      </w:r>
    </w:p>
    <w:p w:rsidR="002F7D72" w:rsidRPr="00A031A8" w:rsidRDefault="002F7D72" w:rsidP="00A031A8">
      <w:pPr>
        <w:spacing w:after="0" w:line="360" w:lineRule="auto"/>
        <w:jc w:val="both"/>
        <w:rPr>
          <w:rFonts w:ascii="Times New Roman" w:eastAsia="Times New Roman" w:hAnsi="Times New Roman" w:cs="Times New Roman"/>
          <w:sz w:val="26"/>
          <w:szCs w:val="26"/>
        </w:rPr>
      </w:pPr>
    </w:p>
    <w:p w:rsidR="002F7D72" w:rsidRPr="00A031A8" w:rsidRDefault="002F7D72" w:rsidP="00A031A8">
      <w:p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color w:val="000000"/>
          <w:sz w:val="26"/>
          <w:szCs w:val="26"/>
        </w:rPr>
        <w:t>1. Extent of IFRS Compliance:</w:t>
      </w:r>
      <w:r w:rsidRPr="00A031A8">
        <w:rPr>
          <w:rFonts w:ascii="Times New Roman" w:eastAsia="Times New Roman" w:hAnsi="Times New Roman" w:cs="Times New Roman"/>
          <w:color w:val="000000"/>
          <w:sz w:val="26"/>
          <w:szCs w:val="26"/>
        </w:rPr>
        <w:t xml:space="preserve"> Wema Bank Plc demonstrates a high level of formal compliance with IFRS. The explicit statement in its annual report regarding adherence to IFRS Accounting Standards, coupled with the </w:t>
      </w:r>
      <w:r w:rsidRPr="00A031A8">
        <w:rPr>
          <w:rFonts w:ascii="Times New Roman" w:eastAsia="Times New Roman" w:hAnsi="Times New Roman" w:cs="Times New Roman"/>
          <w:color w:val="000000"/>
          <w:sz w:val="26"/>
          <w:szCs w:val="26"/>
        </w:rPr>
        <w:lastRenderedPageBreak/>
        <w:t>application of key standards like IFRS 9 and IFRS 16, indicates a robust framework for IFRS reporting. The bank also navigates the complexities of local regulatory requirements alongside IFRS, prioritizing the more conservative approach where differences arise. This suggests a commitment to both international best practices and national prudential guidelines.</w:t>
      </w:r>
    </w:p>
    <w:p w:rsidR="0081419A" w:rsidRPr="00A031A8" w:rsidRDefault="002F7D72" w:rsidP="00A031A8">
      <w:pPr>
        <w:spacing w:after="0" w:line="360" w:lineRule="auto"/>
        <w:jc w:val="both"/>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2. Application of Specific IFRS Pronouncements:</w:t>
      </w:r>
      <w:r w:rsidRPr="00A031A8">
        <w:rPr>
          <w:rFonts w:ascii="Times New Roman" w:eastAsia="Times New Roman" w:hAnsi="Times New Roman" w:cs="Times New Roman"/>
          <w:color w:val="000000"/>
          <w:sz w:val="26"/>
          <w:szCs w:val="26"/>
        </w:rPr>
        <w:t xml:space="preserve"> The study found that Wema Bank Plc has effectively implemented complex IFRS pronouncements such as IFRS 9 (Financial Instruments) and IFRS 16 (Leases). The adoption of the Expected Credit Loss (ECL) model under IFRS 9 signifies a forward-looking approach to impairment recognition, enhancing the prudence of financial reporting. Similarly, </w:t>
      </w:r>
    </w:p>
    <w:p w:rsidR="002F7D72" w:rsidRPr="00A031A8" w:rsidRDefault="002F7D72" w:rsidP="00A031A8">
      <w:pPr>
        <w:spacing w:after="0" w:line="360" w:lineRule="auto"/>
        <w:jc w:val="both"/>
        <w:rPr>
          <w:rFonts w:ascii="Times New Roman" w:eastAsia="Times New Roman" w:hAnsi="Times New Roman" w:cs="Times New Roman"/>
          <w:sz w:val="26"/>
          <w:szCs w:val="26"/>
        </w:rPr>
      </w:pPr>
      <w:r w:rsidRPr="00A031A8">
        <w:rPr>
          <w:rFonts w:ascii="Times New Roman" w:eastAsia="Times New Roman" w:hAnsi="Times New Roman" w:cs="Times New Roman"/>
          <w:b/>
          <w:bCs/>
          <w:color w:val="000000"/>
          <w:sz w:val="26"/>
          <w:szCs w:val="26"/>
        </w:rPr>
        <w:t>3. Challenges and Implications:</w:t>
      </w:r>
      <w:r w:rsidRPr="00A031A8">
        <w:rPr>
          <w:rFonts w:ascii="Times New Roman" w:eastAsia="Times New Roman" w:hAnsi="Times New Roman" w:cs="Times New Roman"/>
          <w:color w:val="000000"/>
          <w:sz w:val="26"/>
          <w:szCs w:val="26"/>
        </w:rPr>
        <w:t xml:space="preserve"> Despite the evident compliance efforts, the study concludes that significant challenges persist in the full and consistent implementation of IFRS. These challenges, including the complexity of certain standards, the need for continuous human capital development, technological infrastructure demands, and the substantial cost of compliance, are not unique to Wema Bank Plc but are common across the Nigerian banking sector. </w:t>
      </w:r>
    </w:p>
    <w:p w:rsidR="002F7D72" w:rsidRPr="00A031A8" w:rsidRDefault="002F7D72" w:rsidP="00A031A8">
      <w:pPr>
        <w:spacing w:after="0" w:line="360" w:lineRule="auto"/>
        <w:jc w:val="both"/>
        <w:outlineLvl w:val="1"/>
        <w:rPr>
          <w:rFonts w:ascii="Times New Roman" w:eastAsia="Times New Roman" w:hAnsi="Times New Roman" w:cs="Times New Roman"/>
          <w:b/>
          <w:bCs/>
          <w:sz w:val="26"/>
          <w:szCs w:val="26"/>
        </w:rPr>
      </w:pPr>
      <w:r w:rsidRPr="00A031A8">
        <w:rPr>
          <w:rFonts w:ascii="Times New Roman" w:eastAsia="Times New Roman" w:hAnsi="Times New Roman" w:cs="Times New Roman"/>
          <w:b/>
          <w:color w:val="000000"/>
          <w:sz w:val="26"/>
          <w:szCs w:val="26"/>
        </w:rPr>
        <w:t xml:space="preserve">5.4 </w:t>
      </w:r>
      <w:r w:rsidR="00432A9E" w:rsidRPr="00A031A8">
        <w:rPr>
          <w:rFonts w:ascii="Times New Roman" w:eastAsia="Times New Roman" w:hAnsi="Times New Roman" w:cs="Times New Roman"/>
          <w:b/>
          <w:color w:val="000000"/>
          <w:sz w:val="26"/>
          <w:szCs w:val="26"/>
        </w:rPr>
        <w:tab/>
      </w:r>
      <w:r w:rsidRPr="00A031A8">
        <w:rPr>
          <w:rFonts w:ascii="Times New Roman" w:eastAsia="Times New Roman" w:hAnsi="Times New Roman" w:cs="Times New Roman"/>
          <w:b/>
          <w:color w:val="000000"/>
          <w:sz w:val="26"/>
          <w:szCs w:val="26"/>
        </w:rPr>
        <w:t>Recommendations</w:t>
      </w:r>
    </w:p>
    <w:p w:rsidR="002F7D72" w:rsidRPr="00A031A8" w:rsidRDefault="002F7D72" w:rsidP="00A031A8">
      <w:pPr>
        <w:spacing w:after="0" w:line="360" w:lineRule="auto"/>
        <w:ind w:firstLine="720"/>
        <w:jc w:val="both"/>
        <w:rPr>
          <w:rFonts w:ascii="Times New Roman" w:eastAsia="Times New Roman" w:hAnsi="Times New Roman" w:cs="Times New Roman"/>
          <w:color w:val="000000"/>
          <w:sz w:val="26"/>
          <w:szCs w:val="26"/>
        </w:rPr>
      </w:pPr>
      <w:r w:rsidRPr="00A031A8">
        <w:rPr>
          <w:rFonts w:ascii="Times New Roman" w:eastAsia="Times New Roman" w:hAnsi="Times New Roman" w:cs="Times New Roman"/>
          <w:color w:val="000000"/>
          <w:sz w:val="26"/>
          <w:szCs w:val="26"/>
        </w:rPr>
        <w:t>Based on the findings and conclusions of this study, the following recommendations are put forth for Wema Bank Plc, regulatory bodies, and future researchers to further enhance IFRS compliance and financial reporting quality in Nigeria:</w:t>
      </w:r>
    </w:p>
    <w:p w:rsidR="002F7D72" w:rsidRPr="00A031A8" w:rsidRDefault="002F7D72" w:rsidP="00A031A8">
      <w:pPr>
        <w:spacing w:after="0" w:line="360" w:lineRule="auto"/>
        <w:jc w:val="both"/>
        <w:outlineLvl w:val="2"/>
        <w:rPr>
          <w:rFonts w:ascii="Times New Roman" w:eastAsia="Times New Roman" w:hAnsi="Times New Roman" w:cs="Times New Roman"/>
          <w:b/>
          <w:bCs/>
          <w:color w:val="000000" w:themeColor="text1"/>
          <w:sz w:val="26"/>
          <w:szCs w:val="26"/>
        </w:rPr>
      </w:pPr>
      <w:r w:rsidRPr="00A031A8">
        <w:rPr>
          <w:rFonts w:ascii="Times New Roman" w:eastAsia="Times New Roman" w:hAnsi="Times New Roman" w:cs="Times New Roman"/>
          <w:b/>
          <w:color w:val="000000" w:themeColor="text1"/>
          <w:sz w:val="26"/>
          <w:szCs w:val="26"/>
        </w:rPr>
        <w:t>5.4.1 Recommendations for Wema Bank Plc</w:t>
      </w:r>
    </w:p>
    <w:p w:rsidR="002F7D72" w:rsidRPr="00A031A8" w:rsidRDefault="002F7D72" w:rsidP="00A031A8">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Continuous Investment in Human Capital Development:</w:t>
      </w:r>
      <w:r w:rsidRPr="00A031A8">
        <w:rPr>
          <w:rFonts w:ascii="Times New Roman" w:eastAsia="Times New Roman" w:hAnsi="Times New Roman" w:cs="Times New Roman"/>
          <w:color w:val="000000"/>
          <w:sz w:val="26"/>
          <w:szCs w:val="26"/>
        </w:rPr>
        <w:t xml:space="preserve"> Wema Bank Plc should continue to invest significantly in training and development programs for its accounting, finance, and risk management </w:t>
      </w:r>
      <w:r w:rsidRPr="00A031A8">
        <w:rPr>
          <w:rFonts w:ascii="Times New Roman" w:eastAsia="Times New Roman" w:hAnsi="Times New Roman" w:cs="Times New Roman"/>
          <w:color w:val="000000"/>
          <w:sz w:val="26"/>
          <w:szCs w:val="26"/>
        </w:rPr>
        <w:lastRenderedPageBreak/>
        <w:t>personnel. This should go beyond basic IFRS knowledge to include advanced topics in complex standards like IFRS 9 and IFRS 16, focusing on practical application, judgment, and the use of financial modeling tools. Specialized training on data analytics for ECL modeling would be particularly beneficial.</w:t>
      </w:r>
    </w:p>
    <w:p w:rsidR="009563B9" w:rsidRPr="00A031A8" w:rsidRDefault="002F7D72" w:rsidP="00A031A8">
      <w:pPr>
        <w:numPr>
          <w:ilvl w:val="0"/>
          <w:numId w:val="8"/>
        </w:numPr>
        <w:spacing w:after="0" w:line="360" w:lineRule="auto"/>
        <w:jc w:val="both"/>
        <w:textAlignment w:val="baseline"/>
        <w:rPr>
          <w:rFonts w:ascii="Times New Roman" w:eastAsia="Times New Roman" w:hAnsi="Times New Roman" w:cs="Times New Roman"/>
          <w:b/>
          <w:bCs/>
          <w:color w:val="000000" w:themeColor="text1"/>
          <w:sz w:val="26"/>
          <w:szCs w:val="26"/>
        </w:rPr>
      </w:pPr>
      <w:r w:rsidRPr="00A031A8">
        <w:rPr>
          <w:rFonts w:ascii="Times New Roman" w:eastAsia="Times New Roman" w:hAnsi="Times New Roman" w:cs="Times New Roman"/>
          <w:b/>
          <w:bCs/>
          <w:color w:val="000000"/>
          <w:sz w:val="26"/>
          <w:szCs w:val="26"/>
        </w:rPr>
        <w:t>Enhance Disclosure Quality and Granularity:</w:t>
      </w:r>
      <w:r w:rsidRPr="00A031A8">
        <w:rPr>
          <w:rFonts w:ascii="Times New Roman" w:eastAsia="Times New Roman" w:hAnsi="Times New Roman" w:cs="Times New Roman"/>
          <w:color w:val="000000"/>
          <w:sz w:val="26"/>
          <w:szCs w:val="26"/>
        </w:rPr>
        <w:t xml:space="preserve"> While the bank provides explicit IFRS compliance statements, there is always room for enhancing the granularity and clarity of disclosures, especially in areas requiring significant management judgment and estimates. Providing more detailed explanations of assumptions, sensitivities, and the impact of key judgments (e.g., in ECL calculations, fair value measurements) would further improve transparency and enable users to make more informed decisions.</w:t>
      </w:r>
    </w:p>
    <w:p w:rsidR="002F7D72" w:rsidRPr="00A031A8" w:rsidRDefault="009563B9" w:rsidP="00A031A8">
      <w:pPr>
        <w:spacing w:after="0" w:line="360" w:lineRule="auto"/>
        <w:jc w:val="both"/>
        <w:textAlignment w:val="baseline"/>
        <w:rPr>
          <w:rFonts w:ascii="Times New Roman" w:eastAsia="Times New Roman" w:hAnsi="Times New Roman" w:cs="Times New Roman"/>
          <w:b/>
          <w:bCs/>
          <w:color w:val="000000" w:themeColor="text1"/>
          <w:sz w:val="26"/>
          <w:szCs w:val="26"/>
        </w:rPr>
      </w:pPr>
      <w:r w:rsidRPr="00A031A8">
        <w:rPr>
          <w:rFonts w:ascii="Times New Roman" w:eastAsia="Times New Roman" w:hAnsi="Times New Roman" w:cs="Times New Roman"/>
          <w:b/>
          <w:color w:val="000000" w:themeColor="text1"/>
          <w:sz w:val="26"/>
          <w:szCs w:val="26"/>
        </w:rPr>
        <w:t xml:space="preserve"> </w:t>
      </w:r>
      <w:r w:rsidR="002F7D72" w:rsidRPr="00A031A8">
        <w:rPr>
          <w:rFonts w:ascii="Times New Roman" w:eastAsia="Times New Roman" w:hAnsi="Times New Roman" w:cs="Times New Roman"/>
          <w:b/>
          <w:color w:val="000000" w:themeColor="text1"/>
          <w:sz w:val="26"/>
          <w:szCs w:val="26"/>
        </w:rPr>
        <w:t>5.4.2 Recommendations for Regulatory Bodies (FRC and CBN)</w:t>
      </w:r>
    </w:p>
    <w:p w:rsidR="002F7D72" w:rsidRPr="00A031A8" w:rsidRDefault="002F7D72" w:rsidP="00A031A8">
      <w:pPr>
        <w:numPr>
          <w:ilvl w:val="0"/>
          <w:numId w:val="9"/>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Strengthen Enforcement and Monitoring:</w:t>
      </w:r>
      <w:r w:rsidRPr="00A031A8">
        <w:rPr>
          <w:rFonts w:ascii="Times New Roman" w:eastAsia="Times New Roman" w:hAnsi="Times New Roman" w:cs="Times New Roman"/>
          <w:color w:val="000000"/>
          <w:sz w:val="26"/>
          <w:szCs w:val="26"/>
        </w:rPr>
        <w:t xml:space="preserve"> The Financial Reporting Council (FRC) and the Central Bank of Nigeria (CBN) should continue to strengthen their oversight and enforcement mechanisms to ensure consistent and high-quality application of IFRS across the Nigerian banking sector. This could involve more frequent and in-depth reviews of financial statements, with a focus on areas prone to judgment and estimation uncertainty.</w:t>
      </w:r>
    </w:p>
    <w:p w:rsidR="002F7D72" w:rsidRPr="00A031A8" w:rsidRDefault="002F7D72" w:rsidP="00A031A8">
      <w:pPr>
        <w:numPr>
          <w:ilvl w:val="0"/>
          <w:numId w:val="9"/>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Provide Clearer Guidance on IFRS-Prudential Overlaps:</w:t>
      </w:r>
      <w:r w:rsidRPr="00A031A8">
        <w:rPr>
          <w:rFonts w:ascii="Times New Roman" w:eastAsia="Times New Roman" w:hAnsi="Times New Roman" w:cs="Times New Roman"/>
          <w:color w:val="000000"/>
          <w:sz w:val="26"/>
          <w:szCs w:val="26"/>
        </w:rPr>
        <w:t xml:space="preserve"> While Wema Bank Plc demonstrates a good approach to navigating IFRS and prudential guidelines, clearer and more comprehensive guidance from regulators on areas where IFRS and prudential requirements overlap or </w:t>
      </w:r>
      <w:r w:rsidRPr="00A031A8">
        <w:rPr>
          <w:rFonts w:ascii="Times New Roman" w:eastAsia="Times New Roman" w:hAnsi="Times New Roman" w:cs="Times New Roman"/>
          <w:color w:val="000000"/>
          <w:sz w:val="26"/>
          <w:szCs w:val="26"/>
        </w:rPr>
        <w:lastRenderedPageBreak/>
        <w:t>diverge would be beneficial. This would reduce ambiguity and promote consistent application across all banks.</w:t>
      </w:r>
    </w:p>
    <w:p w:rsidR="002F7D72" w:rsidRPr="00A031A8" w:rsidRDefault="002F7D72" w:rsidP="00A031A8">
      <w:pPr>
        <w:numPr>
          <w:ilvl w:val="0"/>
          <w:numId w:val="9"/>
        </w:numPr>
        <w:spacing w:after="0" w:line="360" w:lineRule="auto"/>
        <w:jc w:val="both"/>
        <w:textAlignment w:val="baseline"/>
        <w:rPr>
          <w:rFonts w:ascii="Times New Roman" w:eastAsia="Times New Roman" w:hAnsi="Times New Roman" w:cs="Times New Roman"/>
          <w:color w:val="000000"/>
          <w:sz w:val="26"/>
          <w:szCs w:val="26"/>
        </w:rPr>
      </w:pPr>
      <w:r w:rsidRPr="00A031A8">
        <w:rPr>
          <w:rFonts w:ascii="Times New Roman" w:eastAsia="Times New Roman" w:hAnsi="Times New Roman" w:cs="Times New Roman"/>
          <w:b/>
          <w:bCs/>
          <w:color w:val="000000"/>
          <w:sz w:val="26"/>
          <w:szCs w:val="26"/>
        </w:rPr>
        <w:t>Facilitate Capacity Building Across the Sector:</w:t>
      </w:r>
      <w:r w:rsidRPr="00A031A8">
        <w:rPr>
          <w:rFonts w:ascii="Times New Roman" w:eastAsia="Times New Roman" w:hAnsi="Times New Roman" w:cs="Times New Roman"/>
          <w:color w:val="000000"/>
          <w:sz w:val="26"/>
          <w:szCs w:val="26"/>
        </w:rPr>
        <w:t xml:space="preserve"> Regulators should collaborate with professional bodies and academic institutions to facilitate capacity building initiatives across the banking sector. This could include developing standardized training modules, promoting research on IFRS implementation challenges, and creating platforms for knowledge sharing among practitioners.</w:t>
      </w:r>
    </w:p>
    <w:p w:rsidR="002F7D72" w:rsidRPr="00A031A8" w:rsidRDefault="002F7D72" w:rsidP="00A031A8">
      <w:pPr>
        <w:spacing w:after="0" w:line="360" w:lineRule="auto"/>
        <w:jc w:val="both"/>
        <w:rPr>
          <w:rFonts w:ascii="Times New Roman" w:eastAsia="Times New Roman" w:hAnsi="Times New Roman" w:cs="Times New Roman"/>
          <w:sz w:val="26"/>
          <w:szCs w:val="26"/>
        </w:rPr>
      </w:pPr>
    </w:p>
    <w:p w:rsidR="001C4A17" w:rsidRPr="00A031A8" w:rsidRDefault="001C4A17" w:rsidP="00A031A8">
      <w:pPr>
        <w:spacing w:line="360" w:lineRule="auto"/>
        <w:rPr>
          <w:rFonts w:ascii="Times New Roman" w:hAnsi="Times New Roman" w:cs="Times New Roman"/>
          <w:sz w:val="26"/>
          <w:szCs w:val="26"/>
        </w:rPr>
      </w:pPr>
      <w:r w:rsidRPr="00A031A8">
        <w:rPr>
          <w:rFonts w:ascii="Times New Roman" w:hAnsi="Times New Roman" w:cs="Times New Roman"/>
          <w:sz w:val="26"/>
          <w:szCs w:val="26"/>
        </w:rPr>
        <w:br w:type="page"/>
      </w:r>
    </w:p>
    <w:p w:rsidR="00151B96" w:rsidRPr="00A031A8" w:rsidRDefault="009563B9" w:rsidP="00A031A8">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A031A8">
        <w:rPr>
          <w:rFonts w:ascii="Times New Roman" w:eastAsia="Times New Roman" w:hAnsi="Times New Roman" w:cs="Times New Roman"/>
          <w:b/>
          <w:bCs/>
          <w:sz w:val="26"/>
          <w:szCs w:val="26"/>
        </w:rPr>
        <w:lastRenderedPageBreak/>
        <w:t>REFERENCES</w:t>
      </w:r>
    </w:p>
    <w:p w:rsidR="00741C39" w:rsidRPr="00A031A8" w:rsidRDefault="00741C39" w:rsidP="00A031A8">
      <w:pPr>
        <w:spacing w:after="0" w:line="360" w:lineRule="auto"/>
        <w:ind w:left="720" w:hanging="630"/>
        <w:jc w:val="both"/>
        <w:rPr>
          <w:rFonts w:ascii="Times New Roman" w:eastAsia="Times New Roman" w:hAnsi="Times New Roman" w:cs="Times New Roman"/>
          <w:color w:val="000000" w:themeColor="text1"/>
          <w:sz w:val="26"/>
          <w:szCs w:val="26"/>
        </w:rPr>
      </w:pPr>
      <w:r w:rsidRPr="00A031A8">
        <w:rPr>
          <w:rFonts w:ascii="Times New Roman" w:eastAsia="Times New Roman" w:hAnsi="Times New Roman" w:cs="Times New Roman"/>
          <w:color w:val="000000" w:themeColor="text1"/>
          <w:sz w:val="26"/>
          <w:szCs w:val="26"/>
        </w:rPr>
        <w:t>AZ Research Consult. (2021). Examination on the Extent of Compliance to International Financial Reporting Standard: A Case Study of Wema Bank Plc</w:t>
      </w:r>
    </w:p>
    <w:p w:rsidR="00741C39" w:rsidRPr="00A031A8" w:rsidRDefault="00741C39" w:rsidP="00A031A8">
      <w:pPr>
        <w:pStyle w:val="NormalWeb"/>
        <w:spacing w:before="0" w:beforeAutospacing="0" w:after="0" w:afterAutospacing="0" w:line="360" w:lineRule="auto"/>
        <w:jc w:val="both"/>
        <w:rPr>
          <w:color w:val="000000" w:themeColor="text1"/>
          <w:sz w:val="26"/>
          <w:szCs w:val="26"/>
        </w:rPr>
      </w:pPr>
      <w:r w:rsidRPr="00A031A8">
        <w:rPr>
          <w:color w:val="000000" w:themeColor="text1"/>
          <w:sz w:val="26"/>
          <w:szCs w:val="26"/>
        </w:rPr>
        <w:t>Asena Advisors. (2024). International Financial Reporting Standards (IFRS)</w:t>
      </w:r>
    </w:p>
    <w:p w:rsidR="00741C39" w:rsidRPr="00A031A8" w:rsidRDefault="00741C39" w:rsidP="00A031A8">
      <w:pPr>
        <w:pStyle w:val="NormalWeb"/>
        <w:spacing w:before="0" w:beforeAutospacing="0" w:after="0" w:afterAutospacing="0" w:line="360" w:lineRule="auto"/>
        <w:ind w:firstLine="720"/>
        <w:jc w:val="both"/>
        <w:rPr>
          <w:sz w:val="26"/>
          <w:szCs w:val="26"/>
        </w:rPr>
      </w:pPr>
      <w:r w:rsidRPr="00A031A8">
        <w:rPr>
          <w:color w:val="000000" w:themeColor="text1"/>
          <w:sz w:val="26"/>
          <w:szCs w:val="26"/>
        </w:rPr>
        <w:t>Financial Reporting Council of Nigeria Act, 2011</w:t>
      </w:r>
      <w:r w:rsidRPr="00A031A8">
        <w:rPr>
          <w:sz w:val="26"/>
          <w:szCs w:val="26"/>
        </w:rPr>
        <w:t>.</w:t>
      </w:r>
    </w:p>
    <w:p w:rsidR="0097277E" w:rsidRPr="00A031A8" w:rsidRDefault="0097277E" w:rsidP="00A031A8">
      <w:pPr>
        <w:spacing w:after="0" w:line="360" w:lineRule="auto"/>
        <w:ind w:left="720" w:hanging="720"/>
        <w:jc w:val="both"/>
        <w:rPr>
          <w:rFonts w:ascii="Times New Roman" w:eastAsia="Times New Roman" w:hAnsi="Times New Roman" w:cs="Times New Roman"/>
          <w:color w:val="000000"/>
          <w:sz w:val="26"/>
          <w:szCs w:val="26"/>
        </w:rPr>
      </w:pPr>
      <w:r w:rsidRPr="00A031A8">
        <w:rPr>
          <w:rFonts w:ascii="Times New Roman" w:eastAsia="Times New Roman" w:hAnsi="Times New Roman" w:cs="Times New Roman"/>
          <w:color w:val="000000"/>
          <w:sz w:val="26"/>
          <w:szCs w:val="26"/>
        </w:rPr>
        <w:t xml:space="preserve">Adeuja, Y. O. (2015). A Comparative Approach to the Impact of IFRS (International Financial Reporting Standards) on the Performance of Banks in Nigeria. Master's Thesis, Eastern Mediterranean University. </w:t>
      </w:r>
    </w:p>
    <w:p w:rsidR="004819A2" w:rsidRPr="00A031A8" w:rsidRDefault="004819A2" w:rsidP="00A031A8">
      <w:pPr>
        <w:shd w:val="clear" w:color="auto" w:fill="FFFFFF"/>
        <w:spacing w:after="0" w:line="360" w:lineRule="auto"/>
        <w:ind w:left="720" w:hanging="720"/>
        <w:jc w:val="both"/>
        <w:textAlignment w:val="baseline"/>
        <w:rPr>
          <w:rFonts w:ascii="Times New Roman" w:eastAsia="Times New Roman" w:hAnsi="Times New Roman" w:cs="Times New Roman"/>
          <w:color w:val="000000" w:themeColor="text1"/>
          <w:sz w:val="26"/>
          <w:szCs w:val="26"/>
        </w:rPr>
      </w:pPr>
      <w:r w:rsidRPr="00A031A8">
        <w:rPr>
          <w:rFonts w:ascii="Times New Roman" w:eastAsia="Times New Roman" w:hAnsi="Times New Roman" w:cs="Times New Roman"/>
          <w:color w:val="000000" w:themeColor="text1"/>
          <w:sz w:val="26"/>
          <w:szCs w:val="26"/>
        </w:rPr>
        <w:t>Ball, R. (2006). International Financial Reporting Standards (IFRS): pros and cons for investment. </w:t>
      </w:r>
      <w:r w:rsidRPr="00A031A8">
        <w:rPr>
          <w:rFonts w:ascii="Times New Roman" w:eastAsia="Times New Roman" w:hAnsi="Times New Roman" w:cs="Times New Roman"/>
          <w:i/>
          <w:iCs/>
          <w:color w:val="000000" w:themeColor="text1"/>
          <w:sz w:val="26"/>
          <w:szCs w:val="26"/>
        </w:rPr>
        <w:t>Accounting and Business Research. 36, 5-27.</w:t>
      </w:r>
    </w:p>
    <w:p w:rsidR="00E07B2C" w:rsidRPr="00A031A8" w:rsidRDefault="00E07B2C" w:rsidP="00A031A8">
      <w:pPr>
        <w:shd w:val="clear" w:color="auto" w:fill="FFFFFF"/>
        <w:spacing w:after="0" w:line="360" w:lineRule="auto"/>
        <w:jc w:val="both"/>
        <w:textAlignment w:val="baseline"/>
        <w:rPr>
          <w:rFonts w:ascii="Times New Roman" w:eastAsia="Times New Roman" w:hAnsi="Times New Roman" w:cs="Times New Roman"/>
          <w:color w:val="000000" w:themeColor="text1"/>
          <w:sz w:val="26"/>
          <w:szCs w:val="26"/>
        </w:rPr>
      </w:pPr>
      <w:r w:rsidRPr="00A031A8">
        <w:rPr>
          <w:rFonts w:ascii="Times New Roman" w:eastAsia="Times New Roman" w:hAnsi="Times New Roman" w:cs="Times New Roman"/>
          <w:color w:val="000000" w:themeColor="text1"/>
          <w:sz w:val="26"/>
          <w:szCs w:val="26"/>
        </w:rPr>
        <w:t>Barth, M. (2008). Global Financial Reporting: Implications for US Academics. </w:t>
      </w:r>
      <w:r w:rsidRPr="00A031A8">
        <w:rPr>
          <w:rFonts w:ascii="Times New Roman" w:eastAsia="Times New Roman" w:hAnsi="Times New Roman" w:cs="Times New Roman"/>
          <w:i/>
          <w:iCs/>
          <w:color w:val="000000" w:themeColor="text1"/>
          <w:sz w:val="26"/>
          <w:szCs w:val="26"/>
        </w:rPr>
        <w:t>The</w:t>
      </w:r>
    </w:p>
    <w:p w:rsidR="00E07B2C" w:rsidRPr="00A031A8" w:rsidRDefault="00E07B2C" w:rsidP="00A031A8">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A031A8">
        <w:rPr>
          <w:rFonts w:ascii="Times New Roman" w:eastAsia="Times New Roman" w:hAnsi="Times New Roman" w:cs="Times New Roman"/>
          <w:i/>
          <w:iCs/>
          <w:color w:val="000000" w:themeColor="text1"/>
          <w:sz w:val="26"/>
          <w:szCs w:val="26"/>
        </w:rPr>
        <w:t>Accounting Review</w:t>
      </w:r>
      <w:r w:rsidRPr="00A031A8">
        <w:rPr>
          <w:rFonts w:ascii="Times New Roman" w:eastAsia="Times New Roman" w:hAnsi="Times New Roman" w:cs="Times New Roman"/>
          <w:color w:val="000000" w:themeColor="text1"/>
          <w:sz w:val="26"/>
          <w:szCs w:val="26"/>
        </w:rPr>
        <w:t>. 83(5): 1159-1179</w:t>
      </w:r>
    </w:p>
    <w:p w:rsidR="00151B96" w:rsidRPr="00A031A8" w:rsidRDefault="00151B96" w:rsidP="00A031A8">
      <w:pPr>
        <w:spacing w:after="0" w:line="360" w:lineRule="auto"/>
        <w:ind w:left="720" w:hanging="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 xml:space="preserve">Chen, H., Tang, Q., Jiang, Y., &amp; Lin, Z. (2010). The role of international financial reporting standards in accounting quality: Evidence from the European Union. </w:t>
      </w:r>
      <w:r w:rsidRPr="00A031A8">
        <w:rPr>
          <w:rFonts w:ascii="Times New Roman" w:eastAsia="Times New Roman" w:hAnsi="Times New Roman" w:cs="Times New Roman"/>
          <w:i/>
          <w:iCs/>
          <w:sz w:val="26"/>
          <w:szCs w:val="26"/>
        </w:rPr>
        <w:t>Journal of International Financial Management &amp; Accounting</w:t>
      </w:r>
      <w:r w:rsidRPr="00A031A8">
        <w:rPr>
          <w:rFonts w:ascii="Times New Roman" w:eastAsia="Times New Roman" w:hAnsi="Times New Roman" w:cs="Times New Roman"/>
          <w:sz w:val="26"/>
          <w:szCs w:val="26"/>
        </w:rPr>
        <w:t>, 21(3), 220–278.</w:t>
      </w:r>
    </w:p>
    <w:p w:rsidR="00151B96" w:rsidRPr="00A031A8" w:rsidRDefault="00151B96" w:rsidP="00A031A8">
      <w:pPr>
        <w:spacing w:after="0" w:line="360" w:lineRule="auto"/>
        <w:ind w:left="720" w:hanging="63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 xml:space="preserve">Elosiuba, J. N., &amp; Okoye, E. I. (2018). Effects of International Financial Reporting Standards on Corporate Performance of Selected Banks Listed on Nigeria Stock Exchange. </w:t>
      </w:r>
      <w:r w:rsidRPr="00A031A8">
        <w:rPr>
          <w:rFonts w:ascii="Times New Roman" w:eastAsia="Times New Roman" w:hAnsi="Times New Roman" w:cs="Times New Roman"/>
          <w:i/>
          <w:iCs/>
          <w:sz w:val="26"/>
          <w:szCs w:val="26"/>
        </w:rPr>
        <w:t>SSRN Electronic Journal</w:t>
      </w:r>
      <w:r w:rsidRPr="00A031A8">
        <w:rPr>
          <w:rFonts w:ascii="Times New Roman" w:eastAsia="Times New Roman" w:hAnsi="Times New Roman" w:cs="Times New Roman"/>
          <w:sz w:val="26"/>
          <w:szCs w:val="26"/>
        </w:rPr>
        <w:t>.</w:t>
      </w:r>
    </w:p>
    <w:p w:rsidR="0097277E" w:rsidRPr="00A031A8" w:rsidRDefault="0097277E" w:rsidP="00A031A8">
      <w:pPr>
        <w:spacing w:after="0" w:line="360" w:lineRule="auto"/>
        <w:ind w:left="720" w:hanging="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 xml:space="preserve">Glaum, M., &amp; Street, D. L. (2003). Compliance with the disclosure requirements of Germany’s new market: IAS versus US GAAP. </w:t>
      </w:r>
      <w:r w:rsidRPr="00A031A8">
        <w:rPr>
          <w:rFonts w:ascii="Times New Roman" w:eastAsia="Times New Roman" w:hAnsi="Times New Roman" w:cs="Times New Roman"/>
          <w:i/>
          <w:iCs/>
          <w:sz w:val="26"/>
          <w:szCs w:val="26"/>
        </w:rPr>
        <w:t>Journal of International Financial Management &amp; Accounting</w:t>
      </w:r>
      <w:r w:rsidRPr="00A031A8">
        <w:rPr>
          <w:rFonts w:ascii="Times New Roman" w:eastAsia="Times New Roman" w:hAnsi="Times New Roman" w:cs="Times New Roman"/>
          <w:sz w:val="26"/>
          <w:szCs w:val="26"/>
        </w:rPr>
        <w:t>, 14(1), 64–100.</w:t>
      </w:r>
    </w:p>
    <w:p w:rsidR="0097277E" w:rsidRPr="00A031A8" w:rsidRDefault="0097277E" w:rsidP="00A031A8">
      <w:pPr>
        <w:spacing w:after="0" w:line="360" w:lineRule="auto"/>
        <w:ind w:left="720" w:hanging="720"/>
        <w:jc w:val="both"/>
        <w:rPr>
          <w:rFonts w:ascii="Times New Roman" w:eastAsia="Times New Roman" w:hAnsi="Times New Roman" w:cs="Times New Roman"/>
          <w:color w:val="000000"/>
          <w:sz w:val="26"/>
          <w:szCs w:val="26"/>
        </w:rPr>
      </w:pPr>
      <w:r w:rsidRPr="00A031A8">
        <w:rPr>
          <w:rFonts w:ascii="Times New Roman" w:eastAsia="Times New Roman" w:hAnsi="Times New Roman" w:cs="Times New Roman"/>
          <w:color w:val="000000"/>
          <w:sz w:val="26"/>
          <w:szCs w:val="26"/>
        </w:rPr>
        <w:lastRenderedPageBreak/>
        <w:t xml:space="preserve">Herbert, W., &amp; Tsegba, I. (2013). Economic Consequences of International Financial Reporting Standards (IFRS) Adoption: Evidence from a Developing Country. European Journal of Business and Management, 15, 28. </w:t>
      </w:r>
    </w:p>
    <w:p w:rsidR="0097277E" w:rsidRPr="00A031A8" w:rsidRDefault="0097277E" w:rsidP="00A031A8">
      <w:pPr>
        <w:spacing w:after="0" w:line="360" w:lineRule="auto"/>
        <w:ind w:left="720" w:hanging="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IFRS Foundation. (2023). Who uses IFRS Accounting Standards? Retrieved from www.ifrs.org</w:t>
      </w:r>
    </w:p>
    <w:p w:rsidR="0097277E" w:rsidRPr="00A031A8" w:rsidRDefault="0097277E" w:rsidP="00A031A8">
      <w:pPr>
        <w:spacing w:after="0" w:line="360" w:lineRule="auto"/>
        <w:ind w:left="720" w:hanging="720"/>
        <w:jc w:val="both"/>
        <w:rPr>
          <w:rFonts w:ascii="Times New Roman" w:eastAsia="Times New Roman" w:hAnsi="Times New Roman" w:cs="Times New Roman"/>
          <w:color w:val="000000"/>
          <w:sz w:val="26"/>
          <w:szCs w:val="26"/>
        </w:rPr>
      </w:pPr>
      <w:r w:rsidRPr="00A031A8">
        <w:rPr>
          <w:rFonts w:ascii="Times New Roman" w:eastAsia="Times New Roman" w:hAnsi="Times New Roman" w:cs="Times New Roman"/>
          <w:color w:val="000000"/>
          <w:sz w:val="26"/>
          <w:szCs w:val="26"/>
        </w:rPr>
        <w:t xml:space="preserve">Oladapo, I. A., et al. (2025). Impact of International Financial Reporting Standards (IFRS) on Financial Reporting Quality in Nigerian Deposit Money Banks. </w:t>
      </w:r>
    </w:p>
    <w:p w:rsidR="008E5607" w:rsidRPr="00A031A8" w:rsidRDefault="008E5607" w:rsidP="00A031A8">
      <w:pPr>
        <w:pStyle w:val="NormalWeb"/>
        <w:spacing w:before="0" w:beforeAutospacing="0" w:after="0" w:afterAutospacing="0" w:line="360" w:lineRule="auto"/>
        <w:ind w:left="720" w:hanging="720"/>
        <w:jc w:val="both"/>
        <w:rPr>
          <w:color w:val="000000" w:themeColor="text1"/>
          <w:sz w:val="26"/>
          <w:szCs w:val="26"/>
        </w:rPr>
      </w:pPr>
      <w:r w:rsidRPr="00A031A8">
        <w:rPr>
          <w:color w:val="000000" w:themeColor="text1"/>
          <w:sz w:val="26"/>
          <w:szCs w:val="26"/>
        </w:rPr>
        <w:t>Research Gate. (2022). International Financial Reporting Standards and Financial Reporting Quality in Nigerian Deposit Money Banks</w:t>
      </w:r>
    </w:p>
    <w:p w:rsidR="00151B96" w:rsidRPr="00A031A8" w:rsidRDefault="00151B96" w:rsidP="00A031A8">
      <w:pPr>
        <w:spacing w:after="0" w:line="360" w:lineRule="auto"/>
        <w:ind w:left="720" w:hanging="720"/>
        <w:jc w:val="both"/>
        <w:rPr>
          <w:rFonts w:ascii="Times New Roman" w:eastAsia="Times New Roman" w:hAnsi="Times New Roman" w:cs="Times New Roman"/>
          <w:sz w:val="26"/>
          <w:szCs w:val="26"/>
        </w:rPr>
      </w:pPr>
      <w:r w:rsidRPr="00A031A8">
        <w:rPr>
          <w:rFonts w:ascii="Times New Roman" w:eastAsia="Times New Roman" w:hAnsi="Times New Roman" w:cs="Times New Roman"/>
          <w:sz w:val="26"/>
          <w:szCs w:val="26"/>
        </w:rPr>
        <w:t xml:space="preserve">Street, D. L., &amp; Gray, S. J. (2001). Observance of International Accounting Standards: Factors Explaining Non-Compliance. </w:t>
      </w:r>
      <w:r w:rsidRPr="00A031A8">
        <w:rPr>
          <w:rFonts w:ascii="Times New Roman" w:eastAsia="Times New Roman" w:hAnsi="Times New Roman" w:cs="Times New Roman"/>
          <w:i/>
          <w:iCs/>
          <w:sz w:val="26"/>
          <w:szCs w:val="26"/>
        </w:rPr>
        <w:t>Accounting &amp; Business Research</w:t>
      </w:r>
      <w:r w:rsidRPr="00A031A8">
        <w:rPr>
          <w:rFonts w:ascii="Times New Roman" w:eastAsia="Times New Roman" w:hAnsi="Times New Roman" w:cs="Times New Roman"/>
          <w:sz w:val="26"/>
          <w:szCs w:val="26"/>
        </w:rPr>
        <w:t>, 31(4), 233–245.</w:t>
      </w:r>
    </w:p>
    <w:p w:rsidR="0097277E" w:rsidRPr="00A031A8" w:rsidRDefault="0097277E" w:rsidP="00A031A8">
      <w:pPr>
        <w:spacing w:after="0" w:line="360" w:lineRule="auto"/>
        <w:ind w:left="720" w:hanging="720"/>
        <w:jc w:val="both"/>
        <w:rPr>
          <w:rFonts w:ascii="Times New Roman" w:eastAsia="Times New Roman" w:hAnsi="Times New Roman" w:cs="Times New Roman"/>
          <w:color w:val="000000"/>
          <w:sz w:val="26"/>
          <w:szCs w:val="26"/>
        </w:rPr>
      </w:pPr>
      <w:r w:rsidRPr="00A031A8">
        <w:rPr>
          <w:rFonts w:ascii="Times New Roman" w:eastAsia="Times New Roman" w:hAnsi="Times New Roman" w:cs="Times New Roman"/>
          <w:color w:val="000000"/>
          <w:sz w:val="26"/>
          <w:szCs w:val="26"/>
        </w:rPr>
        <w:t xml:space="preserve">Saidu, S., &amp; Dauda, U. (2014). An Assessment of Compliance with IFRS framework at First time Adoption by the Quoted Banks in Nigeria. Journal of Finance and Accounting, 2(3), 64-73. </w:t>
      </w:r>
    </w:p>
    <w:p w:rsidR="0097277E" w:rsidRPr="00A031A8" w:rsidRDefault="0097277E" w:rsidP="00A031A8">
      <w:pPr>
        <w:spacing w:after="0" w:line="360" w:lineRule="auto"/>
        <w:ind w:left="720" w:hanging="630"/>
        <w:jc w:val="both"/>
        <w:rPr>
          <w:rFonts w:ascii="Times New Roman" w:eastAsia="Times New Roman" w:hAnsi="Times New Roman" w:cs="Times New Roman"/>
          <w:sz w:val="26"/>
          <w:szCs w:val="26"/>
        </w:rPr>
      </w:pPr>
      <w:r w:rsidRPr="00A031A8">
        <w:rPr>
          <w:rFonts w:ascii="Times New Roman" w:eastAsia="Times New Roman" w:hAnsi="Times New Roman" w:cs="Times New Roman"/>
          <w:color w:val="000000"/>
          <w:sz w:val="26"/>
          <w:szCs w:val="26"/>
        </w:rPr>
        <w:t>Verriest, A., Gaeremynck, A., &amp; Thornton, D. (2013). Impact of Corporate Governance on IFRS Adoption Choices. European Accounting Review, 22(1), 39-77.</w:t>
      </w:r>
    </w:p>
    <w:p w:rsidR="001C4A17" w:rsidRPr="00A031A8" w:rsidRDefault="001C4A17" w:rsidP="00A031A8">
      <w:pPr>
        <w:spacing w:line="360" w:lineRule="auto"/>
        <w:rPr>
          <w:rFonts w:ascii="Times New Roman" w:hAnsi="Times New Roman" w:cs="Times New Roman"/>
          <w:sz w:val="26"/>
          <w:szCs w:val="26"/>
        </w:rPr>
      </w:pPr>
      <w:r w:rsidRPr="00A031A8">
        <w:rPr>
          <w:rFonts w:ascii="Times New Roman" w:hAnsi="Times New Roman" w:cs="Times New Roman"/>
          <w:sz w:val="26"/>
          <w:szCs w:val="26"/>
        </w:rPr>
        <w:br w:type="page"/>
      </w:r>
    </w:p>
    <w:sectPr w:rsidR="001C4A17" w:rsidRPr="00A031A8" w:rsidSect="0040011A">
      <w:footerReference w:type="default" r:id="rId8"/>
      <w:pgSz w:w="11520" w:h="14400" w:code="9"/>
      <w:pgMar w:top="1440" w:right="1440" w:bottom="1440" w:left="172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C04" w:rsidRDefault="00EA0C04" w:rsidP="007A630E">
      <w:pPr>
        <w:spacing w:after="0" w:line="240" w:lineRule="auto"/>
      </w:pPr>
      <w:r>
        <w:separator/>
      </w:r>
    </w:p>
  </w:endnote>
  <w:endnote w:type="continuationSeparator" w:id="1">
    <w:p w:rsidR="00EA0C04" w:rsidRDefault="00EA0C04" w:rsidP="007A63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210"/>
      <w:docPartObj>
        <w:docPartGallery w:val="Page Numbers (Bottom of Page)"/>
        <w:docPartUnique/>
      </w:docPartObj>
    </w:sdtPr>
    <w:sdtContent>
      <w:p w:rsidR="0040011A" w:rsidRDefault="0040011A">
        <w:pPr>
          <w:pStyle w:val="Footer"/>
          <w:jc w:val="center"/>
        </w:pPr>
        <w:fldSimple w:instr=" PAGE   \* MERGEFORMAT ">
          <w:r w:rsidR="001B04B6">
            <w:rPr>
              <w:noProof/>
            </w:rPr>
            <w:t>vii</w:t>
          </w:r>
        </w:fldSimple>
      </w:p>
    </w:sdtContent>
  </w:sdt>
  <w:p w:rsidR="0040011A" w:rsidRDefault="004001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C04" w:rsidRDefault="00EA0C04" w:rsidP="007A630E">
      <w:pPr>
        <w:spacing w:after="0" w:line="240" w:lineRule="auto"/>
      </w:pPr>
      <w:r>
        <w:separator/>
      </w:r>
    </w:p>
  </w:footnote>
  <w:footnote w:type="continuationSeparator" w:id="1">
    <w:p w:rsidR="00EA0C04" w:rsidRDefault="00EA0C04" w:rsidP="007A63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6870"/>
    <w:multiLevelType w:val="multilevel"/>
    <w:tmpl w:val="C5B09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9C07A8"/>
    <w:multiLevelType w:val="multilevel"/>
    <w:tmpl w:val="C12A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33E14"/>
    <w:multiLevelType w:val="multilevel"/>
    <w:tmpl w:val="67E8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847101"/>
    <w:multiLevelType w:val="multilevel"/>
    <w:tmpl w:val="12B6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C2CF6"/>
    <w:multiLevelType w:val="multilevel"/>
    <w:tmpl w:val="3712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3B09B9"/>
    <w:multiLevelType w:val="multilevel"/>
    <w:tmpl w:val="7E02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41549F"/>
    <w:multiLevelType w:val="multilevel"/>
    <w:tmpl w:val="436CE6A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315018D1"/>
    <w:multiLevelType w:val="multilevel"/>
    <w:tmpl w:val="9C0A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E20012"/>
    <w:multiLevelType w:val="multilevel"/>
    <w:tmpl w:val="D9DA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593A4C"/>
    <w:multiLevelType w:val="multilevel"/>
    <w:tmpl w:val="6E5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5B6FBA"/>
    <w:multiLevelType w:val="multilevel"/>
    <w:tmpl w:val="18F8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05281E"/>
    <w:multiLevelType w:val="multilevel"/>
    <w:tmpl w:val="9D7C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527F0C"/>
    <w:multiLevelType w:val="multilevel"/>
    <w:tmpl w:val="71A2A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27133B"/>
    <w:multiLevelType w:val="multilevel"/>
    <w:tmpl w:val="EFE0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A65C94"/>
    <w:multiLevelType w:val="multilevel"/>
    <w:tmpl w:val="C30C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BB0FCC"/>
    <w:multiLevelType w:val="multilevel"/>
    <w:tmpl w:val="73FE7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8075C4"/>
    <w:multiLevelType w:val="multilevel"/>
    <w:tmpl w:val="6D16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3514F1"/>
    <w:multiLevelType w:val="multilevel"/>
    <w:tmpl w:val="145C6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C23CD7"/>
    <w:multiLevelType w:val="multilevel"/>
    <w:tmpl w:val="678CC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076945"/>
    <w:multiLevelType w:val="multilevel"/>
    <w:tmpl w:val="8E7A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4C041E"/>
    <w:multiLevelType w:val="multilevel"/>
    <w:tmpl w:val="2E76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402AC"/>
    <w:multiLevelType w:val="multilevel"/>
    <w:tmpl w:val="559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661066"/>
    <w:multiLevelType w:val="multilevel"/>
    <w:tmpl w:val="8540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C06DD2"/>
    <w:multiLevelType w:val="multilevel"/>
    <w:tmpl w:val="C532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4D2D51"/>
    <w:multiLevelType w:val="multilevel"/>
    <w:tmpl w:val="66AC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492BF3"/>
    <w:multiLevelType w:val="multilevel"/>
    <w:tmpl w:val="7CC4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3F268D"/>
    <w:multiLevelType w:val="multilevel"/>
    <w:tmpl w:val="38D23FF2"/>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2C94E64"/>
    <w:multiLevelType w:val="multilevel"/>
    <w:tmpl w:val="1CD68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8C1C21"/>
    <w:multiLevelType w:val="multilevel"/>
    <w:tmpl w:val="B98E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6D691D"/>
    <w:multiLevelType w:val="multilevel"/>
    <w:tmpl w:val="0780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10"/>
  </w:num>
  <w:num w:numId="4">
    <w:abstractNumId w:val="3"/>
  </w:num>
  <w:num w:numId="5">
    <w:abstractNumId w:val="14"/>
  </w:num>
  <w:num w:numId="6">
    <w:abstractNumId w:val="11"/>
  </w:num>
  <w:num w:numId="7">
    <w:abstractNumId w:val="28"/>
  </w:num>
  <w:num w:numId="8">
    <w:abstractNumId w:val="7"/>
  </w:num>
  <w:num w:numId="9">
    <w:abstractNumId w:val="8"/>
  </w:num>
  <w:num w:numId="10">
    <w:abstractNumId w:val="15"/>
  </w:num>
  <w:num w:numId="11">
    <w:abstractNumId w:val="29"/>
  </w:num>
  <w:num w:numId="12">
    <w:abstractNumId w:val="0"/>
  </w:num>
  <w:num w:numId="13">
    <w:abstractNumId w:val="20"/>
  </w:num>
  <w:num w:numId="14">
    <w:abstractNumId w:val="19"/>
  </w:num>
  <w:num w:numId="15">
    <w:abstractNumId w:val="21"/>
  </w:num>
  <w:num w:numId="16">
    <w:abstractNumId w:val="16"/>
  </w:num>
  <w:num w:numId="17">
    <w:abstractNumId w:val="9"/>
  </w:num>
  <w:num w:numId="18">
    <w:abstractNumId w:val="5"/>
  </w:num>
  <w:num w:numId="19">
    <w:abstractNumId w:val="24"/>
  </w:num>
  <w:num w:numId="20">
    <w:abstractNumId w:val="22"/>
  </w:num>
  <w:num w:numId="21">
    <w:abstractNumId w:val="13"/>
  </w:num>
  <w:num w:numId="22">
    <w:abstractNumId w:val="4"/>
  </w:num>
  <w:num w:numId="23">
    <w:abstractNumId w:val="17"/>
  </w:num>
  <w:num w:numId="24">
    <w:abstractNumId w:val="25"/>
  </w:num>
  <w:num w:numId="25">
    <w:abstractNumId w:val="1"/>
  </w:num>
  <w:num w:numId="26">
    <w:abstractNumId w:val="27"/>
  </w:num>
  <w:num w:numId="27">
    <w:abstractNumId w:val="23"/>
  </w:num>
  <w:num w:numId="28">
    <w:abstractNumId w:val="26"/>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F601A1"/>
    <w:rsid w:val="00000D85"/>
    <w:rsid w:val="0001176D"/>
    <w:rsid w:val="0003669D"/>
    <w:rsid w:val="00054FAC"/>
    <w:rsid w:val="00077728"/>
    <w:rsid w:val="0009388C"/>
    <w:rsid w:val="001135A4"/>
    <w:rsid w:val="00134F79"/>
    <w:rsid w:val="00151B96"/>
    <w:rsid w:val="001778A3"/>
    <w:rsid w:val="001A0531"/>
    <w:rsid w:val="001B04B6"/>
    <w:rsid w:val="001C4A17"/>
    <w:rsid w:val="00202691"/>
    <w:rsid w:val="0021609E"/>
    <w:rsid w:val="00232C80"/>
    <w:rsid w:val="00242975"/>
    <w:rsid w:val="00277473"/>
    <w:rsid w:val="002A0752"/>
    <w:rsid w:val="002A3EE7"/>
    <w:rsid w:val="002B0408"/>
    <w:rsid w:val="002B185F"/>
    <w:rsid w:val="002B3C85"/>
    <w:rsid w:val="002C6E7A"/>
    <w:rsid w:val="002D097E"/>
    <w:rsid w:val="002F7D72"/>
    <w:rsid w:val="00325093"/>
    <w:rsid w:val="00332AC4"/>
    <w:rsid w:val="00346BFB"/>
    <w:rsid w:val="00351FBF"/>
    <w:rsid w:val="003768AC"/>
    <w:rsid w:val="00382EEC"/>
    <w:rsid w:val="003924A1"/>
    <w:rsid w:val="003B5D3B"/>
    <w:rsid w:val="003D1382"/>
    <w:rsid w:val="003E6CD8"/>
    <w:rsid w:val="0040011A"/>
    <w:rsid w:val="0040167A"/>
    <w:rsid w:val="00404368"/>
    <w:rsid w:val="004062F0"/>
    <w:rsid w:val="00411C8B"/>
    <w:rsid w:val="00424EB8"/>
    <w:rsid w:val="00432A9E"/>
    <w:rsid w:val="00474AEE"/>
    <w:rsid w:val="00480893"/>
    <w:rsid w:val="004819A2"/>
    <w:rsid w:val="00484960"/>
    <w:rsid w:val="004C69D8"/>
    <w:rsid w:val="004D0D63"/>
    <w:rsid w:val="005110F3"/>
    <w:rsid w:val="00560FC3"/>
    <w:rsid w:val="00562731"/>
    <w:rsid w:val="00567FAD"/>
    <w:rsid w:val="00583E6F"/>
    <w:rsid w:val="005B6478"/>
    <w:rsid w:val="005D4BEE"/>
    <w:rsid w:val="005F1697"/>
    <w:rsid w:val="005F7E3F"/>
    <w:rsid w:val="00634981"/>
    <w:rsid w:val="0065408A"/>
    <w:rsid w:val="00662993"/>
    <w:rsid w:val="00682FEB"/>
    <w:rsid w:val="006B6C12"/>
    <w:rsid w:val="006F6561"/>
    <w:rsid w:val="00714454"/>
    <w:rsid w:val="00724BB7"/>
    <w:rsid w:val="007363A6"/>
    <w:rsid w:val="00741C39"/>
    <w:rsid w:val="007853C9"/>
    <w:rsid w:val="007A630E"/>
    <w:rsid w:val="007E256C"/>
    <w:rsid w:val="007F586F"/>
    <w:rsid w:val="0081419A"/>
    <w:rsid w:val="00847328"/>
    <w:rsid w:val="00873A44"/>
    <w:rsid w:val="00874F1A"/>
    <w:rsid w:val="008A6D6F"/>
    <w:rsid w:val="008C68F8"/>
    <w:rsid w:val="008E161E"/>
    <w:rsid w:val="008E540E"/>
    <w:rsid w:val="008E5607"/>
    <w:rsid w:val="00901B08"/>
    <w:rsid w:val="0090672D"/>
    <w:rsid w:val="00907953"/>
    <w:rsid w:val="009113FB"/>
    <w:rsid w:val="00931A00"/>
    <w:rsid w:val="009563B9"/>
    <w:rsid w:val="00957C55"/>
    <w:rsid w:val="00960F6A"/>
    <w:rsid w:val="00971625"/>
    <w:rsid w:val="0097277E"/>
    <w:rsid w:val="009D2426"/>
    <w:rsid w:val="009E032F"/>
    <w:rsid w:val="009E0585"/>
    <w:rsid w:val="009F2023"/>
    <w:rsid w:val="009F5765"/>
    <w:rsid w:val="00A031A8"/>
    <w:rsid w:val="00A1267E"/>
    <w:rsid w:val="00A36386"/>
    <w:rsid w:val="00A5100D"/>
    <w:rsid w:val="00A52368"/>
    <w:rsid w:val="00A5354D"/>
    <w:rsid w:val="00A90F8B"/>
    <w:rsid w:val="00AE4BAF"/>
    <w:rsid w:val="00B649B4"/>
    <w:rsid w:val="00BF261C"/>
    <w:rsid w:val="00C178BC"/>
    <w:rsid w:val="00C17E41"/>
    <w:rsid w:val="00C4337C"/>
    <w:rsid w:val="00C84205"/>
    <w:rsid w:val="00C95C7F"/>
    <w:rsid w:val="00CC1D53"/>
    <w:rsid w:val="00CC7F3F"/>
    <w:rsid w:val="00CD7522"/>
    <w:rsid w:val="00D52B8C"/>
    <w:rsid w:val="00D53B64"/>
    <w:rsid w:val="00D658B7"/>
    <w:rsid w:val="00DB62E2"/>
    <w:rsid w:val="00DC4A5D"/>
    <w:rsid w:val="00E07B2C"/>
    <w:rsid w:val="00E5018C"/>
    <w:rsid w:val="00E651BC"/>
    <w:rsid w:val="00E70725"/>
    <w:rsid w:val="00EA0C04"/>
    <w:rsid w:val="00EA138E"/>
    <w:rsid w:val="00EE7A12"/>
    <w:rsid w:val="00F11A6D"/>
    <w:rsid w:val="00F138E1"/>
    <w:rsid w:val="00F14CE6"/>
    <w:rsid w:val="00F177AC"/>
    <w:rsid w:val="00F37492"/>
    <w:rsid w:val="00F52652"/>
    <w:rsid w:val="00F601A1"/>
    <w:rsid w:val="00FB291B"/>
    <w:rsid w:val="00FB3463"/>
    <w:rsid w:val="00FC6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E41"/>
  </w:style>
  <w:style w:type="paragraph" w:styleId="Heading1">
    <w:name w:val="heading 1"/>
    <w:basedOn w:val="Normal"/>
    <w:link w:val="Heading1Char"/>
    <w:uiPriority w:val="9"/>
    <w:qFormat/>
    <w:rsid w:val="002F7D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7D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7D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138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var--text-primary">
    <w:name w:val="text-[var(--text-primary)]"/>
    <w:basedOn w:val="DefaultParagraphFont"/>
    <w:rsid w:val="00F601A1"/>
  </w:style>
  <w:style w:type="character" w:customStyle="1" w:styleId="Heading1Char">
    <w:name w:val="Heading 1 Char"/>
    <w:basedOn w:val="DefaultParagraphFont"/>
    <w:link w:val="Heading1"/>
    <w:uiPriority w:val="9"/>
    <w:rsid w:val="002F7D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7D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7D72"/>
    <w:rPr>
      <w:rFonts w:ascii="Times New Roman" w:eastAsia="Times New Roman" w:hAnsi="Times New Roman" w:cs="Times New Roman"/>
      <w:b/>
      <w:bCs/>
      <w:sz w:val="27"/>
      <w:szCs w:val="27"/>
    </w:rPr>
  </w:style>
  <w:style w:type="paragraph" w:styleId="NormalWeb">
    <w:name w:val="Normal (Web)"/>
    <w:basedOn w:val="Normal"/>
    <w:uiPriority w:val="99"/>
    <w:unhideWhenUsed/>
    <w:rsid w:val="002F7D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7D72"/>
    <w:rPr>
      <w:color w:val="0000FF"/>
      <w:u w:val="single"/>
    </w:rPr>
  </w:style>
  <w:style w:type="paragraph" w:styleId="Header">
    <w:name w:val="header"/>
    <w:basedOn w:val="Normal"/>
    <w:link w:val="HeaderChar"/>
    <w:uiPriority w:val="99"/>
    <w:semiHidden/>
    <w:unhideWhenUsed/>
    <w:rsid w:val="007A6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630E"/>
  </w:style>
  <w:style w:type="paragraph" w:styleId="Footer">
    <w:name w:val="footer"/>
    <w:basedOn w:val="Normal"/>
    <w:link w:val="FooterChar"/>
    <w:uiPriority w:val="99"/>
    <w:unhideWhenUsed/>
    <w:rsid w:val="007A6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30E"/>
  </w:style>
  <w:style w:type="paragraph" w:styleId="ListParagraph">
    <w:name w:val="List Paragraph"/>
    <w:basedOn w:val="Normal"/>
    <w:uiPriority w:val="34"/>
    <w:qFormat/>
    <w:rsid w:val="00CC7F3F"/>
    <w:pPr>
      <w:ind w:left="720"/>
      <w:contextualSpacing/>
    </w:pPr>
  </w:style>
  <w:style w:type="paragraph" w:styleId="BalloonText">
    <w:name w:val="Balloon Text"/>
    <w:basedOn w:val="Normal"/>
    <w:link w:val="BalloonTextChar"/>
    <w:uiPriority w:val="99"/>
    <w:semiHidden/>
    <w:unhideWhenUsed/>
    <w:rsid w:val="009E0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32F"/>
    <w:rPr>
      <w:rFonts w:ascii="Tahoma" w:hAnsi="Tahoma" w:cs="Tahoma"/>
      <w:sz w:val="16"/>
      <w:szCs w:val="16"/>
    </w:rPr>
  </w:style>
  <w:style w:type="character" w:styleId="Strong">
    <w:name w:val="Strong"/>
    <w:basedOn w:val="DefaultParagraphFont"/>
    <w:uiPriority w:val="22"/>
    <w:qFormat/>
    <w:rsid w:val="003B5D3B"/>
    <w:rPr>
      <w:b/>
      <w:bCs/>
    </w:rPr>
  </w:style>
  <w:style w:type="character" w:styleId="Emphasis">
    <w:name w:val="Emphasis"/>
    <w:basedOn w:val="DefaultParagraphFont"/>
    <w:uiPriority w:val="20"/>
    <w:qFormat/>
    <w:rsid w:val="00151B96"/>
    <w:rPr>
      <w:i/>
      <w:iCs/>
    </w:rPr>
  </w:style>
  <w:style w:type="table" w:styleId="TableGrid">
    <w:name w:val="Table Grid"/>
    <w:basedOn w:val="TableNormal"/>
    <w:uiPriority w:val="59"/>
    <w:rsid w:val="00D53B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138E1"/>
    <w:rPr>
      <w:rFonts w:asciiTheme="majorHAnsi" w:eastAsiaTheme="majorEastAsia" w:hAnsiTheme="majorHAnsi" w:cstheme="majorBidi"/>
      <w:b/>
      <w:bCs/>
      <w:i/>
      <w:iCs/>
      <w:color w:val="4F81BD" w:themeColor="accent1"/>
    </w:rPr>
  </w:style>
  <w:style w:type="paragraph" w:customStyle="1" w:styleId="normal0">
    <w:name w:val="normal"/>
    <w:rsid w:val="00F138E1"/>
    <w:pPr>
      <w:spacing w:after="0" w:line="240" w:lineRule="auto"/>
    </w:pPr>
    <w:rPr>
      <w:rFonts w:ascii="Calibri" w:eastAsia="Calibri" w:hAnsi="Calibri" w:cs="Calibri"/>
      <w:sz w:val="20"/>
      <w:szCs w:val="20"/>
    </w:rPr>
  </w:style>
</w:styles>
</file>

<file path=word/webSettings.xml><?xml version="1.0" encoding="utf-8"?>
<w:webSettings xmlns:r="http://schemas.openxmlformats.org/officeDocument/2006/relationships" xmlns:w="http://schemas.openxmlformats.org/wordprocessingml/2006/main">
  <w:divs>
    <w:div w:id="400063768">
      <w:bodyDiv w:val="1"/>
      <w:marLeft w:val="0"/>
      <w:marRight w:val="0"/>
      <w:marTop w:val="0"/>
      <w:marBottom w:val="0"/>
      <w:divBdr>
        <w:top w:val="none" w:sz="0" w:space="0" w:color="auto"/>
        <w:left w:val="none" w:sz="0" w:space="0" w:color="auto"/>
        <w:bottom w:val="none" w:sz="0" w:space="0" w:color="auto"/>
        <w:right w:val="none" w:sz="0" w:space="0" w:color="auto"/>
      </w:divBdr>
    </w:div>
    <w:div w:id="890574265">
      <w:bodyDiv w:val="1"/>
      <w:marLeft w:val="0"/>
      <w:marRight w:val="0"/>
      <w:marTop w:val="0"/>
      <w:marBottom w:val="0"/>
      <w:divBdr>
        <w:top w:val="none" w:sz="0" w:space="0" w:color="auto"/>
        <w:left w:val="none" w:sz="0" w:space="0" w:color="auto"/>
        <w:bottom w:val="none" w:sz="0" w:space="0" w:color="auto"/>
        <w:right w:val="none" w:sz="0" w:space="0" w:color="auto"/>
      </w:divBdr>
    </w:div>
    <w:div w:id="954367614">
      <w:bodyDiv w:val="1"/>
      <w:marLeft w:val="0"/>
      <w:marRight w:val="0"/>
      <w:marTop w:val="0"/>
      <w:marBottom w:val="0"/>
      <w:divBdr>
        <w:top w:val="none" w:sz="0" w:space="0" w:color="auto"/>
        <w:left w:val="none" w:sz="0" w:space="0" w:color="auto"/>
        <w:bottom w:val="none" w:sz="0" w:space="0" w:color="auto"/>
        <w:right w:val="none" w:sz="0" w:space="0" w:color="auto"/>
      </w:divBdr>
    </w:div>
    <w:div w:id="1193836432">
      <w:bodyDiv w:val="1"/>
      <w:marLeft w:val="0"/>
      <w:marRight w:val="0"/>
      <w:marTop w:val="0"/>
      <w:marBottom w:val="0"/>
      <w:divBdr>
        <w:top w:val="none" w:sz="0" w:space="0" w:color="auto"/>
        <w:left w:val="none" w:sz="0" w:space="0" w:color="auto"/>
        <w:bottom w:val="none" w:sz="0" w:space="0" w:color="auto"/>
        <w:right w:val="none" w:sz="0" w:space="0" w:color="auto"/>
      </w:divBdr>
    </w:div>
    <w:div w:id="1257834908">
      <w:bodyDiv w:val="1"/>
      <w:marLeft w:val="0"/>
      <w:marRight w:val="0"/>
      <w:marTop w:val="0"/>
      <w:marBottom w:val="0"/>
      <w:divBdr>
        <w:top w:val="none" w:sz="0" w:space="0" w:color="auto"/>
        <w:left w:val="none" w:sz="0" w:space="0" w:color="auto"/>
        <w:bottom w:val="none" w:sz="0" w:space="0" w:color="auto"/>
        <w:right w:val="none" w:sz="0" w:space="0" w:color="auto"/>
      </w:divBdr>
    </w:div>
    <w:div w:id="1328827793">
      <w:bodyDiv w:val="1"/>
      <w:marLeft w:val="0"/>
      <w:marRight w:val="0"/>
      <w:marTop w:val="0"/>
      <w:marBottom w:val="0"/>
      <w:divBdr>
        <w:top w:val="none" w:sz="0" w:space="0" w:color="auto"/>
        <w:left w:val="none" w:sz="0" w:space="0" w:color="auto"/>
        <w:bottom w:val="none" w:sz="0" w:space="0" w:color="auto"/>
        <w:right w:val="none" w:sz="0" w:space="0" w:color="auto"/>
      </w:divBdr>
      <w:divsChild>
        <w:div w:id="1489010533">
          <w:marLeft w:val="0"/>
          <w:marRight w:val="0"/>
          <w:marTop w:val="0"/>
          <w:marBottom w:val="0"/>
          <w:divBdr>
            <w:top w:val="single" w:sz="2" w:space="0" w:color="E5E7EB"/>
            <w:left w:val="single" w:sz="2" w:space="0" w:color="E5E7EB"/>
            <w:bottom w:val="single" w:sz="2" w:space="0" w:color="E5E7EB"/>
            <w:right w:val="single" w:sz="2" w:space="0" w:color="E5E7EB"/>
          </w:divBdr>
          <w:divsChild>
            <w:div w:id="1315990348">
              <w:marLeft w:val="0"/>
              <w:marRight w:val="0"/>
              <w:marTop w:val="0"/>
              <w:marBottom w:val="0"/>
              <w:divBdr>
                <w:top w:val="single" w:sz="2" w:space="0" w:color="E5E7EB"/>
                <w:left w:val="single" w:sz="2" w:space="0" w:color="E5E7EB"/>
                <w:bottom w:val="single" w:sz="2" w:space="0" w:color="E5E7EB"/>
                <w:right w:val="single" w:sz="2" w:space="0" w:color="E5E7EB"/>
              </w:divBdr>
              <w:divsChild>
                <w:div w:id="1259095440">
                  <w:marLeft w:val="0"/>
                  <w:marRight w:val="0"/>
                  <w:marTop w:val="0"/>
                  <w:marBottom w:val="0"/>
                  <w:divBdr>
                    <w:top w:val="single" w:sz="6" w:space="0" w:color="auto"/>
                    <w:left w:val="single" w:sz="6" w:space="0" w:color="auto"/>
                    <w:bottom w:val="single" w:sz="6" w:space="0" w:color="auto"/>
                    <w:right w:val="single" w:sz="6" w:space="0" w:color="auto"/>
                  </w:divBdr>
                  <w:divsChild>
                    <w:div w:id="214080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097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86C8F-4212-4124-A9A0-AE2C1E7F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43</Pages>
  <Words>8225</Words>
  <Characters>46885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2025-08-25T15:31:00Z</cp:lastPrinted>
  <dcterms:created xsi:type="dcterms:W3CDTF">2025-08-25T15:29:00Z</dcterms:created>
  <dcterms:modified xsi:type="dcterms:W3CDTF">2025-08-25T16:01:00Z</dcterms:modified>
</cp:coreProperties>
</file>