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CC9" w:rsidRPr="00A82ABA" w:rsidRDefault="00527CC9" w:rsidP="00527CC9">
      <w:pPr>
        <w:jc w:val="center"/>
        <w:rPr>
          <w:rFonts w:ascii="Times New Roman" w:hAnsi="Times New Roman" w:cs="Times New Roman"/>
          <w:b/>
          <w:bCs/>
          <w:color w:val="000000" w:themeColor="text1"/>
          <w:sz w:val="28"/>
          <w:szCs w:val="28"/>
        </w:rPr>
      </w:pPr>
      <w:bookmarkStart w:id="0" w:name="_GoBack"/>
      <w:bookmarkEnd w:id="0"/>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092D09" w:rsidRDefault="00092D09" w:rsidP="0066431E">
      <w:pPr>
        <w:pStyle w:val="NormalWeb"/>
        <w:spacing w:after="150" w:afterAutospacing="0" w:line="18" w:lineRule="atLeast"/>
        <w:jc w:val="center"/>
        <w:rPr>
          <w:rFonts w:eastAsiaTheme="minorHAnsi"/>
          <w:b/>
          <w:bCs/>
          <w:color w:val="000000" w:themeColor="text1"/>
          <w:sz w:val="28"/>
          <w:szCs w:val="28"/>
        </w:rPr>
      </w:pPr>
      <w:r w:rsidRPr="00092D09">
        <w:rPr>
          <w:rFonts w:eastAsiaTheme="minorHAnsi"/>
          <w:b/>
          <w:bCs/>
          <w:color w:val="000000" w:themeColor="text1"/>
          <w:sz w:val="28"/>
          <w:szCs w:val="28"/>
        </w:rPr>
        <w:t>MOHAMMED KAFAYAT KOFOWOROLA</w:t>
      </w:r>
    </w:p>
    <w:p w:rsidR="00581C7A" w:rsidRDefault="00092D09" w:rsidP="0066431E">
      <w:pPr>
        <w:pStyle w:val="NormalWeb"/>
        <w:spacing w:after="150" w:afterAutospacing="0" w:line="18" w:lineRule="atLeast"/>
        <w:jc w:val="center"/>
        <w:rPr>
          <w:rFonts w:eastAsiaTheme="minorHAnsi"/>
          <w:b/>
          <w:bCs/>
          <w:color w:val="000000" w:themeColor="text1"/>
          <w:sz w:val="28"/>
          <w:szCs w:val="28"/>
        </w:rPr>
      </w:pPr>
      <w:r>
        <w:rPr>
          <w:rFonts w:eastAsiaTheme="minorHAnsi"/>
          <w:b/>
          <w:bCs/>
          <w:color w:val="000000" w:themeColor="text1"/>
          <w:sz w:val="28"/>
          <w:szCs w:val="28"/>
        </w:rPr>
        <w:t>HND/23/SLT/FT/0522</w:t>
      </w:r>
    </w:p>
    <w:p w:rsidR="0066431E" w:rsidRPr="00A82ABA" w:rsidRDefault="0066431E"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092D09" w:rsidRPr="00092D09">
        <w:rPr>
          <w:rFonts w:ascii="Times New Roman" w:hAnsi="Times New Roman" w:cs="Times New Roman"/>
          <w:b/>
          <w:bCs/>
          <w:color w:val="000000" w:themeColor="text1"/>
          <w:sz w:val="28"/>
          <w:szCs w:val="28"/>
        </w:rPr>
        <w:t>MOHAMMED KAFAYAT KOFOWOROLA</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092D09">
        <w:rPr>
          <w:rFonts w:ascii="Times New Roman" w:hAnsi="Times New Roman" w:cs="Times New Roman"/>
          <w:b/>
          <w:bCs/>
          <w:color w:val="000000" w:themeColor="text1"/>
          <w:sz w:val="28"/>
          <w:szCs w:val="28"/>
        </w:rPr>
        <w:t>HND/23/SLT/FT/0522</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092D09" w:rsidRPr="00092D09" w:rsidRDefault="00092D09" w:rsidP="00092D09">
      <w:pPr>
        <w:spacing w:after="0" w:line="480" w:lineRule="auto"/>
        <w:jc w:val="both"/>
        <w:rPr>
          <w:rFonts w:ascii="Times New Roman" w:hAnsi="Times New Roman" w:cs="Times New Roman"/>
          <w:color w:val="000000" w:themeColor="text1"/>
          <w:sz w:val="28"/>
          <w:szCs w:val="28"/>
        </w:rPr>
      </w:pPr>
      <w:r w:rsidRPr="00092D09">
        <w:rPr>
          <w:rFonts w:ascii="Times New Roman" w:hAnsi="Times New Roman" w:cs="Times New Roman"/>
          <w:color w:val="000000" w:themeColor="text1"/>
          <w:sz w:val="28"/>
          <w:szCs w:val="28"/>
        </w:rPr>
        <w:t xml:space="preserve">This project is dedicated to Almighty Allah , the most beneficent and the most merciful for the successful completion of my project work and also to my parents for their love and care shown to me right from childhood till now. </w:t>
      </w:r>
    </w:p>
    <w:p w:rsidR="00527CC9" w:rsidRPr="00A82ABA" w:rsidRDefault="00092D09" w:rsidP="00092D09">
      <w:pPr>
        <w:spacing w:after="0" w:line="480" w:lineRule="auto"/>
        <w:jc w:val="both"/>
        <w:rPr>
          <w:rFonts w:ascii="Times New Roman" w:hAnsi="Times New Roman" w:cs="Times New Roman"/>
          <w:b/>
          <w:color w:val="000000" w:themeColor="text1"/>
          <w:sz w:val="28"/>
          <w:szCs w:val="28"/>
        </w:rPr>
      </w:pPr>
      <w:r w:rsidRPr="00092D09">
        <w:rPr>
          <w:rFonts w:ascii="Times New Roman" w:hAnsi="Times New Roman" w:cs="Times New Roman"/>
          <w:color w:val="000000" w:themeColor="text1"/>
          <w:sz w:val="28"/>
          <w:szCs w:val="28"/>
        </w:rPr>
        <w:t>May yo</w:t>
      </w:r>
      <w:r>
        <w:rPr>
          <w:rFonts w:ascii="Times New Roman" w:hAnsi="Times New Roman" w:cs="Times New Roman"/>
          <w:color w:val="000000" w:themeColor="text1"/>
          <w:sz w:val="28"/>
          <w:szCs w:val="28"/>
        </w:rPr>
        <w:t>u reap the fruit of your labour</w:t>
      </w:r>
      <w:r w:rsidRPr="00092D09">
        <w:rPr>
          <w:rFonts w:ascii="Times New Roman" w:hAnsi="Times New Roman" w:cs="Times New Roman"/>
          <w:color w:val="000000" w:themeColor="text1"/>
          <w:sz w:val="28"/>
          <w:szCs w:val="28"/>
        </w:rPr>
        <w:t>. Aameen</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092D09" w:rsidRDefault="00092D0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8B7246" w:rsidRDefault="00092D09" w:rsidP="00092D09">
      <w:pPr>
        <w:spacing w:line="480" w:lineRule="auto"/>
        <w:jc w:val="both"/>
        <w:rPr>
          <w:rFonts w:ascii="Times New Roman" w:hAnsi="Times New Roman" w:cs="Times New Roman"/>
          <w:color w:val="000000" w:themeColor="text1"/>
          <w:sz w:val="28"/>
          <w:szCs w:val="28"/>
        </w:rPr>
      </w:pPr>
      <w:r w:rsidRPr="00092D09">
        <w:rPr>
          <w:rFonts w:ascii="Times New Roman" w:hAnsi="Times New Roman" w:cs="Times New Roman"/>
          <w:color w:val="000000" w:themeColor="text1"/>
          <w:sz w:val="28"/>
          <w:szCs w:val="28"/>
        </w:rPr>
        <w:lastRenderedPageBreak/>
        <w:t>My immeasurable appreciation goes to Almighty Allah , the lord of magnificent throne who shower me knowledge, wisdom and sound health . May the peace and blessings of Allah be upon ou</w:t>
      </w:r>
      <w:r>
        <w:rPr>
          <w:rFonts w:ascii="Times New Roman" w:hAnsi="Times New Roman" w:cs="Times New Roman"/>
          <w:color w:val="000000" w:themeColor="text1"/>
          <w:sz w:val="28"/>
          <w:szCs w:val="28"/>
        </w:rPr>
        <w:t xml:space="preserve">r noble Prophet Muhammad (SAW). </w:t>
      </w:r>
      <w:r w:rsidRPr="00092D09">
        <w:rPr>
          <w:rFonts w:ascii="Times New Roman" w:hAnsi="Times New Roman" w:cs="Times New Roman"/>
          <w:color w:val="000000" w:themeColor="text1"/>
          <w:sz w:val="28"/>
          <w:szCs w:val="28"/>
        </w:rPr>
        <w:t>I am greatly indebted to my dearest and loving parent Mr &amp; Mrs. Mohammed for their moral and financial support through the period o</w:t>
      </w:r>
      <w:r>
        <w:rPr>
          <w:rFonts w:ascii="Times New Roman" w:hAnsi="Times New Roman" w:cs="Times New Roman"/>
          <w:color w:val="000000" w:themeColor="text1"/>
          <w:sz w:val="28"/>
          <w:szCs w:val="28"/>
        </w:rPr>
        <w:t xml:space="preserve">f my course in the polytechnic. </w:t>
      </w:r>
      <w:r w:rsidRPr="00092D09">
        <w:rPr>
          <w:rFonts w:ascii="Times New Roman" w:hAnsi="Times New Roman" w:cs="Times New Roman"/>
          <w:color w:val="000000" w:themeColor="text1"/>
          <w:sz w:val="28"/>
          <w:szCs w:val="28"/>
        </w:rPr>
        <w:t>My sincere and extreme appreciation goes to my brothers,</w:t>
      </w:r>
      <w:r>
        <w:rPr>
          <w:rFonts w:ascii="Times New Roman" w:hAnsi="Times New Roman" w:cs="Times New Roman"/>
          <w:color w:val="000000" w:themeColor="text1"/>
          <w:sz w:val="28"/>
          <w:szCs w:val="28"/>
        </w:rPr>
        <w:t xml:space="preserve"> </w:t>
      </w:r>
      <w:r w:rsidRPr="00092D09">
        <w:rPr>
          <w:rFonts w:ascii="Times New Roman" w:hAnsi="Times New Roman" w:cs="Times New Roman"/>
          <w:color w:val="000000" w:themeColor="text1"/>
          <w:sz w:val="28"/>
          <w:szCs w:val="28"/>
        </w:rPr>
        <w:t>sisters and my younger ones for their super contri</w:t>
      </w:r>
      <w:r>
        <w:rPr>
          <w:rFonts w:ascii="Times New Roman" w:hAnsi="Times New Roman" w:cs="Times New Roman"/>
          <w:color w:val="000000" w:themeColor="text1"/>
          <w:sz w:val="28"/>
          <w:szCs w:val="28"/>
        </w:rPr>
        <w:t xml:space="preserve">bution . I say a big thank you. </w:t>
      </w:r>
      <w:r w:rsidRPr="00092D09">
        <w:rPr>
          <w:rFonts w:ascii="Times New Roman" w:hAnsi="Times New Roman" w:cs="Times New Roman"/>
          <w:color w:val="000000" w:themeColor="text1"/>
          <w:sz w:val="28"/>
          <w:szCs w:val="28"/>
        </w:rPr>
        <w:t>I express my profound gratitude to my lovely friends and others who are numerous to</w:t>
      </w:r>
      <w:r>
        <w:rPr>
          <w:rFonts w:ascii="Times New Roman" w:hAnsi="Times New Roman" w:cs="Times New Roman"/>
          <w:color w:val="000000" w:themeColor="text1"/>
          <w:sz w:val="28"/>
          <w:szCs w:val="28"/>
        </w:rPr>
        <w:t xml:space="preserve"> mention . I am very grateful. </w:t>
      </w:r>
      <w:r w:rsidRPr="00092D09">
        <w:rPr>
          <w:rFonts w:ascii="Times New Roman" w:hAnsi="Times New Roman" w:cs="Times New Roman"/>
          <w:color w:val="000000" w:themeColor="text1"/>
          <w:sz w:val="28"/>
          <w:szCs w:val="28"/>
        </w:rPr>
        <w:t xml:space="preserve">Finally , I again return all the glory ,honour and adoration to the most high Almighty Allah </w:t>
      </w:r>
      <w:r>
        <w:rPr>
          <w:rFonts w:ascii="Times New Roman" w:hAnsi="Times New Roman" w:cs="Times New Roman"/>
          <w:color w:val="000000" w:themeColor="text1"/>
          <w:sz w:val="28"/>
          <w:szCs w:val="28"/>
        </w:rPr>
        <w:t xml:space="preserve">for his goodness upon my life . </w:t>
      </w:r>
      <w:r w:rsidRPr="00092D09">
        <w:rPr>
          <w:rFonts w:ascii="Times New Roman" w:hAnsi="Times New Roman" w:cs="Times New Roman"/>
          <w:color w:val="000000" w:themeColor="text1"/>
          <w:sz w:val="28"/>
          <w:szCs w:val="28"/>
        </w:rPr>
        <w:t>If I have thousands tongue and start to thank him from now till eternity , it is not enough to pay fo</w:t>
      </w:r>
      <w:r>
        <w:rPr>
          <w:rFonts w:ascii="Times New Roman" w:hAnsi="Times New Roman" w:cs="Times New Roman"/>
          <w:color w:val="000000" w:themeColor="text1"/>
          <w:sz w:val="28"/>
          <w:szCs w:val="28"/>
        </w:rPr>
        <w:t>r what he has done in my life . Alhamdulilahi Robil Alamin.</w:t>
      </w: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Default="00092D09" w:rsidP="00092D09">
      <w:pPr>
        <w:spacing w:line="480" w:lineRule="auto"/>
        <w:jc w:val="both"/>
        <w:rPr>
          <w:rFonts w:ascii="Times New Roman" w:hAnsi="Times New Roman" w:cs="Times New Roman"/>
          <w:color w:val="000000" w:themeColor="text1"/>
          <w:sz w:val="28"/>
          <w:szCs w:val="28"/>
        </w:rPr>
      </w:pPr>
    </w:p>
    <w:p w:rsidR="00092D09" w:rsidRPr="008B7246" w:rsidRDefault="00092D09" w:rsidP="00092D09">
      <w:pPr>
        <w:spacing w:line="480" w:lineRule="auto"/>
        <w:jc w:val="both"/>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lastRenderedPageBreak/>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t>iv</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515AC3">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515AC3">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515AC3">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515AC3">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515AC3">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515AC3">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Fig.5:Traditional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Aspergillus niger</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attributed to compounds such as vernodalin and vernomygdin (Abbah et al., 2020). </w:t>
      </w:r>
      <w:r w:rsidRPr="00F44DF6">
        <w:rPr>
          <w:rFonts w:ascii="Times New Roman" w:eastAsia="Times New Roman" w:hAnsi="Times New Roman" w:cs="Times New Roman"/>
          <w:sz w:val="28"/>
          <w:szCs w:val="28"/>
        </w:rPr>
        <w:lastRenderedPageBreak/>
        <w:t>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medicinal applications. According to Ayoade et al. (2021), two common field types </w:t>
      </w:r>
      <w:r w:rsidRPr="00F44DF6">
        <w:rPr>
          <w:sz w:val="28"/>
          <w:szCs w:val="28"/>
        </w:rPr>
        <w:lastRenderedPageBreak/>
        <w:t xml:space="preserve">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the domesticated version is usually propagated through stem cuttings and is </w:t>
      </w:r>
      <w:r w:rsidRPr="00F44DF6">
        <w:rPr>
          <w:sz w:val="28"/>
          <w:szCs w:val="28"/>
        </w:rPr>
        <w:lastRenderedPageBreak/>
        <w:t xml:space="preserve">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becomes increasingly commercialized, researchers and agricultural extension </w:t>
      </w:r>
      <w:r w:rsidRPr="00F44DF6">
        <w:rPr>
          <w:sz w:val="28"/>
          <w:szCs w:val="28"/>
        </w:rPr>
        <w:lastRenderedPageBreak/>
        <w:t xml:space="preserve">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w:t>
      </w:r>
      <w:r w:rsidRPr="00F44DF6">
        <w:rPr>
          <w:sz w:val="28"/>
          <w:szCs w:val="28"/>
        </w:rPr>
        <w:lastRenderedPageBreak/>
        <w:t xml:space="preserve">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w:t>
      </w:r>
      <w:r w:rsidRPr="00F44DF6">
        <w:rPr>
          <w:sz w:val="28"/>
          <w:szCs w:val="28"/>
        </w:rPr>
        <w:lastRenderedPageBreak/>
        <w:t xml:space="preserve">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w:t>
      </w:r>
      <w:r w:rsidRPr="00F44DF6">
        <w:rPr>
          <w:sz w:val="28"/>
          <w:szCs w:val="28"/>
        </w:rPr>
        <w:lastRenderedPageBreak/>
        <w:t xml:space="preserve">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w:t>
      </w:r>
      <w:r w:rsidRPr="00F44DF6">
        <w:rPr>
          <w:sz w:val="28"/>
          <w:szCs w:val="28"/>
        </w:rPr>
        <w:lastRenderedPageBreak/>
        <w:t xml:space="preserve">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Studies have demonstrated that bitter leaf extracts contain high levels of polyphenols and flavonoids, which contribute significantly to its strong antioxidant capacity (Nworu et al., 2022). These antioxidants help neutralize reactive oxygen species </w:t>
      </w:r>
      <w:r w:rsidRPr="00F44DF6">
        <w:rPr>
          <w:rFonts w:ascii="Times New Roman" w:hAnsi="Times New Roman" w:cs="Times New Roman"/>
          <w:sz w:val="28"/>
          <w:szCs w:val="28"/>
        </w:rPr>
        <w:lastRenderedPageBreak/>
        <w:t>(ROS),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lastRenderedPageBreak/>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lastRenderedPageBreak/>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regulate blood pressure and supports heart function. The hepatoprotective properties </w:t>
      </w:r>
      <w:r w:rsidRPr="00F44DF6">
        <w:rPr>
          <w:sz w:val="28"/>
          <w:szCs w:val="28"/>
        </w:rPr>
        <w:lastRenderedPageBreak/>
        <w:t>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cause of rancidity in many food products, leading to off-flavors and reduced nutritional value. Extracts from bitter leaf have been shown to scavenge free radicals </w:t>
      </w:r>
      <w:r w:rsidRPr="00F44DF6">
        <w:rPr>
          <w:sz w:val="28"/>
          <w:szCs w:val="28"/>
        </w:rPr>
        <w:lastRenderedPageBreak/>
        <w:t>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w:t>
      </w:r>
      <w:r w:rsidRPr="00F44DF6">
        <w:rPr>
          <w:sz w:val="28"/>
          <w:szCs w:val="28"/>
        </w:rPr>
        <w:lastRenderedPageBreak/>
        <w:t>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xml:space="preserve">) in sorghum processing presents promising opportunities for enhancing both the nutritional quality and shelf </w:t>
      </w:r>
      <w:r w:rsidRPr="00F44DF6">
        <w:rPr>
          <w:sz w:val="28"/>
          <w:szCs w:val="28"/>
        </w:rPr>
        <w:lastRenderedPageBreak/>
        <w:t>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 xml:space="preserve">In sorghum processing, bitter leaf can also improve sensory qualities such as taste and aroma. While the inherent bitterness of the leaf may be a challenge, careful processing and dosage optimization can balance flavor profiles to enhance consumer </w:t>
      </w:r>
      <w:r w:rsidRPr="00F44DF6">
        <w:rPr>
          <w:sz w:val="28"/>
          <w:szCs w:val="28"/>
        </w:rPr>
        <w:lastRenderedPageBreak/>
        <w:t>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lastRenderedPageBreak/>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w:t>
      </w:r>
      <w:r w:rsidRPr="00F44DF6">
        <w:rPr>
          <w:rFonts w:ascii="Times New Roman" w:eastAsia="Times New Roman" w:hAnsi="Times New Roman" w:cs="Times New Roman"/>
          <w:sz w:val="28"/>
          <w:szCs w:val="28"/>
        </w:rPr>
        <w:lastRenderedPageBreak/>
        <w:t xml:space="preserve">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w:t>
      </w:r>
      <w:r w:rsidRPr="00F44DF6">
        <w:rPr>
          <w:rFonts w:ascii="Times New Roman" w:eastAsia="Times New Roman" w:hAnsi="Times New Roman" w:cs="Times New Roman"/>
          <w:sz w:val="28"/>
          <w:szCs w:val="28"/>
        </w:rPr>
        <w:lastRenderedPageBreak/>
        <w:t>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each influencing its nutritional profile and application. White sorghum, such as the variety ‘SAMSORG 17’, is preferred for human consumption due to its mild flavor and low tannin content (Farré 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w:t>
      </w:r>
      <w:r w:rsidRPr="00F44DF6">
        <w:rPr>
          <w:rFonts w:ascii="Times New Roman" w:eastAsia="Times New Roman" w:hAnsi="Times New Roman" w:cs="Times New Roman"/>
          <w:sz w:val="28"/>
          <w:szCs w:val="28"/>
        </w:rPr>
        <w:lastRenderedPageBreak/>
        <w:t>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lastRenderedPageBreak/>
        <w:t>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 xml:space="preserve">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w:t>
      </w:r>
      <w:r w:rsidRPr="00F44DF6">
        <w:rPr>
          <w:sz w:val="28"/>
          <w:szCs w:val="28"/>
        </w:rPr>
        <w:lastRenderedPageBreak/>
        <w:t>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w:t>
      </w:r>
      <w:r w:rsidRPr="00F44DF6">
        <w:rPr>
          <w:rFonts w:ascii="Times New Roman" w:eastAsia="Times New Roman" w:hAnsi="Times New Roman" w:cs="Times New Roman"/>
          <w:sz w:val="28"/>
          <w:szCs w:val="28"/>
        </w:rPr>
        <w:lastRenderedPageBreak/>
        <w:t>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food research, sorghum phytochemicals have attracted attention due to their therapeutic benefits. Phenolic compounds in sorghum have shown inhibitory activity against enzymes linked to diabetes, cancer, and cardiovascular diseases (Mukurumbira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w:t>
      </w:r>
      <w:r w:rsidRPr="00F44DF6">
        <w:rPr>
          <w:rFonts w:ascii="Times New Roman" w:eastAsia="Times New Roman" w:hAnsi="Times New Roman" w:cs="Times New Roman"/>
          <w:sz w:val="28"/>
          <w:szCs w:val="28"/>
        </w:rPr>
        <w:lastRenderedPageBreak/>
        <w:t>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w:t>
      </w:r>
      <w:r w:rsidRPr="00F44DF6">
        <w:rPr>
          <w:rFonts w:ascii="Times New Roman" w:eastAsia="Times New Roman" w:hAnsi="Times New Roman" w:cs="Times New Roman"/>
          <w:sz w:val="28"/>
          <w:szCs w:val="28"/>
        </w:rPr>
        <w:lastRenderedPageBreak/>
        <w:t>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he nutritional quality of sorghum varies with genotype, soil condition, and processing methods. Brown and red sorghum varieties often contain more antioxidants and fiber than white varieties, which are commonly used in porridges 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Wet milled Soghurm(Ogi)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slurry after fermentation to gelatinize starches, improve digestibility, and extend shelf life. The microbiological dynamics during fermentation depend on the </w:t>
      </w:r>
      <w:r w:rsidRPr="00F44DF6">
        <w:rPr>
          <w:rFonts w:ascii="Times New Roman" w:eastAsia="Times New Roman" w:hAnsi="Times New Roman" w:cs="Times New Roman"/>
          <w:sz w:val="28"/>
          <w:szCs w:val="28"/>
        </w:rPr>
        <w:lastRenderedPageBreak/>
        <w:t xml:space="preserve">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effective preservation technique is drying or dehydration, which reduces the moisture content significantly, thereby limiting microbial growth. Dried ogi can </w:t>
      </w:r>
      <w:r w:rsidRPr="00F44DF6">
        <w:rPr>
          <w:rFonts w:ascii="Times New Roman" w:eastAsia="Times New Roman" w:hAnsi="Times New Roman" w:cs="Times New Roman"/>
          <w:sz w:val="28"/>
          <w:szCs w:val="28"/>
        </w:rPr>
        <w:lastRenderedPageBreak/>
        <w:t>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polycyclic aromatic hydrocarbons, posing potential health risks if consumed </w:t>
      </w:r>
      <w:r w:rsidRPr="00F44DF6">
        <w:rPr>
          <w:rFonts w:ascii="Times New Roman" w:eastAsia="Times New Roman" w:hAnsi="Times New Roman" w:cs="Times New Roman"/>
          <w:sz w:val="28"/>
          <w:szCs w:val="28"/>
        </w:rPr>
        <w:lastRenderedPageBreak/>
        <w:t>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potassium), and bioactive phytochemicals like flavonoids, saponins, and phenolic compounds (Okafor et al., 2021). When added to sorghum during wet milling, these </w:t>
      </w:r>
      <w:r w:rsidRPr="00F44DF6">
        <w:rPr>
          <w:rFonts w:ascii="Times New Roman" w:eastAsia="Times New Roman" w:hAnsi="Times New Roman" w:cs="Times New Roman"/>
          <w:sz w:val="28"/>
          <w:szCs w:val="28"/>
        </w:rPr>
        <w:lastRenderedPageBreak/>
        <w:t>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techniques such as blanching or controlled extraction of bitter compounds can help mitigate excessive bitterness while retaining the nutritional and preservative benefits. Overall, the effect of bitter leaf on wet-milled sorghum is promising for </w:t>
      </w:r>
      <w:r w:rsidRPr="00F44DF6">
        <w:rPr>
          <w:rFonts w:ascii="Times New Roman" w:eastAsia="Times New Roman" w:hAnsi="Times New Roman" w:cs="Times New Roman"/>
          <w:sz w:val="28"/>
          <w:szCs w:val="28"/>
        </w:rPr>
        <w:lastRenderedPageBreak/>
        <w:t>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showed reduced total viable bacterial counts over a 7-day refrigerated storage period. The researchers attributed this to the high concentration of flavonoids, alkaloids, and other phytochemicals present in bitter leaf, which possess broad-spectrum </w:t>
      </w:r>
      <w:r w:rsidRPr="00F44DF6">
        <w:rPr>
          <w:rFonts w:ascii="Times New Roman" w:eastAsia="Times New Roman" w:hAnsi="Times New Roman" w:cs="Times New Roman"/>
          <w:sz w:val="28"/>
          <w:szCs w:val="28"/>
        </w:rPr>
        <w:lastRenderedPageBreak/>
        <w:t>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xml:space="preserve">) showing promise due to its antimicrobial and nutritional properties (Ezekwesili et al., 2020). Despite this, there is limited research on its incorporation into ogi to enhance both shelf life and nutritional value. This study, </w:t>
      </w:r>
      <w:r w:rsidRPr="00F44DF6">
        <w:rPr>
          <w:rFonts w:ascii="Times New Roman" w:hAnsi="Times New Roman" w:cs="Times New Roman"/>
          <w:sz w:val="28"/>
          <w:szCs w:val="28"/>
        </w:rPr>
        <w:lastRenderedPageBreak/>
        <w:t>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lastRenderedPageBreak/>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lastRenderedPageBreak/>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w:t>
      </w:r>
      <w:r w:rsidRPr="00F44DF6">
        <w:rPr>
          <w:rFonts w:ascii="Times New Roman" w:eastAsia="Times New Roman" w:hAnsi="Times New Roman" w:cs="Times New Roman"/>
          <w:sz w:val="28"/>
          <w:szCs w:val="28"/>
        </w:rPr>
        <w:lastRenderedPageBreak/>
        <w:t>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c.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amount of bacterial colony was trans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xml:space="preserve">) was then placed on the slide and mixed with the colony. A positive result was </w:t>
      </w:r>
      <w:r w:rsidRPr="00F44DF6">
        <w:rPr>
          <w:rFonts w:ascii="Times New Roman" w:eastAsia="Times New Roman" w:hAnsi="Times New Roman" w:cs="Times New Roman"/>
          <w:sz w:val="28"/>
          <w:szCs w:val="28"/>
        </w:rPr>
        <w:lastRenderedPageBreak/>
        <w:t>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organism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w:t>
      </w:r>
      <w:r w:rsidRPr="00F44DF6">
        <w:rPr>
          <w:rFonts w:ascii="Times New Roman" w:eastAsia="Times New Roman" w:hAnsi="Times New Roman" w:cs="Times New Roman"/>
          <w:sz w:val="28"/>
          <w:szCs w:val="28"/>
        </w:rPr>
        <w:lastRenderedPageBreak/>
        <w:t xml:space="preserve">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lastRenderedPageBreak/>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lastRenderedPageBreak/>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lastRenderedPageBreak/>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discussion in the chapter on pH and acidity emphasizes that pH and titratable acidity are not the same. pH is a measure of the amount of free hydrogen ions in a solation. Titratable acidity is a measure of both bound and free hydrogen ions in a </w:t>
      </w:r>
      <w:r w:rsidRPr="00F44DF6">
        <w:rPr>
          <w:rFonts w:ascii="Times New Roman" w:eastAsia="Times New Roman" w:hAnsi="Times New Roman" w:cs="Times New Roman"/>
          <w:sz w:val="28"/>
          <w:szCs w:val="28"/>
        </w:rPr>
        <w:lastRenderedPageBreak/>
        <w:t>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w:t>
      </w:r>
      <w:r w:rsidRPr="00F44DF6">
        <w:rPr>
          <w:rFonts w:ascii="Times New Roman" w:eastAsia="Times New Roman" w:hAnsi="Times New Roman" w:cs="Times New Roman"/>
          <w:sz w:val="28"/>
          <w:szCs w:val="28"/>
        </w:rPr>
        <w:lastRenderedPageBreak/>
        <w:t>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C. Dw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C. N</w:t>
      </w:r>
      <w:r w:rsidR="00783B08" w:rsidRPr="00F44DF6">
        <w:rPr>
          <w:rFonts w:ascii="Times New Roman" w:hAnsi="Times New Roman" w:cs="Times New Roman"/>
          <w:b/>
          <w:sz w:val="28"/>
          <w:szCs w:val="28"/>
        </w:rPr>
        <w:t>w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lastRenderedPageBreak/>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lastRenderedPageBreak/>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lastRenderedPageBreak/>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antifungal potential. The reduction of harmful fungi is consistent with the findings </w:t>
      </w:r>
      <w:r w:rsidRPr="00F44DF6">
        <w:rPr>
          <w:rFonts w:ascii="Times New Roman" w:eastAsia="Times New Roman" w:hAnsi="Times New Roman" w:cs="Times New Roman"/>
          <w:sz w:val="28"/>
          <w:szCs w:val="28"/>
        </w:rPr>
        <w:lastRenderedPageBreak/>
        <w:t xml:space="preserve">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TTA was observed across all samples, with control samples, particularly C. Dw (1.64%), showing a sharper increase than most fortified samples, suggesting </w:t>
      </w:r>
      <w:r w:rsidRPr="00F44DF6">
        <w:rPr>
          <w:rFonts w:ascii="Times New Roman" w:eastAsia="Times New Roman" w:hAnsi="Times New Roman" w:cs="Times New Roman"/>
          <w:sz w:val="28"/>
          <w:szCs w:val="28"/>
        </w:rPr>
        <w:lastRenderedPageBreak/>
        <w:t>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consistently demonstrated lower bacterial and fungal counts, enhanced protein content, reduced moisture levels, and better overall acceptability compared to the control samples. These effects are attributable to the antimicrobial and nutritive </w:t>
      </w:r>
      <w:r w:rsidRPr="00F44DF6">
        <w:rPr>
          <w:rFonts w:ascii="Times New Roman" w:eastAsia="Times New Roman" w:hAnsi="Times New Roman" w:cs="Times New Roman"/>
          <w:sz w:val="28"/>
          <w:szCs w:val="28"/>
        </w:rPr>
        <w:lastRenderedPageBreak/>
        <w:t xml:space="preserve">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w:t>
      </w:r>
      <w:r w:rsidRPr="00F44DF6">
        <w:rPr>
          <w:sz w:val="28"/>
          <w:szCs w:val="28"/>
        </w:rPr>
        <w:lastRenderedPageBreak/>
        <w:t>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de Morais Cardoso, L., Pinheiro, S. S., Martino, H. S. D., &amp; Pinheiro-Sant’Ana, H. M. (2021). Sorghum: Nutritional composition, antioxidant capacity, and </w:t>
      </w:r>
      <w:r w:rsidRPr="00F44DF6">
        <w:rPr>
          <w:rFonts w:ascii="Times New Roman" w:eastAsia="Times New Roman" w:hAnsi="Times New Roman" w:cs="Times New Roman"/>
          <w:sz w:val="28"/>
          <w:szCs w:val="28"/>
        </w:rPr>
        <w:lastRenderedPageBreak/>
        <w:t xml:space="preserve">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 xml:space="preserve">African </w:t>
      </w:r>
      <w:r w:rsidRPr="00F44DF6">
        <w:rPr>
          <w:rFonts w:ascii="Times New Roman" w:eastAsia="Times New Roman" w:hAnsi="Times New Roman" w:cs="Times New Roman"/>
          <w:i/>
          <w:iCs/>
          <w:sz w:val="28"/>
          <w:szCs w:val="28"/>
        </w:rPr>
        <w:lastRenderedPageBreak/>
        <w:t>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Mace, E. S., Tai, S., Gilding, E. K., Li, Y., Prentis, P. J., Bian, L., ...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w:t>
      </w:r>
      <w:r w:rsidRPr="00F44DF6">
        <w:rPr>
          <w:rFonts w:ascii="Times New Roman" w:eastAsia="Times New Roman" w:hAnsi="Times New Roman" w:cs="Times New Roman"/>
          <w:sz w:val="28"/>
          <w:szCs w:val="28"/>
        </w:rPr>
        <w:lastRenderedPageBreak/>
        <w:t xml:space="preserve">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0BF" w:rsidRDefault="003B30BF" w:rsidP="004F7DD7">
      <w:pPr>
        <w:spacing w:after="0" w:line="240" w:lineRule="auto"/>
      </w:pPr>
      <w:r>
        <w:separator/>
      </w:r>
    </w:p>
  </w:endnote>
  <w:endnote w:type="continuationSeparator" w:id="0">
    <w:p w:rsidR="003B30BF" w:rsidRDefault="003B30BF"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315416"/>
      <w:docPartObj>
        <w:docPartGallery w:val="Page Numbers (Bottom of Page)"/>
        <w:docPartUnique/>
      </w:docPartObj>
    </w:sdtPr>
    <w:sdtEndPr>
      <w:rPr>
        <w:noProof/>
      </w:rPr>
    </w:sdtEndPr>
    <w:sdtContent>
      <w:p w:rsidR="0066431E" w:rsidRDefault="0066431E">
        <w:pPr>
          <w:pStyle w:val="Footer"/>
          <w:jc w:val="center"/>
        </w:pPr>
        <w:r>
          <w:fldChar w:fldCharType="begin"/>
        </w:r>
        <w:r>
          <w:instrText xml:space="preserve"> PAGE   \* MERGEFORMAT </w:instrText>
        </w:r>
        <w:r>
          <w:fldChar w:fldCharType="separate"/>
        </w:r>
        <w:r w:rsidR="00092D09">
          <w:rPr>
            <w:noProof/>
          </w:rPr>
          <w:t>i</w:t>
        </w:r>
        <w:r>
          <w:rPr>
            <w:noProof/>
          </w:rPr>
          <w:fldChar w:fldCharType="end"/>
        </w:r>
      </w:p>
    </w:sdtContent>
  </w:sdt>
  <w:p w:rsidR="0066431E" w:rsidRDefault="00664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0BF" w:rsidRDefault="003B30BF" w:rsidP="004F7DD7">
      <w:pPr>
        <w:spacing w:after="0" w:line="240" w:lineRule="auto"/>
      </w:pPr>
      <w:r>
        <w:separator/>
      </w:r>
    </w:p>
  </w:footnote>
  <w:footnote w:type="continuationSeparator" w:id="0">
    <w:p w:rsidR="003B30BF" w:rsidRDefault="003B30BF" w:rsidP="004F7D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15:restartNumberingAfterBreak="0">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15:restartNumberingAfterBreak="0">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098"/>
    <w:rsid w:val="00002DBD"/>
    <w:rsid w:val="00006D72"/>
    <w:rsid w:val="00024861"/>
    <w:rsid w:val="00092D09"/>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B30BF"/>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15AC3"/>
    <w:rsid w:val="00527CC9"/>
    <w:rsid w:val="00536042"/>
    <w:rsid w:val="00543CCF"/>
    <w:rsid w:val="00561A2E"/>
    <w:rsid w:val="00581C7A"/>
    <w:rsid w:val="00637EE4"/>
    <w:rsid w:val="00645FF4"/>
    <w:rsid w:val="0066431E"/>
    <w:rsid w:val="006778C2"/>
    <w:rsid w:val="006808AE"/>
    <w:rsid w:val="00691A88"/>
    <w:rsid w:val="006F022C"/>
    <w:rsid w:val="00722709"/>
    <w:rsid w:val="00783B08"/>
    <w:rsid w:val="0078606D"/>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hyperlink" Target="https://doi.org/10.5897/AJB2022.17456" TargetMode="External" /><Relationship Id="rId3" Type="http://schemas.openxmlformats.org/officeDocument/2006/relationships/styles" Target="styles.xml" /><Relationship Id="rId21" Type="http://schemas.openxmlformats.org/officeDocument/2006/relationships/hyperlink" Target="https://doi.org/10.1007/s13197-021-05044-4" TargetMode="Externa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hyperlink" Target="https://doi.org/10.4314/njb.v34i2.5" TargetMode="External" /><Relationship Id="rId2" Type="http://schemas.openxmlformats.org/officeDocument/2006/relationships/numbering" Target="numbering.xml" /><Relationship Id="rId16" Type="http://schemas.openxmlformats.org/officeDocument/2006/relationships/hyperlink" Target="https://doi.org/10.1155/2020/8876543" TargetMode="External" /><Relationship Id="rId20" Type="http://schemas.openxmlformats.org/officeDocument/2006/relationships/hyperlink" Target="https://doi.org/10.5539/jps.v11n1p1"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5" Type="http://schemas.openxmlformats.org/officeDocument/2006/relationships/webSettings" Target="webSettings.xml" /><Relationship Id="rId15" Type="http://schemas.openxmlformats.org/officeDocument/2006/relationships/hyperlink" Target="https://doi.org/10.1016/j.sciaf.2020.e00423" TargetMode="External" /><Relationship Id="rId23" Type="http://schemas.openxmlformats.org/officeDocument/2006/relationships/theme" Target="theme/theme1.xml" /><Relationship Id="rId10" Type="http://schemas.openxmlformats.org/officeDocument/2006/relationships/image" Target="media/image2.png" /><Relationship Id="rId19" Type="http://schemas.openxmlformats.org/officeDocument/2006/relationships/hyperlink" Target="https://doi.org/10.1186/s13002-020-00394-6" TargetMode="External"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hyperlink" Target="https://doi.org/10.5897/JMPR2020.6680" TargetMode="External"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2A934-05CE-A146-8B50-542EA639239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18715</Words>
  <Characters>106678</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Guest User</cp:lastModifiedBy>
  <cp:revision>2</cp:revision>
  <cp:lastPrinted>2025-07-11T11:16:00Z</cp:lastPrinted>
  <dcterms:created xsi:type="dcterms:W3CDTF">2025-08-26T08:25:00Z</dcterms:created>
  <dcterms:modified xsi:type="dcterms:W3CDTF">2025-08-26T08:25:00Z</dcterms:modified>
</cp:coreProperties>
</file>