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B8FC2">
      <w:pPr>
        <w:pStyle w:val="24"/>
        <w:jc w:val="both"/>
        <w:rPr>
          <w:rFonts w:ascii="Times New Roman" w:hAnsi="Times New Roman" w:cs="Times New Roman"/>
          <w:b/>
          <w:sz w:val="24"/>
          <w:szCs w:val="24"/>
        </w:rPr>
      </w:pPr>
      <w:r>
        <w:rPr>
          <w:rFonts w:hint="default" w:ascii="Times New Roman" w:hAnsi="Times New Roman" w:eastAsia="Times New Roman" w:cs="Times New Roman"/>
          <w:sz w:val="24"/>
          <w:szCs w:val="24"/>
          <w:lang w:val="en-GB"/>
        </w:rPr>
        <w:t xml:space="preserve">     </w:t>
      </w:r>
    </w:p>
    <w:p w14:paraId="5AA70D3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C989D7">
      <w:pPr>
        <w:jc w:val="both"/>
        <w:rPr>
          <w:rFonts w:ascii="Times New Roman" w:hAnsi="Times New Roman" w:cs="Times New Roman"/>
          <w:b/>
          <w:sz w:val="24"/>
          <w:szCs w:val="24"/>
        </w:rPr>
      </w:pPr>
    </w:p>
    <w:p w14:paraId="19D9C9DC">
      <w:pPr>
        <w:jc w:val="both"/>
        <w:rPr>
          <w:rFonts w:ascii="Times New Roman" w:hAnsi="Times New Roman" w:cs="Times New Roman"/>
          <w:b/>
          <w:sz w:val="24"/>
          <w:szCs w:val="24"/>
        </w:rPr>
      </w:pPr>
    </w:p>
    <w:p w14:paraId="347FE90E">
      <w:pPr>
        <w:jc w:val="both"/>
        <w:rPr>
          <w:rFonts w:ascii="Times New Roman" w:hAnsi="Times New Roman" w:cs="Times New Roman"/>
          <w:b/>
          <w:sz w:val="24"/>
          <w:szCs w:val="24"/>
        </w:rPr>
      </w:pPr>
    </w:p>
    <w:p w14:paraId="41696C95">
      <w:pPr>
        <w:jc w:val="both"/>
        <w:rPr>
          <w:rFonts w:ascii="Times New Roman" w:hAnsi="Times New Roman" w:cs="Times New Roman"/>
          <w:b/>
          <w:sz w:val="24"/>
          <w:szCs w:val="24"/>
        </w:rPr>
      </w:pPr>
    </w:p>
    <w:p w14:paraId="00C013A5">
      <w:pPr>
        <w:jc w:val="both"/>
        <w:rPr>
          <w:rFonts w:ascii="Times New Roman" w:hAnsi="Times New Roman" w:cs="Times New Roman"/>
          <w:b/>
          <w:sz w:val="24"/>
          <w:szCs w:val="24"/>
        </w:rPr>
      </w:pPr>
    </w:p>
    <w:p w14:paraId="7A808C0D">
      <w:pPr>
        <w:ind w:firstLine="3842" w:firstLineChars="1600"/>
        <w:jc w:val="both"/>
        <w:rPr>
          <w:rFonts w:ascii="Times New Roman" w:hAnsi="Times New Roman" w:cs="Times New Roman"/>
          <w:b/>
          <w:sz w:val="24"/>
          <w:szCs w:val="24"/>
        </w:rPr>
        <w:sectPr>
          <w:headerReference r:id="rId5" w:type="default"/>
          <w:footerReference r:id="rId6" w:type="default"/>
          <w:pgSz w:w="12240" w:h="15840"/>
          <w:pgMar w:top="1440" w:right="1440" w:bottom="1440" w:left="1440" w:header="720" w:footer="720" w:gutter="0"/>
          <w:pgNumType w:fmt="decimal"/>
          <w:cols w:space="720" w:num="1"/>
          <w:docGrid w:linePitch="360" w:charSpace="0"/>
        </w:sectPr>
      </w:pPr>
    </w:p>
    <w:p w14:paraId="1F9F9276">
      <w:pPr>
        <w:ind w:firstLine="3842" w:firstLineChars="1600"/>
        <w:jc w:val="both"/>
        <w:rPr>
          <w:rFonts w:ascii="Times New Roman" w:hAnsi="Times New Roman" w:cs="Times New Roman"/>
          <w:b/>
          <w:sz w:val="24"/>
          <w:szCs w:val="24"/>
        </w:rPr>
      </w:pPr>
      <w:r>
        <w:rPr>
          <w:rFonts w:ascii="Times New Roman" w:hAnsi="Times New Roman" w:cs="Times New Roman"/>
          <w:b/>
          <w:sz w:val="24"/>
          <w:szCs w:val="24"/>
        </w:rPr>
        <w:t>CHAPTER ONE</w:t>
      </w:r>
    </w:p>
    <w:p w14:paraId="7CADE0AF">
      <w:pPr>
        <w:pStyle w:val="12"/>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3373611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14:paraId="4E7C19B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discomfort, nausea and vomiting, though less than aspirin or Ibuprofen is the most commonly used and most frequently prescribed NSAID[2][3] 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w:t>
      </w:r>
    </w:p>
    <w:p w14:paraId="019968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 important role in the production of pain, inflammation and fever.[5]</w:t>
      </w:r>
    </w:p>
    <w:p w14:paraId="719D8A37">
      <w:pPr>
        <w:autoSpaceDE w:val="0"/>
        <w:autoSpaceDN w:val="0"/>
        <w:adjustRightInd w:val="0"/>
        <w:spacing w:after="0" w:line="480" w:lineRule="auto"/>
        <w:jc w:val="both"/>
        <w:rPr>
          <w:rFonts w:ascii="Times New Roman" w:hAnsi="Times New Roman" w:cs="Times New Roman"/>
          <w:color w:val="000000"/>
          <w:sz w:val="28"/>
          <w:szCs w:val="28"/>
        </w:rPr>
      </w:pPr>
    </w:p>
    <w:p w14:paraId="6DECFE8B">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Pr>
          <w:rFonts w:ascii="Times New Roman" w:hAnsi="Times New Roman" w:cs="Times New Roman"/>
          <w:b/>
          <w:color w:val="000000"/>
          <w:sz w:val="28"/>
          <w:szCs w:val="28"/>
        </w:rPr>
        <w:t>CLINICAL PHARMACOLOGY OF IBUPROFEN</w:t>
      </w:r>
    </w:p>
    <w:p w14:paraId="5C90C67D">
      <w:pPr>
        <w:autoSpaceDE w:val="0"/>
        <w:autoSpaceDN w:val="0"/>
        <w:adjustRightInd w:val="0"/>
        <w:spacing w:after="0" w:line="240" w:lineRule="auto"/>
        <w:jc w:val="both"/>
        <w:rPr>
          <w:rFonts w:ascii="Times New Roman" w:hAnsi="Times New Roman" w:cs="Times New Roman"/>
          <w:b/>
          <w:bCs/>
          <w:color w:val="034571"/>
          <w:sz w:val="28"/>
          <w:szCs w:val="28"/>
        </w:rPr>
      </w:pPr>
    </w:p>
    <w:p w14:paraId="0E12F3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w:t>
      </w:r>
    </w:p>
    <w:p w14:paraId="0EE5425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7D83D7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w:t>
      </w:r>
    </w:p>
    <w:p w14:paraId="5AD6D1D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hydroxylated and carboxylated compounds.[6][12].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3C3145C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a:srcRect/>
                    <a:stretch>
                      <a:fillRect/>
                    </a:stretch>
                  </pic:blipFill>
                  <pic:spPr>
                    <a:xfrm>
                      <a:off x="0" y="0"/>
                      <a:ext cx="5476875" cy="3381375"/>
                    </a:xfrm>
                    <a:prstGeom prst="rect">
                      <a:avLst/>
                    </a:prstGeom>
                    <a:noFill/>
                    <a:ln w="9525">
                      <a:noFill/>
                      <a:miter lim="800000"/>
                      <a:headEnd/>
                      <a:tailEnd/>
                    </a:ln>
                  </pic:spPr>
                </pic:pic>
              </a:graphicData>
            </a:graphic>
          </wp:inline>
        </w:drawing>
      </w:r>
    </w:p>
    <w:p w14:paraId="41840026">
      <w:pPr>
        <w:pStyle w:val="12"/>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3BB48398">
      <w:pPr>
        <w:pStyle w:val="12"/>
        <w:jc w:val="both"/>
        <w:rPr>
          <w:rFonts w:ascii="Times New Roman" w:hAnsi="Times New Roman" w:cs="Times New Roman"/>
          <w:sz w:val="28"/>
          <w:szCs w:val="28"/>
        </w:rPr>
      </w:pPr>
    </w:p>
    <w:p w14:paraId="1147E4AC">
      <w:pPr>
        <w:pStyle w:val="12"/>
        <w:jc w:val="both"/>
        <w:rPr>
          <w:rFonts w:ascii="Times New Roman" w:hAnsi="Times New Roman" w:cs="Times New Roman"/>
          <w:sz w:val="28"/>
          <w:szCs w:val="28"/>
        </w:rPr>
      </w:pPr>
    </w:p>
    <w:p w14:paraId="2B6C6378">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Pr>
          <w:rFonts w:ascii="Times New Roman" w:hAnsi="Times New Roman" w:cs="Times New Roman"/>
          <w:b/>
          <w:sz w:val="28"/>
          <w:szCs w:val="28"/>
        </w:rPr>
        <w:t>Therapeutic Application of Ibuprofen</w:t>
      </w:r>
    </w:p>
    <w:p w14:paraId="31E016F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14:paraId="0379D6E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109F6089">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Pr>
          <w:rFonts w:ascii="Times New Roman" w:hAnsi="Times New Roman" w:cs="Times New Roman"/>
          <w:b/>
          <w:bCs/>
          <w:iCs/>
          <w:sz w:val="28"/>
          <w:szCs w:val="28"/>
        </w:rPr>
        <w:t>Patent Ductus arterosus (PDA)</w:t>
      </w:r>
    </w:p>
    <w:p w14:paraId="3D708B6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26C4093E">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14:paraId="3575E1CD">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Pr>
          <w:rFonts w:ascii="Times New Roman" w:hAnsi="Times New Roman" w:cs="Times New Roman"/>
          <w:b/>
          <w:bCs/>
          <w:iCs/>
          <w:sz w:val="28"/>
          <w:szCs w:val="28"/>
        </w:rPr>
        <w:t>Rheumatoid and osteo-arthritis (RA and OA)</w:t>
      </w:r>
    </w:p>
    <w:p w14:paraId="39F284E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14:paraId="2CE4D89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terms od anti inflammatory effects.[27] Higher doses, 1200 to 1600</w:t>
      </w:r>
    </w:p>
    <w:p w14:paraId="7DCF261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with a number of NSAIDs and it</w:t>
      </w:r>
    </w:p>
    <w:p w14:paraId="2BD090C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has been found to be as effective and well tolerated.[28]. Osteoarthritis</w:t>
      </w:r>
    </w:p>
    <w:p w14:paraId="71BB683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14:paraId="7579F55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1E40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B216C7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350425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04BE90DB">
            <w:pPr>
              <w:autoSpaceDE w:val="0"/>
              <w:autoSpaceDN w:val="0"/>
              <w:adjustRightInd w:val="0"/>
              <w:spacing w:after="0" w:line="480" w:lineRule="auto"/>
              <w:jc w:val="both"/>
              <w:rPr>
                <w:rFonts w:ascii="Times New Roman" w:hAnsi="Times New Roman" w:cs="Times New Roman"/>
                <w:sz w:val="28"/>
                <w:szCs w:val="28"/>
              </w:rPr>
            </w:pPr>
          </w:p>
          <w:p w14:paraId="1A8822CB">
            <w:pPr>
              <w:autoSpaceDE w:val="0"/>
              <w:autoSpaceDN w:val="0"/>
              <w:adjustRightInd w:val="0"/>
              <w:spacing w:after="0" w:line="480" w:lineRule="auto"/>
              <w:jc w:val="both"/>
              <w:rPr>
                <w:rFonts w:ascii="Times New Roman" w:hAnsi="Times New Roman" w:cs="Times New Roman"/>
                <w:sz w:val="28"/>
                <w:szCs w:val="28"/>
              </w:rPr>
            </w:pPr>
          </w:p>
          <w:p w14:paraId="752F41A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14:paraId="3824E57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631C6F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3982963A">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211E737E">
            <w:pPr>
              <w:autoSpaceDE w:val="0"/>
              <w:autoSpaceDN w:val="0"/>
              <w:adjustRightInd w:val="0"/>
              <w:spacing w:after="0" w:line="480" w:lineRule="auto"/>
              <w:jc w:val="both"/>
              <w:rPr>
                <w:rFonts w:ascii="Times New Roman" w:hAnsi="Times New Roman" w:cs="Times New Roman"/>
                <w:sz w:val="28"/>
                <w:szCs w:val="28"/>
              </w:rPr>
            </w:pPr>
          </w:p>
          <w:p w14:paraId="4A45D02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107A2E74">
            <w:pPr>
              <w:autoSpaceDE w:val="0"/>
              <w:autoSpaceDN w:val="0"/>
              <w:adjustRightInd w:val="0"/>
              <w:spacing w:after="0" w:line="480" w:lineRule="auto"/>
              <w:jc w:val="both"/>
              <w:rPr>
                <w:rFonts w:ascii="Times New Roman" w:hAnsi="Times New Roman" w:cs="Times New Roman"/>
                <w:sz w:val="28"/>
                <w:szCs w:val="28"/>
              </w:rPr>
            </w:pPr>
          </w:p>
          <w:p w14:paraId="4ABE321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4356F1B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6B6B758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200-400mg. Every 4-6hrs</w:t>
            </w:r>
          </w:p>
          <w:p w14:paraId="04D09908">
            <w:pPr>
              <w:autoSpaceDE w:val="0"/>
              <w:autoSpaceDN w:val="0"/>
              <w:adjustRightInd w:val="0"/>
              <w:spacing w:after="0" w:line="240" w:lineRule="auto"/>
              <w:jc w:val="both"/>
              <w:rPr>
                <w:rFonts w:ascii="Times New Roman" w:hAnsi="Times New Roman" w:cs="Times New Roman"/>
                <w:sz w:val="28"/>
                <w:szCs w:val="28"/>
              </w:rPr>
            </w:pPr>
          </w:p>
          <w:p w14:paraId="45BE02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14:paraId="3D34674F">
            <w:pPr>
              <w:autoSpaceDE w:val="0"/>
              <w:autoSpaceDN w:val="0"/>
              <w:adjustRightInd w:val="0"/>
              <w:spacing w:after="0" w:line="240" w:lineRule="auto"/>
              <w:jc w:val="both"/>
              <w:rPr>
                <w:rFonts w:ascii="Times New Roman" w:hAnsi="Times New Roman" w:cs="Times New Roman"/>
                <w:sz w:val="28"/>
                <w:szCs w:val="28"/>
              </w:rPr>
            </w:pPr>
          </w:p>
          <w:p w14:paraId="4D5EEF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5-10 mg/kg. Every 6 hrs (max.</w:t>
            </w:r>
          </w:p>
          <w:p w14:paraId="1C2D1F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 mg/kg per day).</w:t>
            </w:r>
          </w:p>
          <w:p w14:paraId="6BD64917">
            <w:pPr>
              <w:autoSpaceDE w:val="0"/>
              <w:autoSpaceDN w:val="0"/>
              <w:adjustRightInd w:val="0"/>
              <w:spacing w:after="0" w:line="240" w:lineRule="auto"/>
              <w:jc w:val="both"/>
              <w:rPr>
                <w:rFonts w:ascii="Times New Roman" w:hAnsi="Times New Roman" w:cs="Times New Roman"/>
                <w:sz w:val="28"/>
                <w:szCs w:val="28"/>
              </w:rPr>
            </w:pPr>
          </w:p>
          <w:p w14:paraId="63CED7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20-40 mg/kg/day in 3-4</w:t>
            </w:r>
          </w:p>
          <w:p w14:paraId="705BCD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divided dose.</w:t>
            </w:r>
          </w:p>
          <w:p w14:paraId="337044A6">
            <w:pPr>
              <w:autoSpaceDE w:val="0"/>
              <w:autoSpaceDN w:val="0"/>
              <w:adjustRightInd w:val="0"/>
              <w:spacing w:after="0" w:line="240" w:lineRule="auto"/>
              <w:jc w:val="both"/>
              <w:rPr>
                <w:rFonts w:ascii="Times New Roman" w:hAnsi="Times New Roman" w:cs="Times New Roman"/>
                <w:sz w:val="28"/>
                <w:szCs w:val="28"/>
              </w:rPr>
            </w:pPr>
          </w:p>
          <w:p w14:paraId="0F93C432">
            <w:pPr>
              <w:autoSpaceDE w:val="0"/>
              <w:autoSpaceDN w:val="0"/>
              <w:adjustRightInd w:val="0"/>
              <w:spacing w:after="0" w:line="240" w:lineRule="auto"/>
              <w:jc w:val="both"/>
              <w:rPr>
                <w:rFonts w:ascii="AJensonPro-Regular" w:hAnsi="AJensonPro-Regular" w:cs="AJensonPro-Regular"/>
                <w:sz w:val="20"/>
                <w:szCs w:val="20"/>
              </w:rPr>
            </w:pPr>
          </w:p>
          <w:p w14:paraId="0CA833F4">
            <w:pPr>
              <w:autoSpaceDE w:val="0"/>
              <w:autoSpaceDN w:val="0"/>
              <w:adjustRightInd w:val="0"/>
              <w:spacing w:after="0" w:line="240" w:lineRule="auto"/>
              <w:jc w:val="both"/>
              <w:rPr>
                <w:rFonts w:ascii="AJensonPro-Regular" w:hAnsi="AJensonPro-Regular" w:cs="AJensonPro-Regular"/>
                <w:sz w:val="20"/>
                <w:szCs w:val="20"/>
              </w:rPr>
            </w:pPr>
          </w:p>
          <w:p w14:paraId="1E31A82B">
            <w:pPr>
              <w:autoSpaceDE w:val="0"/>
              <w:autoSpaceDN w:val="0"/>
              <w:adjustRightInd w:val="0"/>
              <w:spacing w:after="0" w:line="240" w:lineRule="auto"/>
              <w:jc w:val="both"/>
              <w:rPr>
                <w:rFonts w:ascii="AJensonPro-Regular" w:hAnsi="AJensonPro-Regular" w:cs="AJensonPro-Regular"/>
                <w:sz w:val="20"/>
                <w:szCs w:val="20"/>
              </w:rPr>
            </w:pPr>
          </w:p>
          <w:p w14:paraId="7C59EFA5">
            <w:pPr>
              <w:autoSpaceDE w:val="0"/>
              <w:autoSpaceDN w:val="0"/>
              <w:adjustRightInd w:val="0"/>
              <w:spacing w:after="0" w:line="240" w:lineRule="auto"/>
              <w:jc w:val="both"/>
              <w:rPr>
                <w:rFonts w:ascii="Times New Roman" w:hAnsi="Times New Roman" w:cs="Times New Roman"/>
                <w:sz w:val="28"/>
                <w:szCs w:val="28"/>
              </w:rPr>
            </w:pPr>
          </w:p>
        </w:tc>
      </w:tr>
    </w:tbl>
    <w:p w14:paraId="0C226D61">
      <w:pPr>
        <w:autoSpaceDE w:val="0"/>
        <w:autoSpaceDN w:val="0"/>
        <w:adjustRightInd w:val="0"/>
        <w:spacing w:after="0" w:line="480" w:lineRule="auto"/>
        <w:jc w:val="both"/>
        <w:rPr>
          <w:rFonts w:ascii="Times New Roman" w:hAnsi="Times New Roman" w:cs="Times New Roman"/>
          <w:sz w:val="28"/>
          <w:szCs w:val="28"/>
        </w:rPr>
      </w:pPr>
    </w:p>
    <w:p w14:paraId="4D5F572E">
      <w:pPr>
        <w:jc w:val="both"/>
        <w:rPr>
          <w:rFonts w:ascii="Times New Roman" w:hAnsi="Times New Roman" w:cs="Times New Roman"/>
          <w:b/>
          <w:sz w:val="24"/>
          <w:szCs w:val="24"/>
        </w:rPr>
      </w:pPr>
    </w:p>
    <w:p w14:paraId="23863745">
      <w:pPr>
        <w:jc w:val="both"/>
        <w:rPr>
          <w:rFonts w:ascii="Times New Roman" w:hAnsi="Times New Roman" w:cs="Times New Roman"/>
          <w:b/>
          <w:sz w:val="24"/>
          <w:szCs w:val="24"/>
        </w:rPr>
      </w:pPr>
    </w:p>
    <w:p w14:paraId="1F8675A7">
      <w:pPr>
        <w:jc w:val="both"/>
        <w:rPr>
          <w:rFonts w:ascii="Times New Roman" w:hAnsi="Times New Roman" w:cs="Times New Roman"/>
          <w:b/>
          <w:sz w:val="24"/>
          <w:szCs w:val="24"/>
        </w:rPr>
      </w:pPr>
    </w:p>
    <w:p w14:paraId="7DDCA30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Pr>
          <w:rFonts w:ascii="Times New Roman" w:hAnsi="Times New Roman" w:cs="Times New Roman"/>
          <w:b/>
          <w:bCs/>
          <w:iCs/>
          <w:sz w:val="28"/>
          <w:szCs w:val="28"/>
        </w:rPr>
        <w:t>Cystic fibrosis (CF)</w:t>
      </w:r>
    </w:p>
    <w:p w14:paraId="0A996D1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14:paraId="51207F5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Pr>
          <w:rFonts w:ascii="Times New Roman" w:hAnsi="Times New Roman" w:cs="Times New Roman"/>
          <w:b/>
          <w:bCs/>
          <w:iCs/>
          <w:sz w:val="28"/>
          <w:szCs w:val="28"/>
        </w:rPr>
        <w:t>Orthostatic hypotension</w:t>
      </w:r>
    </w:p>
    <w:p w14:paraId="31F7784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14:paraId="6B5D9657">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Pr>
          <w:rFonts w:ascii="Times New Roman" w:hAnsi="Times New Roman" w:cs="Times New Roman"/>
          <w:b/>
          <w:bCs/>
          <w:iCs/>
          <w:sz w:val="28"/>
          <w:szCs w:val="28"/>
        </w:rPr>
        <w:t>Dental pain</w:t>
      </w:r>
    </w:p>
    <w:p w14:paraId="4EC819C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w:t>
      </w:r>
    </w:p>
    <w:p w14:paraId="49F8F904">
      <w:pPr>
        <w:autoSpaceDE w:val="0"/>
        <w:autoSpaceDN w:val="0"/>
        <w:adjustRightInd w:val="0"/>
        <w:spacing w:after="0" w:line="480" w:lineRule="auto"/>
        <w:jc w:val="both"/>
        <w:rPr>
          <w:rFonts w:ascii="Times New Roman" w:hAnsi="Times New Roman" w:cs="Times New Roman"/>
          <w:b/>
          <w:bCs/>
          <w:i/>
          <w:iCs/>
          <w:sz w:val="28"/>
          <w:szCs w:val="28"/>
        </w:rPr>
      </w:pPr>
    </w:p>
    <w:p w14:paraId="204E3768">
      <w:pPr>
        <w:autoSpaceDE w:val="0"/>
        <w:autoSpaceDN w:val="0"/>
        <w:adjustRightInd w:val="0"/>
        <w:spacing w:after="0" w:line="480" w:lineRule="auto"/>
        <w:jc w:val="both"/>
        <w:rPr>
          <w:rFonts w:ascii="Times New Roman" w:hAnsi="Times New Roman" w:cs="Times New Roman"/>
          <w:b/>
          <w:bCs/>
          <w:i/>
          <w:iCs/>
          <w:sz w:val="28"/>
          <w:szCs w:val="28"/>
        </w:rPr>
      </w:pPr>
    </w:p>
    <w:p w14:paraId="1660DAD1">
      <w:pPr>
        <w:autoSpaceDE w:val="0"/>
        <w:autoSpaceDN w:val="0"/>
        <w:adjustRightInd w:val="0"/>
        <w:spacing w:after="0" w:line="480" w:lineRule="auto"/>
        <w:jc w:val="both"/>
        <w:rPr>
          <w:rFonts w:ascii="Times New Roman" w:hAnsi="Times New Roman" w:cs="Times New Roman"/>
          <w:b/>
          <w:bCs/>
          <w:iCs/>
          <w:sz w:val="28"/>
          <w:szCs w:val="28"/>
        </w:rPr>
      </w:pPr>
    </w:p>
    <w:p w14:paraId="2AB40E0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Pr>
          <w:rFonts w:ascii="Times New Roman" w:hAnsi="Times New Roman" w:cs="Times New Roman"/>
          <w:b/>
          <w:bCs/>
          <w:iCs/>
          <w:sz w:val="28"/>
          <w:szCs w:val="28"/>
        </w:rPr>
        <w:t>Dysmenorrhea, fever and headache</w:t>
      </w:r>
    </w:p>
    <w:p w14:paraId="2A317F7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14:paraId="57C6C2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amount of menstrual prostanoids release, with concomitant reduction in uterine hyper contractility.[48]. Over-the-counter (OTC) ibuprofen preparations are mainly used for acute indications, such as fever or headaches, especially tension type headache.[49-51.It has been reported that the combined use of  paracetamol</w:t>
      </w:r>
    </w:p>
    <w:p w14:paraId="41DE146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14:paraId="3984DED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of zolmitriptan and ibuprofen in the treatment of migraine in children and adolescents. Pain relief rates after two hours were</w:t>
      </w:r>
    </w:p>
    <w:p w14:paraId="7D101D2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14:paraId="0B3FAF3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Pr>
          <w:rFonts w:ascii="Times New Roman" w:hAnsi="Times New Roman" w:cs="Times New Roman"/>
          <w:b/>
          <w:bCs/>
          <w:iCs/>
          <w:sz w:val="28"/>
          <w:szCs w:val="28"/>
        </w:rPr>
        <w:t>Prophylaxis of Alzheimers disease</w:t>
      </w:r>
    </w:p>
    <w:p w14:paraId="5EA1286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indication.[57]</w:t>
      </w:r>
    </w:p>
    <w:p w14:paraId="492B93D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14:paraId="6D80DBF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14:paraId="09FCBAD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Pr>
          <w:rFonts w:ascii="Times New Roman" w:hAnsi="Times New Roman" w:cs="Times New Roman"/>
          <w:b/>
          <w:bCs/>
          <w:iCs/>
          <w:sz w:val="28"/>
          <w:szCs w:val="28"/>
        </w:rPr>
        <w:t>Breast cancer</w:t>
      </w:r>
    </w:p>
    <w:p w14:paraId="20D854DC">
      <w:pPr>
        <w:autoSpaceDE w:val="0"/>
        <w:autoSpaceDN w:val="0"/>
        <w:adjustRightInd w:val="0"/>
        <w:spacing w:after="0" w:line="480" w:lineRule="auto"/>
        <w:jc w:val="both"/>
        <w:rPr>
          <w:rFonts w:hint="default" w:ascii="Times New Roman" w:hAnsi="Times New Roman" w:cs="Times New Roman"/>
          <w:sz w:val="28"/>
          <w:szCs w:val="28"/>
          <w:lang w:val="en-GB"/>
        </w:rPr>
      </w:pPr>
      <w:r>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444756FA">
      <w:pPr>
        <w:autoSpaceDE w:val="0"/>
        <w:autoSpaceDN w:val="0"/>
        <w:adjustRightInd w:val="0"/>
        <w:spacing w:after="0" w:line="480" w:lineRule="auto"/>
        <w:jc w:val="both"/>
        <w:rPr>
          <w:rFonts w:ascii="Times New Roman" w:hAnsi="Times New Roman" w:cs="Times New Roman"/>
          <w:b/>
          <w:color w:val="000000"/>
          <w:sz w:val="28"/>
          <w:szCs w:val="28"/>
        </w:rPr>
      </w:pPr>
    </w:p>
    <w:p w14:paraId="22C6BDD3">
      <w:pPr>
        <w:autoSpaceDE w:val="0"/>
        <w:autoSpaceDN w:val="0"/>
        <w:adjustRightInd w:val="0"/>
        <w:spacing w:after="0" w:line="480" w:lineRule="auto"/>
        <w:jc w:val="both"/>
        <w:rPr>
          <w:rFonts w:ascii="Times New Roman" w:hAnsi="Times New Roman" w:cs="Times New Roman"/>
          <w:b/>
          <w:color w:val="000000"/>
          <w:sz w:val="28"/>
          <w:szCs w:val="28"/>
        </w:rPr>
      </w:pPr>
    </w:p>
    <w:p w14:paraId="6D4401FE">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Pr>
          <w:rFonts w:ascii="Times New Roman" w:hAnsi="Times New Roman" w:cs="Times New Roman"/>
          <w:b/>
          <w:color w:val="000000"/>
          <w:sz w:val="28"/>
          <w:szCs w:val="28"/>
        </w:rPr>
        <w:t>Adverse Reactions</w:t>
      </w:r>
    </w:p>
    <w:p w14:paraId="6372B89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w:t>
      </w:r>
    </w:p>
    <w:p w14:paraId="2E20DF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ulcer,[66] and severe gastric pain or vomiting showed an incidence of 1.5% with ibuprofen compared to 1% with placebo and 12.5% with aspirin.[67]. Ibuprofen was a potential cause of GI bleeding,68],[69] increasing the risk of gastric ulcers and damage, renal failure, epistaxis,[70-73]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w:t>
      </w:r>
    </w:p>
    <w:p w14:paraId="7CB093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14:paraId="5B944B4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5AED779F">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C7C3BEA">
      <w:pPr>
        <w:jc w:val="both"/>
        <w:rPr>
          <w:rFonts w:ascii="Times New Roman" w:hAnsi="Times New Roman" w:cs="Times New Roman"/>
          <w:b/>
          <w:sz w:val="28"/>
          <w:szCs w:val="28"/>
        </w:rPr>
      </w:pPr>
    </w:p>
    <w:p w14:paraId="4A65C927">
      <w:pPr>
        <w:jc w:val="both"/>
        <w:rPr>
          <w:rFonts w:ascii="Times New Roman" w:hAnsi="Times New Roman" w:cs="Times New Roman"/>
          <w:b/>
          <w:sz w:val="28"/>
          <w:szCs w:val="28"/>
        </w:rPr>
      </w:pPr>
    </w:p>
    <w:p w14:paraId="2CD1A31F">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Pr>
          <w:rFonts w:ascii="Times New Roman" w:hAnsi="Times New Roman" w:cs="Times New Roman"/>
          <w:b/>
          <w:sz w:val="28"/>
          <w:szCs w:val="28"/>
        </w:rPr>
        <w:t>LIGAND AND COMPLEX FORMATION</w:t>
      </w:r>
    </w:p>
    <w:p w14:paraId="4F43C821">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14:paraId="28F5FB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5FF9E760">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Pr>
          <w:rFonts w:ascii="Times New Roman" w:hAnsi="Times New Roman" w:cs="Times New Roman"/>
          <w:sz w:val="28"/>
          <w:szCs w:val="28"/>
          <w:vertAlign w:val="subscript"/>
        </w:rPr>
        <w:t>4.</w:t>
      </w:r>
    </w:p>
    <w:p w14:paraId="04E57F52">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14:paraId="4E6FDE5F">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r>
        <w:rPr>
          <w:rFonts w:ascii="Times New Roman" w:hAnsi="Times New Roman" w:cs="Times New Roman"/>
          <w:sz w:val="28"/>
          <w:szCs w:val="28"/>
        </w:rPr>
        <w:tab/>
      </w:r>
    </w:p>
    <w:p w14:paraId="269A991A">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Pr>
          <w:rFonts w:ascii="Times New Roman" w:hAnsi="Times New Roman" w:cs="Times New Roman"/>
          <w:b/>
          <w:sz w:val="28"/>
          <w:szCs w:val="28"/>
        </w:rPr>
        <w:t>WHY DRUG-METAL COMPLEX</w:t>
      </w:r>
    </w:p>
    <w:p w14:paraId="64288D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 </w:t>
      </w:r>
    </w:p>
    <w:p w14:paraId="7983F4C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Pr>
          <w:rFonts w:ascii="Times New Roman" w:hAnsi="Times New Roman" w:cs="Times New Roman"/>
          <w:b/>
          <w:sz w:val="28"/>
          <w:szCs w:val="28"/>
        </w:rPr>
        <w:t>CHEMISTRY OF TRANSISTION METALS USED</w:t>
      </w:r>
    </w:p>
    <w:p w14:paraId="447356C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Pr>
          <w:rFonts w:ascii="Times New Roman" w:hAnsi="Times New Roman" w:cs="Times New Roman"/>
          <w:b/>
          <w:sz w:val="28"/>
          <w:szCs w:val="28"/>
        </w:rPr>
        <w:t>NICKEL</w:t>
      </w:r>
    </w:p>
    <w:p w14:paraId="65BA618D">
      <w:pPr>
        <w:pStyle w:val="10"/>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Nickel compounds</w:t>
      </w:r>
      <w:r>
        <w:rPr>
          <w:color w:val="000000" w:themeColor="text1"/>
          <w:sz w:val="28"/>
          <w:szCs w:val="28"/>
        </w:rPr>
        <w:t> are chemical compounds containing the element </w:t>
      </w:r>
      <w:r>
        <w:fldChar w:fldCharType="begin"/>
      </w:r>
      <w:r>
        <w:instrText xml:space="preserve"> HYPERLINK "https://en.wikipedia.org/wiki/Nickel" \o "Nickel" </w:instrText>
      </w:r>
      <w:r>
        <w:fldChar w:fldCharType="separate"/>
      </w:r>
      <w:r>
        <w:rPr>
          <w:rStyle w:val="9"/>
          <w:color w:val="000000" w:themeColor="text1"/>
          <w:sz w:val="28"/>
          <w:szCs w:val="28"/>
          <w:u w:val="none"/>
        </w:rPr>
        <w:t>nickel</w:t>
      </w:r>
      <w:r>
        <w:rPr>
          <w:rStyle w:val="9"/>
          <w:color w:val="000000" w:themeColor="text1"/>
          <w:sz w:val="28"/>
          <w:szCs w:val="28"/>
          <w:u w:val="none"/>
        </w:rPr>
        <w:fldChar w:fldCharType="end"/>
      </w:r>
      <w:r>
        <w:rPr>
          <w:color w:val="000000" w:themeColor="text1"/>
          <w:sz w:val="28"/>
          <w:szCs w:val="28"/>
        </w:rPr>
        <w:t> which is a member of the </w:t>
      </w:r>
      <w:r>
        <w:fldChar w:fldCharType="begin"/>
      </w:r>
      <w:r>
        <w:instrText xml:space="preserve"> HYPERLINK "https://en.wikipedia.org/wiki/Group_10_element" \o "Group 10 element" </w:instrText>
      </w:r>
      <w:r>
        <w:fldChar w:fldCharType="separate"/>
      </w:r>
      <w:r>
        <w:rPr>
          <w:rStyle w:val="9"/>
          <w:color w:val="000000" w:themeColor="text1"/>
          <w:sz w:val="28"/>
          <w:szCs w:val="28"/>
          <w:u w:val="none"/>
        </w:rPr>
        <w:t>group 10</w:t>
      </w:r>
      <w:r>
        <w:rPr>
          <w:rStyle w:val="9"/>
          <w:color w:val="000000" w:themeColor="text1"/>
          <w:sz w:val="28"/>
          <w:szCs w:val="28"/>
          <w:u w:val="none"/>
        </w:rPr>
        <w:fldChar w:fldCharType="end"/>
      </w:r>
      <w:r>
        <w:rPr>
          <w:color w:val="000000" w:themeColor="text1"/>
          <w:sz w:val="28"/>
          <w:szCs w:val="28"/>
        </w:rPr>
        <w:t> of the </w:t>
      </w:r>
      <w:r>
        <w:fldChar w:fldCharType="begin"/>
      </w:r>
      <w:r>
        <w:instrText xml:space="preserve"> HYPERLINK "https://en.wikipedia.org/wiki/Periodic_table" \o "Periodic table" </w:instrText>
      </w:r>
      <w:r>
        <w:fldChar w:fldCharType="separate"/>
      </w:r>
      <w:r>
        <w:rPr>
          <w:rStyle w:val="9"/>
          <w:color w:val="000000" w:themeColor="text1"/>
          <w:sz w:val="28"/>
          <w:szCs w:val="28"/>
          <w:u w:val="none"/>
        </w:rPr>
        <w:t>periodic table</w:t>
      </w:r>
      <w:r>
        <w:rPr>
          <w:rStyle w:val="9"/>
          <w:color w:val="000000" w:themeColor="text1"/>
          <w:sz w:val="28"/>
          <w:szCs w:val="28"/>
          <w:u w:val="none"/>
        </w:rPr>
        <w:fldChar w:fldCharType="end"/>
      </w:r>
      <w:r>
        <w:rPr>
          <w:color w:val="000000" w:themeColor="text1"/>
          <w:sz w:val="28"/>
          <w:szCs w:val="28"/>
        </w:rPr>
        <w:t>. Most compounds in the group have an </w:t>
      </w:r>
      <w:r>
        <w:fldChar w:fldCharType="begin"/>
      </w:r>
      <w:r>
        <w:instrText xml:space="preserve"> HYPERLINK "https://en.wikipedia.org/wiki/Oxidation_state" \o "Oxidation state" </w:instrText>
      </w:r>
      <w:r>
        <w:fldChar w:fldCharType="separate"/>
      </w:r>
      <w:r>
        <w:rPr>
          <w:rStyle w:val="9"/>
          <w:color w:val="000000" w:themeColor="text1"/>
          <w:sz w:val="28"/>
          <w:szCs w:val="28"/>
          <w:u w:val="none"/>
        </w:rPr>
        <w:t>oxidation state</w:t>
      </w:r>
      <w:r>
        <w:rPr>
          <w:rStyle w:val="9"/>
          <w:color w:val="000000" w:themeColor="text1"/>
          <w:sz w:val="28"/>
          <w:szCs w:val="28"/>
          <w:u w:val="none"/>
        </w:rPr>
        <w:fldChar w:fldCharType="end"/>
      </w:r>
      <w:r>
        <w:rPr>
          <w:color w:val="000000" w:themeColor="text1"/>
          <w:sz w:val="28"/>
          <w:szCs w:val="28"/>
        </w:rPr>
        <w:t> of +2. Nickel is classified as a </w:t>
      </w:r>
      <w:r>
        <w:fldChar w:fldCharType="begin"/>
      </w:r>
      <w:r>
        <w:instrText xml:space="preserve"> HYPERLINK "https://en.wikipedia.org/wiki/Transition_metal" \o "Transition metal" </w:instrText>
      </w:r>
      <w:r>
        <w:fldChar w:fldCharType="separate"/>
      </w:r>
      <w:r>
        <w:rPr>
          <w:rStyle w:val="9"/>
          <w:color w:val="000000" w:themeColor="text1"/>
          <w:sz w:val="28"/>
          <w:szCs w:val="28"/>
          <w:u w:val="none"/>
        </w:rPr>
        <w:t>transition metal</w:t>
      </w:r>
      <w:r>
        <w:rPr>
          <w:rStyle w:val="9"/>
          <w:color w:val="000000" w:themeColor="text1"/>
          <w:sz w:val="28"/>
          <w:szCs w:val="28"/>
          <w:u w:val="none"/>
        </w:rPr>
        <w:fldChar w:fldCharType="end"/>
      </w:r>
      <w:r>
        <w:rPr>
          <w:color w:val="000000" w:themeColor="text1"/>
          <w:sz w:val="28"/>
          <w:szCs w:val="28"/>
        </w:rPr>
        <w:t> with nickel(II) having much chemical behavior in common with iron(II) and cobalt(II). Many salts of nickel (II) are </w:t>
      </w:r>
      <w:r>
        <w:fldChar w:fldCharType="begin"/>
      </w:r>
      <w:r>
        <w:instrText xml:space="preserve"> HYPERLINK "https://en.wikipedia.org/wiki/Isomorphous" \o "Isomorphous" </w:instrText>
      </w:r>
      <w:r>
        <w:fldChar w:fldCharType="separate"/>
      </w:r>
      <w:r>
        <w:rPr>
          <w:rStyle w:val="9"/>
          <w:color w:val="000000" w:themeColor="text1"/>
          <w:sz w:val="28"/>
          <w:szCs w:val="28"/>
          <w:u w:val="none"/>
        </w:rPr>
        <w:t>isomorphous</w:t>
      </w:r>
      <w:r>
        <w:rPr>
          <w:rStyle w:val="9"/>
          <w:color w:val="000000" w:themeColor="text1"/>
          <w:sz w:val="28"/>
          <w:szCs w:val="28"/>
          <w:u w:val="none"/>
        </w:rPr>
        <w:fldChar w:fldCharType="end"/>
      </w:r>
      <w:r>
        <w:rPr>
          <w:color w:val="000000" w:themeColor="text1"/>
          <w:sz w:val="28"/>
          <w:szCs w:val="28"/>
        </w:rPr>
        <w:t> with salts of </w:t>
      </w:r>
      <w:r>
        <w:fldChar w:fldCharType="begin"/>
      </w:r>
      <w:r>
        <w:instrText xml:space="preserve"> HYPERLINK "https://en.wikipedia.org/wiki/Magnesium" \o "Magnesium" </w:instrText>
      </w:r>
      <w:r>
        <w:fldChar w:fldCharType="separate"/>
      </w:r>
      <w:r>
        <w:rPr>
          <w:rStyle w:val="9"/>
          <w:color w:val="000000" w:themeColor="text1"/>
          <w:sz w:val="28"/>
          <w:szCs w:val="28"/>
          <w:u w:val="none"/>
        </w:rPr>
        <w:t>magnesium</w:t>
      </w:r>
      <w:r>
        <w:rPr>
          <w:rStyle w:val="9"/>
          <w:color w:val="000000" w:themeColor="text1"/>
          <w:sz w:val="28"/>
          <w:szCs w:val="28"/>
          <w:u w:val="none"/>
        </w:rPr>
        <w:fldChar w:fldCharType="end"/>
      </w:r>
      <w:r>
        <w:rPr>
          <w:color w:val="000000" w:themeColor="text1"/>
          <w:sz w:val="28"/>
          <w:szCs w:val="28"/>
        </w:rPr>
        <w:t> due to the </w:t>
      </w:r>
      <w:r>
        <w:fldChar w:fldCharType="begin"/>
      </w:r>
      <w:r>
        <w:instrText xml:space="preserve"> HYPERLINK "https://en.wikipedia.org/wiki/Ionic_radii" \o "Ionic radii" </w:instrText>
      </w:r>
      <w:r>
        <w:fldChar w:fldCharType="separate"/>
      </w:r>
      <w:r>
        <w:rPr>
          <w:rStyle w:val="9"/>
          <w:color w:val="000000" w:themeColor="text1"/>
          <w:sz w:val="28"/>
          <w:szCs w:val="28"/>
          <w:u w:val="none"/>
        </w:rPr>
        <w:t>ionic radii</w:t>
      </w:r>
      <w:r>
        <w:rPr>
          <w:rStyle w:val="9"/>
          <w:color w:val="000000" w:themeColor="text1"/>
          <w:sz w:val="28"/>
          <w:szCs w:val="28"/>
          <w:u w:val="none"/>
        </w:rPr>
        <w:fldChar w:fldCharType="end"/>
      </w:r>
      <w:r>
        <w:rPr>
          <w:color w:val="000000" w:themeColor="text1"/>
          <w:sz w:val="28"/>
          <w:szCs w:val="28"/>
        </w:rPr>
        <w:t> of the cations being almost the same. Nickel forms many </w:t>
      </w:r>
      <w:r>
        <w:fldChar w:fldCharType="begin"/>
      </w:r>
      <w:r>
        <w:instrText xml:space="preserve"> HYPERLINK "https://en.wikipedia.org/wiki/Coordination_complex" \o "Coordination complex" </w:instrText>
      </w:r>
      <w:r>
        <w:fldChar w:fldCharType="separate"/>
      </w:r>
      <w:r>
        <w:rPr>
          <w:rStyle w:val="9"/>
          <w:color w:val="000000" w:themeColor="text1"/>
          <w:sz w:val="28"/>
          <w:szCs w:val="28"/>
          <w:u w:val="none"/>
        </w:rPr>
        <w:t>coordination complexes</w:t>
      </w:r>
      <w:r>
        <w:rPr>
          <w:rStyle w:val="9"/>
          <w:color w:val="000000" w:themeColor="text1"/>
          <w:sz w:val="28"/>
          <w:szCs w:val="28"/>
          <w:u w:val="none"/>
        </w:rPr>
        <w:fldChar w:fldCharType="end"/>
      </w:r>
      <w:r>
        <w:rPr>
          <w:color w:val="000000" w:themeColor="text1"/>
          <w:sz w:val="28"/>
          <w:szCs w:val="28"/>
        </w:rPr>
        <w:t>. </w:t>
      </w:r>
      <w:r>
        <w:fldChar w:fldCharType="begin"/>
      </w:r>
      <w:r>
        <w:instrText xml:space="preserve"> HYPERLINK "https://en.wikipedia.org/wiki/Nickel_tetracarbonyl" \o "Nickel tetracarbonyl" </w:instrText>
      </w:r>
      <w:r>
        <w:fldChar w:fldCharType="separate"/>
      </w:r>
      <w:r>
        <w:rPr>
          <w:rStyle w:val="9"/>
          <w:color w:val="000000" w:themeColor="text1"/>
          <w:sz w:val="28"/>
          <w:szCs w:val="28"/>
          <w:u w:val="none"/>
        </w:rPr>
        <w:t>Nickel tetracarbonyl</w:t>
      </w:r>
      <w:r>
        <w:rPr>
          <w:rStyle w:val="9"/>
          <w:color w:val="000000" w:themeColor="text1"/>
          <w:sz w:val="28"/>
          <w:szCs w:val="28"/>
          <w:u w:val="none"/>
        </w:rPr>
        <w:fldChar w:fldCharType="end"/>
      </w:r>
      <w:r>
        <w:rPr>
          <w:color w:val="000000" w:themeColor="text1"/>
          <w:sz w:val="28"/>
          <w:szCs w:val="28"/>
        </w:rPr>
        <w:t> was the first pure metal carbonyl produced, and is unusual in its volatility. </w:t>
      </w:r>
      <w:r>
        <w:fldChar w:fldCharType="begin"/>
      </w:r>
      <w:r>
        <w:instrText xml:space="preserve"> HYPERLINK "https://en.wikipedia.org/wiki/Metalloprotein" \o "Metalloprotein" </w:instrText>
      </w:r>
      <w:r>
        <w:fldChar w:fldCharType="separate"/>
      </w:r>
      <w:r>
        <w:rPr>
          <w:rStyle w:val="9"/>
          <w:color w:val="000000" w:themeColor="text1"/>
          <w:sz w:val="28"/>
          <w:szCs w:val="28"/>
          <w:u w:val="none"/>
        </w:rPr>
        <w:t>Metalloproteins</w:t>
      </w:r>
      <w:r>
        <w:rPr>
          <w:rStyle w:val="9"/>
          <w:color w:val="000000" w:themeColor="text1"/>
          <w:sz w:val="28"/>
          <w:szCs w:val="28"/>
          <w:u w:val="none"/>
        </w:rPr>
        <w:fldChar w:fldCharType="end"/>
      </w:r>
      <w:r>
        <w:rPr>
          <w:color w:val="000000" w:themeColor="text1"/>
          <w:sz w:val="28"/>
          <w:szCs w:val="28"/>
        </w:rPr>
        <w:t> containing nickel are found in biological systems. Nickel forms simple binary compounds with non metals including </w:t>
      </w:r>
      <w:r>
        <w:fldChar w:fldCharType="begin"/>
      </w:r>
      <w:r>
        <w:instrText xml:space="preserve"> HYPERLINK "https://en.wikipedia.org/wiki/Halogens" \o "Halogens" </w:instrText>
      </w:r>
      <w:r>
        <w:fldChar w:fldCharType="separate"/>
      </w:r>
      <w:r>
        <w:rPr>
          <w:rStyle w:val="9"/>
          <w:color w:val="000000" w:themeColor="text1"/>
          <w:sz w:val="28"/>
          <w:szCs w:val="28"/>
        </w:rPr>
        <w:t>halogens</w:t>
      </w:r>
      <w:r>
        <w:rPr>
          <w:rStyle w:val="9"/>
          <w:color w:val="000000" w:themeColor="text1"/>
          <w:sz w:val="28"/>
          <w:szCs w:val="28"/>
        </w:rPr>
        <w:fldChar w:fldCharType="end"/>
      </w:r>
      <w:r>
        <w:rPr>
          <w:color w:val="000000" w:themeColor="text1"/>
          <w:sz w:val="28"/>
          <w:szCs w:val="28"/>
        </w:rPr>
        <w:t>, </w:t>
      </w:r>
      <w:r>
        <w:fldChar w:fldCharType="begin"/>
      </w:r>
      <w:r>
        <w:instrText xml:space="preserve"> HYPERLINK "https://en.wikipedia.org/wiki/Chalcogenides" \o "Chalcogenides" </w:instrText>
      </w:r>
      <w:r>
        <w:fldChar w:fldCharType="separate"/>
      </w:r>
      <w:r>
        <w:rPr>
          <w:rStyle w:val="9"/>
          <w:color w:val="000000" w:themeColor="text1"/>
          <w:sz w:val="28"/>
          <w:szCs w:val="28"/>
          <w:u w:val="none"/>
        </w:rPr>
        <w:t>chalcogenides</w:t>
      </w:r>
      <w:r>
        <w:rPr>
          <w:rStyle w:val="9"/>
          <w:color w:val="000000" w:themeColor="text1"/>
          <w:sz w:val="28"/>
          <w:szCs w:val="28"/>
          <w:u w:val="none"/>
        </w:rPr>
        <w:fldChar w:fldCharType="end"/>
      </w:r>
      <w:r>
        <w:rPr>
          <w:color w:val="000000" w:themeColor="text1"/>
          <w:sz w:val="28"/>
          <w:szCs w:val="28"/>
        </w:rPr>
        <w:t>, and </w:t>
      </w:r>
      <w:r>
        <w:fldChar w:fldCharType="begin"/>
      </w:r>
      <w:r>
        <w:instrText xml:space="preserve"> HYPERLINK "https://en.wikipedia.org/wiki/Pnictides" \o "Pnictides" </w:instrText>
      </w:r>
      <w:r>
        <w:fldChar w:fldCharType="separate"/>
      </w:r>
      <w:r>
        <w:rPr>
          <w:rStyle w:val="9"/>
          <w:color w:val="000000" w:themeColor="text1"/>
          <w:sz w:val="28"/>
          <w:szCs w:val="28"/>
          <w:u w:val="none"/>
        </w:rPr>
        <w:t>pnictides</w:t>
      </w:r>
      <w:r>
        <w:rPr>
          <w:rStyle w:val="9"/>
          <w:color w:val="000000" w:themeColor="text1"/>
          <w:sz w:val="28"/>
          <w:szCs w:val="28"/>
          <w:u w:val="none"/>
        </w:rPr>
        <w:fldChar w:fldCharType="end"/>
      </w:r>
      <w:r>
        <w:rPr>
          <w:color w:val="000000" w:themeColor="text1"/>
          <w:sz w:val="28"/>
          <w:szCs w:val="28"/>
        </w:rPr>
        <w:t>. Nickel ions can act as a cation in salts with many acids, including common </w:t>
      </w:r>
      <w:r>
        <w:fldChar w:fldCharType="begin"/>
      </w:r>
      <w:r>
        <w:instrText xml:space="preserve"> HYPERLINK "https://en.wikipedia.org/wiki/Oxoacid" \o "Oxoacid" </w:instrText>
      </w:r>
      <w:r>
        <w:fldChar w:fldCharType="separate"/>
      </w:r>
      <w:r>
        <w:rPr>
          <w:rStyle w:val="9"/>
          <w:color w:val="000000" w:themeColor="text1"/>
          <w:sz w:val="28"/>
          <w:szCs w:val="28"/>
          <w:u w:val="none"/>
        </w:rPr>
        <w:t>oxoacids</w:t>
      </w:r>
      <w:r>
        <w:rPr>
          <w:rStyle w:val="9"/>
          <w:color w:val="000000" w:themeColor="text1"/>
          <w:sz w:val="28"/>
          <w:szCs w:val="28"/>
          <w:u w:val="none"/>
        </w:rPr>
        <w:fldChar w:fldCharType="end"/>
      </w:r>
      <w:r>
        <w:rPr>
          <w:color w:val="000000" w:themeColor="text1"/>
          <w:sz w:val="28"/>
          <w:szCs w:val="28"/>
        </w:rPr>
        <w:t>. Salts of the hexaaqua ion (Ni</w:t>
      </w:r>
      <w:r>
        <w:rPr>
          <w:rStyle w:val="14"/>
          <w:color w:val="000000" w:themeColor="text1"/>
          <w:sz w:val="28"/>
          <w:szCs w:val="28"/>
        </w:rPr>
        <w:t> · 6 </w:t>
      </w:r>
      <w:r>
        <w:fldChar w:fldCharType="begin"/>
      </w:r>
      <w:r>
        <w:instrText xml:space="preserve"> HYPERLINK "https://en.wikipedia.org/wiki/Water_of_crystallization" \o "Water of crystallization" </w:instrText>
      </w:r>
      <w:r>
        <w:fldChar w:fldCharType="separate"/>
      </w:r>
      <w:r>
        <w:rPr>
          <w:rStyle w:val="9"/>
          <w:color w:val="000000" w:themeColor="text1"/>
          <w:sz w:val="28"/>
          <w:szCs w:val="28"/>
        </w:rPr>
        <w:t>H</w:t>
      </w:r>
      <w:r>
        <w:rPr>
          <w:rStyle w:val="9"/>
          <w:color w:val="000000" w:themeColor="text1"/>
          <w:sz w:val="28"/>
          <w:szCs w:val="28"/>
          <w:vertAlign w:val="subscript"/>
        </w:rPr>
        <w:t>2</w:t>
      </w:r>
      <w:r>
        <w:rPr>
          <w:rStyle w:val="9"/>
          <w:color w:val="000000" w:themeColor="text1"/>
          <w:sz w:val="28"/>
          <w:szCs w:val="28"/>
        </w:rPr>
        <w:t>O</w:t>
      </w:r>
      <w:r>
        <w:rPr>
          <w:rStyle w:val="9"/>
          <w:color w:val="000000" w:themeColor="text1"/>
          <w:sz w:val="28"/>
          <w:szCs w:val="28"/>
        </w:rPr>
        <w:fldChar w:fldCharType="end"/>
      </w:r>
      <w:r>
        <w:rPr>
          <w:color w:val="000000" w:themeColor="text1"/>
          <w:sz w:val="28"/>
          <w:szCs w:val="28"/>
          <w:vertAlign w:val="superscript"/>
        </w:rPr>
        <w:t>2+</w:t>
      </w:r>
      <w:r>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r>
        <w:fldChar w:fldCharType="begin"/>
      </w:r>
      <w:r>
        <w:instrText xml:space="preserve"> HYPERLINK "https://en.wikipedia.org/wiki/Superconductivity" \o "Superconductivity" </w:instrText>
      </w:r>
      <w:r>
        <w:fldChar w:fldCharType="separate"/>
      </w:r>
      <w:r>
        <w:rPr>
          <w:rStyle w:val="9"/>
          <w:color w:val="000000" w:themeColor="text1"/>
          <w:sz w:val="28"/>
          <w:szCs w:val="28"/>
        </w:rPr>
        <w:t>superconductivity</w:t>
      </w:r>
      <w:r>
        <w:rPr>
          <w:rStyle w:val="9"/>
          <w:color w:val="000000" w:themeColor="text1"/>
          <w:sz w:val="28"/>
          <w:szCs w:val="28"/>
        </w:rPr>
        <w:fldChar w:fldCharType="end"/>
      </w:r>
      <w:r>
        <w:rPr>
          <w:color w:val="000000" w:themeColor="text1"/>
          <w:sz w:val="28"/>
          <w:szCs w:val="28"/>
        </w:rPr>
        <w:t> properties, as nickel is adjacent to copper and iron in the periodic table can form compounds with the same structure as the </w:t>
      </w:r>
      <w:r>
        <w:fldChar w:fldCharType="begin"/>
      </w:r>
      <w:r>
        <w:instrText xml:space="preserve"> HYPERLINK "https://en.wikipedia.org/wiki/High-temperature_superconductor" \o "High-temperature superconductor" </w:instrText>
      </w:r>
      <w:r>
        <w:fldChar w:fldCharType="separate"/>
      </w:r>
      <w:r>
        <w:rPr>
          <w:rStyle w:val="9"/>
          <w:color w:val="000000" w:themeColor="text1"/>
          <w:sz w:val="28"/>
          <w:szCs w:val="28"/>
        </w:rPr>
        <w:t>high-temperature superconductors</w:t>
      </w:r>
      <w:r>
        <w:rPr>
          <w:rStyle w:val="9"/>
          <w:color w:val="000000" w:themeColor="text1"/>
          <w:sz w:val="28"/>
          <w:szCs w:val="28"/>
        </w:rPr>
        <w:fldChar w:fldCharType="end"/>
      </w:r>
      <w:r>
        <w:rPr>
          <w:color w:val="000000" w:themeColor="text1"/>
          <w:sz w:val="28"/>
          <w:szCs w:val="28"/>
        </w:rPr>
        <w:t> that are known.</w:t>
      </w:r>
    </w:p>
    <w:p w14:paraId="1DB955DF">
      <w:pPr>
        <w:pStyle w:val="10"/>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r>
        <w:rPr>
          <w:b/>
          <w:color w:val="000000" w:themeColor="text1"/>
          <w:sz w:val="28"/>
          <w:szCs w:val="28"/>
        </w:rPr>
        <w:t>Colour</w:t>
      </w:r>
    </w:p>
    <w:p w14:paraId="7C2CD13F">
      <w:pPr>
        <w:pStyle w:val="10"/>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Most of the common </w:t>
      </w:r>
      <w:r>
        <w:fldChar w:fldCharType="begin"/>
      </w:r>
      <w:r>
        <w:instrText xml:space="preserve"> HYPERLINK "https://en.wikipedia.org/wiki/Salt_(chemistry)" \o "Salt (chemistry)" </w:instrText>
      </w:r>
      <w:r>
        <w:fldChar w:fldCharType="separate"/>
      </w:r>
      <w:r>
        <w:rPr>
          <w:rStyle w:val="9"/>
          <w:color w:val="auto"/>
          <w:sz w:val="28"/>
          <w:szCs w:val="28"/>
          <w:u w:val="none"/>
          <w:shd w:val="clear" w:color="auto" w:fill="FFFFFF"/>
        </w:rPr>
        <w:t>salts</w:t>
      </w:r>
      <w:r>
        <w:rPr>
          <w:rStyle w:val="9"/>
          <w:color w:val="auto"/>
          <w:sz w:val="28"/>
          <w:szCs w:val="28"/>
          <w:u w:val="none"/>
          <w:shd w:val="clear" w:color="auto" w:fill="FFFFFF"/>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14:paraId="5C3290AE">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r>
      <w:r>
        <w:rPr>
          <w:rFonts w:ascii="Times New Roman" w:hAnsi="Times New Roman" w:cs="Times New Roman"/>
          <w:b/>
          <w:sz w:val="28"/>
          <w:szCs w:val="28"/>
        </w:rPr>
        <w:t>Geometry</w:t>
      </w:r>
    </w:p>
    <w:p w14:paraId="02037FA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r>
        <w:fldChar w:fldCharType="begin"/>
      </w:r>
      <w:r>
        <w:instrText xml:space="preserve"> HYPERLINK "https://en.wikipedia.org/wiki/Octahedral" \o "Octahedral" </w:instrText>
      </w:r>
      <w:r>
        <w:fldChar w:fldCharType="separate"/>
      </w:r>
      <w:r>
        <w:rPr>
          <w:rStyle w:val="9"/>
          <w:rFonts w:ascii="Times New Roman" w:hAnsi="Times New Roman" w:cs="Times New Roman"/>
          <w:color w:val="auto"/>
          <w:sz w:val="28"/>
          <w:szCs w:val="28"/>
          <w:shd w:val="clear" w:color="auto" w:fill="FFFFFF"/>
        </w:rPr>
        <w:t>octahedral</w:t>
      </w:r>
      <w:r>
        <w:rPr>
          <w:rStyle w:val="9"/>
          <w:rFonts w:ascii="Times New Roman" w:hAnsi="Times New Roman" w:cs="Times New Roman"/>
          <w:color w:val="auto"/>
          <w:sz w:val="28"/>
          <w:szCs w:val="28"/>
          <w:shd w:val="clear" w:color="auto" w:fill="FFFFFF"/>
        </w:rPr>
        <w:fldChar w:fldCharType="end"/>
      </w:r>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r>
        <w:fldChar w:fldCharType="begin"/>
      </w:r>
      <w:r>
        <w:instrText xml:space="preserve"> HYPERLINK "https://en.wikipedia.org/wiki/Tetrahedral" \o "Tetrahedral" </w:instrText>
      </w:r>
      <w:r>
        <w:fldChar w:fldCharType="separate"/>
      </w:r>
      <w:r>
        <w:rPr>
          <w:rStyle w:val="9"/>
          <w:rFonts w:ascii="Times New Roman" w:hAnsi="Times New Roman" w:cs="Times New Roman"/>
          <w:color w:val="auto"/>
          <w:sz w:val="28"/>
          <w:szCs w:val="28"/>
          <w:u w:val="none"/>
          <w:shd w:val="clear" w:color="auto" w:fill="FFFFFF"/>
        </w:rPr>
        <w:t>tetrahedral</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Five coordinated nickel is rare.</w:t>
      </w:r>
    </w:p>
    <w:p w14:paraId="429F77AD">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r>
      <w:r>
        <w:rPr>
          <w:rFonts w:ascii="Times New Roman" w:hAnsi="Times New Roman" w:cs="Times New Roman"/>
          <w:b/>
          <w:color w:val="202122"/>
          <w:sz w:val="28"/>
          <w:szCs w:val="28"/>
          <w:shd w:val="clear" w:color="auto" w:fill="FFFFFF"/>
        </w:rPr>
        <w:t>Complexes</w:t>
      </w:r>
    </w:p>
    <w:p w14:paraId="36F5502F">
      <w:pPr>
        <w:pStyle w:val="10"/>
        <w:shd w:val="clear" w:color="auto" w:fill="FFFFFF"/>
        <w:spacing w:before="120" w:beforeAutospacing="0" w:after="240" w:afterAutospacing="0" w:line="480" w:lineRule="auto"/>
        <w:jc w:val="both"/>
        <w:rPr>
          <w:color w:val="202122"/>
          <w:sz w:val="28"/>
          <w:szCs w:val="28"/>
        </w:rPr>
      </w:pPr>
      <w:r>
        <w:rPr>
          <w:color w:val="202122"/>
          <w:sz w:val="28"/>
          <w:szCs w:val="28"/>
        </w:rPr>
        <w:t>Simple complexes of nickel include hexaquonickel(II),yellow </w:t>
      </w:r>
      <w:r>
        <w:fldChar w:fldCharType="begin"/>
      </w:r>
      <w:r>
        <w:instrText xml:space="preserve"> HYPERLINK "https://en.wikipedia.org/wiki/Tetracyanonickelate" \o "Tetracyanonickelate" </w:instrText>
      </w:r>
      <w:r>
        <w:fldChar w:fldCharType="separate"/>
      </w:r>
      <w:r>
        <w:rPr>
          <w:rStyle w:val="9"/>
          <w:color w:val="auto"/>
          <w:sz w:val="28"/>
          <w:szCs w:val="28"/>
          <w:u w:val="none"/>
        </w:rPr>
        <w:t>tetracyanonickelate</w:t>
      </w:r>
      <w:r>
        <w:rPr>
          <w:rStyle w:val="9"/>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15"/>
          <w:vanish/>
          <w:color w:val="202122"/>
          <w:sz w:val="28"/>
          <w:szCs w:val="28"/>
        </w:rPr>
        <w:t>N[CH2CH2NMe2]3</w:t>
      </w:r>
      <w:r>
        <w:rPr>
          <w:color w:val="202122"/>
          <w:sz w:val="28"/>
          <w:szCs w:val="28"/>
        </w:rPr>
        <w:pict>
          <v:shape id="_x0000_i1025" o:spt="75" alt="{\displaystyle {\ce {N[CH2CH2NMe2]3}}}" type="#_x0000_t75" style="height:24pt;width:24pt;" filled="f" o:preferrelative="t" stroked="f" coordsize="21600,21600">
            <v:path/>
            <v:fill on="f" focussize="0,0"/>
            <v:stroke on="f" joinstyle="miter"/>
            <v:imagedata o:title=""/>
            <o:lock v:ext="edit" aspectratio="t"/>
            <w10:wrap type="none"/>
            <w10:anchorlock/>
          </v:shape>
        </w:pic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r>
        <w:fldChar w:fldCharType="begin"/>
      </w:r>
      <w:r>
        <w:instrText xml:space="preserve"> HYPERLINK "https://en.wikipedia.org/wiki/Triphenylphosphine" \o "Triphenylphosphine" </w:instrText>
      </w:r>
      <w:r>
        <w:fldChar w:fldCharType="separate"/>
      </w:r>
      <w:r>
        <w:rPr>
          <w:rStyle w:val="9"/>
          <w:color w:val="auto"/>
          <w:sz w:val="28"/>
          <w:szCs w:val="28"/>
          <w:u w:val="none"/>
        </w:rPr>
        <w:t>PPh</w:t>
      </w:r>
      <w:r>
        <w:rPr>
          <w:rStyle w:val="9"/>
          <w:color w:val="auto"/>
          <w:sz w:val="28"/>
          <w:szCs w:val="28"/>
          <w:u w:val="none"/>
          <w:vertAlign w:val="subscript"/>
        </w:rPr>
        <w:t>3</w:t>
      </w:r>
      <w:r>
        <w:rPr>
          <w:rStyle w:val="9"/>
          <w:color w:val="auto"/>
          <w:sz w:val="28"/>
          <w:szCs w:val="28"/>
          <w:u w:val="none"/>
          <w:vertAlign w:val="subscript"/>
        </w:rPr>
        <w:fldChar w:fldCharType="end"/>
      </w:r>
      <w:r>
        <w:rPr>
          <w:sz w:val="28"/>
          <w:szCs w:val="28"/>
        </w:rPr>
        <w:t>, </w:t>
      </w:r>
      <w:r>
        <w:fldChar w:fldCharType="begin"/>
      </w:r>
      <w:r>
        <w:instrText xml:space="preserve"> HYPERLINK "https://en.wikipedia.org/wiki/Methyldiphenylphosphine" \o "Methyldiphenylphosphine" </w:instrText>
      </w:r>
      <w:r>
        <w:fldChar w:fldCharType="separate"/>
      </w:r>
      <w:r>
        <w:rPr>
          <w:rStyle w:val="9"/>
          <w:color w:val="auto"/>
          <w:sz w:val="28"/>
          <w:szCs w:val="28"/>
          <w:u w:val="none"/>
        </w:rPr>
        <w:t>PPh</w:t>
      </w:r>
      <w:r>
        <w:rPr>
          <w:rStyle w:val="9"/>
          <w:color w:val="auto"/>
          <w:sz w:val="28"/>
          <w:szCs w:val="28"/>
          <w:u w:val="none"/>
          <w:vertAlign w:val="subscript"/>
        </w:rPr>
        <w:t>2</w:t>
      </w:r>
      <w:r>
        <w:rPr>
          <w:rStyle w:val="9"/>
          <w:color w:val="auto"/>
          <w:sz w:val="28"/>
          <w:szCs w:val="28"/>
          <w:u w:val="none"/>
        </w:rPr>
        <w:t>Me</w:t>
      </w:r>
      <w:r>
        <w:rPr>
          <w:rStyle w:val="9"/>
          <w:color w:val="auto"/>
          <w:sz w:val="28"/>
          <w:szCs w:val="28"/>
          <w:u w:val="none"/>
        </w:rPr>
        <w:fldChar w:fldCharType="end"/>
      </w:r>
      <w:r>
        <w:rPr>
          <w:color w:val="202122"/>
          <w:sz w:val="28"/>
          <w:szCs w:val="28"/>
        </w:rPr>
        <w:t> and</w:t>
      </w:r>
      <w:r>
        <w:rPr>
          <w:sz w:val="28"/>
          <w:szCs w:val="28"/>
        </w:rPr>
        <w:t> </w:t>
      </w:r>
      <w:r>
        <w:fldChar w:fldCharType="begin"/>
      </w:r>
      <w:r>
        <w:instrText xml:space="preserve"> HYPERLINK "https://en.wikipedia.org/wiki/Thiourea" \o "Thiourea" </w:instrText>
      </w:r>
      <w:r>
        <w:fldChar w:fldCharType="separate"/>
      </w:r>
      <w:r>
        <w:rPr>
          <w:rStyle w:val="9"/>
          <w:color w:val="auto"/>
          <w:sz w:val="28"/>
          <w:szCs w:val="28"/>
          <w:u w:val="none"/>
        </w:rPr>
        <w:t>thiourea</w:t>
      </w:r>
      <w:r>
        <w:rPr>
          <w:rStyle w:val="9"/>
          <w:color w:val="auto"/>
          <w:sz w:val="28"/>
          <w:szCs w:val="28"/>
          <w:u w:val="none"/>
        </w:rPr>
        <w:fldChar w:fldCharType="end"/>
      </w:r>
      <w:r>
        <w:rPr>
          <w:color w:val="202122"/>
          <w:sz w:val="28"/>
          <w:szCs w:val="28"/>
        </w:rPr>
        <w:t>.</w:t>
      </w:r>
    </w:p>
    <w:p w14:paraId="23A41419">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Nickel tetrahedral complexes are often bright blue and 20 times or more intensely coloured than the octahedral complexes.[78].The ligands can include selections of neutral </w:t>
      </w:r>
      <w:r>
        <w:fldChar w:fldCharType="begin"/>
      </w:r>
      <w:r>
        <w:instrText xml:space="preserve"> HYPERLINK "https://en.wikipedia.org/wiki/Amine" \o "Amine" </w:instrText>
      </w:r>
      <w:r>
        <w:fldChar w:fldCharType="separate"/>
      </w:r>
      <w:r>
        <w:rPr>
          <w:rStyle w:val="9"/>
          <w:color w:val="auto"/>
          <w:sz w:val="28"/>
          <w:szCs w:val="28"/>
          <w:u w:val="none"/>
        </w:rPr>
        <w:t>amines</w:t>
      </w:r>
      <w:r>
        <w:rPr>
          <w:rStyle w:val="9"/>
          <w:color w:val="auto"/>
          <w:sz w:val="28"/>
          <w:szCs w:val="28"/>
          <w:u w:val="none"/>
        </w:rPr>
        <w:fldChar w:fldCharType="end"/>
      </w:r>
      <w:r>
        <w:rPr>
          <w:sz w:val="28"/>
          <w:szCs w:val="28"/>
        </w:rPr>
        <w:t>, </w:t>
      </w:r>
      <w:r>
        <w:fldChar w:fldCharType="begin"/>
      </w:r>
      <w:r>
        <w:instrText xml:space="preserve"> HYPERLINK "https://en.wikipedia.org/wiki/Arsine" \o "Arsine" </w:instrText>
      </w:r>
      <w:r>
        <w:fldChar w:fldCharType="separate"/>
      </w:r>
      <w:r>
        <w:rPr>
          <w:rStyle w:val="9"/>
          <w:color w:val="auto"/>
          <w:sz w:val="28"/>
          <w:szCs w:val="28"/>
          <w:u w:val="none"/>
        </w:rPr>
        <w:t>arsines</w:t>
      </w:r>
      <w:r>
        <w:rPr>
          <w:rStyle w:val="9"/>
          <w:color w:val="auto"/>
          <w:sz w:val="28"/>
          <w:szCs w:val="28"/>
          <w:u w:val="none"/>
        </w:rPr>
        <w:fldChar w:fldCharType="end"/>
      </w:r>
      <w:r>
        <w:rPr>
          <w:sz w:val="28"/>
          <w:szCs w:val="28"/>
        </w:rPr>
        <w:t>, </w:t>
      </w:r>
      <w:r>
        <w:fldChar w:fldCharType="begin"/>
      </w:r>
      <w:r>
        <w:instrText xml:space="preserve"> HYPERLINK "https://en.wikipedia.org/w/index.php?title=Arsine_oxide&amp;action=edit&amp;redlink=1" \o "Arsine oxide (page does not exist)" </w:instrText>
      </w:r>
      <w:r>
        <w:fldChar w:fldCharType="separate"/>
      </w:r>
      <w:r>
        <w:rPr>
          <w:rStyle w:val="9"/>
          <w:color w:val="auto"/>
          <w:sz w:val="28"/>
          <w:szCs w:val="28"/>
          <w:u w:val="none"/>
        </w:rPr>
        <w:t>arsine oxides</w:t>
      </w:r>
      <w:r>
        <w:rPr>
          <w:rStyle w:val="9"/>
          <w:color w:val="auto"/>
          <w:sz w:val="28"/>
          <w:szCs w:val="28"/>
          <w:u w:val="none"/>
        </w:rPr>
        <w:fldChar w:fldCharType="end"/>
      </w:r>
      <w:r>
        <w:rPr>
          <w:sz w:val="28"/>
          <w:szCs w:val="28"/>
        </w:rPr>
        <w:t>, </w:t>
      </w:r>
      <w:r>
        <w:fldChar w:fldCharType="begin"/>
      </w:r>
      <w:r>
        <w:instrText xml:space="preserve"> HYPERLINK "https://en.wikipedia.org/wiki/Phosphine" \o "Phosphine" </w:instrText>
      </w:r>
      <w:r>
        <w:fldChar w:fldCharType="separate"/>
      </w:r>
      <w:r>
        <w:rPr>
          <w:rStyle w:val="9"/>
          <w:color w:val="auto"/>
          <w:sz w:val="28"/>
          <w:szCs w:val="28"/>
          <w:u w:val="none"/>
        </w:rPr>
        <w:t>phosphines</w:t>
      </w:r>
      <w:r>
        <w:rPr>
          <w:rStyle w:val="9"/>
          <w:color w:val="auto"/>
          <w:sz w:val="28"/>
          <w:szCs w:val="28"/>
          <w:u w:val="none"/>
        </w:rPr>
        <w:fldChar w:fldCharType="end"/>
      </w:r>
      <w:r>
        <w:rPr>
          <w:sz w:val="28"/>
          <w:szCs w:val="28"/>
        </w:rPr>
        <w:t> or </w:t>
      </w:r>
      <w:r>
        <w:fldChar w:fldCharType="begin"/>
      </w:r>
      <w:r>
        <w:instrText xml:space="preserve"> HYPERLINK "https://en.wikipedia.org/wiki/Phosphine_oxide" \o "Phosphine oxide" </w:instrText>
      </w:r>
      <w:r>
        <w:fldChar w:fldCharType="separate"/>
      </w:r>
      <w:r>
        <w:rPr>
          <w:rStyle w:val="9"/>
          <w:color w:val="auto"/>
          <w:sz w:val="28"/>
          <w:szCs w:val="28"/>
          <w:u w:val="none"/>
        </w:rPr>
        <w:t>phosphine oxides</w:t>
      </w:r>
      <w:r>
        <w:rPr>
          <w:rStyle w:val="9"/>
          <w:color w:val="auto"/>
          <w:sz w:val="28"/>
          <w:szCs w:val="28"/>
          <w:u w:val="none"/>
        </w:rPr>
        <w:fldChar w:fldCharType="end"/>
      </w:r>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r>
        <w:fldChar w:fldCharType="begin"/>
      </w:r>
      <w:r>
        <w:instrText xml:space="preserve"> HYPERLINK "https://en.wikipedia.org/wiki/Triphenyl_phosphine" \o "Triphenyl phosphine" </w:instrText>
      </w:r>
      <w:r>
        <w:fldChar w:fldCharType="separate"/>
      </w:r>
      <w:r>
        <w:rPr>
          <w:rStyle w:val="9"/>
          <w:color w:val="auto"/>
          <w:sz w:val="28"/>
          <w:szCs w:val="28"/>
          <w:u w:val="none"/>
        </w:rPr>
        <w:t>triphenyl phosphine</w:t>
      </w:r>
      <w:r>
        <w:rPr>
          <w:rStyle w:val="9"/>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r>
        <w:fldChar w:fldCharType="begin"/>
      </w:r>
      <w:r>
        <w:instrText xml:space="preserve"> HYPERLINK "https://en.wikipedia.org/wiki/Nickel_bis(dimethylglyoximate)" \o "Nickel bis(dimethylglyoximate)" </w:instrText>
      </w:r>
      <w:r>
        <w:fldChar w:fldCharType="separate"/>
      </w:r>
      <w:r>
        <w:rPr>
          <w:rStyle w:val="9"/>
          <w:color w:val="auto"/>
          <w:sz w:val="28"/>
          <w:szCs w:val="28"/>
          <w:u w:val="none"/>
        </w:rPr>
        <w:t>Nickel bis(dimethylglyoximate)</w:t>
      </w:r>
      <w:r>
        <w:rPr>
          <w:rStyle w:val="9"/>
          <w:color w:val="auto"/>
          <w:sz w:val="28"/>
          <w:szCs w:val="28"/>
          <w:u w:val="none"/>
        </w:rPr>
        <w:fldChar w:fldCharType="end"/>
      </w:r>
      <w:r>
        <w:rPr>
          <w:color w:val="202122"/>
          <w:sz w:val="28"/>
          <w:szCs w:val="28"/>
        </w:rPr>
        <w:t>, an insoluble red solid is important for </w:t>
      </w:r>
      <w:r>
        <w:fldChar w:fldCharType="begin"/>
      </w:r>
      <w:r>
        <w:instrText xml:space="preserve"> HYPERLINK "https://en.wikipedia.org/wiki/Gravimetric_analysis" \o "Gravimetric analysis" </w:instrText>
      </w:r>
      <w:r>
        <w:fldChar w:fldCharType="separate"/>
      </w:r>
      <w:r>
        <w:rPr>
          <w:rStyle w:val="9"/>
          <w:color w:val="auto"/>
          <w:sz w:val="28"/>
          <w:szCs w:val="28"/>
          <w:u w:val="none"/>
        </w:rPr>
        <w:t>gravimetric analysis</w:t>
      </w:r>
      <w:r>
        <w:rPr>
          <w:rStyle w:val="9"/>
          <w:color w:val="auto"/>
          <w:sz w:val="28"/>
          <w:szCs w:val="28"/>
          <w:u w:val="none"/>
        </w:rPr>
        <w:fldChar w:fldCharType="end"/>
      </w:r>
      <w:r>
        <w:t xml:space="preserve">. </w:t>
      </w:r>
    </w:p>
    <w:p w14:paraId="4BFF44E3">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r>
      <w:r>
        <w:rPr>
          <w:b/>
          <w:color w:val="202122"/>
          <w:sz w:val="28"/>
          <w:szCs w:val="28"/>
        </w:rPr>
        <w:t>COPPER</w:t>
      </w:r>
    </w:p>
    <w:p w14:paraId="30CD26FB">
      <w:pPr>
        <w:pStyle w:val="10"/>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14:paraId="5BA3A355">
      <w:pPr>
        <w:pStyle w:val="2"/>
        <w:shd w:val="clear" w:color="auto" w:fill="FFFFFF"/>
        <w:spacing w:before="60" w:beforeAutospacing="0" w:after="60" w:afterAutospacing="0"/>
        <w:jc w:val="both"/>
        <w:rPr>
          <w:rStyle w:val="17"/>
          <w:sz w:val="28"/>
          <w:szCs w:val="28"/>
        </w:rPr>
      </w:pPr>
    </w:p>
    <w:p w14:paraId="485BBCB3">
      <w:pPr>
        <w:pStyle w:val="2"/>
        <w:shd w:val="clear" w:color="auto" w:fill="FFFFFF"/>
        <w:spacing w:before="60" w:beforeAutospacing="0" w:after="60" w:afterAutospacing="0"/>
        <w:jc w:val="both"/>
        <w:rPr>
          <w:rStyle w:val="17"/>
          <w:sz w:val="28"/>
          <w:szCs w:val="28"/>
        </w:rPr>
      </w:pPr>
    </w:p>
    <w:p w14:paraId="22D95D7A">
      <w:pPr>
        <w:pStyle w:val="2"/>
        <w:shd w:val="clear" w:color="auto" w:fill="FFFFFF"/>
        <w:spacing w:before="60" w:beforeAutospacing="0" w:after="60" w:afterAutospacing="0"/>
        <w:jc w:val="both"/>
        <w:rPr>
          <w:rStyle w:val="17"/>
          <w:sz w:val="28"/>
          <w:szCs w:val="28"/>
        </w:rPr>
      </w:pPr>
    </w:p>
    <w:p w14:paraId="2487C747">
      <w:pPr>
        <w:pStyle w:val="2"/>
        <w:shd w:val="clear" w:color="auto" w:fill="FFFFFF"/>
        <w:spacing w:before="60" w:beforeAutospacing="0" w:after="60" w:afterAutospacing="0"/>
        <w:jc w:val="both"/>
        <w:rPr>
          <w:sz w:val="28"/>
          <w:szCs w:val="28"/>
        </w:rPr>
      </w:pPr>
      <w:r>
        <w:rPr>
          <w:rStyle w:val="17"/>
          <w:sz w:val="28"/>
          <w:szCs w:val="28"/>
        </w:rPr>
        <w:t>1.7.2.1</w:t>
      </w:r>
      <w:r>
        <w:rPr>
          <w:rStyle w:val="17"/>
          <w:sz w:val="28"/>
          <w:szCs w:val="28"/>
        </w:rPr>
        <w:tab/>
      </w:r>
      <w:r>
        <w:rPr>
          <w:rStyle w:val="17"/>
          <w:sz w:val="28"/>
          <w:szCs w:val="28"/>
        </w:rPr>
        <w:t>Deficiency</w:t>
      </w:r>
    </w:p>
    <w:p w14:paraId="4D67C941">
      <w:pPr>
        <w:pStyle w:val="10"/>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r>
        <w:fldChar w:fldCharType="begin"/>
      </w:r>
      <w:r>
        <w:instrText xml:space="preserve"> HYPERLINK "https://en.wikipedia.org/wiki/Copper_deficiency" \o "Copper deficiency" </w:instrText>
      </w:r>
      <w:r>
        <w:fldChar w:fldCharType="separate"/>
      </w:r>
      <w:r>
        <w:rPr>
          <w:rStyle w:val="9"/>
          <w:color w:val="auto"/>
          <w:sz w:val="28"/>
          <w:szCs w:val="28"/>
          <w:u w:val="none"/>
        </w:rPr>
        <w:t>copper deficiency</w:t>
      </w:r>
      <w:r>
        <w:rPr>
          <w:rStyle w:val="9"/>
          <w:color w:val="auto"/>
          <w:sz w:val="28"/>
          <w:szCs w:val="28"/>
          <w:u w:val="none"/>
        </w:rPr>
        <w:fldChar w:fldCharType="end"/>
      </w:r>
      <w:r>
        <w:rPr>
          <w:color w:val="202122"/>
          <w:sz w:val="28"/>
          <w:szCs w:val="28"/>
        </w:rPr>
        <w:t> can produce </w:t>
      </w:r>
      <w:r>
        <w:fldChar w:fldCharType="begin"/>
      </w:r>
      <w:r>
        <w:instrText xml:space="preserve"> HYPERLINK "https://en.wikipedia.org/wiki/Anemia" \o "Anemia" </w:instrText>
      </w:r>
      <w:r>
        <w:fldChar w:fldCharType="separate"/>
      </w:r>
      <w:r>
        <w:rPr>
          <w:rStyle w:val="9"/>
          <w:color w:val="auto"/>
          <w:sz w:val="28"/>
          <w:szCs w:val="28"/>
          <w:u w:val="none"/>
        </w:rPr>
        <w:t>anemia</w:t>
      </w:r>
      <w:r>
        <w:rPr>
          <w:rStyle w:val="9"/>
          <w:color w:val="auto"/>
          <w:sz w:val="28"/>
          <w:szCs w:val="28"/>
          <w:u w:val="none"/>
        </w:rPr>
        <w:fldChar w:fldCharType="end"/>
      </w:r>
      <w:r>
        <w:rPr>
          <w:color w:val="202122"/>
          <w:sz w:val="28"/>
          <w:szCs w:val="28"/>
        </w:rPr>
        <w:t>-like symptoms, </w:t>
      </w:r>
      <w:r>
        <w:fldChar w:fldCharType="begin"/>
      </w:r>
      <w:r>
        <w:instrText xml:space="preserve"> HYPERLINK "https://en.wikipedia.org/wiki/Neutropenia" \o "Neutropenia" </w:instrText>
      </w:r>
      <w:r>
        <w:fldChar w:fldCharType="separate"/>
      </w:r>
      <w:r>
        <w:rPr>
          <w:rStyle w:val="9"/>
          <w:color w:val="auto"/>
          <w:sz w:val="28"/>
          <w:szCs w:val="28"/>
          <w:u w:val="none"/>
        </w:rPr>
        <w:t>neutropenia</w:t>
      </w:r>
      <w:r>
        <w:rPr>
          <w:rStyle w:val="9"/>
          <w:color w:val="auto"/>
          <w:sz w:val="28"/>
          <w:szCs w:val="28"/>
          <w:u w:val="none"/>
        </w:rPr>
        <w:fldChar w:fldCharType="end"/>
      </w:r>
      <w:r>
        <w:rPr>
          <w:color w:val="202122"/>
          <w:sz w:val="28"/>
          <w:szCs w:val="28"/>
        </w:rPr>
        <w:t>, bone abnormalities, hypopigmentation, impaired growth, increased incidence of infections, osteoporosis, hyperthyroidism, and abnormalities in glucose and cholesterol metabolism. Conversely,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causes an accumulation of copper in body tissues.</w:t>
      </w:r>
    </w:p>
    <w:p w14:paraId="4776889D">
      <w:pPr>
        <w:pStyle w:val="10"/>
        <w:shd w:val="clear" w:color="auto" w:fill="FFFFFF"/>
        <w:spacing w:before="120" w:beforeAutospacing="0" w:after="240" w:afterAutospacing="0" w:line="480" w:lineRule="auto"/>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14:paraId="384184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r>
      <w:r>
        <w:rPr>
          <w:b/>
          <w:color w:val="202122"/>
          <w:sz w:val="28"/>
          <w:szCs w:val="28"/>
        </w:rPr>
        <w:t>TOXICITY</w:t>
      </w:r>
    </w:p>
    <w:p w14:paraId="4FA6E73B">
      <w:pPr>
        <w:pStyle w:val="10"/>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fldChar w:fldCharType="begin"/>
      </w:r>
      <w:r>
        <w:instrText xml:space="preserve"> HYPERLINK "https://en.wikipedia.org/wiki/Reactive_oxygen_species" \o "Reactive oxygen species" </w:instrText>
      </w:r>
      <w:r>
        <w:fldChar w:fldCharType="separate"/>
      </w:r>
      <w:r>
        <w:rPr>
          <w:rStyle w:val="9"/>
          <w:color w:val="auto"/>
          <w:sz w:val="28"/>
          <w:szCs w:val="28"/>
          <w:u w:val="none"/>
        </w:rPr>
        <w:t>reactive oxygen species</w:t>
      </w:r>
      <w:r>
        <w:rPr>
          <w:rStyle w:val="9"/>
          <w:color w:val="auto"/>
          <w:sz w:val="28"/>
          <w:szCs w:val="28"/>
          <w:u w:val="none"/>
        </w:rPr>
        <w:fldChar w:fldCharType="end"/>
      </w:r>
      <w:r>
        <w:rPr>
          <w:color w:val="202122"/>
          <w:sz w:val="28"/>
          <w:szCs w:val="28"/>
        </w:rPr>
        <w:t> that damage </w:t>
      </w:r>
      <w:r>
        <w:fldChar w:fldCharType="begin"/>
      </w:r>
      <w:r>
        <w:instrText xml:space="preserve"> HYPERLINK "https://en.wikipedia.org/wiki/DNA" \o "DNA" </w:instrText>
      </w:r>
      <w:r>
        <w:fldChar w:fldCharType="separate"/>
      </w:r>
      <w:r>
        <w:rPr>
          <w:rStyle w:val="9"/>
          <w:color w:val="auto"/>
          <w:sz w:val="28"/>
          <w:szCs w:val="28"/>
          <w:u w:val="none"/>
        </w:rPr>
        <w:t>DNA</w:t>
      </w:r>
      <w:r>
        <w:rPr>
          <w:rStyle w:val="9"/>
          <w:color w:val="auto"/>
          <w:sz w:val="28"/>
          <w:szCs w:val="28"/>
          <w:u w:val="none"/>
        </w:rPr>
        <w:fldChar w:fldCharType="end"/>
      </w:r>
      <w:r>
        <w:rPr>
          <w:color w:val="202122"/>
          <w:sz w:val="28"/>
          <w:szCs w:val="28"/>
        </w:rPr>
        <w:t>.[80][81]. Corresponding amounts of copper salts (30 mg/kg) are toxic in animals.[82] A minimum dietary value for healthy growth in rabbits has been reported to be at least 3 </w:t>
      </w:r>
      <w:r>
        <w:fldChar w:fldCharType="begin"/>
      </w:r>
      <w:r>
        <w:instrText xml:space="preserve"> HYPERLINK "https://en.wikipedia.org/wiki/Parts_per_million" \o "Parts per million" </w:instrText>
      </w:r>
      <w:r>
        <w:fldChar w:fldCharType="separate"/>
      </w:r>
      <w:r>
        <w:rPr>
          <w:rStyle w:val="9"/>
          <w:color w:val="auto"/>
          <w:sz w:val="28"/>
          <w:szCs w:val="28"/>
          <w:u w:val="none"/>
        </w:rPr>
        <w:t>ppm</w:t>
      </w:r>
      <w:r>
        <w:rPr>
          <w:rStyle w:val="9"/>
          <w:color w:val="auto"/>
          <w:sz w:val="28"/>
          <w:szCs w:val="28"/>
          <w:u w:val="none"/>
        </w:rPr>
        <w:fldChar w:fldCharType="end"/>
      </w:r>
      <w:r>
        <w:rPr>
          <w:color w:val="202122"/>
          <w:sz w:val="28"/>
          <w:szCs w:val="28"/>
        </w:rPr>
        <w:t> in the diet.[83] However, higher concentrations of copper (100 ppm, 200 ppm, or 500 ppm) in the diet of rabbits may favorably influence</w:t>
      </w:r>
      <w:r>
        <w:rPr>
          <w:sz w:val="28"/>
          <w:szCs w:val="28"/>
        </w:rPr>
        <w:t> </w:t>
      </w:r>
      <w:r>
        <w:fldChar w:fldCharType="begin"/>
      </w:r>
      <w:r>
        <w:instrText xml:space="preserve"> HYPERLINK "https://en.wikipedia.org/wiki/Feed_conversion_ratio" \o "Feed conversion ratio" </w:instrText>
      </w:r>
      <w:r>
        <w:fldChar w:fldCharType="separate"/>
      </w:r>
      <w:r>
        <w:rPr>
          <w:rStyle w:val="9"/>
          <w:color w:val="auto"/>
          <w:sz w:val="28"/>
          <w:szCs w:val="28"/>
          <w:u w:val="none"/>
        </w:rPr>
        <w:t>feed conversion efficiency</w:t>
      </w:r>
      <w:r>
        <w:rPr>
          <w:rStyle w:val="9"/>
          <w:color w:val="auto"/>
          <w:sz w:val="28"/>
          <w:szCs w:val="28"/>
          <w:u w:val="none"/>
        </w:rPr>
        <w:fldChar w:fldCharType="end"/>
      </w:r>
      <w:r>
        <w:rPr>
          <w:color w:val="202122"/>
          <w:sz w:val="28"/>
          <w:szCs w:val="28"/>
        </w:rPr>
        <w:t>, growth rates, and carcass dressing percentages.[84]</w:t>
      </w:r>
    </w:p>
    <w:p w14:paraId="4C32687B">
      <w:pPr>
        <w:pStyle w:val="10"/>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with copper accumulation and</w:t>
      </w:r>
      <w:r>
        <w:rPr>
          <w:sz w:val="28"/>
          <w:szCs w:val="28"/>
        </w:rPr>
        <w:t> </w:t>
      </w:r>
      <w:r>
        <w:fldChar w:fldCharType="begin"/>
      </w:r>
      <w:r>
        <w:instrText xml:space="preserve"> HYPERLINK "https://en.wikipedia.org/wiki/Cirrhosis" \o "Cirrhosis" </w:instrText>
      </w:r>
      <w:r>
        <w:fldChar w:fldCharType="separate"/>
      </w:r>
      <w:r>
        <w:rPr>
          <w:rStyle w:val="9"/>
          <w:color w:val="auto"/>
          <w:sz w:val="28"/>
          <w:szCs w:val="28"/>
          <w:u w:val="none"/>
        </w:rPr>
        <w:t>cirrhosis</w:t>
      </w:r>
      <w:r>
        <w:rPr>
          <w:rStyle w:val="9"/>
          <w:color w:val="auto"/>
          <w:sz w:val="28"/>
          <w:szCs w:val="28"/>
          <w:u w:val="none"/>
        </w:rPr>
        <w:fldChar w:fldCharType="end"/>
      </w:r>
      <w:r>
        <w:rPr>
          <w:color w:val="202122"/>
          <w:sz w:val="28"/>
          <w:szCs w:val="28"/>
        </w:rPr>
        <w:t> of the liver in persons who have inherited two defective genes.[85]</w:t>
      </w:r>
    </w:p>
    <w:p w14:paraId="0A6133F5">
      <w:pPr>
        <w:pStyle w:val="10"/>
        <w:shd w:val="clear" w:color="auto" w:fill="FFFFFF"/>
        <w:spacing w:before="120" w:beforeAutospacing="0" w:after="240" w:afterAutospacing="0" w:line="480" w:lineRule="auto"/>
        <w:jc w:val="both"/>
        <w:rPr>
          <w:b/>
          <w:color w:val="202122"/>
          <w:sz w:val="32"/>
          <w:szCs w:val="32"/>
        </w:rPr>
      </w:pPr>
      <w:r>
        <w:rPr>
          <w:color w:val="202122"/>
          <w:sz w:val="28"/>
          <w:szCs w:val="28"/>
        </w:rPr>
        <w:t>Elevated copper levels have also been linked to worsening symptoms of </w:t>
      </w:r>
      <w:r>
        <w:fldChar w:fldCharType="begin"/>
      </w:r>
      <w:r>
        <w:instrText xml:space="preserve"> HYPERLINK "https://en.wikipedia.org/wiki/Alzheimer%27s_disease" \o "Alzheimer's disease" </w:instrText>
      </w:r>
      <w:r>
        <w:fldChar w:fldCharType="separate"/>
      </w:r>
      <w:r>
        <w:rPr>
          <w:rStyle w:val="9"/>
          <w:color w:val="auto"/>
          <w:sz w:val="28"/>
          <w:szCs w:val="28"/>
          <w:u w:val="none"/>
        </w:rPr>
        <w:t>Alzheimer's disease</w:t>
      </w:r>
      <w:r>
        <w:rPr>
          <w:rStyle w:val="9"/>
          <w:color w:val="auto"/>
          <w:sz w:val="28"/>
          <w:szCs w:val="28"/>
          <w:u w:val="none"/>
        </w:rPr>
        <w:fldChar w:fldCharType="end"/>
      </w:r>
      <w:r>
        <w:rPr>
          <w:sz w:val="28"/>
          <w:szCs w:val="28"/>
        </w:rPr>
        <w:t>.[</w:t>
      </w:r>
      <w:r>
        <w:rPr>
          <w:color w:val="202122"/>
          <w:sz w:val="28"/>
          <w:szCs w:val="28"/>
        </w:rPr>
        <w:t>86][87]</w:t>
      </w:r>
    </w:p>
    <w:p w14:paraId="2D6F47BE">
      <w:pPr>
        <w:pStyle w:val="10"/>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Pr>
          <w:b/>
          <w:color w:val="202122"/>
          <w:sz w:val="32"/>
          <w:szCs w:val="32"/>
        </w:rPr>
        <w:t>IRON</w:t>
      </w:r>
    </w:p>
    <w:p w14:paraId="7A4D3151">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r>
        <w:fldChar w:fldCharType="begin"/>
      </w:r>
      <w:r>
        <w:instrText xml:space="preserve"> HYPERLINK "https://en.wikipedia.org/wiki/Transition_metal" \o "Transition metal" </w:instrText>
      </w:r>
      <w:r>
        <w:fldChar w:fldCharType="separate"/>
      </w:r>
      <w:r>
        <w:rPr>
          <w:rStyle w:val="9"/>
          <w:color w:val="auto"/>
          <w:sz w:val="28"/>
          <w:szCs w:val="28"/>
          <w:u w:val="none"/>
        </w:rPr>
        <w:t>transition metals</w:t>
      </w:r>
      <w:r>
        <w:rPr>
          <w:rStyle w:val="9"/>
          <w:color w:val="auto"/>
          <w:sz w:val="28"/>
          <w:szCs w:val="28"/>
          <w:u w:val="none"/>
        </w:rPr>
        <w:fldChar w:fldCharType="end"/>
      </w:r>
      <w:r>
        <w:rPr>
          <w:color w:val="202122"/>
          <w:sz w:val="28"/>
          <w:szCs w:val="28"/>
        </w:rPr>
        <w:t>, namely the ability to form variable oxidation states differing by steps of one and a very large coordination and </w:t>
      </w:r>
      <w:r>
        <w:fldChar w:fldCharType="begin"/>
      </w:r>
      <w:r>
        <w:instrText xml:space="preserve"> HYPERLINK "https://en.wikipedia.org/wiki/Organometallic_chemistry" \o "Organometallic chemistry" </w:instrText>
      </w:r>
      <w:r>
        <w:fldChar w:fldCharType="separate"/>
      </w:r>
      <w:r>
        <w:rPr>
          <w:rStyle w:val="9"/>
          <w:color w:val="auto"/>
          <w:sz w:val="28"/>
          <w:szCs w:val="28"/>
          <w:u w:val="none"/>
        </w:rPr>
        <w:t>organometallic chemistry</w:t>
      </w:r>
      <w:r>
        <w:rPr>
          <w:rStyle w:val="9"/>
          <w:color w:val="auto"/>
          <w:sz w:val="28"/>
          <w:szCs w:val="28"/>
          <w:u w:val="none"/>
        </w:rPr>
        <w:fldChar w:fldCharType="end"/>
      </w:r>
      <w:r>
        <w:rPr>
          <w:color w:val="202122"/>
          <w:sz w:val="28"/>
          <w:szCs w:val="28"/>
        </w:rPr>
        <w:t>: indeed, it was the discovery of an iron compound,</w:t>
      </w:r>
      <w:r>
        <w:rPr>
          <w:sz w:val="28"/>
          <w:szCs w:val="28"/>
        </w:rPr>
        <w:t> </w:t>
      </w:r>
      <w:r>
        <w:fldChar w:fldCharType="begin"/>
      </w:r>
      <w:r>
        <w:instrText xml:space="preserve"> HYPERLINK "https://en.wikipedia.org/wiki/Ferrocene" \o "Ferrocene" </w:instrText>
      </w:r>
      <w:r>
        <w:fldChar w:fldCharType="separate"/>
      </w:r>
      <w:r>
        <w:rPr>
          <w:rStyle w:val="9"/>
          <w:color w:val="auto"/>
          <w:sz w:val="28"/>
          <w:szCs w:val="28"/>
          <w:u w:val="none"/>
        </w:rPr>
        <w:t>ferrocene</w:t>
      </w:r>
      <w:r>
        <w:rPr>
          <w:rStyle w:val="9"/>
          <w:color w:val="auto"/>
          <w:sz w:val="28"/>
          <w:szCs w:val="28"/>
          <w:u w:val="none"/>
        </w:rPr>
        <w:fldChar w:fldCharType="end"/>
      </w:r>
      <w:r>
        <w:rPr>
          <w:color w:val="202122"/>
          <w:sz w:val="28"/>
          <w:szCs w:val="28"/>
        </w:rPr>
        <w:t>, that revolutionalized the latter field in the 1950s.[88]. Iron is sometimes considered as a prototype for the entire block of transition metals, due to its abundance and the immense role it has played in the technological progress of humanity.[89]. Its 26 electrons are arranged in the</w:t>
      </w:r>
      <w:r>
        <w:rPr>
          <w:sz w:val="28"/>
          <w:szCs w:val="28"/>
        </w:rPr>
        <w:t> </w:t>
      </w:r>
      <w:r>
        <w:fldChar w:fldCharType="begin"/>
      </w:r>
      <w:r>
        <w:instrText xml:space="preserve"> HYPERLINK "https://en.wikipedia.org/wiki/Electron_configuration" \o "Electron configuration" </w:instrText>
      </w:r>
      <w:r>
        <w:fldChar w:fldCharType="separate"/>
      </w:r>
      <w:r>
        <w:rPr>
          <w:rStyle w:val="9"/>
          <w:color w:val="auto"/>
          <w:sz w:val="28"/>
          <w:szCs w:val="28"/>
          <w:u w:val="none"/>
        </w:rPr>
        <w:t>configuration</w:t>
      </w:r>
      <w:r>
        <w:rPr>
          <w:rStyle w:val="9"/>
          <w:color w:val="auto"/>
          <w:sz w:val="28"/>
          <w:szCs w:val="28"/>
          <w:u w:val="none"/>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14:paraId="067FA7BB">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r>
        <w:fldChar w:fldCharType="begin"/>
      </w:r>
      <w:r>
        <w:instrText xml:space="preserve"> HYPERLINK "https://en.wikipedia.org/wiki/Oxidation_state" \o "Oxidation state" </w:instrText>
      </w:r>
      <w:r>
        <w:fldChar w:fldCharType="separate"/>
      </w:r>
      <w:r>
        <w:rPr>
          <w:rStyle w:val="9"/>
          <w:color w:val="auto"/>
          <w:sz w:val="28"/>
          <w:szCs w:val="28"/>
          <w:u w:val="none"/>
        </w:rPr>
        <w:t>oxidation states</w:t>
      </w:r>
      <w:r>
        <w:rPr>
          <w:rStyle w:val="9"/>
          <w:color w:val="auto"/>
          <w:sz w:val="28"/>
          <w:szCs w:val="28"/>
          <w:u w:val="none"/>
        </w:rPr>
        <w:fldChar w:fldCharType="end"/>
      </w:r>
      <w:r>
        <w:rPr>
          <w:sz w:val="28"/>
          <w:szCs w:val="28"/>
        </w:rPr>
        <w:t> +2 (</w:t>
      </w:r>
      <w:r>
        <w:fldChar w:fldCharType="begin"/>
      </w:r>
      <w:r>
        <w:instrText xml:space="preserve"> HYPERLINK "https://en.wikipedia.org/wiki/Iron(II)" \o "Iron(II)" </w:instrText>
      </w:r>
      <w:r>
        <w:fldChar w:fldCharType="separate"/>
      </w:r>
      <w:r>
        <w:rPr>
          <w:rStyle w:val="9"/>
          <w:color w:val="auto"/>
          <w:sz w:val="28"/>
          <w:szCs w:val="28"/>
          <w:u w:val="none"/>
        </w:rPr>
        <w:t>iron(II)</w:t>
      </w:r>
      <w:r>
        <w:rPr>
          <w:rStyle w:val="9"/>
          <w:color w:val="auto"/>
          <w:sz w:val="28"/>
          <w:szCs w:val="28"/>
          <w:u w:val="none"/>
        </w:rPr>
        <w:fldChar w:fldCharType="end"/>
      </w:r>
      <w:r>
        <w:rPr>
          <w:color w:val="202122"/>
          <w:sz w:val="28"/>
          <w:szCs w:val="28"/>
        </w:rPr>
        <w:t>, "ferrous") and +3 (</w:t>
      </w:r>
      <w:r>
        <w:fldChar w:fldCharType="begin"/>
      </w:r>
      <w:r>
        <w:instrText xml:space="preserve"> HYPERLINK "https://en.wikipedia.org/wiki/Iron(III)" \o "Iron(III)" </w:instrText>
      </w:r>
      <w:r>
        <w:fldChar w:fldCharType="separate"/>
      </w:r>
      <w:r>
        <w:rPr>
          <w:rStyle w:val="9"/>
          <w:color w:val="auto"/>
          <w:sz w:val="28"/>
          <w:szCs w:val="28"/>
          <w:u w:val="none"/>
        </w:rPr>
        <w:t>iron(III)</w:t>
      </w:r>
      <w:r>
        <w:rPr>
          <w:rStyle w:val="9"/>
          <w:color w:val="auto"/>
          <w:sz w:val="28"/>
          <w:szCs w:val="28"/>
          <w:u w:val="none"/>
        </w:rPr>
        <w:fldChar w:fldCharType="end"/>
      </w:r>
      <w:r>
        <w:rPr>
          <w:sz w:val="28"/>
          <w:szCs w:val="28"/>
        </w:rPr>
        <w:t>,</w:t>
      </w:r>
      <w:r>
        <w:rPr>
          <w:color w:val="202122"/>
          <w:sz w:val="28"/>
          <w:szCs w:val="28"/>
        </w:rPr>
        <w:t xml:space="preserve"> "ferric"). Iron also occurs in </w:t>
      </w:r>
      <w:r>
        <w:fldChar w:fldCharType="begin"/>
      </w:r>
      <w:r>
        <w:instrText xml:space="preserve"> HYPERLINK "https://en.wikipedia.org/wiki/High-valent_iron" \o "High-valent iron" </w:instrText>
      </w:r>
      <w:r>
        <w:fldChar w:fldCharType="separate"/>
      </w:r>
      <w:r>
        <w:rPr>
          <w:rStyle w:val="9"/>
          <w:color w:val="auto"/>
          <w:sz w:val="28"/>
          <w:szCs w:val="28"/>
          <w:u w:val="none"/>
        </w:rPr>
        <w:t>higher oxidation states</w:t>
      </w:r>
      <w:r>
        <w:rPr>
          <w:rStyle w:val="9"/>
          <w:color w:val="auto"/>
          <w:sz w:val="28"/>
          <w:szCs w:val="28"/>
          <w:u w:val="none"/>
        </w:rPr>
        <w:fldChar w:fldCharType="end"/>
      </w:r>
      <w:r>
        <w:rPr>
          <w:color w:val="202122"/>
          <w:sz w:val="28"/>
          <w:szCs w:val="28"/>
        </w:rPr>
        <w:t>, e.g., the purple </w:t>
      </w:r>
      <w:r>
        <w:fldChar w:fldCharType="begin"/>
      </w:r>
      <w:r>
        <w:instrText xml:space="preserve"> HYPERLINK "https://en.wikipedia.org/wiki/Potassium_ferrate" \o "Potassium ferrate" </w:instrText>
      </w:r>
      <w:r>
        <w:fldChar w:fldCharType="separate"/>
      </w:r>
      <w:r>
        <w:rPr>
          <w:rStyle w:val="9"/>
          <w:color w:val="auto"/>
          <w:sz w:val="28"/>
          <w:szCs w:val="28"/>
          <w:u w:val="none"/>
        </w:rPr>
        <w:t>potassium ferrate</w:t>
      </w:r>
      <w:r>
        <w:rPr>
          <w:rStyle w:val="9"/>
          <w:color w:val="auto"/>
          <w:sz w:val="28"/>
          <w:szCs w:val="28"/>
          <w:u w:val="none"/>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r>
        <w:fldChar w:fldCharType="begin"/>
      </w:r>
      <w:r>
        <w:instrText xml:space="preserve"> HYPERLINK "https://en.wikipedia.org/wiki/Organoiron_chemistry" \o "Organoiron chemistry" </w:instrText>
      </w:r>
      <w:r>
        <w:fldChar w:fldCharType="separate"/>
      </w:r>
      <w:r>
        <w:rPr>
          <w:rStyle w:val="9"/>
          <w:color w:val="auto"/>
          <w:sz w:val="28"/>
          <w:szCs w:val="28"/>
          <w:u w:val="none"/>
        </w:rPr>
        <w:t>organoiron</w:t>
      </w:r>
      <w:r>
        <w:rPr>
          <w:rStyle w:val="9"/>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r>
        <w:fldChar w:fldCharType="begin"/>
      </w:r>
      <w:r>
        <w:instrText xml:space="preserve"> HYPERLINK "https://en.wikipedia.org/wiki/M%C3%B6ssbauer_spectroscopy" \o "Mössbauer spectroscopy" </w:instrText>
      </w:r>
      <w:r>
        <w:fldChar w:fldCharType="separate"/>
      </w:r>
      <w:r>
        <w:rPr>
          <w:rStyle w:val="9"/>
          <w:color w:val="auto"/>
          <w:sz w:val="28"/>
          <w:szCs w:val="28"/>
          <w:u w:val="none"/>
        </w:rPr>
        <w:t>Mössbauer spectroscopy</w:t>
      </w:r>
      <w:r>
        <w:rPr>
          <w:rStyle w:val="9"/>
          <w:color w:val="auto"/>
          <w:sz w:val="28"/>
          <w:szCs w:val="28"/>
          <w:u w:val="none"/>
        </w:rPr>
        <w:fldChar w:fldCharType="end"/>
      </w:r>
      <w:r>
        <w:rPr>
          <w:sz w:val="28"/>
          <w:szCs w:val="28"/>
        </w:rPr>
        <w:t>.[</w:t>
      </w:r>
      <w:r>
        <w:rPr>
          <w:color w:val="202122"/>
          <w:sz w:val="28"/>
          <w:szCs w:val="28"/>
        </w:rPr>
        <w:t>90] Many </w:t>
      </w:r>
      <w:r>
        <w:fldChar w:fldCharType="begin"/>
      </w:r>
      <w:r>
        <w:instrText xml:space="preserve"> HYPERLINK "https://en.wikipedia.org/wiki/Mixed_valence_compound" \o "Mixed valence compound" </w:instrText>
      </w:r>
      <w:r>
        <w:fldChar w:fldCharType="separate"/>
      </w:r>
      <w:r>
        <w:rPr>
          <w:rStyle w:val="9"/>
          <w:color w:val="auto"/>
          <w:sz w:val="28"/>
          <w:szCs w:val="28"/>
          <w:u w:val="none"/>
        </w:rPr>
        <w:t>mixed valence compounds</w:t>
      </w:r>
      <w:r>
        <w:rPr>
          <w:rStyle w:val="9"/>
          <w:color w:val="auto"/>
          <w:sz w:val="28"/>
          <w:szCs w:val="28"/>
          <w:u w:val="none"/>
        </w:rPr>
        <w:fldChar w:fldCharType="end"/>
      </w:r>
      <w:r>
        <w:rPr>
          <w:color w:val="202122"/>
          <w:sz w:val="28"/>
          <w:szCs w:val="28"/>
        </w:rPr>
        <w:t> contain both iron(II) and iron(III) centers, such as </w:t>
      </w:r>
      <w:r>
        <w:fldChar w:fldCharType="begin"/>
      </w:r>
      <w:r>
        <w:instrText xml:space="preserve"> HYPERLINK "https://en.wikipedia.org/wiki/Magnetite" \o "Magnetite" </w:instrText>
      </w:r>
      <w:r>
        <w:fldChar w:fldCharType="separate"/>
      </w:r>
      <w:r>
        <w:rPr>
          <w:rStyle w:val="9"/>
          <w:color w:val="auto"/>
          <w:sz w:val="28"/>
          <w:szCs w:val="28"/>
          <w:u w:val="none"/>
        </w:rPr>
        <w:t>magnetite</w:t>
      </w:r>
      <w:r>
        <w:rPr>
          <w:rStyle w:val="9"/>
          <w:color w:val="auto"/>
          <w:sz w:val="28"/>
          <w:szCs w:val="28"/>
          <w:u w:val="none"/>
        </w:rPr>
        <w:fldChar w:fldCharType="end"/>
      </w:r>
      <w:r>
        <w:rPr>
          <w:sz w:val="28"/>
          <w:szCs w:val="28"/>
        </w:rPr>
        <w:t> and </w:t>
      </w:r>
      <w:r>
        <w:fldChar w:fldCharType="begin"/>
      </w:r>
      <w:r>
        <w:instrText xml:space="preserve"> HYPERLINK "https://en.wikipedia.org/wiki/Prussian_blue" \o "Prussian blue" </w:instrText>
      </w:r>
      <w:r>
        <w:fldChar w:fldCharType="separate"/>
      </w:r>
      <w:r>
        <w:rPr>
          <w:rStyle w:val="9"/>
          <w:color w:val="auto"/>
          <w:sz w:val="28"/>
          <w:szCs w:val="28"/>
          <w:u w:val="none"/>
        </w:rPr>
        <w:t>Prussian blue</w:t>
      </w:r>
      <w:r>
        <w:rPr>
          <w:rStyle w:val="9"/>
          <w:color w:val="auto"/>
          <w:sz w:val="28"/>
          <w:szCs w:val="28"/>
          <w:u w:val="none"/>
        </w:rPr>
        <w:fldChar w:fldCharType="end"/>
      </w:r>
      <w:r>
        <w:rPr>
          <w:color w:val="202122"/>
          <w:sz w:val="28"/>
          <w:szCs w:val="28"/>
        </w:rPr>
        <w:t> (</w:t>
      </w:r>
      <w:r>
        <w:rPr>
          <w:rStyle w:val="14"/>
          <w:color w:val="202122"/>
          <w:sz w:val="28"/>
          <w:szCs w:val="28"/>
        </w:rPr>
        <w:t>Fe</w:t>
      </w:r>
      <w:r>
        <w:rPr>
          <w:rStyle w:val="14"/>
          <w:color w:val="202122"/>
          <w:sz w:val="28"/>
          <w:szCs w:val="28"/>
          <w:vertAlign w:val="subscript"/>
        </w:rPr>
        <w:t>4</w:t>
      </w:r>
      <w:r>
        <w:rPr>
          <w:rStyle w:val="14"/>
          <w:color w:val="202122"/>
          <w:sz w:val="28"/>
          <w:szCs w:val="28"/>
        </w:rPr>
        <w:t>(Fe[CN]</w:t>
      </w:r>
      <w:r>
        <w:rPr>
          <w:rStyle w:val="14"/>
          <w:color w:val="202122"/>
          <w:sz w:val="28"/>
          <w:szCs w:val="28"/>
          <w:vertAlign w:val="subscript"/>
        </w:rPr>
        <w:t>6</w:t>
      </w:r>
      <w:r>
        <w:rPr>
          <w:rStyle w:val="14"/>
          <w:color w:val="202122"/>
          <w:sz w:val="28"/>
          <w:szCs w:val="28"/>
        </w:rPr>
        <w:t>)</w:t>
      </w:r>
      <w:r>
        <w:rPr>
          <w:rStyle w:val="14"/>
          <w:color w:val="202122"/>
          <w:sz w:val="28"/>
          <w:szCs w:val="28"/>
          <w:vertAlign w:val="subscript"/>
        </w:rPr>
        <w:t>3</w:t>
      </w:r>
      <w:r>
        <w:rPr>
          <w:color w:val="202122"/>
          <w:sz w:val="28"/>
          <w:szCs w:val="28"/>
        </w:rPr>
        <w:t>).[89] The latter is used as the traditional "blue" in</w:t>
      </w:r>
      <w:r>
        <w:rPr>
          <w:sz w:val="28"/>
          <w:szCs w:val="28"/>
        </w:rPr>
        <w:t> </w:t>
      </w:r>
      <w:r>
        <w:fldChar w:fldCharType="begin"/>
      </w:r>
      <w:r>
        <w:instrText xml:space="preserve"> HYPERLINK "https://en.wikipedia.org/wiki/Blueprint" \o "Blueprint" </w:instrText>
      </w:r>
      <w:r>
        <w:fldChar w:fldCharType="separate"/>
      </w:r>
      <w:r>
        <w:rPr>
          <w:rStyle w:val="9"/>
          <w:color w:val="auto"/>
          <w:sz w:val="28"/>
          <w:szCs w:val="28"/>
          <w:u w:val="none"/>
        </w:rPr>
        <w:t>blueprints</w:t>
      </w:r>
      <w:r>
        <w:rPr>
          <w:rStyle w:val="9"/>
          <w:color w:val="auto"/>
          <w:sz w:val="28"/>
          <w:szCs w:val="28"/>
          <w:u w:val="none"/>
        </w:rPr>
        <w:fldChar w:fldCharType="end"/>
      </w:r>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r>
        <w:fldChar w:fldCharType="begin"/>
      </w:r>
      <w:r>
        <w:instrText xml:space="preserve"> HYPERLINK "https://en.wikipedia.org/wiki/Room_temperature" \o "Room temperature" </w:instrText>
      </w:r>
      <w:r>
        <w:fldChar w:fldCharType="separate"/>
      </w:r>
      <w:r>
        <w:rPr>
          <w:rStyle w:val="9"/>
          <w:color w:val="auto"/>
          <w:sz w:val="28"/>
          <w:szCs w:val="28"/>
          <w:u w:val="none"/>
        </w:rPr>
        <w:t>room temperature</w:t>
      </w:r>
      <w:r>
        <w:rPr>
          <w:rStyle w:val="9"/>
          <w:color w:val="auto"/>
          <w:sz w:val="28"/>
          <w:szCs w:val="28"/>
          <w:u w:val="none"/>
        </w:rPr>
        <w:fldChar w:fldCharType="end"/>
      </w:r>
      <w:r>
        <w:rPr>
          <w:color w:val="202122"/>
          <w:sz w:val="28"/>
          <w:szCs w:val="28"/>
        </w:rPr>
        <w:t> and share similar chemistry. As such, iron, cobalt, and nickel are sometimes grouped together as th</w:t>
      </w:r>
      <w:r>
        <w:rPr>
          <w:sz w:val="28"/>
          <w:szCs w:val="28"/>
        </w:rPr>
        <w:t>e </w:t>
      </w:r>
      <w:r>
        <w:fldChar w:fldCharType="begin"/>
      </w:r>
      <w:r>
        <w:instrText xml:space="preserve"> HYPERLINK "https://en.wikipedia.org/wiki/Iron_triad" \o "Iron triad" </w:instrText>
      </w:r>
      <w:r>
        <w:fldChar w:fldCharType="separate"/>
      </w:r>
      <w:r>
        <w:rPr>
          <w:rStyle w:val="9"/>
          <w:color w:val="auto"/>
          <w:sz w:val="28"/>
          <w:szCs w:val="28"/>
          <w:u w:val="none"/>
        </w:rPr>
        <w:t>iron triad</w:t>
      </w:r>
      <w:r>
        <w:rPr>
          <w:rStyle w:val="9"/>
          <w:color w:val="auto"/>
          <w:sz w:val="28"/>
          <w:szCs w:val="28"/>
          <w:u w:val="none"/>
        </w:rPr>
        <w:fldChar w:fldCharType="end"/>
      </w:r>
      <w:r>
        <w:rPr>
          <w:color w:val="202122"/>
          <w:sz w:val="28"/>
          <w:szCs w:val="28"/>
        </w:rPr>
        <w:t>.[89]</w:t>
      </w:r>
    </w:p>
    <w:p w14:paraId="6C4FD5BC">
      <w:pPr>
        <w:pStyle w:val="10"/>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r>
        <w:fldChar w:fldCharType="begin"/>
      </w:r>
      <w:r>
        <w:instrText xml:space="preserve"> HYPERLINK "https://en.wikipedia.org/wiki/Mercury_(element)" \o "Mercury (element)" </w:instrText>
      </w:r>
      <w:r>
        <w:fldChar w:fldCharType="separate"/>
      </w:r>
      <w:r>
        <w:rPr>
          <w:rStyle w:val="9"/>
          <w:color w:val="auto"/>
          <w:sz w:val="28"/>
          <w:szCs w:val="28"/>
          <w:u w:val="none"/>
        </w:rPr>
        <w:t>mercury</w:t>
      </w:r>
      <w:r>
        <w:rPr>
          <w:rStyle w:val="9"/>
          <w:color w:val="auto"/>
          <w:sz w:val="28"/>
          <w:szCs w:val="28"/>
          <w:u w:val="none"/>
        </w:rPr>
        <w:fldChar w:fldCharType="end"/>
      </w:r>
      <w:r>
        <w:rPr>
          <w:color w:val="202122"/>
          <w:sz w:val="28"/>
          <w:szCs w:val="28"/>
        </w:rPr>
        <w:t>. As a result, mercury is traded in standardized 76 pound flasks (34 kg) made of iron.[90]</w:t>
      </w:r>
    </w:p>
    <w:p w14:paraId="69A7D9B1">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Iron is by far the most reactive element in its group; it is </w:t>
      </w:r>
      <w:r>
        <w:fldChar w:fldCharType="begin"/>
      </w:r>
      <w:r>
        <w:instrText xml:space="preserve"> HYPERLINK "https://en.wikipedia.org/wiki/Pyrophoricity" \o "Pyrophoricity" </w:instrText>
      </w:r>
      <w:r>
        <w:fldChar w:fldCharType="separate"/>
      </w:r>
      <w:r>
        <w:rPr>
          <w:rStyle w:val="9"/>
          <w:color w:val="auto"/>
          <w:sz w:val="28"/>
          <w:szCs w:val="28"/>
          <w:u w:val="none"/>
        </w:rPr>
        <w:t>pyrophoric</w:t>
      </w:r>
      <w:r>
        <w:rPr>
          <w:rStyle w:val="9"/>
          <w:color w:val="auto"/>
          <w:sz w:val="28"/>
          <w:szCs w:val="28"/>
          <w:u w:val="none"/>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fldChar w:fldCharType="begin"/>
      </w:r>
      <w:r>
        <w:instrText xml:space="preserve"> HYPERLINK "https://en.wikipedia.org/wiki/Nitric_acid" \o "Nitric acid" </w:instrText>
      </w:r>
      <w:r>
        <w:fldChar w:fldCharType="separate"/>
      </w:r>
      <w:r>
        <w:rPr>
          <w:rStyle w:val="9"/>
          <w:color w:val="auto"/>
          <w:sz w:val="28"/>
          <w:szCs w:val="28"/>
          <w:u w:val="none"/>
        </w:rPr>
        <w:t>nitric acid</w:t>
      </w:r>
      <w:r>
        <w:rPr>
          <w:rStyle w:val="9"/>
          <w:color w:val="auto"/>
          <w:sz w:val="28"/>
          <w:szCs w:val="28"/>
          <w:u w:val="none"/>
        </w:rPr>
        <w:fldChar w:fldCharType="end"/>
      </w:r>
      <w:r>
        <w:rPr>
          <w:color w:val="202122"/>
          <w:sz w:val="28"/>
          <w:szCs w:val="28"/>
        </w:rPr>
        <w:t> and other oxidizing acids due to the formation of an impervious oxide layer, which can nevertheless react with .[91]. High-purity iron, called </w:t>
      </w:r>
      <w:r>
        <w:fldChar w:fldCharType="begin"/>
      </w:r>
      <w:r>
        <w:instrText xml:space="preserve"> HYPERLINK "https://en.wikipedia.org/wiki/Electrolytic_iron" \o "Electrolytic iron" </w:instrText>
      </w:r>
      <w:r>
        <w:fldChar w:fldCharType="separate"/>
      </w:r>
      <w:r>
        <w:rPr>
          <w:rStyle w:val="9"/>
          <w:color w:val="auto"/>
          <w:sz w:val="28"/>
          <w:szCs w:val="28"/>
          <w:u w:val="none"/>
        </w:rPr>
        <w:t>electrolytic iron</w:t>
      </w:r>
      <w:r>
        <w:rPr>
          <w:rStyle w:val="9"/>
          <w:color w:val="auto"/>
          <w:sz w:val="28"/>
          <w:szCs w:val="28"/>
          <w:u w:val="none"/>
        </w:rPr>
        <w:fldChar w:fldCharType="end"/>
      </w:r>
      <w:r>
        <w:rPr>
          <w:color w:val="202122"/>
          <w:sz w:val="28"/>
          <w:szCs w:val="28"/>
        </w:rPr>
        <w:t>, is considered to be resistant to rust, due to its oxide layer.</w:t>
      </w:r>
    </w:p>
    <w:p w14:paraId="76B3FB78">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Pr>
          <w:b/>
          <w:color w:val="202122"/>
          <w:sz w:val="28"/>
          <w:szCs w:val="28"/>
        </w:rPr>
        <w:t>DEFICIENCY</w:t>
      </w:r>
    </w:p>
    <w:p w14:paraId="7838DD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r>
        <w:fldChar w:fldCharType="begin"/>
      </w:r>
      <w:r>
        <w:instrText xml:space="preserve"> HYPERLINK "https://en.wikipedia.org/wiki/Nutritional_deficiency" \o "Nutritional deficiency" </w:instrText>
      </w:r>
      <w:r>
        <w:fldChar w:fldCharType="separate"/>
      </w:r>
      <w:r>
        <w:rPr>
          <w:rStyle w:val="9"/>
          <w:color w:val="auto"/>
          <w:sz w:val="28"/>
          <w:szCs w:val="28"/>
          <w:u w:val="none"/>
        </w:rPr>
        <w:t>nutritional deficiency</w:t>
      </w:r>
      <w:r>
        <w:rPr>
          <w:rStyle w:val="9"/>
          <w:color w:val="auto"/>
          <w:sz w:val="28"/>
          <w:szCs w:val="28"/>
          <w:u w:val="none"/>
        </w:rPr>
        <w:fldChar w:fldCharType="end"/>
      </w:r>
      <w:r>
        <w:rPr>
          <w:color w:val="202122"/>
          <w:sz w:val="28"/>
          <w:szCs w:val="28"/>
        </w:rPr>
        <w:t> in the world.[92][93][94] When loss of iron is not adequately compensated by adequate dietary iron intake, a state of </w:t>
      </w:r>
      <w:r>
        <w:fldChar w:fldCharType="begin"/>
      </w:r>
      <w:r>
        <w:instrText xml:space="preserve"> HYPERLINK "https://en.wikipedia.org/wiki/Latent_iron_deficiency" \o "Latent iron deficiency" </w:instrText>
      </w:r>
      <w:r>
        <w:fldChar w:fldCharType="separate"/>
      </w:r>
      <w:r>
        <w:rPr>
          <w:rStyle w:val="9"/>
          <w:color w:val="auto"/>
          <w:sz w:val="28"/>
          <w:szCs w:val="28"/>
          <w:u w:val="none"/>
        </w:rPr>
        <w:t>latent iron deficiency</w:t>
      </w:r>
      <w:r>
        <w:rPr>
          <w:rStyle w:val="9"/>
          <w:color w:val="auto"/>
          <w:sz w:val="28"/>
          <w:szCs w:val="28"/>
          <w:u w:val="none"/>
        </w:rPr>
        <w:fldChar w:fldCharType="end"/>
      </w:r>
      <w:r>
        <w:rPr>
          <w:color w:val="202122"/>
          <w:sz w:val="28"/>
          <w:szCs w:val="28"/>
        </w:rPr>
        <w:t> occurs, which over time leads to</w:t>
      </w:r>
      <w:r>
        <w:rPr>
          <w:sz w:val="28"/>
          <w:szCs w:val="28"/>
        </w:rPr>
        <w:t> </w:t>
      </w:r>
      <w:r>
        <w:fldChar w:fldCharType="begin"/>
      </w:r>
      <w:r>
        <w:instrText xml:space="preserve"> HYPERLINK "https://en.wikipedia.org/wiki/Iron-deficiency_anemia" \o "Iron-deficiency anemia" </w:instrText>
      </w:r>
      <w:r>
        <w:fldChar w:fldCharType="separate"/>
      </w:r>
      <w:r>
        <w:rPr>
          <w:rStyle w:val="9"/>
          <w:color w:val="auto"/>
          <w:sz w:val="28"/>
          <w:szCs w:val="28"/>
          <w:u w:val="none"/>
        </w:rPr>
        <w:t>iron-deficiency anemia</w:t>
      </w:r>
      <w:r>
        <w:rPr>
          <w:rStyle w:val="9"/>
          <w:color w:val="auto"/>
          <w:sz w:val="28"/>
          <w:szCs w:val="28"/>
          <w:u w:val="none"/>
        </w:rPr>
        <w:fldChar w:fldCharType="end"/>
      </w:r>
      <w:r>
        <w:rPr>
          <w:color w:val="202122"/>
          <w:sz w:val="28"/>
          <w:szCs w:val="28"/>
        </w:rPr>
        <w:t> if left untreated, which is characterised by an insufficient number of red blood cells and an insufficient amount of hemoglobin.[95] Children,</w:t>
      </w:r>
      <w:r>
        <w:rPr>
          <w:sz w:val="28"/>
          <w:szCs w:val="28"/>
        </w:rPr>
        <w:t> </w:t>
      </w:r>
      <w:r>
        <w:fldChar w:fldCharType="begin"/>
      </w:r>
      <w:r>
        <w:instrText xml:space="preserve"> HYPERLINK "https://en.wikipedia.org/wiki/Pre-menopausal" \o "Pre-menopausal" </w:instrText>
      </w:r>
      <w:r>
        <w:fldChar w:fldCharType="separate"/>
      </w:r>
      <w:r>
        <w:rPr>
          <w:rStyle w:val="9"/>
          <w:color w:val="auto"/>
          <w:sz w:val="28"/>
          <w:szCs w:val="28"/>
          <w:u w:val="none"/>
        </w:rPr>
        <w:t>pre-menopausal</w:t>
      </w:r>
      <w:r>
        <w:rPr>
          <w:rStyle w:val="9"/>
          <w:color w:val="auto"/>
          <w:sz w:val="28"/>
          <w:szCs w:val="28"/>
          <w:u w:val="none"/>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082E53D4">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5ED00479">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14:paraId="4410DF21">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279891A1">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32E09C2D">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48D4ABF8">
      <w:pPr>
        <w:pStyle w:val="10"/>
        <w:shd w:val="clear" w:color="auto" w:fill="FFFFFF"/>
        <w:spacing w:before="120" w:beforeAutospacing="0" w:after="240" w:afterAutospacing="0" w:line="480" w:lineRule="auto"/>
        <w:jc w:val="both"/>
        <w:rPr>
          <w:color w:val="202122"/>
          <w:sz w:val="28"/>
          <w:szCs w:val="28"/>
        </w:rPr>
      </w:pPr>
    </w:p>
    <w:p w14:paraId="3B8E101F">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3ABBB8A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Pr>
          <w:b/>
          <w:color w:val="202122"/>
          <w:sz w:val="28"/>
          <w:szCs w:val="28"/>
        </w:rPr>
        <w:t>MATERIALS AND METHODS</w:t>
      </w:r>
    </w:p>
    <w:p w14:paraId="67E4C77A">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14:paraId="6E34269E">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E254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0D4137D">
            <w:pPr>
              <w:pStyle w:val="10"/>
              <w:spacing w:before="120" w:beforeAutospacing="0" w:after="240" w:afterAutospacing="0" w:line="480" w:lineRule="auto"/>
              <w:jc w:val="both"/>
              <w:rPr>
                <w:b/>
                <w:color w:val="202122"/>
                <w:sz w:val="28"/>
                <w:szCs w:val="28"/>
              </w:rPr>
            </w:pPr>
            <w:r>
              <w:rPr>
                <w:b/>
                <w:color w:val="202122"/>
                <w:sz w:val="28"/>
                <w:szCs w:val="28"/>
              </w:rPr>
              <w:t xml:space="preserve">APPARATUS                </w:t>
            </w:r>
          </w:p>
          <w:p w14:paraId="205648EC">
            <w:pPr>
              <w:pStyle w:val="10"/>
              <w:spacing w:before="120" w:beforeAutospacing="0" w:after="240" w:afterAutospacing="0" w:line="480" w:lineRule="auto"/>
              <w:jc w:val="both"/>
              <w:rPr>
                <w:color w:val="202122"/>
                <w:sz w:val="28"/>
                <w:szCs w:val="28"/>
              </w:rPr>
            </w:pPr>
            <w:r>
              <w:rPr>
                <w:color w:val="202122"/>
                <w:sz w:val="28"/>
                <w:szCs w:val="28"/>
              </w:rPr>
              <w:t>Beakers</w:t>
            </w:r>
          </w:p>
          <w:p w14:paraId="0FA7B829">
            <w:pPr>
              <w:pStyle w:val="10"/>
              <w:spacing w:before="120" w:beforeAutospacing="0" w:after="240" w:afterAutospacing="0" w:line="480" w:lineRule="auto"/>
              <w:jc w:val="both"/>
              <w:rPr>
                <w:color w:val="202122"/>
                <w:sz w:val="28"/>
                <w:szCs w:val="28"/>
              </w:rPr>
            </w:pPr>
            <w:r>
              <w:rPr>
                <w:color w:val="202122"/>
                <w:sz w:val="28"/>
                <w:szCs w:val="28"/>
              </w:rPr>
              <w:t>Conical Flasks</w:t>
            </w:r>
          </w:p>
          <w:p w14:paraId="441C4FCA">
            <w:pPr>
              <w:pStyle w:val="10"/>
              <w:spacing w:before="120" w:beforeAutospacing="0" w:after="240" w:afterAutospacing="0" w:line="480" w:lineRule="auto"/>
              <w:jc w:val="both"/>
              <w:rPr>
                <w:color w:val="202122"/>
                <w:sz w:val="28"/>
                <w:szCs w:val="28"/>
              </w:rPr>
            </w:pPr>
            <w:r>
              <w:rPr>
                <w:color w:val="202122"/>
                <w:sz w:val="28"/>
                <w:szCs w:val="28"/>
              </w:rPr>
              <w:t>Capilary tube</w:t>
            </w:r>
          </w:p>
          <w:p w14:paraId="7D9F647C">
            <w:pPr>
              <w:pStyle w:val="10"/>
              <w:spacing w:before="120" w:beforeAutospacing="0" w:after="240" w:afterAutospacing="0" w:line="480" w:lineRule="auto"/>
              <w:jc w:val="both"/>
              <w:rPr>
                <w:color w:val="202122"/>
                <w:sz w:val="28"/>
                <w:szCs w:val="28"/>
              </w:rPr>
            </w:pPr>
            <w:r>
              <w:rPr>
                <w:color w:val="202122"/>
                <w:sz w:val="28"/>
                <w:szCs w:val="28"/>
              </w:rPr>
              <w:t>Dessicator</w:t>
            </w:r>
          </w:p>
          <w:p w14:paraId="2311A15C">
            <w:pPr>
              <w:pStyle w:val="10"/>
              <w:spacing w:before="120" w:beforeAutospacing="0" w:after="240" w:afterAutospacing="0" w:line="480" w:lineRule="auto"/>
              <w:jc w:val="both"/>
              <w:rPr>
                <w:color w:val="202122"/>
                <w:sz w:val="28"/>
                <w:szCs w:val="28"/>
              </w:rPr>
            </w:pPr>
            <w:r>
              <w:rPr>
                <w:color w:val="202122"/>
                <w:sz w:val="28"/>
                <w:szCs w:val="28"/>
              </w:rPr>
              <w:t>Electrothermal melting point</w:t>
            </w:r>
          </w:p>
          <w:p w14:paraId="65F88510">
            <w:pPr>
              <w:pStyle w:val="10"/>
              <w:spacing w:before="120" w:beforeAutospacing="0" w:after="240" w:afterAutospacing="0" w:line="480" w:lineRule="auto"/>
              <w:jc w:val="both"/>
              <w:rPr>
                <w:color w:val="202122"/>
                <w:sz w:val="28"/>
                <w:szCs w:val="28"/>
              </w:rPr>
            </w:pPr>
            <w:r>
              <w:rPr>
                <w:color w:val="202122"/>
                <w:sz w:val="28"/>
                <w:szCs w:val="28"/>
              </w:rPr>
              <w:t>Round bottom flasks</w:t>
            </w:r>
          </w:p>
          <w:p w14:paraId="5692D4E9">
            <w:pPr>
              <w:pStyle w:val="10"/>
              <w:spacing w:before="120" w:beforeAutospacing="0" w:after="240" w:afterAutospacing="0" w:line="480" w:lineRule="auto"/>
              <w:jc w:val="both"/>
              <w:rPr>
                <w:color w:val="202122"/>
                <w:sz w:val="28"/>
                <w:szCs w:val="28"/>
              </w:rPr>
            </w:pPr>
            <w:r>
              <w:rPr>
                <w:color w:val="202122"/>
                <w:sz w:val="28"/>
                <w:szCs w:val="28"/>
              </w:rPr>
              <w:t>Hot plate with magnetic stirrer</w:t>
            </w:r>
          </w:p>
          <w:p w14:paraId="19864484">
            <w:pPr>
              <w:pStyle w:val="10"/>
              <w:spacing w:before="120" w:beforeAutospacing="0" w:after="240" w:afterAutospacing="0" w:line="480" w:lineRule="auto"/>
              <w:jc w:val="both"/>
              <w:rPr>
                <w:color w:val="202122"/>
                <w:sz w:val="28"/>
                <w:szCs w:val="28"/>
              </w:rPr>
            </w:pPr>
            <w:r>
              <w:rPr>
                <w:color w:val="202122"/>
                <w:sz w:val="28"/>
                <w:szCs w:val="28"/>
              </w:rPr>
              <w:t>Measuring cylinder</w:t>
            </w:r>
          </w:p>
          <w:p w14:paraId="184F82AB">
            <w:pPr>
              <w:pStyle w:val="10"/>
              <w:spacing w:before="120" w:beforeAutospacing="0" w:after="240" w:afterAutospacing="0" w:line="480" w:lineRule="auto"/>
              <w:jc w:val="both"/>
              <w:rPr>
                <w:color w:val="202122"/>
                <w:sz w:val="28"/>
                <w:szCs w:val="28"/>
              </w:rPr>
            </w:pPr>
            <w:r>
              <w:rPr>
                <w:color w:val="202122"/>
                <w:sz w:val="28"/>
                <w:szCs w:val="28"/>
              </w:rPr>
              <w:t>Plastic condenser</w:t>
            </w:r>
          </w:p>
          <w:p w14:paraId="4CEEC013">
            <w:pPr>
              <w:pStyle w:val="10"/>
              <w:spacing w:before="120" w:beforeAutospacing="0" w:after="240" w:afterAutospacing="0" w:line="480" w:lineRule="auto"/>
              <w:jc w:val="both"/>
              <w:rPr>
                <w:color w:val="202122"/>
                <w:sz w:val="28"/>
                <w:szCs w:val="28"/>
              </w:rPr>
            </w:pPr>
            <w:r>
              <w:rPr>
                <w:color w:val="202122"/>
                <w:sz w:val="28"/>
                <w:szCs w:val="28"/>
              </w:rPr>
              <w:t>Reflux condenser</w:t>
            </w:r>
          </w:p>
          <w:p w14:paraId="73E2D8E2">
            <w:pPr>
              <w:pStyle w:val="10"/>
              <w:spacing w:before="120" w:beforeAutospacing="0" w:after="240" w:afterAutospacing="0" w:line="480" w:lineRule="auto"/>
              <w:jc w:val="both"/>
              <w:rPr>
                <w:color w:val="202122"/>
                <w:sz w:val="28"/>
                <w:szCs w:val="28"/>
              </w:rPr>
            </w:pPr>
            <w:r>
              <w:rPr>
                <w:color w:val="202122"/>
                <w:sz w:val="28"/>
                <w:szCs w:val="28"/>
              </w:rPr>
              <w:t>Test tube</w:t>
            </w:r>
          </w:p>
          <w:p w14:paraId="5A99F5D4">
            <w:pPr>
              <w:pStyle w:val="10"/>
              <w:spacing w:before="120" w:beforeAutospacing="0" w:after="240" w:afterAutospacing="0" w:line="480" w:lineRule="auto"/>
              <w:jc w:val="both"/>
              <w:rPr>
                <w:color w:val="202122"/>
                <w:sz w:val="28"/>
                <w:szCs w:val="28"/>
              </w:rPr>
            </w:pPr>
            <w:r>
              <w:rPr>
                <w:color w:val="202122"/>
                <w:sz w:val="28"/>
                <w:szCs w:val="28"/>
              </w:rPr>
              <w:t>Thermometer</w:t>
            </w:r>
          </w:p>
          <w:p w14:paraId="4C84C1E8">
            <w:pPr>
              <w:pStyle w:val="10"/>
              <w:spacing w:before="120" w:beforeAutospacing="0" w:after="240" w:afterAutospacing="0" w:line="480" w:lineRule="auto"/>
              <w:jc w:val="both"/>
              <w:rPr>
                <w:color w:val="202122"/>
                <w:sz w:val="28"/>
                <w:szCs w:val="28"/>
              </w:rPr>
            </w:pPr>
            <w:r>
              <w:rPr>
                <w:color w:val="202122"/>
                <w:sz w:val="28"/>
                <w:szCs w:val="28"/>
              </w:rPr>
              <w:t xml:space="preserve">Infrared </w:t>
            </w:r>
          </w:p>
          <w:p w14:paraId="49D4ECF7">
            <w:pPr>
              <w:pStyle w:val="10"/>
              <w:spacing w:before="120" w:beforeAutospacing="0" w:after="240" w:afterAutospacing="0" w:line="480" w:lineRule="auto"/>
              <w:jc w:val="both"/>
              <w:rPr>
                <w:color w:val="202122"/>
                <w:sz w:val="28"/>
                <w:szCs w:val="28"/>
              </w:rPr>
            </w:pPr>
            <w:r>
              <w:rPr>
                <w:color w:val="202122"/>
                <w:sz w:val="28"/>
                <w:szCs w:val="28"/>
              </w:rPr>
              <w:t xml:space="preserve">Ultraviolet </w:t>
            </w:r>
          </w:p>
          <w:p w14:paraId="7B1E1359">
            <w:pPr>
              <w:pStyle w:val="10"/>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54E48C2A">
            <w:pPr>
              <w:pStyle w:val="10"/>
              <w:spacing w:before="120" w:beforeAutospacing="0" w:after="240" w:afterAutospacing="0" w:line="480" w:lineRule="auto"/>
              <w:jc w:val="both"/>
              <w:rPr>
                <w:b/>
                <w:color w:val="202122"/>
                <w:sz w:val="28"/>
                <w:szCs w:val="28"/>
              </w:rPr>
            </w:pPr>
            <w:r>
              <w:rPr>
                <w:b/>
                <w:color w:val="202122"/>
                <w:sz w:val="28"/>
                <w:szCs w:val="28"/>
              </w:rPr>
              <w:t>MANUFACTURER</w:t>
            </w:r>
          </w:p>
          <w:p w14:paraId="03C4EE8D">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37E5F953">
            <w:pPr>
              <w:pStyle w:val="10"/>
              <w:spacing w:before="120" w:beforeAutospacing="0" w:after="240" w:afterAutospacing="0" w:line="480" w:lineRule="auto"/>
              <w:jc w:val="both"/>
              <w:rPr>
                <w:color w:val="202122"/>
                <w:sz w:val="28"/>
                <w:szCs w:val="28"/>
              </w:rPr>
            </w:pPr>
            <w:r>
              <w:rPr>
                <w:color w:val="202122"/>
                <w:sz w:val="28"/>
                <w:szCs w:val="28"/>
              </w:rPr>
              <w:t>Simax company Ltd. England</w:t>
            </w:r>
          </w:p>
          <w:p w14:paraId="0B6B4803">
            <w:pPr>
              <w:pStyle w:val="10"/>
              <w:spacing w:before="120" w:beforeAutospacing="0" w:after="240" w:afterAutospacing="0" w:line="480" w:lineRule="auto"/>
              <w:jc w:val="both"/>
              <w:rPr>
                <w:color w:val="202122"/>
                <w:sz w:val="28"/>
                <w:szCs w:val="28"/>
              </w:rPr>
            </w:pPr>
            <w:r>
              <w:rPr>
                <w:color w:val="202122"/>
                <w:sz w:val="28"/>
                <w:szCs w:val="28"/>
              </w:rPr>
              <w:t>Silber brand Ltd, England</w:t>
            </w:r>
          </w:p>
          <w:p w14:paraId="547E4E2B">
            <w:pPr>
              <w:pStyle w:val="10"/>
              <w:spacing w:before="120" w:beforeAutospacing="0" w:after="240" w:afterAutospacing="0" w:line="480" w:lineRule="auto"/>
              <w:jc w:val="both"/>
              <w:rPr>
                <w:color w:val="202122"/>
                <w:sz w:val="28"/>
                <w:szCs w:val="28"/>
              </w:rPr>
            </w:pPr>
            <w:r>
              <w:rPr>
                <w:color w:val="202122"/>
                <w:sz w:val="28"/>
                <w:szCs w:val="28"/>
              </w:rPr>
              <w:t>Moncrief Scientific, England</w:t>
            </w:r>
          </w:p>
          <w:p w14:paraId="27BB8562">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2F5DA880">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22D859C7">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3CF7A03C">
            <w:pPr>
              <w:pStyle w:val="10"/>
              <w:spacing w:before="120" w:beforeAutospacing="0" w:after="240" w:afterAutospacing="0" w:line="480" w:lineRule="auto"/>
              <w:jc w:val="both"/>
              <w:rPr>
                <w:color w:val="202122"/>
                <w:sz w:val="28"/>
                <w:szCs w:val="28"/>
              </w:rPr>
            </w:pPr>
            <w:r>
              <w:rPr>
                <w:color w:val="202122"/>
                <w:sz w:val="28"/>
                <w:szCs w:val="28"/>
              </w:rPr>
              <w:t>Technico scientific Ltd, England</w:t>
            </w:r>
          </w:p>
          <w:p w14:paraId="0994FE76">
            <w:pPr>
              <w:pStyle w:val="10"/>
              <w:spacing w:before="120" w:beforeAutospacing="0" w:after="240" w:afterAutospacing="0" w:line="480" w:lineRule="auto"/>
              <w:jc w:val="both"/>
              <w:rPr>
                <w:color w:val="202122"/>
                <w:sz w:val="28"/>
                <w:szCs w:val="28"/>
              </w:rPr>
            </w:pPr>
          </w:p>
          <w:p w14:paraId="620D82ED">
            <w:pPr>
              <w:pStyle w:val="10"/>
              <w:spacing w:before="120" w:beforeAutospacing="0" w:after="240" w:afterAutospacing="0" w:line="480" w:lineRule="auto"/>
              <w:jc w:val="both"/>
              <w:rPr>
                <w:color w:val="202122"/>
                <w:sz w:val="28"/>
                <w:szCs w:val="28"/>
              </w:rPr>
            </w:pPr>
            <w:r>
              <w:rPr>
                <w:color w:val="202122"/>
                <w:sz w:val="28"/>
                <w:szCs w:val="28"/>
              </w:rPr>
              <w:t>Moramber (Mbc) Ltd</w:t>
            </w:r>
          </w:p>
          <w:p w14:paraId="5AFD74EE">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48EF11C7">
            <w:pPr>
              <w:pStyle w:val="10"/>
              <w:spacing w:before="120" w:beforeAutospacing="0" w:after="240" w:afterAutospacing="0" w:line="480" w:lineRule="auto"/>
              <w:jc w:val="both"/>
              <w:rPr>
                <w:color w:val="202122"/>
                <w:sz w:val="28"/>
                <w:szCs w:val="28"/>
              </w:rPr>
            </w:pPr>
            <w:r>
              <w:rPr>
                <w:color w:val="202122"/>
                <w:sz w:val="28"/>
                <w:szCs w:val="28"/>
              </w:rPr>
              <w:t>Uniscope scientific Ltd, England</w:t>
            </w:r>
          </w:p>
          <w:p w14:paraId="4CF94AA1">
            <w:pPr>
              <w:pStyle w:val="10"/>
              <w:spacing w:before="120" w:beforeAutospacing="0" w:after="240" w:afterAutospacing="0" w:line="480" w:lineRule="auto"/>
              <w:jc w:val="both"/>
              <w:rPr>
                <w:color w:val="202122"/>
                <w:sz w:val="28"/>
                <w:szCs w:val="28"/>
              </w:rPr>
            </w:pPr>
            <w:r>
              <w:rPr>
                <w:color w:val="202122"/>
                <w:sz w:val="28"/>
                <w:szCs w:val="28"/>
              </w:rPr>
              <w:t>Duck V Scientific 500 infrared</w:t>
            </w:r>
          </w:p>
          <w:p w14:paraId="2D12C1FC">
            <w:pPr>
              <w:pStyle w:val="10"/>
              <w:spacing w:before="120" w:beforeAutospacing="0" w:after="240" w:afterAutospacing="0" w:line="480" w:lineRule="auto"/>
              <w:jc w:val="both"/>
              <w:rPr>
                <w:color w:val="202122"/>
                <w:sz w:val="28"/>
                <w:szCs w:val="28"/>
              </w:rPr>
            </w:pPr>
            <w:r>
              <w:rPr>
                <w:color w:val="202122"/>
                <w:sz w:val="28"/>
                <w:szCs w:val="28"/>
              </w:rPr>
              <w:t>Jenwoy 6405 UV spectrophotometer.</w:t>
            </w:r>
          </w:p>
          <w:p w14:paraId="4583ECD3">
            <w:pPr>
              <w:pStyle w:val="10"/>
              <w:spacing w:before="120" w:beforeAutospacing="0" w:after="240" w:afterAutospacing="0" w:line="480" w:lineRule="auto"/>
              <w:jc w:val="both"/>
              <w:rPr>
                <w:color w:val="202122"/>
                <w:sz w:val="28"/>
                <w:szCs w:val="28"/>
              </w:rPr>
            </w:pPr>
          </w:p>
        </w:tc>
      </w:tr>
    </w:tbl>
    <w:p w14:paraId="5D30C1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2F79D8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14:paraId="7034AD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667DD405">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14:paraId="4459A9A6">
      <w:pPr>
        <w:pStyle w:val="10"/>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3538D9F8">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14:paraId="563BE304">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4AA9BEE2">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14:paraId="7DFBF82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14:paraId="7C2C60F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778035E9">
      <w:pPr>
        <w:pStyle w:val="10"/>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14:paraId="481CC422">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14:paraId="660E1059">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7F258B44">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0D9D176">
      <w:pPr>
        <w:pStyle w:val="10"/>
        <w:shd w:val="clear" w:color="auto" w:fill="FFFFFF"/>
        <w:spacing w:before="120" w:beforeAutospacing="0" w:after="240" w:afterAutospacing="0" w:line="360" w:lineRule="auto"/>
        <w:jc w:val="both"/>
        <w:rPr>
          <w:color w:val="202122"/>
          <w:sz w:val="28"/>
          <w:szCs w:val="28"/>
        </w:rPr>
      </w:pPr>
    </w:p>
    <w:p w14:paraId="6EDD290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4511937">
      <w:pPr>
        <w:pStyle w:val="10"/>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412F67D9">
      <w:pPr>
        <w:pStyle w:val="10"/>
        <w:shd w:val="clear" w:color="auto" w:fill="FFFFFF"/>
        <w:spacing w:before="120" w:beforeAutospacing="0" w:after="240" w:afterAutospacing="0" w:line="360" w:lineRule="auto"/>
        <w:jc w:val="both"/>
        <w:rPr>
          <w:color w:val="202122"/>
          <w:sz w:val="28"/>
          <w:szCs w:val="28"/>
        </w:rPr>
      </w:pPr>
    </w:p>
    <w:p w14:paraId="00984C7D">
      <w:pPr>
        <w:pStyle w:val="10"/>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r>
      <w:r>
        <w:rPr>
          <w:b/>
          <w:color w:val="202122"/>
          <w:sz w:val="28"/>
          <w:szCs w:val="28"/>
        </w:rPr>
        <w:t>MATERIALS</w:t>
      </w:r>
    </w:p>
    <w:p w14:paraId="74B8B09C">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447FB16D">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14:paraId="5F44CECA">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303829A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 Ilorin.</w:t>
      </w:r>
    </w:p>
    <w:p w14:paraId="6A2E5F20">
      <w:pPr>
        <w:pStyle w:val="10"/>
        <w:shd w:val="clear" w:color="auto" w:fill="FFFFFF"/>
        <w:spacing w:before="120" w:beforeAutospacing="0" w:after="240" w:afterAutospacing="0" w:line="360" w:lineRule="auto"/>
        <w:jc w:val="both"/>
        <w:rPr>
          <w:color w:val="202122"/>
          <w:sz w:val="28"/>
          <w:szCs w:val="28"/>
        </w:rPr>
      </w:pPr>
    </w:p>
    <w:p w14:paraId="23EE7895">
      <w:pPr>
        <w:pStyle w:val="10"/>
        <w:shd w:val="clear" w:color="auto" w:fill="FFFFFF"/>
        <w:spacing w:before="120" w:beforeAutospacing="0" w:after="240" w:afterAutospacing="0" w:line="360" w:lineRule="auto"/>
        <w:jc w:val="both"/>
        <w:rPr>
          <w:b/>
          <w:color w:val="202122"/>
          <w:sz w:val="28"/>
          <w:szCs w:val="28"/>
        </w:rPr>
      </w:pPr>
    </w:p>
    <w:p w14:paraId="5A212A26">
      <w:pPr>
        <w:pStyle w:val="10"/>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Pr>
          <w:b/>
          <w:color w:val="202122"/>
          <w:sz w:val="28"/>
          <w:szCs w:val="28"/>
        </w:rPr>
        <w:t>EXPERIMENTAL PROCEDURE</w:t>
      </w:r>
      <w:r>
        <w:rPr>
          <w:color w:val="202122"/>
          <w:sz w:val="28"/>
          <w:szCs w:val="28"/>
        </w:rPr>
        <w:t>S</w:t>
      </w:r>
    </w:p>
    <w:p w14:paraId="36F82A57">
      <w:pPr>
        <w:pStyle w:val="10"/>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00CE2EE7">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 (ii) COMPLEX FORMATION</w:t>
      </w:r>
    </w:p>
    <w:p w14:paraId="688F46E8">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BCD22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14:paraId="1B12E5A8">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4CC1C04F">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14:paraId="695733E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6AE4CF65">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14:paraId="14026E24">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4125DF1D">
      <w:pPr>
        <w:pStyle w:val="10"/>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14:paraId="5C267DD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14:paraId="3F9CF6FC">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5B9217D">
      <w:pPr>
        <w:pStyle w:val="10"/>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223F0314">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634E39C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14:paraId="5D643D7A">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439B387B">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14:paraId="7840A67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42021367">
      <w:pPr>
        <w:pStyle w:val="10"/>
        <w:shd w:val="clear" w:color="auto" w:fill="FFFFFF"/>
        <w:spacing w:before="120" w:beforeAutospacing="0" w:after="240" w:afterAutospacing="0" w:line="480" w:lineRule="auto"/>
        <w:jc w:val="both"/>
        <w:rPr>
          <w:b/>
          <w:color w:val="202122"/>
          <w:sz w:val="28"/>
          <w:szCs w:val="28"/>
        </w:rPr>
      </w:pPr>
    </w:p>
    <w:p w14:paraId="06A30C5C">
      <w:pPr>
        <w:pStyle w:val="10"/>
        <w:shd w:val="clear" w:color="auto" w:fill="FFFFFF"/>
        <w:spacing w:before="120" w:beforeAutospacing="0" w:after="240" w:afterAutospacing="0" w:line="480" w:lineRule="auto"/>
        <w:jc w:val="both"/>
        <w:rPr>
          <w:b/>
          <w:color w:val="202122"/>
          <w:sz w:val="28"/>
          <w:szCs w:val="28"/>
        </w:rPr>
      </w:pPr>
    </w:p>
    <w:p w14:paraId="79505DBC">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14:paraId="0C804CDD">
      <w:pPr>
        <w:pStyle w:val="10"/>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0233AD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3EF569A">
      <w:pPr>
        <w:spacing w:line="480" w:lineRule="auto"/>
        <w:jc w:val="both"/>
        <w:rPr>
          <w:rFonts w:ascii="Times New Roman" w:hAnsi="Times New Roman" w:cs="Times New Roman"/>
          <w:sz w:val="28"/>
          <w:szCs w:val="28"/>
        </w:rPr>
      </w:pPr>
    </w:p>
    <w:p w14:paraId="7EC3A8F1">
      <w:pPr>
        <w:spacing w:line="480" w:lineRule="auto"/>
        <w:jc w:val="both"/>
        <w:rPr>
          <w:rFonts w:ascii="Times New Roman" w:hAnsi="Times New Roman" w:cs="Times New Roman"/>
          <w:sz w:val="28"/>
          <w:szCs w:val="28"/>
        </w:rPr>
      </w:pPr>
    </w:p>
    <w:p w14:paraId="652A1AE6">
      <w:pPr>
        <w:spacing w:line="480" w:lineRule="auto"/>
        <w:jc w:val="both"/>
        <w:rPr>
          <w:rFonts w:ascii="Times New Roman" w:hAnsi="Times New Roman" w:cs="Times New Roman"/>
          <w:sz w:val="28"/>
          <w:szCs w:val="28"/>
        </w:rPr>
      </w:pPr>
    </w:p>
    <w:p w14:paraId="3C13DBF4">
      <w:pPr>
        <w:spacing w:line="480" w:lineRule="auto"/>
        <w:jc w:val="both"/>
        <w:rPr>
          <w:rFonts w:ascii="Times New Roman" w:hAnsi="Times New Roman" w:cs="Times New Roman"/>
          <w:b/>
          <w:sz w:val="28"/>
          <w:szCs w:val="28"/>
        </w:rPr>
      </w:pPr>
    </w:p>
    <w:p w14:paraId="474B7D7E">
      <w:pPr>
        <w:spacing w:line="480" w:lineRule="auto"/>
        <w:jc w:val="both"/>
        <w:rPr>
          <w:rFonts w:ascii="Times New Roman" w:hAnsi="Times New Roman" w:cs="Times New Roman"/>
          <w:b/>
          <w:sz w:val="28"/>
          <w:szCs w:val="28"/>
        </w:rPr>
      </w:pPr>
    </w:p>
    <w:p w14:paraId="116A07A9">
      <w:pPr>
        <w:spacing w:line="480" w:lineRule="auto"/>
        <w:jc w:val="both"/>
        <w:rPr>
          <w:rFonts w:ascii="Times New Roman" w:hAnsi="Times New Roman" w:cs="Times New Roman"/>
          <w:b/>
          <w:sz w:val="28"/>
          <w:szCs w:val="28"/>
        </w:rPr>
      </w:pPr>
    </w:p>
    <w:p w14:paraId="342A587F">
      <w:pPr>
        <w:spacing w:line="480" w:lineRule="auto"/>
        <w:jc w:val="both"/>
        <w:rPr>
          <w:rFonts w:ascii="Times New Roman" w:hAnsi="Times New Roman" w:cs="Times New Roman"/>
          <w:b/>
          <w:sz w:val="28"/>
          <w:szCs w:val="28"/>
        </w:rPr>
      </w:pPr>
    </w:p>
    <w:p w14:paraId="7B009787">
      <w:pPr>
        <w:spacing w:line="480" w:lineRule="auto"/>
        <w:jc w:val="both"/>
        <w:rPr>
          <w:rFonts w:ascii="Times New Roman" w:hAnsi="Times New Roman" w:cs="Times New Roman"/>
          <w:b/>
          <w:sz w:val="28"/>
          <w:szCs w:val="28"/>
        </w:rPr>
      </w:pPr>
    </w:p>
    <w:p w14:paraId="581649ED">
      <w:pPr>
        <w:spacing w:line="480" w:lineRule="auto"/>
        <w:jc w:val="both"/>
        <w:rPr>
          <w:rFonts w:ascii="Times New Roman" w:hAnsi="Times New Roman" w:cs="Times New Roman"/>
          <w:b/>
          <w:sz w:val="28"/>
          <w:szCs w:val="28"/>
        </w:rPr>
      </w:pPr>
    </w:p>
    <w:p w14:paraId="32D2DAF6">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14:paraId="7AEB9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RESULTS AND DISCUSSION</w:t>
      </w:r>
    </w:p>
    <w:p w14:paraId="468A669E">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0E238A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Pr>
          <w:rFonts w:ascii="Times New Roman" w:hAnsi="Times New Roman" w:cs="Times New Roman"/>
          <w:b/>
          <w:sz w:val="28"/>
          <w:szCs w:val="28"/>
        </w:rPr>
        <w:t>RESULTS OF SOLUBILITY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21"/>
        <w:gridCol w:w="1088"/>
        <w:gridCol w:w="1180"/>
        <w:gridCol w:w="1290"/>
        <w:gridCol w:w="827"/>
        <w:gridCol w:w="1150"/>
        <w:gridCol w:w="1181"/>
        <w:gridCol w:w="1539"/>
      </w:tblGrid>
      <w:tr w14:paraId="2E0AF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197" w:type="dxa"/>
          </w:tcPr>
          <w:p w14:paraId="4BED717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DFDAE1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770B97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29868C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043153D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37780B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276626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778BA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5CD7F962">
            <w:pPr>
              <w:spacing w:after="0" w:line="480" w:lineRule="auto"/>
              <w:jc w:val="both"/>
              <w:rPr>
                <w:rFonts w:ascii="Times New Roman" w:hAnsi="Times New Roman" w:cs="Times New Roman"/>
                <w:sz w:val="28"/>
                <w:szCs w:val="28"/>
              </w:rPr>
            </w:pPr>
          </w:p>
        </w:tc>
      </w:tr>
      <w:tr w14:paraId="778AB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756345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5DA018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0C62C7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5322A8B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6741F09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CB238CB">
            <w:pPr>
              <w:spacing w:after="0" w:line="480" w:lineRule="auto"/>
              <w:jc w:val="both"/>
              <w:rPr>
                <w:rFonts w:ascii="Times New Roman" w:hAnsi="Times New Roman" w:cs="Times New Roman"/>
                <w:sz w:val="28"/>
                <w:szCs w:val="28"/>
              </w:rPr>
            </w:pPr>
          </w:p>
          <w:p w14:paraId="09BDB9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764E61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2F041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14:paraId="30DCA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A557542">
            <w:pPr>
              <w:spacing w:after="0" w:line="480" w:lineRule="auto"/>
              <w:jc w:val="both"/>
              <w:rPr>
                <w:rFonts w:ascii="Times New Roman" w:hAnsi="Times New Roman" w:cs="Times New Roman"/>
                <w:sz w:val="28"/>
                <w:szCs w:val="28"/>
              </w:rPr>
            </w:pPr>
          </w:p>
          <w:p w14:paraId="769CDB6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AF4B9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F5438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2C82124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D5F217">
            <w:pPr>
              <w:spacing w:after="0" w:line="480" w:lineRule="auto"/>
              <w:jc w:val="both"/>
              <w:rPr>
                <w:rFonts w:ascii="Times New Roman" w:hAnsi="Times New Roman" w:cs="Times New Roman"/>
                <w:sz w:val="28"/>
                <w:szCs w:val="28"/>
              </w:rPr>
            </w:pPr>
          </w:p>
          <w:p w14:paraId="5097B4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EE04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091E1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3848A94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45DA01A">
            <w:pPr>
              <w:spacing w:after="0" w:line="480" w:lineRule="auto"/>
              <w:jc w:val="both"/>
              <w:rPr>
                <w:rFonts w:ascii="Times New Roman" w:hAnsi="Times New Roman" w:cs="Times New Roman"/>
                <w:sz w:val="28"/>
                <w:szCs w:val="28"/>
              </w:rPr>
            </w:pPr>
          </w:p>
          <w:p w14:paraId="1A0B5E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EEEB5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2F4B66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9CAB5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437A7C5">
            <w:pPr>
              <w:spacing w:after="0" w:line="480" w:lineRule="auto"/>
              <w:jc w:val="both"/>
              <w:rPr>
                <w:rFonts w:ascii="Times New Roman" w:hAnsi="Times New Roman" w:cs="Times New Roman"/>
                <w:sz w:val="28"/>
                <w:szCs w:val="28"/>
              </w:rPr>
            </w:pPr>
          </w:p>
          <w:p w14:paraId="03CA1B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3D266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F4B8CF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60BF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B715CA">
            <w:pPr>
              <w:spacing w:after="0" w:line="480" w:lineRule="auto"/>
              <w:jc w:val="both"/>
              <w:rPr>
                <w:rFonts w:ascii="Times New Roman" w:hAnsi="Times New Roman" w:cs="Times New Roman"/>
                <w:sz w:val="28"/>
                <w:szCs w:val="28"/>
              </w:rPr>
            </w:pPr>
          </w:p>
          <w:p w14:paraId="7D142E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F8DEA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6FEE36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5352D9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61CF04">
            <w:pPr>
              <w:spacing w:after="0" w:line="480" w:lineRule="auto"/>
              <w:jc w:val="both"/>
              <w:rPr>
                <w:rFonts w:ascii="Times New Roman" w:hAnsi="Times New Roman" w:cs="Times New Roman"/>
                <w:sz w:val="28"/>
                <w:szCs w:val="28"/>
              </w:rPr>
            </w:pPr>
          </w:p>
          <w:p w14:paraId="061D4A0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D7AD2F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EDE97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C3AC087">
            <w:pPr>
              <w:spacing w:after="0" w:line="480" w:lineRule="auto"/>
              <w:jc w:val="both"/>
              <w:rPr>
                <w:rFonts w:ascii="Times New Roman" w:hAnsi="Times New Roman" w:cs="Times New Roman"/>
                <w:sz w:val="28"/>
                <w:szCs w:val="28"/>
              </w:rPr>
            </w:pPr>
          </w:p>
          <w:p w14:paraId="1986B29A">
            <w:pPr>
              <w:spacing w:after="0" w:line="480" w:lineRule="auto"/>
              <w:jc w:val="both"/>
              <w:rPr>
                <w:rFonts w:ascii="Times New Roman" w:hAnsi="Times New Roman" w:cs="Times New Roman"/>
                <w:sz w:val="28"/>
                <w:szCs w:val="28"/>
              </w:rPr>
            </w:pPr>
          </w:p>
          <w:p w14:paraId="479E15C7">
            <w:pPr>
              <w:spacing w:after="0" w:line="480" w:lineRule="auto"/>
              <w:jc w:val="both"/>
              <w:rPr>
                <w:rFonts w:ascii="Times New Roman" w:hAnsi="Times New Roman" w:cs="Times New Roman"/>
                <w:sz w:val="28"/>
                <w:szCs w:val="28"/>
              </w:rPr>
            </w:pPr>
          </w:p>
        </w:tc>
      </w:tr>
    </w:tbl>
    <w:p w14:paraId="3566D48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291E032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23CF090F">
      <w:pPr>
        <w:spacing w:line="480" w:lineRule="auto"/>
        <w:jc w:val="both"/>
        <w:rPr>
          <w:rFonts w:ascii="Times New Roman" w:hAnsi="Times New Roman" w:cs="Times New Roman"/>
          <w:sz w:val="28"/>
          <w:szCs w:val="28"/>
        </w:rPr>
      </w:pPr>
    </w:p>
    <w:p w14:paraId="6852D6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Pr>
          <w:rFonts w:ascii="Times New Roman" w:hAnsi="Times New Roman" w:cs="Times New Roman"/>
          <w:b/>
          <w:sz w:val="28"/>
          <w:szCs w:val="28"/>
        </w:rPr>
        <w:t>INTEPRETATION OF SOLUBILITY TEST</w:t>
      </w:r>
    </w:p>
    <w:p w14:paraId="63850233">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w:t>
      </w:r>
      <w:r>
        <w:rPr>
          <w:rFonts w:hint="default" w:ascii="Times New Roman" w:hAnsi="Times New Roman" w:cs="Times New Roman"/>
          <w:sz w:val="28"/>
          <w:szCs w:val="28"/>
        </w:rPr>
        <w:t xml:space="preserve">mplexes were poor in ethanol </w:t>
      </w:r>
      <w:r>
        <w:rPr>
          <w:rFonts w:ascii="Times New Roman" w:hAnsi="Times New Roman" w:cs="Times New Roman"/>
          <w:sz w:val="28"/>
          <w:szCs w:val="28"/>
        </w:rPr>
        <w:t>, benzene, petroleum ether, acetone and chloroform.</w:t>
      </w:r>
    </w:p>
    <w:p w14:paraId="001097BE">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RESULTS OF MELTING POINT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6B12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DBF00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3F5A3A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14:paraId="7A6EC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9EDF7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14:paraId="10F8CB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14:paraId="251B5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D53A7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IBNi(ii) COMPLEX</w:t>
            </w:r>
          </w:p>
        </w:tc>
        <w:tc>
          <w:tcPr>
            <w:tcW w:w="4788" w:type="dxa"/>
          </w:tcPr>
          <w:p w14:paraId="43815E6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14:paraId="005A4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22BBD1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48FFD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14:paraId="1AF8A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FD110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3740F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3C8DE863">
      <w:pPr>
        <w:spacing w:line="480" w:lineRule="auto"/>
        <w:jc w:val="both"/>
        <w:rPr>
          <w:rFonts w:ascii="Times New Roman" w:hAnsi="Times New Roman" w:cs="Times New Roman"/>
          <w:b/>
          <w:sz w:val="28"/>
          <w:szCs w:val="28"/>
        </w:rPr>
      </w:pPr>
    </w:p>
    <w:p w14:paraId="6AFDDD3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Pr>
          <w:rFonts w:ascii="Times New Roman" w:hAnsi="Times New Roman" w:cs="Times New Roman"/>
          <w:b/>
          <w:sz w:val="28"/>
          <w:szCs w:val="28"/>
        </w:rPr>
        <w:t>INTERPRETATION OF MELTING POINT RANGE</w:t>
      </w:r>
    </w:p>
    <w:p w14:paraId="4188E53D">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588A4262">
      <w:pPr>
        <w:spacing w:line="480" w:lineRule="auto"/>
        <w:jc w:val="both"/>
        <w:rPr>
          <w:rFonts w:ascii="Times New Roman" w:hAnsi="Times New Roman" w:cs="Times New Roman"/>
          <w:b/>
          <w:sz w:val="28"/>
          <w:szCs w:val="28"/>
        </w:rPr>
      </w:pPr>
    </w:p>
    <w:p w14:paraId="59E26121">
      <w:pPr>
        <w:spacing w:line="480" w:lineRule="auto"/>
        <w:jc w:val="both"/>
        <w:rPr>
          <w:rFonts w:ascii="Times New Roman" w:hAnsi="Times New Roman" w:cs="Times New Roman"/>
          <w:b/>
          <w:sz w:val="28"/>
          <w:szCs w:val="28"/>
        </w:rPr>
      </w:pPr>
    </w:p>
    <w:p w14:paraId="67210F40">
      <w:pPr>
        <w:tabs>
          <w:tab w:val="left" w:pos="3435"/>
        </w:tabs>
        <w:jc w:val="both"/>
        <w:rPr>
          <w:rFonts w:ascii="Times New Roman" w:hAnsi="Times New Roman" w:cs="Times New Roman"/>
          <w:sz w:val="28"/>
          <w:szCs w:val="28"/>
        </w:rPr>
      </w:pPr>
    </w:p>
    <w:p w14:paraId="6763753C">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CHAPTER FOUR</w:t>
      </w:r>
    </w:p>
    <w:p w14:paraId="2045A42D">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175147F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14:paraId="76F87806">
      <w:pPr>
        <w:tabs>
          <w:tab w:val="left" w:pos="3435"/>
        </w:tabs>
        <w:spacing w:line="480" w:lineRule="auto"/>
        <w:jc w:val="both"/>
        <w:rPr>
          <w:rFonts w:ascii="Times New Roman" w:hAnsi="Times New Roman" w:cs="Times New Roman"/>
          <w:b/>
          <w:sz w:val="28"/>
          <w:szCs w:val="28"/>
        </w:rPr>
      </w:pPr>
    </w:p>
    <w:p w14:paraId="346099B6">
      <w:pPr>
        <w:tabs>
          <w:tab w:val="left" w:pos="3435"/>
        </w:tabs>
        <w:spacing w:line="480" w:lineRule="auto"/>
        <w:jc w:val="both"/>
        <w:rPr>
          <w:rFonts w:ascii="Times New Roman" w:hAnsi="Times New Roman" w:cs="Times New Roman"/>
          <w:b/>
          <w:sz w:val="28"/>
          <w:szCs w:val="28"/>
        </w:rPr>
      </w:pPr>
    </w:p>
    <w:p w14:paraId="6038F22E">
      <w:pPr>
        <w:tabs>
          <w:tab w:val="left" w:pos="3435"/>
        </w:tabs>
        <w:spacing w:line="480" w:lineRule="auto"/>
        <w:jc w:val="both"/>
        <w:rPr>
          <w:rFonts w:ascii="Times New Roman" w:hAnsi="Times New Roman" w:cs="Times New Roman"/>
          <w:b/>
          <w:sz w:val="28"/>
          <w:szCs w:val="28"/>
        </w:rPr>
      </w:pPr>
    </w:p>
    <w:p w14:paraId="2726DBEC">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p>
    <w:p w14:paraId="58D50056">
      <w:pPr>
        <w:tabs>
          <w:tab w:val="left" w:pos="3435"/>
        </w:tabs>
        <w:spacing w:line="480" w:lineRule="auto"/>
        <w:jc w:val="both"/>
        <w:rPr>
          <w:rFonts w:hint="default" w:ascii="Times New Roman" w:hAnsi="Times New Roman" w:cs="Times New Roman"/>
          <w:b/>
          <w:sz w:val="28"/>
          <w:szCs w:val="28"/>
          <w:lang w:val="en-GB"/>
        </w:rPr>
      </w:pPr>
    </w:p>
    <w:p w14:paraId="4EA7FC4E">
      <w:pPr>
        <w:tabs>
          <w:tab w:val="left" w:pos="3435"/>
        </w:tabs>
        <w:spacing w:line="480" w:lineRule="auto"/>
        <w:jc w:val="both"/>
        <w:rPr>
          <w:rFonts w:hint="default" w:ascii="Times New Roman" w:hAnsi="Times New Roman" w:cs="Times New Roman"/>
          <w:b/>
          <w:sz w:val="28"/>
          <w:szCs w:val="28"/>
          <w:lang w:val="en-GB"/>
        </w:rPr>
      </w:pPr>
    </w:p>
    <w:p w14:paraId="65319439">
      <w:pPr>
        <w:tabs>
          <w:tab w:val="left" w:pos="3435"/>
        </w:tabs>
        <w:spacing w:line="480" w:lineRule="auto"/>
        <w:jc w:val="both"/>
        <w:rPr>
          <w:rFonts w:hint="default" w:ascii="Times New Roman" w:hAnsi="Times New Roman" w:cs="Times New Roman"/>
          <w:b/>
          <w:sz w:val="28"/>
          <w:szCs w:val="28"/>
          <w:lang w:val="en-GB"/>
        </w:rPr>
      </w:pPr>
    </w:p>
    <w:p w14:paraId="29413921">
      <w:pPr>
        <w:tabs>
          <w:tab w:val="left" w:pos="3435"/>
        </w:tabs>
        <w:spacing w:line="480" w:lineRule="auto"/>
        <w:jc w:val="both"/>
        <w:rPr>
          <w:rFonts w:hint="default" w:ascii="Times New Roman" w:hAnsi="Times New Roman" w:cs="Times New Roman"/>
          <w:b/>
          <w:sz w:val="28"/>
          <w:szCs w:val="28"/>
          <w:lang w:val="en-GB"/>
        </w:rPr>
      </w:pPr>
    </w:p>
    <w:p w14:paraId="23328BE4">
      <w:pPr>
        <w:tabs>
          <w:tab w:val="left" w:pos="3435"/>
        </w:tabs>
        <w:spacing w:line="480" w:lineRule="auto"/>
        <w:jc w:val="both"/>
        <w:rPr>
          <w:rFonts w:hint="default" w:ascii="Times New Roman" w:hAnsi="Times New Roman" w:cs="Times New Roman"/>
          <w:b/>
          <w:sz w:val="28"/>
          <w:szCs w:val="28"/>
          <w:lang w:val="en-GB"/>
        </w:rPr>
      </w:pPr>
    </w:p>
    <w:p w14:paraId="06017869">
      <w:pPr>
        <w:tabs>
          <w:tab w:val="left" w:pos="3435"/>
        </w:tabs>
        <w:spacing w:line="480" w:lineRule="auto"/>
        <w:jc w:val="both"/>
        <w:rPr>
          <w:rFonts w:hint="default" w:ascii="Times New Roman" w:hAnsi="Times New Roman" w:cs="Times New Roman"/>
          <w:b/>
          <w:sz w:val="28"/>
          <w:szCs w:val="28"/>
          <w:lang w:val="en-GB"/>
        </w:rPr>
      </w:pPr>
    </w:p>
    <w:p w14:paraId="5FB93388">
      <w:pPr>
        <w:tabs>
          <w:tab w:val="left" w:pos="3435"/>
        </w:tabs>
        <w:spacing w:line="480" w:lineRule="auto"/>
        <w:jc w:val="both"/>
        <w:rPr>
          <w:rFonts w:hint="default" w:ascii="Times New Roman" w:hAnsi="Times New Roman" w:cs="Times New Roman"/>
          <w:b/>
          <w:sz w:val="28"/>
          <w:szCs w:val="28"/>
          <w:lang w:val="en-GB"/>
        </w:rPr>
      </w:pPr>
    </w:p>
    <w:p w14:paraId="2C3D43D0">
      <w:pPr>
        <w:tabs>
          <w:tab w:val="left" w:pos="3435"/>
        </w:tabs>
        <w:spacing w:line="480" w:lineRule="auto"/>
        <w:jc w:val="both"/>
        <w:rPr>
          <w:rFonts w:hint="default" w:ascii="Times New Roman" w:hAnsi="Times New Roman" w:cs="Times New Roman"/>
          <w:b/>
          <w:sz w:val="28"/>
          <w:szCs w:val="28"/>
          <w:lang w:val="en-GB"/>
        </w:rPr>
      </w:pPr>
    </w:p>
    <w:p w14:paraId="3B70E3A2">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r>
        <w:rPr>
          <w:rFonts w:ascii="Times New Roman" w:hAnsi="Times New Roman" w:cs="Times New Roman"/>
          <w:b/>
          <w:sz w:val="28"/>
          <w:szCs w:val="28"/>
        </w:rPr>
        <w:t>CHAPTER F</w:t>
      </w:r>
      <w:r>
        <w:rPr>
          <w:rFonts w:hint="default" w:ascii="Times New Roman" w:hAnsi="Times New Roman" w:cs="Times New Roman"/>
          <w:b/>
          <w:sz w:val="28"/>
          <w:szCs w:val="28"/>
          <w:lang w:val="en-GB"/>
        </w:rPr>
        <w:t>IVE</w:t>
      </w:r>
    </w:p>
    <w:p w14:paraId="08C0F079">
      <w:pPr>
        <w:tabs>
          <w:tab w:val="left" w:pos="3435"/>
        </w:tabs>
        <w:spacing w:line="36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5.1 SUMMARY</w:t>
      </w:r>
    </w:p>
    <w:p w14:paraId="5A0281F4">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Metal complexes of Ibuprofen have been extensively studied for their potential therapeutic applications. Here's a summary of the key findings:</w:t>
      </w:r>
    </w:p>
    <w:p w14:paraId="02CBE1B6">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5.1.1 </w:t>
      </w:r>
      <w:r>
        <w:rPr>
          <w:rFonts w:hint="default" w:ascii="Times New Roman" w:hAnsi="Times New Roman" w:cs="Times New Roman"/>
          <w:b/>
          <w:bCs w:val="0"/>
          <w:sz w:val="28"/>
          <w:szCs w:val="28"/>
        </w:rPr>
        <w:t>Synthesis and Characterization</w:t>
      </w:r>
    </w:p>
    <w:p w14:paraId="7AD021CD">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Metal complexes of Ibuprofen are synthesized through reactions involving the Ibuprofen molecule and metal ions such as copper(II), palladium(II), zinc(II), and others.</w:t>
      </w:r>
    </w:p>
    <w:p w14:paraId="4534C47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are characterized using various spectroscopic methods, including FT-IR, UV-Vis, EPR, and NMR spectroscopy.</w:t>
      </w:r>
    </w:p>
    <w:p w14:paraId="6425AF45">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crystal structures of some complexes have been determined using single-crystal X-ray diffraction, revealing monomeric or dimeric structures depending on the metal ion and ligands used ¹ ² ³.</w:t>
      </w:r>
    </w:p>
    <w:p w14:paraId="0248F0A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5.1.2 </w:t>
      </w:r>
      <w:r>
        <w:rPr>
          <w:rFonts w:hint="default" w:ascii="Times New Roman" w:hAnsi="Times New Roman" w:cs="Times New Roman"/>
          <w:b/>
          <w:bCs w:val="0"/>
          <w:sz w:val="28"/>
          <w:szCs w:val="28"/>
        </w:rPr>
        <w:t>Coordination Chemistry Studies</w:t>
      </w:r>
    </w:p>
    <w:p w14:paraId="3FE3642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Ibuprofen acts as a ligand, coordinating to metal ions through its carboxylate group.</w:t>
      </w:r>
    </w:p>
    <w:p w14:paraId="53CCFBD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coordination chemistry of Ibuprofen complexes is influenced by the choice of metal ion, ligands, and reaction conditions.</w:t>
      </w:r>
    </w:p>
    <w:p w14:paraId="22A402A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Studies have shown that Ibuprofen complexes can exhibit varying geometries, such as square planar or octahedral, depending on the metal center and ligands ¹ ³.</w:t>
      </w:r>
    </w:p>
    <w:p w14:paraId="323B8403">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5.1.3 </w:t>
      </w:r>
      <w:r>
        <w:rPr>
          <w:rFonts w:hint="default" w:ascii="Times New Roman" w:hAnsi="Times New Roman" w:cs="Times New Roman"/>
          <w:b/>
          <w:bCs w:val="0"/>
          <w:sz w:val="28"/>
          <w:szCs w:val="28"/>
        </w:rPr>
        <w:t>Biological Applications</w:t>
      </w:r>
    </w:p>
    <w:p w14:paraId="6A389FD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Anticancer Properties: Some Ibuprofen metal complexes have demonstrated promising anticancer activity, with higher cytotoxicity than the parent Ibuprofen molecule against certain tumor cell lines.</w:t>
      </w:r>
    </w:p>
    <w:p w14:paraId="6A5B49E9">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Antimicrobial Activity: Ibuprofen complexes have also shown potential as antimicrobial agents, with activity against various bacteria and fungi.</w:t>
      </w:r>
    </w:p>
    <w:p w14:paraId="6280D94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Urease Inhibition: Certain Ibuprofen-derived thiourea complexes have been investigated for their urease inhibitory activity, which could be useful in treating gastrointestinal disorders ¹ ⁴ ⁵.</w:t>
      </w:r>
    </w:p>
    <w:p w14:paraId="55020E7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5.1.4 </w:t>
      </w:r>
      <w:r>
        <w:rPr>
          <w:rFonts w:hint="default" w:ascii="Times New Roman" w:hAnsi="Times New Roman" w:cs="Times New Roman"/>
          <w:b/>
          <w:bCs w:val="0"/>
          <w:sz w:val="28"/>
          <w:szCs w:val="28"/>
        </w:rPr>
        <w:t>Potential Therapeutic Implications</w:t>
      </w:r>
    </w:p>
    <w:p w14:paraId="42D1715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The development of Ibuprofen metal complexes offers opportunities for creating new therapeutic agents with improved efficacy and reduced side effects.</w:t>
      </w:r>
    </w:p>
    <w:p w14:paraId="5E63CC1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may find applications in treating various diseases, including cancer, infections, and gastrointestinal disorders.</w:t>
      </w:r>
    </w:p>
    <w:p w14:paraId="0B64F4E7">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Further research is needed to fully explore the therapeutic potential of Ibuprofen metal complexes and to understand their mechanisms of action ¹ ⁴.</w:t>
      </w:r>
    </w:p>
    <w:p w14:paraId="46D17668">
      <w:pPr>
        <w:tabs>
          <w:tab w:val="left" w:pos="3435"/>
        </w:tabs>
        <w:spacing w:line="360" w:lineRule="auto"/>
        <w:jc w:val="both"/>
        <w:rPr>
          <w:rFonts w:hint="default" w:ascii="Times New Roman" w:hAnsi="Times New Roman" w:cs="Times New Roman"/>
          <w:b w:val="0"/>
          <w:bCs/>
          <w:sz w:val="28"/>
          <w:szCs w:val="28"/>
        </w:rPr>
      </w:pPr>
    </w:p>
    <w:p w14:paraId="3E4F2904">
      <w:pPr>
        <w:tabs>
          <w:tab w:val="left" w:pos="3435"/>
        </w:tabs>
        <w:spacing w:line="480" w:lineRule="auto"/>
        <w:jc w:val="both"/>
        <w:rPr>
          <w:rFonts w:hint="default" w:ascii="Times New Roman" w:hAnsi="Times New Roman" w:cs="Times New Roman"/>
          <w:b/>
          <w:sz w:val="28"/>
          <w:szCs w:val="28"/>
        </w:rPr>
      </w:pPr>
    </w:p>
    <w:p w14:paraId="5AAC9E30">
      <w:pPr>
        <w:tabs>
          <w:tab w:val="left" w:pos="3435"/>
        </w:tabs>
        <w:spacing w:line="480" w:lineRule="auto"/>
        <w:jc w:val="both"/>
        <w:rPr>
          <w:rFonts w:ascii="Times New Roman" w:hAnsi="Times New Roman" w:cs="Times New Roman"/>
          <w:b/>
          <w:sz w:val="28"/>
          <w:szCs w:val="28"/>
        </w:rPr>
      </w:pPr>
    </w:p>
    <w:p w14:paraId="70F292BB">
      <w:pPr>
        <w:tabs>
          <w:tab w:val="left" w:pos="3435"/>
        </w:tabs>
        <w:spacing w:line="480" w:lineRule="auto"/>
        <w:jc w:val="both"/>
        <w:rPr>
          <w:rFonts w:ascii="Times New Roman" w:hAnsi="Times New Roman" w:cs="Times New Roman"/>
          <w:b/>
          <w:sz w:val="28"/>
          <w:szCs w:val="28"/>
        </w:rPr>
      </w:pPr>
    </w:p>
    <w:p w14:paraId="05E2AD2B">
      <w:pPr>
        <w:tabs>
          <w:tab w:val="left" w:pos="3435"/>
        </w:tabs>
        <w:spacing w:line="480" w:lineRule="auto"/>
        <w:jc w:val="both"/>
        <w:rPr>
          <w:rFonts w:ascii="Times New Roman" w:hAnsi="Times New Roman" w:cs="Times New Roman"/>
          <w:b/>
          <w:sz w:val="28"/>
          <w:szCs w:val="28"/>
        </w:rPr>
      </w:pPr>
    </w:p>
    <w:p w14:paraId="28227C5A">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REFERENCES </w:t>
      </w:r>
    </w:p>
    <w:p w14:paraId="0F3220F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Tripathi KD. Non steroidal anti inflammatory drugs and anti pyretic analgesics</w:t>
      </w:r>
    </w:p>
    <w:p w14:paraId="7DA470B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 Essentials of medical pharmacology. 5th edn., Jaypee Brothers, New Delhi,</w:t>
      </w:r>
    </w:p>
    <w:p w14:paraId="2ECB41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14:paraId="6FCFD4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14:paraId="367C15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14:paraId="439A4FB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14:paraId="049EBD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14:paraId="5EC37C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14:paraId="1A77CB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14:paraId="017531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 CJ. Valdecoxib: a review. Clin Ther 2003 Mar;25(3):817-</w:t>
      </w:r>
    </w:p>
    <w:p w14:paraId="78A56ED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14:paraId="6CC33B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 E, Barary M. Spectrophotometric</w:t>
      </w:r>
    </w:p>
    <w:p w14:paraId="505022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14:paraId="18519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14:paraId="357E4B7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Roberts LK, Morrow JD. Analgesic antipyretic and anti inflammatory agents</w:t>
      </w:r>
    </w:p>
    <w:p w14:paraId="52317CB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 and Limbird LE</w:t>
      </w:r>
    </w:p>
    <w:p w14:paraId="3C6D1F6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14:paraId="7136CA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14:paraId="5A4FA0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Ritter JM, Lewis L, Mant TG. Analgesics and the control of pain.In: A text</w:t>
      </w:r>
    </w:p>
    <w:p w14:paraId="1C92060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14:paraId="38391B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14:paraId="732175B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rate of some selective non steroidal anti inflammatory drugs. Drug Dev Ind</w:t>
      </w:r>
    </w:p>
    <w:p w14:paraId="155F39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14:paraId="6A74A2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14:paraId="649C72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Antal EJ, Wright CE III, Brown BL, Albert KS, Aman LC, Levin NW. The</w:t>
      </w:r>
    </w:p>
    <w:p w14:paraId="2B6469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14:paraId="1A590F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14:paraId="1D1DC47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inflammatory drugs, disease</w:t>
      </w:r>
    </w:p>
    <w:p w14:paraId="6A44F55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14:paraId="3F7B2A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Katzung BG editor. Basic and clinical pharmacology, 7th ed., Appliton and Lang</w:t>
      </w:r>
    </w:p>
    <w:p w14:paraId="43A471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14:paraId="04C25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14:paraId="18D0B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14:paraId="1476E7A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 RC, Hird ID. The pharmacokinetic of ibuprofen in</w:t>
      </w:r>
    </w:p>
    <w:p w14:paraId="2864697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14:paraId="023D19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 Senekjian HO, Lee C, Kuo TH, Krothapalli R. An absorption and disposition</w:t>
      </w:r>
    </w:p>
    <w:p w14:paraId="54ED31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 and</w:t>
      </w:r>
    </w:p>
    <w:p w14:paraId="32162E1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14:paraId="75DA01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14:paraId="40B5352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14:paraId="2FE09F1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14:paraId="6B30D55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 Wood DM, Monaghal J, Streete P, Jones AL, Dargan PI. Fourty five years of</w:t>
      </w:r>
    </w:p>
    <w:p w14:paraId="321371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14:paraId="0E31E0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 inhibitor of prostaglandin synthesis.</w:t>
      </w:r>
    </w:p>
    <w:p w14:paraId="6CC5B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Biochim Biophys Acta 1978 Jun;529(3):493-496.</w:t>
      </w:r>
    </w:p>
    <w:p w14:paraId="040E2B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14:paraId="68D4A76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14:paraId="3526CF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1969 Mar;178(1):115-129.</w:t>
      </w:r>
    </w:p>
    <w:p w14:paraId="7C7B7B6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14:paraId="4F0B286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14:paraId="781E2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14:paraId="181FBF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14:paraId="22FBF7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14:paraId="6055EE0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14:paraId="47A36BB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14:paraId="6012CD8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 therapy. In: Koda-Kimble MA, Young LV,</w:t>
      </w:r>
    </w:p>
    <w:p w14:paraId="7E714C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Kradjan WA, Guglielmo BJ, Alldredge BK and Corelli RL editors Applied</w:t>
      </w:r>
    </w:p>
    <w:p w14:paraId="5EDAC5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therapeutics: the clinical use of drugs, 8th ed., Lipponcott William and Wilkins</w:t>
      </w:r>
    </w:p>
    <w:p w14:paraId="4FE454A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14:paraId="3E3575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14:paraId="5655A3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14:paraId="72B9B7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14:paraId="083074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Kimble MA, Young LV, Kradjan WA, Guglielmo BJ, Alldredge BK and Corelli</w:t>
      </w:r>
    </w:p>
    <w:p w14:paraId="59D216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Lipponcott</w:t>
      </w:r>
    </w:p>
    <w:p w14:paraId="3CEB97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William and Wilkins A Wolters Kluwer company Philadelphia New York,</w:t>
      </w:r>
    </w:p>
    <w:p w14:paraId="45ACF1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14:paraId="4A5E8A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14:paraId="591BCB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14:paraId="588F6D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Non-steroidal-anti inflammatory drugs,</w:t>
      </w:r>
    </w:p>
    <w:p w14:paraId="3B5B6FD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14:paraId="21D48A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pharmacology 9th ed., McGraw</w:t>
      </w:r>
    </w:p>
    <w:p w14:paraId="6C9866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14:paraId="5FD4789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Multz CV, O’Hanlan M, et al.</w:t>
      </w:r>
    </w:p>
    <w:p w14:paraId="7A1B2A0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14:paraId="4C04B0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sodium in rheumatoid arthritis. J Rheumatol 1982 May-Jun;9(3):402-407.</w:t>
      </w:r>
    </w:p>
    <w:p w14:paraId="2A98FD9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29. Winstanley P, Walley T. Drug for arthritis. In: Medical pharmacology: a clinical core text for integrated curriculum with self assessment. Churchill Livingstone, Adinburgh, 2002. p. 105-107.</w:t>
      </w:r>
    </w:p>
    <w:p w14:paraId="30254E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Non steroidal anti inflammatory, anti</w:t>
      </w:r>
    </w:p>
    <w:p w14:paraId="3F1A5E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14:paraId="183A85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14:paraId="7B3CD7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14:paraId="6812805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 J Rheumatol 1993 Jan;32(1):73-77.</w:t>
      </w:r>
    </w:p>
    <w:p w14:paraId="294E5A8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32. Nuki G, Ralston SH, Luqmani R. Diseases of connective tissues, joints and</w:t>
      </w:r>
    </w:p>
    <w:p w14:paraId="09D63A8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14:paraId="284748D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Livingstone</w:t>
      </w:r>
    </w:p>
    <w:p w14:paraId="6295BA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14:paraId="2880C9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 Coussement W. Gastrointestinal toxicology: toxicological pathology and</w:t>
      </w:r>
    </w:p>
    <w:p w14:paraId="11C51F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14:paraId="620EF2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14:paraId="0E6F01A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14:paraId="50D6908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14:paraId="65203A5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14:paraId="15310F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14:paraId="38A502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 Mackey JE, Anbar RD. High-dose ibuprofen therapy associated with esophageal ulceration after pneumonectomy in a patient with cystic fibrosis: a case report. BMC Pediatr 2004 Sep;4:19.</w:t>
      </w:r>
    </w:p>
    <w:p w14:paraId="739068E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14:paraId="1D65B9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14:paraId="035B9E2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14:paraId="5F7EB61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14:paraId="2BAA9B0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14:paraId="5BC52C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 Volans G, Hartley V, McCrea S, Monagham J. Non opioid analgesic poisoning. Clinical medicine. Clin Med (Northfield IL) 2003;3(2):119-123.</w:t>
      </w:r>
    </w:p>
    <w:p w14:paraId="3F5A38B5">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14:paraId="4E7C2F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14:paraId="1D78EB9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14:paraId="415C72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14:paraId="7635063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14:paraId="4E676BE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Hersh EV. Celecoxib and refecoxib.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14:paraId="53ED45A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14:paraId="1172DB4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14:paraId="3843A45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14:paraId="549330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British Journal of Oral and Maxilofacial surgey</w:t>
      </w:r>
      <w:r>
        <w:rPr>
          <w:rFonts w:ascii="Times New Roman" w:hAnsi="Times New Roman" w:cs="Times New Roman"/>
          <w:color w:val="000000"/>
          <w:sz w:val="28"/>
          <w:szCs w:val="28"/>
        </w:rPr>
        <w:t xml:space="preserve"> 1997; 35(3):173-176.</w:t>
      </w:r>
    </w:p>
    <w:p w14:paraId="1B721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14:paraId="35C0A22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associated with intra uterinedevice</w:t>
      </w:r>
    </w:p>
    <w:p w14:paraId="36D309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14:paraId="48ABA71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Ibrahimzadeh R. Effects of acupressure and ibuprofen on the</w:t>
      </w:r>
    </w:p>
    <w:p w14:paraId="3D26C97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14:paraId="4EE9D46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14:paraId="006669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 J, Niland NF, et al.</w:t>
      </w:r>
    </w:p>
    <w:p w14:paraId="06BB6AC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14:paraId="77133A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14:paraId="5168158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14:paraId="7147F52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14:paraId="7A36178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14:paraId="6640A88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14:paraId="7E112A7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14:paraId="7E2D407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 Am J Obstet Gynecol 2007 Jan;196(1):35, e1-e5.</w:t>
      </w:r>
    </w:p>
    <w:p w14:paraId="05576ED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14:paraId="12C1DC0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14:paraId="41D82F3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14:paraId="66B7C5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14:paraId="3FF1A9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14:paraId="3C3605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14:paraId="219749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 Oct;5(5):472-478.</w:t>
      </w:r>
    </w:p>
    <w:p w14:paraId="49E8F8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14:paraId="6B01B9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14:paraId="12F118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Chinnick PJ, Davies P,</w:t>
      </w:r>
    </w:p>
    <w:p w14:paraId="47279B1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paracetamol and</w:t>
      </w:r>
    </w:p>
    <w:p w14:paraId="02A35C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14:paraId="2E0D7EA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53. Krishna S, Pukrittayakamee S, Supanaranond W, ter Kuile F, Ruprah M, Sura</w:t>
      </w:r>
    </w:p>
    <w:p w14:paraId="1E42B19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14:paraId="5E0122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ibuprofen and paracetamol treatment. Trans R</w:t>
      </w:r>
    </w:p>
    <w:p w14:paraId="3FEE133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14:paraId="513B38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14:paraId="7D698C4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14:paraId="36C0C2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14:paraId="6BFEF20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14:paraId="0CFCE7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14:paraId="1BBFE0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14:paraId="2BCC5E4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14:paraId="5693CC1C">
      <w:pPr>
        <w:autoSpaceDE w:val="0"/>
        <w:autoSpaceDN w:val="0"/>
        <w:adjustRightInd w:val="0"/>
        <w:spacing w:after="0" w:line="480" w:lineRule="auto"/>
        <w:jc w:val="both"/>
        <w:rPr>
          <w:rFonts w:ascii="Times New Roman" w:hAnsi="Times New Roman" w:cs="Times New Roman"/>
          <w:color w:val="000000"/>
          <w:sz w:val="28"/>
          <w:szCs w:val="28"/>
        </w:rPr>
      </w:pPr>
    </w:p>
    <w:p w14:paraId="2ADAA1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56. Casper D, Yaparpalvi U, Rempel N, Werner P. Ibuprofen protects dopaminergic</w:t>
      </w:r>
    </w:p>
    <w:p w14:paraId="3E005A5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14:paraId="6C1FB76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14:paraId="0566366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57. Townsend KP, Praticò D. Novel therapeutic opportunities for Alzheimer’s</w:t>
      </w:r>
    </w:p>
    <w:p w14:paraId="6A36F3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nonsteroidal anti-inflammatory drugs. FASEB J 2005</w:t>
      </w:r>
    </w:p>
    <w:p w14:paraId="2D773AF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14:paraId="5EDB70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14:paraId="5A2F75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 anti-inflammatory drugs and risk of Parkinson’s disease.</w:t>
      </w:r>
    </w:p>
    <w:p w14:paraId="577885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14:paraId="6C7B9F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14:paraId="0C916C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 Nonsteroidal antiinflammatory drug use and the risk for Parkinson’s disease.</w:t>
      </w:r>
    </w:p>
    <w:p w14:paraId="4F72EA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14:paraId="09300C9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14:paraId="32F066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14:paraId="2E3357D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14:paraId="255126E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Oriaku ET, Soliman KF. Ibuprofen and</w:t>
      </w:r>
    </w:p>
    <w:p w14:paraId="2FE3145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activated microglia. Neurosci</w:t>
      </w:r>
    </w:p>
    <w:p w14:paraId="3FE556C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14:paraId="05FF32C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cancer. Oncol Rep 1999 Jan-Feb;6(1):71-73.</w:t>
      </w:r>
    </w:p>
    <w:p w14:paraId="631C2DF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63. Wilcox CM, Cryer B, Triadafilopoulos G. Patterns of use and public perception</w:t>
      </w:r>
    </w:p>
    <w:p w14:paraId="46F2424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over-the-counter pain relievers: focus on nonsteroidal antiinflammatory</w:t>
      </w:r>
    </w:p>
    <w:p w14:paraId="5FDDF4B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14:paraId="04DE47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14:paraId="2B6D3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14:paraId="6B01401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65. Rocca GD, Chiarandini P, Pietropaoli P. Analgesia in PACU: nonsteroidal anti-inflammatory drugs. Curr Drug Targets 2005 Nov;6(7):781-787.</w:t>
      </w:r>
    </w:p>
    <w:p w14:paraId="788EE1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Contribution of non steroidal anti inflammatory</w:t>
      </w:r>
    </w:p>
    <w:p w14:paraId="3B803E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disease:a prospective toxicological</w:t>
      </w:r>
    </w:p>
    <w:p w14:paraId="6FAAAE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14:paraId="7CE4581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14:paraId="62288F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67. Dollery C. Therapeutic drugs 2nd ed., vol. 1, Churchill Livingstone Edinbugh</w:t>
      </w:r>
    </w:p>
    <w:p w14:paraId="6FADA7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14:paraId="326F65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68. Wolfe MM, Lichenstein DR, Signh G. Gastrointestinal toxicity of non steroidal</w:t>
      </w:r>
    </w:p>
    <w:p w14:paraId="3BF14E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14:paraId="47111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anti-inflammatory</w:t>
      </w:r>
    </w:p>
    <w:p w14:paraId="671706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14:paraId="0F8FD8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14:paraId="68C3374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70. Gambero A, Becker TL, Zago AS, de Oliveira AF, Pedrazzoli J Jr. Comparative study of anti-inflammatory and ulcerogenic activities of different cyclooxygenase inhibitors. Inflammopharmacology 2005;13(5-6):441-454.</w:t>
      </w:r>
    </w:p>
    <w:p w14:paraId="2C3D0D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14:paraId="32C5313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14:paraId="3ABC89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14:paraId="767234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14:paraId="1856AC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14:paraId="5DBEB1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14:paraId="496F61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06E01F1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14:paraId="79BB25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14:paraId="02E447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14:paraId="30CC57E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14:paraId="4D4D45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14:paraId="46F80D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14:paraId="6CB9D5E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14:paraId="794BEF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14:paraId="7716D1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In: Pharmacology. 5th ed., Churchil Livingstone Edinburgh London,</w:t>
      </w:r>
    </w:p>
    <w:p w14:paraId="536D0B54">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14:paraId="53A73F0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14:paraId="693AFF9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14:paraId="4463554C">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color w:val="202122"/>
          <w:sz w:val="28"/>
          <w:szCs w:val="28"/>
        </w:rPr>
        <w:t>80 </w:t>
      </w:r>
      <w:r>
        <w:rPr>
          <w:rFonts w:ascii="Times New Roman" w:hAnsi="Times New Roman" w:eastAsia="Times New Roman" w:cs="Times New Roman"/>
          <w:iCs/>
          <w:color w:val="202122"/>
          <w:sz w:val="28"/>
          <w:szCs w:val="28"/>
        </w:rPr>
        <w:t>Bonham, Maxine; O'Connor, Jacqueline M.; Hannigan, Bernadette M.; Strain, J.J. (2002). </w:t>
      </w:r>
      <w:r>
        <w:fldChar w:fldCharType="begin"/>
      </w:r>
      <w:r>
        <w:instrText xml:space="preserve"> HYPERLINK "https://doi.org/10.1079%2FBJN2002558" </w:instrText>
      </w:r>
      <w:r>
        <w:fldChar w:fldCharType="separate"/>
      </w:r>
      <w:r>
        <w:rPr>
          <w:rFonts w:ascii="Times New Roman" w:hAnsi="Times New Roman" w:eastAsia="Times New Roman" w:cs="Times New Roman"/>
          <w:iCs/>
          <w:sz w:val="28"/>
          <w:szCs w:val="28"/>
        </w:rPr>
        <w:t>"The immune system as a physiological indicator of marginal copper status?"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British 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(5): 393–403. </w:t>
      </w:r>
    </w:p>
    <w:p w14:paraId="7956037B">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81</w:t>
      </w:r>
      <w:r>
        <w:rPr>
          <w:rFonts w:ascii="Times New Roman" w:hAnsi="Times New Roman" w:eastAsia="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hAnsi="Times New Roman" w:eastAsia="Times New Roman" w:cs="Times New Roman"/>
          <w:b/>
          <w:bCs/>
          <w:iCs/>
          <w:color w:val="202122"/>
          <w:sz w:val="28"/>
          <w:szCs w:val="28"/>
        </w:rPr>
        <w:t>15</w:t>
      </w:r>
      <w:r>
        <w:rPr>
          <w:rFonts w:ascii="Times New Roman" w:hAnsi="Times New Roman" w:eastAsia="Times New Roman" w:cs="Times New Roman"/>
          <w:iCs/>
          <w:color w:val="202122"/>
          <w:sz w:val="28"/>
          <w:szCs w:val="28"/>
        </w:rPr>
        <w:t> (7): 1421–1427</w:t>
      </w:r>
    </w:p>
    <w:p w14:paraId="7EF9209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82</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Gordon, Starkebaum; John, M. Harlan (April 1986). </w:t>
      </w:r>
      <w:r>
        <w:fldChar w:fldCharType="begin"/>
      </w:r>
      <w:r>
        <w:instrText xml:space="preserve"> HYPERLINK "https://www.ncbi.nlm.nih.gov/pmc/articles/PMC424498" </w:instrText>
      </w:r>
      <w:r>
        <w:fldChar w:fldCharType="separate"/>
      </w:r>
      <w:r>
        <w:rPr>
          <w:rFonts w:ascii="Times New Roman" w:hAnsi="Times New Roman" w:eastAsia="Times New Roman" w:cs="Times New Roman"/>
          <w:iCs/>
          <w:sz w:val="28"/>
          <w:szCs w:val="28"/>
        </w:rPr>
        <w:t>"Endothelial cell injury due to copper-catalyzed hydrogen peroxide generation from homocysteine</w:t>
      </w:r>
      <w:r>
        <w:rPr>
          <w:rFonts w:ascii="Times New Roman" w:hAnsi="Times New Roman" w:eastAsia="Times New Roman" w:cs="Times New Roman"/>
          <w:iCs/>
          <w:color w:val="0000FF"/>
          <w:sz w:val="28"/>
          <w:szCs w:val="28"/>
        </w:rPr>
        <w:t>"</w:t>
      </w:r>
      <w:r>
        <w:rPr>
          <w:rFonts w:ascii="Times New Roman" w:hAnsi="Times New Roman" w:eastAsia="Times New Roman" w:cs="Times New Roman"/>
          <w:iCs/>
          <w:color w:val="0000FF"/>
          <w:sz w:val="28"/>
          <w:szCs w:val="28"/>
        </w:rPr>
        <w:fldChar w:fldCharType="end"/>
      </w:r>
      <w:r>
        <w:rPr>
          <w:rFonts w:ascii="Times New Roman" w:hAnsi="Times New Roman" w:eastAsia="Times New Roman" w:cs="Times New Roman"/>
          <w:iCs/>
          <w:color w:val="202122"/>
          <w:sz w:val="28"/>
          <w:szCs w:val="28"/>
        </w:rPr>
        <w:t>. </w:t>
      </w:r>
      <w:r>
        <w:rPr>
          <w:rFonts w:ascii="Times New Roman" w:hAnsi="Times New Roman" w:eastAsia="Times New Roman" w:cs="Times New Roman"/>
          <w:i/>
          <w:iCs/>
          <w:color w:val="202122"/>
          <w:sz w:val="28"/>
          <w:szCs w:val="28"/>
        </w:rPr>
        <w:t>J. Clin. Invest.</w:t>
      </w:r>
      <w:r>
        <w:rPr>
          <w:rFonts w:ascii="Times New Roman" w:hAnsi="Times New Roman" w:eastAsia="Times New Roman" w:cs="Times New Roman"/>
          <w:iCs/>
          <w:color w:val="202122"/>
          <w:sz w:val="28"/>
          <w:szCs w:val="28"/>
        </w:rPr>
        <w:t> </w:t>
      </w:r>
      <w:r>
        <w:rPr>
          <w:rFonts w:ascii="Times New Roman" w:hAnsi="Times New Roman" w:eastAsia="Times New Roman" w:cs="Times New Roman"/>
          <w:b/>
          <w:bCs/>
          <w:iCs/>
          <w:color w:val="202122"/>
          <w:sz w:val="28"/>
          <w:szCs w:val="28"/>
        </w:rPr>
        <w:t>77</w:t>
      </w:r>
      <w:r>
        <w:rPr>
          <w:rFonts w:ascii="Times New Roman" w:hAnsi="Times New Roman" w:eastAsia="Times New Roman" w:cs="Times New Roman"/>
          <w:iCs/>
          <w:color w:val="202122"/>
          <w:sz w:val="28"/>
          <w:szCs w:val="28"/>
        </w:rPr>
        <w:t> (4): 1370–6. </w:t>
      </w:r>
    </w:p>
    <w:p w14:paraId="532C8DD4">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83</w:t>
      </w:r>
      <w:r>
        <w:rPr>
          <w:rFonts w:ascii="Times New Roman" w:hAnsi="Times New Roman" w:eastAsia="Times New Roman" w:cs="Times New Roman"/>
          <w:iCs/>
          <w:color w:val="202122"/>
          <w:sz w:val="28"/>
          <w:szCs w:val="28"/>
        </w:rPr>
        <w:t xml:space="preserve"> Cornell University. Retrieved 10 July 2008.</w:t>
      </w:r>
    </w:p>
    <w:p w14:paraId="6FE1F725">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84</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Hunt, Charles E. &amp; William W. Carlton (1965). "Cardiovascular Lesions Associated with Experimental Copper Deficiency in the Rabbit". </w:t>
      </w:r>
      <w:r>
        <w:rPr>
          <w:rFonts w:ascii="Times New Roman" w:hAnsi="Times New Roman" w:eastAsia="Times New Roman" w:cs="Times New Roman"/>
          <w:i/>
          <w:iCs/>
          <w:color w:val="202122"/>
          <w:sz w:val="28"/>
          <w:szCs w:val="28"/>
        </w:rPr>
        <w:t>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(4): 385–394. </w:t>
      </w:r>
    </w:p>
    <w:p w14:paraId="08B1B3C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85</w:t>
      </w:r>
      <w:r>
        <w:rPr>
          <w:rFonts w:ascii="Times New Roman" w:hAnsi="Times New Roman" w:eastAsia="Times New Roman" w:cs="Times New Roman"/>
          <w:b/>
          <w:bCs/>
          <w:color w:val="0000FF"/>
          <w:sz w:val="28"/>
          <w:szCs w:val="28"/>
        </w:rPr>
        <w:t xml:space="preserve">   </w:t>
      </w:r>
      <w:r>
        <w:rPr>
          <w:rFonts w:ascii="Times New Roman" w:hAnsi="Times New Roman" w:eastAsia="Times New Roman" w:cs="Times New Roman"/>
          <w:iCs/>
          <w:color w:val="202122"/>
          <w:sz w:val="28"/>
          <w:szCs w:val="28"/>
        </w:rPr>
        <w:t>Ayyat M.S.; Marai I.F.M.; Alazab A.M. (1995). </w:t>
      </w:r>
      <w:r>
        <w:fldChar w:fldCharType="begin"/>
      </w:r>
      <w:r>
        <w:instrText xml:space="preserve"> HYPERLINK "http://riunet.upv.es/handle/10251/10503?locale-attribute=en" </w:instrText>
      </w:r>
      <w:r>
        <w:fldChar w:fldCharType="separate"/>
      </w:r>
      <w:r>
        <w:rPr>
          <w:rFonts w:ascii="Times New Roman" w:hAnsi="Times New Roman" w:eastAsia="Times New Roman" w:cs="Times New Roman"/>
          <w:iCs/>
          <w:sz w:val="28"/>
          <w:szCs w:val="28"/>
        </w:rPr>
        <w:t>"Copper-Protein Nutrition of New Zealand White Rabbits under Egyptian Conditions"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color w:val="202122"/>
          <w:sz w:val="28"/>
          <w:szCs w:val="28"/>
        </w:rPr>
        <w:t>. World Rabbit Science. </w:t>
      </w:r>
      <w:r>
        <w:rPr>
          <w:rFonts w:ascii="Times New Roman" w:hAnsi="Times New Roman" w:eastAsia="Times New Roman" w:cs="Times New Roman"/>
          <w:b/>
          <w:bCs/>
          <w:iCs/>
          <w:color w:val="202122"/>
          <w:sz w:val="28"/>
          <w:szCs w:val="28"/>
        </w:rPr>
        <w:t>3</w:t>
      </w:r>
      <w:r>
        <w:rPr>
          <w:rFonts w:ascii="Times New Roman" w:hAnsi="Times New Roman" w:eastAsia="Times New Roman" w:cs="Times New Roman"/>
          <w:iCs/>
          <w:color w:val="202122"/>
          <w:sz w:val="28"/>
          <w:szCs w:val="28"/>
        </w:rPr>
        <w:t> (3): 113–118</w:t>
      </w:r>
    </w:p>
    <w:p w14:paraId="7825971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86</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color w:val="202122"/>
          <w:sz w:val="28"/>
          <w:szCs w:val="28"/>
          <w:u w:val="single"/>
        </w:rPr>
        <w:t> </w:t>
      </w:r>
      <w:r>
        <w:rPr>
          <w:rFonts w:ascii="Times New Roman" w:hAnsi="Times New Roman" w:eastAsia="Times New Roman" w:cs="Times New Roman"/>
          <w:iCs/>
          <w:color w:val="202122"/>
          <w:sz w:val="28"/>
          <w:szCs w:val="28"/>
        </w:rPr>
        <w:t>Brewer GJ (March 2012). "Copper excess, zinc deficiency, and cognition loss in Alzheimer's disease". BioFactors (Review). </w:t>
      </w:r>
      <w:r>
        <w:rPr>
          <w:rFonts w:ascii="Times New Roman" w:hAnsi="Times New Roman" w:eastAsia="Times New Roman" w:cs="Times New Roman"/>
          <w:b/>
          <w:bCs/>
          <w:iCs/>
          <w:color w:val="202122"/>
          <w:sz w:val="28"/>
          <w:szCs w:val="28"/>
        </w:rPr>
        <w:t>38</w:t>
      </w:r>
      <w:r>
        <w:rPr>
          <w:rFonts w:ascii="Times New Roman" w:hAnsi="Times New Roman" w:eastAsia="Times New Roman" w:cs="Times New Roman"/>
          <w:iCs/>
          <w:color w:val="202122"/>
          <w:sz w:val="28"/>
          <w:szCs w:val="28"/>
        </w:rPr>
        <w:t> (2) 107-113</w:t>
      </w:r>
    </w:p>
    <w:p w14:paraId="78E1926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87</w:t>
      </w:r>
      <w:r>
        <w:rPr>
          <w:rFonts w:ascii="Times New Roman" w:hAnsi="Times New Roman" w:eastAsia="Times New Roman" w:cs="Times New Roman"/>
          <w:b/>
          <w:bCs/>
          <w:color w:val="0000FF"/>
          <w:sz w:val="28"/>
          <w:szCs w:val="28"/>
        </w:rPr>
        <w:t xml:space="preserve"> </w:t>
      </w:r>
      <w:r>
        <w:fldChar w:fldCharType="begin"/>
      </w:r>
      <w:r>
        <w:instrText xml:space="preserve"> HYPERLINK "http://examine.com/supplements/Copper" \l "summary9-0" </w:instrText>
      </w:r>
      <w:r>
        <w:fldChar w:fldCharType="separate"/>
      </w:r>
      <w:r>
        <w:rPr>
          <w:rFonts w:ascii="Times New Roman" w:hAnsi="Times New Roman" w:eastAsia="Times New Roman" w:cs="Times New Roman"/>
          <w:iCs/>
          <w:sz w:val="28"/>
          <w:szCs w:val="28"/>
        </w:rPr>
        <w:t>Copper: Alzheimer's Disease"</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 </w:t>
      </w:r>
      <w:r>
        <w:fldChar w:fldCharType="begin"/>
      </w:r>
      <w:r>
        <w:instrText xml:space="preserve"> HYPERLINK "https://en.wikipedia.org/wiki/Examine.com" \o "Examine.com" </w:instrText>
      </w:r>
      <w:r>
        <w:fldChar w:fldCharType="separate"/>
      </w:r>
      <w:r>
        <w:rPr>
          <w:rFonts w:ascii="Times New Roman" w:hAnsi="Times New Roman" w:eastAsia="Times New Roman" w:cs="Times New Roman"/>
          <w:iCs/>
          <w:sz w:val="28"/>
          <w:szCs w:val="28"/>
        </w:rPr>
        <w:t>Examine.com</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xml:space="preserve"> Retrieved 21 June 2015.</w:t>
      </w:r>
    </w:p>
    <w:p w14:paraId="4B4A1859">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8"/>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Pr>
          <w:rStyle w:val="8"/>
          <w:rFonts w:ascii="Times New Roman" w:hAnsi="Times New Roman" w:cs="Times New Roman"/>
          <w:color w:val="202122"/>
          <w:sz w:val="28"/>
          <w:szCs w:val="28"/>
          <w:vertAlign w:val="subscript"/>
        </w:rPr>
        <w:t>4</w:t>
      </w:r>
      <w:r>
        <w:rPr>
          <w:rStyle w:val="8"/>
          <w:rFonts w:ascii="Times New Roman" w:hAnsi="Times New Roman" w:cs="Times New Roman"/>
          <w:color w:val="202122"/>
          <w:sz w:val="28"/>
          <w:szCs w:val="28"/>
          <w:vertAlign w:val="superscript"/>
        </w:rPr>
        <w:t>−</w:t>
      </w:r>
      <w:r>
        <w:rPr>
          <w:rStyle w:val="8"/>
          <w:rFonts w:ascii="Times New Roman" w:hAnsi="Times New Roman" w:cs="Times New Roman"/>
          <w:color w:val="202122"/>
          <w:sz w:val="28"/>
          <w:szCs w:val="28"/>
        </w:rPr>
        <w:t>". Phys. Chem. Chem. Phys. </w:t>
      </w:r>
      <w:r>
        <w:rPr>
          <w:rStyle w:val="8"/>
          <w:rFonts w:ascii="Times New Roman" w:hAnsi="Times New Roman" w:cs="Times New Roman"/>
          <w:b/>
          <w:bCs/>
          <w:color w:val="202122"/>
          <w:sz w:val="28"/>
          <w:szCs w:val="28"/>
        </w:rPr>
        <w:t>18</w:t>
      </w:r>
      <w:r>
        <w:rPr>
          <w:rStyle w:val="8"/>
          <w:rFonts w:ascii="Times New Roman" w:hAnsi="Times New Roman" w:cs="Times New Roman"/>
          <w:color w:val="202122"/>
          <w:sz w:val="28"/>
          <w:szCs w:val="28"/>
        </w:rPr>
        <w:t> (45): 31125–31131.</w:t>
      </w:r>
    </w:p>
    <w:p w14:paraId="41FBA6C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8"/>
          <w:rFonts w:ascii="Times New Roman" w:hAnsi="Times New Roman" w:cs="Times New Roman"/>
          <w:color w:val="202122"/>
          <w:sz w:val="28"/>
          <w:szCs w:val="28"/>
        </w:rPr>
        <w:t>Nam, Wonwoo (2007). </w:t>
      </w:r>
      <w:r>
        <w:fldChar w:fldCharType="begin"/>
      </w:r>
      <w:r>
        <w:instrText xml:space="preserve"> HYPERLINK "https://web.archive.org/web/20210615123946/http:/cbs.ewha.ac.kr/pub/data/2007_07.pdf"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rPr>
        <w:t>High</w:t>
      </w:r>
      <w:r>
        <w:rPr>
          <w:rStyle w:val="9"/>
          <w:rFonts w:ascii="Times New Roman" w:hAnsi="Times New Roman" w:cs="Times New Roman"/>
          <w:iCs/>
          <w:color w:val="FF0000"/>
          <w:sz w:val="28"/>
          <w:szCs w:val="28"/>
        </w:rPr>
        <w:t>-</w:t>
      </w:r>
      <w:r>
        <w:rPr>
          <w:rStyle w:val="9"/>
          <w:rFonts w:ascii="Times New Roman" w:hAnsi="Times New Roman" w:cs="Times New Roman"/>
          <w:iCs/>
          <w:color w:val="auto"/>
          <w:sz w:val="28"/>
          <w:szCs w:val="28"/>
          <w:u w:val="none"/>
        </w:rPr>
        <w:t>Valent Iron(IV)–Oxo Complexes of Heme and Non-Heme Ligands in Oxygenation Reactions"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 Accounts of Chemical Research. </w:t>
      </w:r>
      <w:r>
        <w:rPr>
          <w:rStyle w:val="8"/>
          <w:rFonts w:ascii="Times New Roman" w:hAnsi="Times New Roman" w:cs="Times New Roman"/>
          <w:b/>
          <w:bCs/>
          <w:color w:val="202122"/>
          <w:sz w:val="28"/>
          <w:szCs w:val="28"/>
        </w:rPr>
        <w:t>40</w:t>
      </w:r>
      <w:r>
        <w:rPr>
          <w:rStyle w:val="8"/>
          <w:rFonts w:ascii="Times New Roman" w:hAnsi="Times New Roman" w:cs="Times New Roman"/>
          <w:color w:val="202122"/>
          <w:sz w:val="28"/>
          <w:szCs w:val="28"/>
        </w:rPr>
        <w:t> (7): 522–531.</w:t>
      </w:r>
    </w:p>
    <w:p w14:paraId="547A63F8">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20"/>
          <w:rFonts w:ascii="Times New Roman" w:hAnsi="Times New Roman" w:cs="Times New Roman"/>
          <w:color w:val="202122"/>
          <w:sz w:val="28"/>
          <w:szCs w:val="28"/>
        </w:rPr>
        <w:t xml:space="preserve">90 </w:t>
      </w:r>
      <w:r>
        <w:rPr>
          <w:rStyle w:val="8"/>
          <w:rFonts w:ascii="Times New Roman" w:hAnsi="Times New Roman" w:cs="Times New Roman"/>
          <w:color w:val="202122"/>
          <w:sz w:val="28"/>
          <w:szCs w:val="28"/>
        </w:rPr>
        <w:t>Holleman, Arnold F.; Wiberg, Egon; Wiberg, Nils (1985). "Iron". Lehrbuch der Anorganischen Chemie (in German) (91–100 ed.). Walter de Gruyter. pp. 1125–46</w:t>
      </w:r>
    </w:p>
    <w:p w14:paraId="0FC41071">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8"/>
          <w:rFonts w:ascii="Times New Roman" w:hAnsi="Times New Roman" w:cs="Times New Roman"/>
          <w:color w:val="202122"/>
          <w:sz w:val="28"/>
          <w:szCs w:val="28"/>
        </w:rPr>
        <w:t>9</w:t>
      </w:r>
      <w:r>
        <w:rPr>
          <w:rStyle w:val="8"/>
          <w:rFonts w:ascii="Times New Roman" w:hAnsi="Times New Roman" w:cs="Times New Roman"/>
          <w:sz w:val="28"/>
          <w:szCs w:val="28"/>
        </w:rPr>
        <w:t>1</w:t>
      </w:r>
      <w:r>
        <w:fldChar w:fldCharType="begin"/>
      </w:r>
      <w:r>
        <w:instrText xml:space="preserve"> HYPERLINK "https://en.wikipedia.org/wiki/Iron" \l "CITEREFGreenwoodEarnshaw1997" </w:instrText>
      </w:r>
      <w:r>
        <w:fldChar w:fldCharType="separate"/>
      </w:r>
      <w:r>
        <w:rPr>
          <w:rStyle w:val="9"/>
          <w:rFonts w:ascii="Times New Roman" w:hAnsi="Times New Roman" w:cs="Times New Roman"/>
          <w:color w:val="auto"/>
          <w:sz w:val="28"/>
          <w:szCs w:val="28"/>
          <w:u w:val="none"/>
          <w:shd w:val="clear" w:color="auto" w:fill="FFFFFF"/>
        </w:rPr>
        <w:t>Greenwood &amp; Earnshaw 1997</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pp. 1075–79.</w:t>
      </w:r>
      <w:r>
        <w:rPr>
          <w:rStyle w:val="8"/>
          <w:rFonts w:ascii="Times New Roman" w:hAnsi="Times New Roman" w:cs="Times New Roman"/>
          <w:color w:val="202122"/>
          <w:sz w:val="28"/>
          <w:szCs w:val="28"/>
        </w:rPr>
        <w:t xml:space="preserve"> </w:t>
      </w:r>
    </w:p>
    <w:p w14:paraId="05C95AF9">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8"/>
          <w:rFonts w:ascii="Times New Roman" w:hAnsi="Times New Roman" w:cs="Times New Roman"/>
          <w:color w:val="202122"/>
          <w:sz w:val="28"/>
          <w:szCs w:val="28"/>
        </w:rPr>
        <w:t>92 Centers for Disease Control and Prevention (2002). </w:t>
      </w:r>
      <w:r>
        <w:fldChar w:fldCharType="begin"/>
      </w:r>
      <w:r>
        <w:instrText xml:space="preserve"> HYPERLINK "https://www.cdc.gov/mmwr/preview/mmwrhtml/mm5140a1.htm" </w:instrText>
      </w:r>
      <w:r>
        <w:fldChar w:fldCharType="separate"/>
      </w:r>
      <w:r>
        <w:rPr>
          <w:rStyle w:val="9"/>
          <w:rFonts w:ascii="Times New Roman" w:hAnsi="Times New Roman" w:cs="Times New Roman"/>
          <w:iCs/>
          <w:color w:val="auto"/>
          <w:sz w:val="28"/>
          <w:szCs w:val="28"/>
          <w:u w:val="none"/>
        </w:rPr>
        <w:t>"Iron deficiency – United States, 1999–2000"</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MMWR. </w:t>
      </w:r>
      <w:r>
        <w:rPr>
          <w:rStyle w:val="8"/>
          <w:rFonts w:ascii="Times New Roman" w:hAnsi="Times New Roman" w:cs="Times New Roman"/>
          <w:b/>
          <w:bCs/>
          <w:color w:val="202122"/>
          <w:sz w:val="28"/>
          <w:szCs w:val="28"/>
        </w:rPr>
        <w:t>51</w:t>
      </w:r>
      <w:r>
        <w:rPr>
          <w:rStyle w:val="8"/>
          <w:rFonts w:ascii="Times New Roman" w:hAnsi="Times New Roman" w:cs="Times New Roman"/>
          <w:color w:val="202122"/>
          <w:sz w:val="28"/>
          <w:szCs w:val="28"/>
        </w:rPr>
        <w:t> (40): 897–99. </w:t>
      </w:r>
    </w:p>
    <w:p w14:paraId="6C452885">
      <w:pPr>
        <w:pStyle w:val="12"/>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16BBC751">
      <w:pPr>
        <w:pStyle w:val="12"/>
        <w:numPr>
          <w:ilvl w:val="0"/>
          <w:numId w:val="4"/>
        </w:numPr>
        <w:shd w:val="clear" w:color="auto" w:fill="FFFFFF"/>
        <w:spacing w:before="100" w:beforeAutospacing="1" w:after="24" w:line="480" w:lineRule="auto"/>
        <w:jc w:val="both"/>
        <w:rPr>
          <w:rStyle w:val="23"/>
          <w:rFonts w:ascii="Times New Roman" w:hAnsi="Times New Roman" w:cs="Times New Roman"/>
          <w:color w:val="202122"/>
          <w:sz w:val="28"/>
          <w:szCs w:val="28"/>
        </w:rPr>
      </w:pPr>
      <w:r>
        <w:rPr>
          <w:rStyle w:val="8"/>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606D6C00">
      <w:pPr>
        <w:pStyle w:val="12"/>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CDC Centers for Disease Control and Prevention (3 April 1998). </w:t>
      </w:r>
      <w:r>
        <w:fldChar w:fldCharType="begin"/>
      </w:r>
      <w:r>
        <w:instrText xml:space="preserve"> HYPERLINK "https://www.cdc.gov/mmwr/preview/mmwrhtml/00051880.htm"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Recommendations to Prevent and Control Iron Deficiency in the United States"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Morbidity and Mortality Weekly Report. </w:t>
      </w:r>
      <w:r>
        <w:rPr>
          <w:rStyle w:val="8"/>
          <w:rFonts w:ascii="Times New Roman" w:hAnsi="Times New Roman" w:cs="Times New Roman"/>
          <w:b/>
          <w:bCs/>
          <w:color w:val="202122"/>
          <w:sz w:val="28"/>
          <w:szCs w:val="28"/>
        </w:rPr>
        <w:t>47</w:t>
      </w:r>
      <w:r>
        <w:rPr>
          <w:rStyle w:val="8"/>
          <w:rFonts w:ascii="Times New Roman" w:hAnsi="Times New Roman" w:cs="Times New Roman"/>
          <w:color w:val="202122"/>
          <w:sz w:val="28"/>
          <w:szCs w:val="28"/>
        </w:rPr>
        <w:t> (RR3): 1</w:t>
      </w:r>
      <w:r>
        <w:rPr>
          <w:rStyle w:val="21"/>
          <w:rFonts w:ascii="Times New Roman" w:hAnsi="Times New Roman" w:cs="Times New Roman"/>
          <w:iCs/>
          <w:color w:val="202122"/>
          <w:sz w:val="28"/>
          <w:szCs w:val="28"/>
        </w:rPr>
        <w:t>. Retrieved </w:t>
      </w:r>
      <w:r>
        <w:rPr>
          <w:rStyle w:val="22"/>
          <w:rFonts w:ascii="Times New Roman" w:hAnsi="Times New Roman" w:cs="Times New Roman"/>
          <w:iCs/>
          <w:color w:val="202122"/>
          <w:sz w:val="28"/>
          <w:szCs w:val="28"/>
        </w:rPr>
        <w:t>12 August</w:t>
      </w:r>
      <w:r>
        <w:rPr>
          <w:rStyle w:val="21"/>
          <w:rFonts w:ascii="Times New Roman" w:hAnsi="Times New Roman" w:cs="Times New Roman"/>
          <w:iCs/>
          <w:color w:val="202122"/>
          <w:sz w:val="28"/>
          <w:szCs w:val="28"/>
        </w:rPr>
        <w:t> 2014</w:t>
      </w:r>
      <w:r>
        <w:rPr>
          <w:rStyle w:val="8"/>
          <w:rFonts w:ascii="Times New Roman" w:hAnsi="Times New Roman" w:cs="Times New Roman"/>
          <w:color w:val="202122"/>
          <w:sz w:val="28"/>
          <w:szCs w:val="28"/>
        </w:rPr>
        <w:t>.</w:t>
      </w:r>
    </w:p>
    <w:p w14:paraId="4BCA3416">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Centers for Disease Control and Prevention. </w:t>
      </w:r>
      <w:r>
        <w:fldChar w:fldCharType="begin"/>
      </w:r>
      <w:r>
        <w:instrText xml:space="preserve"> HYPERLINK "https://www.cdc.gov/nutrition/everyone/basics/vitamins/iron.html" </w:instrText>
      </w:r>
      <w:r>
        <w:fldChar w:fldCharType="separate"/>
      </w:r>
      <w:r>
        <w:rPr>
          <w:rStyle w:val="9"/>
          <w:rFonts w:ascii="Times New Roman" w:hAnsi="Times New Roman" w:cs="Times New Roman"/>
          <w:iCs/>
          <w:color w:val="auto"/>
          <w:sz w:val="28"/>
          <w:szCs w:val="28"/>
          <w:u w:val="none"/>
        </w:rPr>
        <w:t>"Iron and Iron Deficiency"</w:t>
      </w:r>
      <w:r>
        <w:rPr>
          <w:rStyle w:val="9"/>
          <w:rFonts w:ascii="Times New Roman" w:hAnsi="Times New Roman" w:cs="Times New Roman"/>
          <w:iCs/>
          <w:color w:val="auto"/>
          <w:sz w:val="28"/>
          <w:szCs w:val="28"/>
          <w:u w:val="none"/>
        </w:rPr>
        <w:fldChar w:fldCharType="end"/>
      </w:r>
      <w:r>
        <w:rPr>
          <w:rStyle w:val="21"/>
          <w:rFonts w:ascii="Times New Roman" w:hAnsi="Times New Roman" w:cs="Times New Roman"/>
          <w:iCs/>
          <w:color w:val="202122"/>
          <w:sz w:val="28"/>
          <w:szCs w:val="28"/>
        </w:rPr>
        <w:t xml:space="preserve">. </w:t>
      </w:r>
    </w:p>
    <w:p w14:paraId="7501DC80">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Youdim, M. B.; Ben-Shachar, D.; Yehuda, S. (September 1989). </w:t>
      </w:r>
      <w:r>
        <w:fldChar w:fldCharType="begin"/>
      </w:r>
      <w:r>
        <w:instrText xml:space="preserve"> HYPERLINK "https://doi.org/10.1093%2Fajcn%2F50.3.607" </w:instrText>
      </w:r>
      <w:r>
        <w:fldChar w:fldCharType="separate"/>
      </w:r>
      <w:r>
        <w:rPr>
          <w:rStyle w:val="9"/>
          <w:rFonts w:ascii="Times New Roman" w:hAnsi="Times New Roman" w:cs="Times New Roman"/>
          <w:iCs/>
          <w:color w:val="auto"/>
          <w:sz w:val="28"/>
          <w:szCs w:val="28"/>
          <w:u w:val="none"/>
        </w:rPr>
        <w:t>"Putative biological mechanisms of the effect of iron deficiency on brain biochemistry and behavior"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American Journal of Clinical Nutrition. </w:t>
      </w:r>
      <w:r>
        <w:rPr>
          <w:rStyle w:val="8"/>
          <w:rFonts w:ascii="Times New Roman" w:hAnsi="Times New Roman" w:cs="Times New Roman"/>
          <w:b/>
          <w:bCs/>
          <w:color w:val="202122"/>
          <w:sz w:val="28"/>
          <w:szCs w:val="28"/>
        </w:rPr>
        <w:t>50</w:t>
      </w:r>
      <w:r>
        <w:rPr>
          <w:rStyle w:val="8"/>
          <w:rFonts w:ascii="Times New Roman" w:hAnsi="Times New Roman" w:cs="Times New Roman"/>
          <w:color w:val="202122"/>
          <w:sz w:val="28"/>
          <w:szCs w:val="28"/>
        </w:rPr>
        <w:t> (3 Suppl): 607–615, discussion 615–617. .</w:t>
      </w:r>
    </w:p>
    <w:p w14:paraId="192E8F28">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Erikson, K. M.; Pinero, D. J.; Connor, J. R.; Beard, J. L. (October 1997). </w:t>
      </w:r>
      <w:r>
        <w:fldChar w:fldCharType="begin"/>
      </w:r>
      <w:r>
        <w:instrText xml:space="preserve"> HYPERLINK "https://doi.org/10.1093%2Fjn%2F127.10.2030"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Regional brain iron, ferritin and transferrin concentrations during iron deficiency and iron repletion in developing rats</w:t>
      </w:r>
      <w:r>
        <w:rPr>
          <w:rStyle w:val="9"/>
          <w:rFonts w:ascii="Times New Roman" w:hAnsi="Times New Roman" w:cs="Times New Roman"/>
          <w:iCs/>
          <w:sz w:val="28"/>
          <w:szCs w:val="28"/>
        </w:rPr>
        <w:t>"</w:t>
      </w:r>
      <w:r>
        <w:rPr>
          <w:rStyle w:val="9"/>
          <w:rFonts w:ascii="Times New Roman" w:hAnsi="Times New Roman" w:cs="Times New Roman"/>
          <w:iCs/>
          <w:sz w:val="28"/>
          <w:szCs w:val="28"/>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127</w:t>
      </w:r>
      <w:r>
        <w:rPr>
          <w:rStyle w:val="8"/>
          <w:rFonts w:ascii="Times New Roman" w:hAnsi="Times New Roman" w:cs="Times New Roman"/>
          <w:color w:val="202122"/>
          <w:sz w:val="28"/>
          <w:szCs w:val="28"/>
        </w:rPr>
        <w:t> (10): 2030–2038. </w:t>
      </w:r>
    </w:p>
    <w:p w14:paraId="21190525">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Unger, Erica L.; Bianco, Laura E.; Jones, Byron C.; Allen, Richard P.; Earley, Christopher J. (November 2014).</w:t>
      </w:r>
      <w:r>
        <w:rPr>
          <w:rStyle w:val="8"/>
          <w:rFonts w:ascii="Times New Roman" w:hAnsi="Times New Roman" w:cs="Times New Roman"/>
          <w:sz w:val="28"/>
          <w:szCs w:val="28"/>
        </w:rPr>
        <w:t> </w:t>
      </w:r>
      <w:r>
        <w:fldChar w:fldCharType="begin"/>
      </w:r>
      <w:r>
        <w:instrText xml:space="preserve"> HYPERLINK "https://www.ncbi.nlm.nih.gov/pmc/articles/PMC4318655" </w:instrText>
      </w:r>
      <w:r>
        <w:fldChar w:fldCharType="separate"/>
      </w:r>
      <w:r>
        <w:rPr>
          <w:rStyle w:val="9"/>
          <w:rFonts w:ascii="Times New Roman" w:hAnsi="Times New Roman" w:cs="Times New Roman"/>
          <w:iCs/>
          <w:color w:val="auto"/>
          <w:sz w:val="28"/>
          <w:szCs w:val="28"/>
          <w:u w:val="none"/>
        </w:rPr>
        <w:t>"Low brain iron effects and reversibility on striatal dopamine dynamics"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Experimental Neurology. </w:t>
      </w:r>
      <w:r>
        <w:rPr>
          <w:rStyle w:val="8"/>
          <w:rFonts w:ascii="Times New Roman" w:hAnsi="Times New Roman" w:cs="Times New Roman"/>
          <w:b/>
          <w:bCs/>
          <w:color w:val="202122"/>
          <w:sz w:val="28"/>
          <w:szCs w:val="28"/>
        </w:rPr>
        <w:t>261</w:t>
      </w:r>
      <w:r>
        <w:rPr>
          <w:rStyle w:val="8"/>
          <w:rFonts w:ascii="Times New Roman" w:hAnsi="Times New Roman" w:cs="Times New Roman"/>
          <w:color w:val="202122"/>
          <w:sz w:val="28"/>
          <w:szCs w:val="28"/>
        </w:rPr>
        <w:t>: 462–468. Ward, Roberta J.; Zucca, Fabio A.; Duyn, Jeff H.; Crichton, Robert R.; Zecca, Luigi (October 2014).</w:t>
      </w:r>
      <w:r>
        <w:rPr>
          <w:rStyle w:val="8"/>
          <w:rFonts w:ascii="Times New Roman" w:hAnsi="Times New Roman" w:cs="Times New Roman"/>
          <w:sz w:val="28"/>
          <w:szCs w:val="28"/>
        </w:rPr>
        <w:t> </w:t>
      </w:r>
      <w:r>
        <w:fldChar w:fldCharType="begin"/>
      </w:r>
      <w:r>
        <w:instrText xml:space="preserve"> HYPERLINK "https://www.ncbi.nlm.nih.gov/pmc/articles/PMC5672917" </w:instrText>
      </w:r>
      <w:r>
        <w:fldChar w:fldCharType="separate"/>
      </w:r>
      <w:r>
        <w:rPr>
          <w:rStyle w:val="9"/>
          <w:rFonts w:ascii="Times New Roman" w:hAnsi="Times New Roman" w:cs="Times New Roman"/>
          <w:iCs/>
          <w:color w:val="auto"/>
          <w:sz w:val="28"/>
          <w:szCs w:val="28"/>
          <w:u w:val="none"/>
        </w:rPr>
        <w:t>"The role of iron in brain ageing and neurodegenerative disorders"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Lancet. Neurology. </w:t>
      </w:r>
      <w:r>
        <w:rPr>
          <w:rStyle w:val="8"/>
          <w:rFonts w:ascii="Times New Roman" w:hAnsi="Times New Roman" w:cs="Times New Roman"/>
          <w:b/>
          <w:bCs/>
          <w:color w:val="202122"/>
          <w:sz w:val="28"/>
          <w:szCs w:val="28"/>
        </w:rPr>
        <w:t>13</w:t>
      </w:r>
      <w:r>
        <w:rPr>
          <w:rStyle w:val="8"/>
          <w:rFonts w:ascii="Times New Roman" w:hAnsi="Times New Roman" w:cs="Times New Roman"/>
          <w:color w:val="202122"/>
          <w:sz w:val="28"/>
          <w:szCs w:val="28"/>
        </w:rPr>
        <w:t> (10): 1045–1060. </w:t>
      </w:r>
    </w:p>
    <w:p w14:paraId="1932409F">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"cite_ref-182"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Pino, Jessica M. V.; da Luz, Marcio H. M.; Antunes, Hanna K. M.; Giampá, Sara Q. de Campos; Martins, Vilma R.; Lee, Kil S. (17 May 2017)</w:t>
      </w:r>
      <w:r>
        <w:rPr>
          <w:rStyle w:val="8"/>
          <w:rFonts w:ascii="Times New Roman" w:hAnsi="Times New Roman" w:cs="Times New Roman"/>
          <w:sz w:val="28"/>
          <w:szCs w:val="28"/>
        </w:rPr>
        <w:t>. </w:t>
      </w:r>
      <w:r>
        <w:fldChar w:fldCharType="begin"/>
      </w:r>
      <w:r>
        <w:instrText xml:space="preserve"> HYPERLINK "https://www.ncbi.nlm.nih.gov/pmc/articles/PMC5434142" </w:instrText>
      </w:r>
      <w:r>
        <w:fldChar w:fldCharType="separate"/>
      </w:r>
      <w:r>
        <w:rPr>
          <w:rStyle w:val="9"/>
          <w:rFonts w:ascii="Times New Roman" w:hAnsi="Times New Roman" w:cs="Times New Roman"/>
          <w:iCs/>
          <w:color w:val="auto"/>
          <w:sz w:val="28"/>
          <w:szCs w:val="28"/>
          <w:u w:val="none"/>
        </w:rPr>
        <w:t>"Iron-Restricted Diet Affects Brain Ferritin Levels, Dopamine Metabolism and Cellular Prion Protein in a Region-Specific Manner"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Frontiers in Molecular Neuroscience. </w:t>
      </w:r>
      <w:r>
        <w:rPr>
          <w:rStyle w:val="8"/>
          <w:rFonts w:ascii="Times New Roman" w:hAnsi="Times New Roman" w:cs="Times New Roman"/>
          <w:b/>
          <w:bCs/>
          <w:color w:val="202122"/>
          <w:sz w:val="28"/>
          <w:szCs w:val="28"/>
        </w:rPr>
        <w:t>10</w:t>
      </w:r>
      <w:r>
        <w:rPr>
          <w:rStyle w:val="8"/>
          <w:rFonts w:ascii="Times New Roman" w:hAnsi="Times New Roman" w:cs="Times New Roman"/>
          <w:color w:val="202122"/>
          <w:sz w:val="28"/>
          <w:szCs w:val="28"/>
        </w:rPr>
        <w:t>: 145. </w:t>
      </w:r>
    </w:p>
    <w:p w14:paraId="552F7F9C">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"cite_ref-183"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Beard, John; Erikson, Keith M.; Jones, Byron C. (1 April 2003)</w:t>
      </w:r>
      <w:r>
        <w:rPr>
          <w:rStyle w:val="8"/>
          <w:rFonts w:ascii="Times New Roman" w:hAnsi="Times New Roman" w:cs="Times New Roman"/>
          <w:sz w:val="28"/>
          <w:szCs w:val="28"/>
        </w:rPr>
        <w:t>. </w:t>
      </w:r>
      <w:r>
        <w:fldChar w:fldCharType="begin"/>
      </w:r>
      <w:r>
        <w:instrText xml:space="preserve"> HYPERLINK "https://doi.org/10.1093%2Fjn%2F133.4.1174" </w:instrText>
      </w:r>
      <w:r>
        <w:fldChar w:fldCharType="separate"/>
      </w:r>
      <w:r>
        <w:rPr>
          <w:rStyle w:val="9"/>
          <w:rFonts w:ascii="Times New Roman" w:hAnsi="Times New Roman" w:cs="Times New Roman"/>
          <w:iCs/>
          <w:color w:val="auto"/>
          <w:sz w:val="28"/>
          <w:szCs w:val="28"/>
          <w:u w:val="none"/>
        </w:rPr>
        <w:t>"Neonatal Iron Deficiency Results in Irreversible Changes in Dopamine Function in Rats"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133</w:t>
      </w:r>
      <w:r>
        <w:rPr>
          <w:rStyle w:val="8"/>
          <w:rFonts w:ascii="Times New Roman" w:hAnsi="Times New Roman" w:cs="Times New Roman"/>
          <w:color w:val="202122"/>
          <w:sz w:val="28"/>
          <w:szCs w:val="28"/>
        </w:rPr>
        <w:t> (4): 1174–1179.</w:t>
      </w:r>
    </w:p>
    <w:p w14:paraId="6463F6AB">
      <w:pPr>
        <w:shd w:val="clear" w:color="auto" w:fill="FFFFFF"/>
        <w:spacing w:before="100" w:beforeAutospacing="1" w:after="24" w:line="480" w:lineRule="auto"/>
        <w:jc w:val="both"/>
        <w:rPr>
          <w:rFonts w:ascii="Times New Roman" w:hAnsi="Times New Roman" w:cs="Times New Roman"/>
          <w:color w:val="202122"/>
          <w:sz w:val="28"/>
          <w:szCs w:val="28"/>
        </w:rPr>
      </w:pPr>
    </w:p>
    <w:p w14:paraId="0F8D72DB">
      <w:pPr>
        <w:spacing w:line="480" w:lineRule="auto"/>
        <w:jc w:val="both"/>
        <w:rPr>
          <w:rFonts w:ascii="Times New Roman" w:hAnsi="Times New Roman" w:cs="Times New Roman"/>
          <w:sz w:val="28"/>
          <w:szCs w:val="28"/>
        </w:rPr>
        <w:sectPr>
          <w:headerReference r:id="rId7" w:type="default"/>
          <w:footerReference r:id="rId8" w:type="default"/>
          <w:pgSz w:w="12240" w:h="15840"/>
          <w:pgMar w:top="1440" w:right="1440" w:bottom="1440" w:left="1440" w:header="720" w:footer="720" w:gutter="0"/>
          <w:pgNumType w:fmt="decimal" w:start="1"/>
          <w:cols w:space="720" w:num="1"/>
          <w:docGrid w:linePitch="360" w:charSpace="0"/>
        </w:sectPr>
      </w:pPr>
    </w:p>
    <w:p w14:paraId="3C98A501">
      <w:pPr>
        <w:spacing w:line="480" w:lineRule="auto"/>
        <w:jc w:val="both"/>
        <w:rPr>
          <w:rFonts w:ascii="Times New Roman" w:hAnsi="Times New Roman" w:cs="Times New Roman"/>
          <w:sz w:val="28"/>
          <w:szCs w:val="28"/>
        </w:rPr>
      </w:pPr>
    </w:p>
    <w:p w14:paraId="51564B44">
      <w:pPr>
        <w:tabs>
          <w:tab w:val="left" w:pos="3435"/>
        </w:tabs>
        <w:jc w:val="both"/>
        <w:rPr>
          <w:rFonts w:ascii="Times New Roman" w:hAnsi="Times New Roman" w:cs="Times New Roman"/>
          <w:sz w:val="28"/>
          <w:szCs w:val="28"/>
        </w:rPr>
      </w:pPr>
      <w:bookmarkStart w:id="0" w:name="_GoBack"/>
      <w:bookmarkEnd w:id="0"/>
    </w:p>
    <w:sectPr>
      <w:footerReference r:id="rId9"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JensonPro-Regu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31A4">
    <w:pPr>
      <w:pStyle w:val="6"/>
      <w:jc w:val="center"/>
    </w:pPr>
    <w:r>
      <w:rPr>
        <w:sz w:val="22"/>
      </w:rPr>
      <w:pict>
        <v:shape id="_x0000_s4100" o:spid="_x0000_s410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E8FAD27">
                <w:pPr>
                  <w:pStyle w:val="6"/>
                </w:pPr>
                <w:r>
                  <w:fldChar w:fldCharType="begin"/>
                </w:r>
                <w:r>
                  <w:instrText xml:space="preserve"> PAGE  \* MERGEFORMAT </w:instrText>
                </w:r>
                <w:r>
                  <w:fldChar w:fldCharType="separate"/>
                </w:r>
                <w:r>
                  <w:t>1</w:t>
                </w:r>
                <w:r>
                  <w:fldChar w:fldCharType="end"/>
                </w:r>
              </w:p>
            </w:txbxContent>
          </v:textbox>
        </v:shape>
      </w:pict>
    </w:r>
  </w:p>
  <w:p w14:paraId="71BBEF0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1443">
    <w:pPr>
      <w:pStyle w:val="6"/>
      <w:jc w:val="center"/>
    </w:pPr>
    <w:r>
      <w:rPr>
        <w:sz w:val="22"/>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F14EC3D">
                <w:pPr>
                  <w:pStyle w:val="6"/>
                </w:pPr>
                <w:r>
                  <w:fldChar w:fldCharType="begin"/>
                </w:r>
                <w:r>
                  <w:instrText xml:space="preserve"> PAGE  \* MERGEFORMAT </w:instrText>
                </w:r>
                <w:r>
                  <w:fldChar w:fldCharType="separate"/>
                </w:r>
                <w:r>
                  <w:t>V</w:t>
                </w:r>
                <w:r>
                  <w:fldChar w:fldCharType="end"/>
                </w:r>
              </w:p>
            </w:txbxContent>
          </v:textbox>
        </v:shape>
      </w:pict>
    </w:r>
  </w:p>
  <w:p w14:paraId="36B6253A">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09A0">
    <w:pPr>
      <w:pStyle w:val="6"/>
      <w:jc w:val="both"/>
    </w:pPr>
  </w:p>
  <w:p w14:paraId="4B819431">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92289">
    <w:pPr>
      <w:pStyle w:val="7"/>
      <w:jc w:val="center"/>
    </w:pPr>
  </w:p>
  <w:p w14:paraId="11DC0B21">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688A">
    <w:pPr>
      <w:pStyle w:val="7"/>
      <w:jc w:val="center"/>
    </w:pPr>
  </w:p>
  <w:p w14:paraId="60CF4D9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27144"/>
    <w:multiLevelType w:val="multilevel"/>
    <w:tmpl w:val="0C927144"/>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6AF13E1"/>
    <w:multiLevelType w:val="multilevel"/>
    <w:tmpl w:val="36AF13E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B10815"/>
    <w:multiLevelType w:val="multilevel"/>
    <w:tmpl w:val="4BB10815"/>
    <w:lvl w:ilvl="0" w:tentative="0">
      <w:start w:val="9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A35A60"/>
    <w:multiLevelType w:val="multilevel"/>
    <w:tmpl w:val="66A35A6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4ED1825"/>
    <w:rsid w:val="074D008A"/>
    <w:rsid w:val="07F01A92"/>
    <w:rsid w:val="0910058F"/>
    <w:rsid w:val="0E045C9D"/>
    <w:rsid w:val="0FF65006"/>
    <w:rsid w:val="128D0644"/>
    <w:rsid w:val="17AA6A71"/>
    <w:rsid w:val="1B7627C1"/>
    <w:rsid w:val="1C9B70FD"/>
    <w:rsid w:val="22105FB5"/>
    <w:rsid w:val="24D14878"/>
    <w:rsid w:val="279C5F0C"/>
    <w:rsid w:val="287E64FF"/>
    <w:rsid w:val="2D9A4A11"/>
    <w:rsid w:val="2E7B72D6"/>
    <w:rsid w:val="2FDB4C6B"/>
    <w:rsid w:val="33540C46"/>
    <w:rsid w:val="34D634EA"/>
    <w:rsid w:val="37CE7E2C"/>
    <w:rsid w:val="3BA05455"/>
    <w:rsid w:val="3EDC6612"/>
    <w:rsid w:val="41511E05"/>
    <w:rsid w:val="45773005"/>
    <w:rsid w:val="47B1338E"/>
    <w:rsid w:val="4825267D"/>
    <w:rsid w:val="48DA5C15"/>
    <w:rsid w:val="4DC537A4"/>
    <w:rsid w:val="4F117D8D"/>
    <w:rsid w:val="50FA6AF3"/>
    <w:rsid w:val="525E4232"/>
    <w:rsid w:val="56B70EC3"/>
    <w:rsid w:val="59A9411B"/>
    <w:rsid w:val="5ACA3526"/>
    <w:rsid w:val="5CCF1F21"/>
    <w:rsid w:val="61DA7B4A"/>
    <w:rsid w:val="66A616A6"/>
    <w:rsid w:val="67E46C83"/>
    <w:rsid w:val="6A075683"/>
    <w:rsid w:val="6D995421"/>
    <w:rsid w:val="6DC8062D"/>
    <w:rsid w:val="70DE4037"/>
    <w:rsid w:val="74C16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qFormat/>
    <w:uiPriority w:val="99"/>
    <w:pPr>
      <w:spacing w:after="0" w:line="240" w:lineRule="auto"/>
    </w:pPr>
    <w:rPr>
      <w:rFonts w:ascii="Tahoma" w:hAnsi="Tahoma" w:cs="Tahoma"/>
      <w:sz w:val="16"/>
      <w:szCs w:val="16"/>
    </w:rPr>
  </w:style>
  <w:style w:type="paragraph" w:styleId="6">
    <w:name w:val="footer"/>
    <w:basedOn w:val="1"/>
    <w:link w:val="19"/>
    <w:unhideWhenUsed/>
    <w:qFormat/>
    <w:uiPriority w:val="99"/>
    <w:pPr>
      <w:tabs>
        <w:tab w:val="center" w:pos="4680"/>
        <w:tab w:val="right" w:pos="9360"/>
      </w:tabs>
      <w:spacing w:after="0" w:line="240" w:lineRule="auto"/>
    </w:pPr>
  </w:style>
  <w:style w:type="paragraph" w:styleId="7">
    <w:name w:val="header"/>
    <w:basedOn w:val="1"/>
    <w:link w:val="18"/>
    <w:unhideWhenUsed/>
    <w:qFormat/>
    <w:uiPriority w:val="99"/>
    <w:pPr>
      <w:tabs>
        <w:tab w:val="center" w:pos="4680"/>
        <w:tab w:val="right" w:pos="9360"/>
      </w:tabs>
      <w:spacing w:after="0" w:line="240" w:lineRule="auto"/>
    </w:pPr>
  </w:style>
  <w:style w:type="character" w:styleId="8">
    <w:name w:val="HTML Cite"/>
    <w:basedOn w:val="3"/>
    <w:semiHidden/>
    <w:unhideWhenUsed/>
    <w:qFormat/>
    <w:uiPriority w:val="99"/>
    <w:rPr>
      <w:i/>
      <w:iCs/>
    </w:rPr>
  </w:style>
  <w:style w:type="character" w:styleId="9">
    <w:name w:val="Hyperlink"/>
    <w:basedOn w:val="3"/>
    <w:semiHidden/>
    <w:unhideWhenUsed/>
    <w:qFormat/>
    <w:uiPriority w:val="99"/>
    <w:rPr>
      <w:color w:val="0000FF"/>
      <w:u w:val="single"/>
    </w:rPr>
  </w:style>
  <w:style w:type="paragraph" w:styleId="10">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4"/>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Balloon Text Char"/>
    <w:basedOn w:val="3"/>
    <w:link w:val="5"/>
    <w:semiHidden/>
    <w:qFormat/>
    <w:uiPriority w:val="99"/>
    <w:rPr>
      <w:rFonts w:ascii="Tahoma" w:hAnsi="Tahoma" w:cs="Tahoma"/>
      <w:sz w:val="16"/>
      <w:szCs w:val="16"/>
    </w:rPr>
  </w:style>
  <w:style w:type="character" w:customStyle="1" w:styleId="14">
    <w:name w:val="chemf"/>
    <w:basedOn w:val="3"/>
    <w:qFormat/>
    <w:uiPriority w:val="0"/>
  </w:style>
  <w:style w:type="character" w:customStyle="1" w:styleId="15">
    <w:name w:val="mwe-math-mathml-inline"/>
    <w:basedOn w:val="3"/>
    <w:qFormat/>
    <w:uiPriority w:val="0"/>
  </w:style>
  <w:style w:type="character" w:customStyle="1" w:styleId="16">
    <w:name w:val="Heading 3 Char"/>
    <w:basedOn w:val="3"/>
    <w:link w:val="2"/>
    <w:qFormat/>
    <w:uiPriority w:val="9"/>
    <w:rPr>
      <w:rFonts w:ascii="Times New Roman" w:hAnsi="Times New Roman" w:eastAsia="Times New Roman" w:cs="Times New Roman"/>
      <w:b/>
      <w:bCs/>
      <w:sz w:val="27"/>
      <w:szCs w:val="27"/>
    </w:rPr>
  </w:style>
  <w:style w:type="character" w:customStyle="1" w:styleId="17">
    <w:name w:val="mw-headline"/>
    <w:basedOn w:val="3"/>
    <w:qFormat/>
    <w:uiPriority w:val="0"/>
  </w:style>
  <w:style w:type="character" w:customStyle="1" w:styleId="18">
    <w:name w:val="Header Char"/>
    <w:basedOn w:val="3"/>
    <w:link w:val="7"/>
    <w:qFormat/>
    <w:uiPriority w:val="99"/>
  </w:style>
  <w:style w:type="character" w:customStyle="1" w:styleId="19">
    <w:name w:val="Footer Char"/>
    <w:basedOn w:val="3"/>
    <w:link w:val="6"/>
    <w:qFormat/>
    <w:uiPriority w:val="99"/>
  </w:style>
  <w:style w:type="character" w:customStyle="1" w:styleId="20">
    <w:name w:val="mw-cite-backlink"/>
    <w:basedOn w:val="3"/>
    <w:qFormat/>
    <w:uiPriority w:val="0"/>
  </w:style>
  <w:style w:type="character" w:customStyle="1" w:styleId="21">
    <w:name w:val="reference-accessdate"/>
    <w:basedOn w:val="3"/>
    <w:qFormat/>
    <w:uiPriority w:val="0"/>
  </w:style>
  <w:style w:type="character" w:customStyle="1" w:styleId="22">
    <w:name w:val="nowrap"/>
    <w:basedOn w:val="3"/>
    <w:qFormat/>
    <w:uiPriority w:val="0"/>
  </w:style>
  <w:style w:type="character" w:customStyle="1" w:styleId="23">
    <w:name w:val="reference-text"/>
    <w:basedOn w:val="3"/>
    <w:qFormat/>
    <w:uiPriority w:val="0"/>
  </w:style>
  <w:style w:type="paragraph" w:customStyle="1" w:styleId="24">
    <w:name w:val="normal"/>
    <w:qFormat/>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8100</Words>
  <Characters>46175</Characters>
  <Lines>384</Lines>
  <Paragraphs>108</Paragraphs>
  <TotalTime>3</TotalTime>
  <ScaleCrop>false</ScaleCrop>
  <LinksUpToDate>false</LinksUpToDate>
  <CharactersWithSpaces>54167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2024-06-16T11:29:00Z</dcterms:created>
  <dc:creator>OGUNYEMI PC</dc:creator>
  <cp:lastModifiedBy>HP</cp:lastModifiedBy>
  <cp:lastPrinted>2025-08-11T11:23:00Z</cp:lastPrinted>
  <dcterms:modified xsi:type="dcterms:W3CDTF">2025-08-22T10:39:31Z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A927467C8B73404DAE486AAA5D90F71D_12</vt:lpwstr>
  </property>
</Properties>
</file>