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8114B" w14:textId="77777777" w:rsidR="001E4C72" w:rsidRDefault="001E4C72" w:rsidP="001E4C7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44EC4CA1" w14:textId="77777777" w:rsidR="001E4C72" w:rsidRDefault="001E4C72" w:rsidP="001E4C72">
      <w:pPr>
        <w:spacing w:after="0" w:line="360" w:lineRule="auto"/>
        <w:jc w:val="center"/>
        <w:rPr>
          <w:rFonts w:ascii="Times New Roman" w:hAnsi="Times New Roman" w:cs="Times New Roman"/>
          <w:b/>
          <w:sz w:val="28"/>
          <w:szCs w:val="28"/>
        </w:rPr>
      </w:pPr>
    </w:p>
    <w:p w14:paraId="384482EC" w14:textId="77777777" w:rsidR="001E4C72" w:rsidRDefault="001E4C72" w:rsidP="001E4C72">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75F67AF" w14:textId="77777777" w:rsidR="001E4C72" w:rsidRDefault="001E4C72" w:rsidP="001E4C72">
      <w:pPr>
        <w:spacing w:line="240" w:lineRule="auto"/>
        <w:rPr>
          <w:rFonts w:ascii="Arial Black" w:hAnsi="Arial Black" w:cs="Times New Roman"/>
          <w:sz w:val="28"/>
          <w:szCs w:val="28"/>
        </w:rPr>
      </w:pPr>
    </w:p>
    <w:p w14:paraId="62197725" w14:textId="77777777" w:rsidR="001E4C72" w:rsidRPr="008A3A9A" w:rsidRDefault="001E4C72" w:rsidP="001E4C72">
      <w:pPr>
        <w:spacing w:line="240" w:lineRule="auto"/>
        <w:jc w:val="center"/>
        <w:rPr>
          <w:rFonts w:ascii="Times New Roman" w:hAnsi="Times New Roman" w:cs="Times New Roman"/>
          <w:b/>
          <w:sz w:val="32"/>
          <w:szCs w:val="28"/>
        </w:rPr>
      </w:pPr>
      <w:r>
        <w:rPr>
          <w:rFonts w:ascii="Times New Roman" w:hAnsi="Times New Roman" w:cs="Times New Roman"/>
          <w:b/>
          <w:sz w:val="32"/>
          <w:szCs w:val="28"/>
        </w:rPr>
        <w:t>AFOLABI NAFISAT ATINUKE</w:t>
      </w:r>
    </w:p>
    <w:p w14:paraId="05FCA6BA" w14:textId="77777777" w:rsidR="001E4C72" w:rsidRPr="008A3A9A" w:rsidRDefault="001E4C72" w:rsidP="001E4C72">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Pr>
          <w:rFonts w:ascii="Times New Roman" w:hAnsi="Times New Roman" w:cs="Times New Roman"/>
          <w:b/>
          <w:sz w:val="32"/>
          <w:szCs w:val="28"/>
        </w:rPr>
        <w:t>679</w:t>
      </w:r>
    </w:p>
    <w:p w14:paraId="4894F0B5" w14:textId="77777777" w:rsidR="001E4C72" w:rsidRDefault="001E4C72" w:rsidP="001E4C72">
      <w:pPr>
        <w:spacing w:after="0" w:line="360" w:lineRule="auto"/>
        <w:rPr>
          <w:rFonts w:ascii="Arial Black" w:hAnsi="Arial Black" w:cs="Times New Roman"/>
          <w:sz w:val="28"/>
          <w:szCs w:val="28"/>
        </w:rPr>
      </w:pPr>
    </w:p>
    <w:p w14:paraId="14E32001" w14:textId="77777777" w:rsidR="001E4C72" w:rsidRDefault="001E4C72" w:rsidP="001E4C7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84F8E71" w14:textId="77777777" w:rsidR="001E4C72" w:rsidRDefault="001E4C72" w:rsidP="001E4C7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F187B36" w14:textId="77777777" w:rsidR="001E4C72" w:rsidRDefault="001E4C72" w:rsidP="001E4C7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w:t>
      </w:r>
      <w:bookmarkStart w:id="0" w:name="_GoBack"/>
      <w:bookmarkEnd w:id="0"/>
      <w:r>
        <w:rPr>
          <w:rFonts w:ascii="Times New Roman" w:hAnsi="Times New Roman" w:cs="Times New Roman"/>
          <w:b/>
          <w:sz w:val="28"/>
          <w:szCs w:val="28"/>
        </w:rPr>
        <w:t>Y (SLT), MICROBIOLOGY UNIT</w:t>
      </w:r>
    </w:p>
    <w:p w14:paraId="793BB19D" w14:textId="77777777" w:rsidR="001E4C72" w:rsidRDefault="001E4C72" w:rsidP="001E4C72">
      <w:pPr>
        <w:spacing w:after="0" w:line="360" w:lineRule="auto"/>
        <w:rPr>
          <w:rFonts w:ascii="Times New Roman" w:hAnsi="Times New Roman" w:cs="Times New Roman"/>
          <w:b/>
          <w:bCs/>
          <w:sz w:val="28"/>
          <w:szCs w:val="28"/>
        </w:rPr>
      </w:pPr>
    </w:p>
    <w:p w14:paraId="0219BC90" w14:textId="77777777" w:rsidR="001E4C72" w:rsidRDefault="001E4C72" w:rsidP="001E4C72">
      <w:pPr>
        <w:spacing w:after="0" w:line="360" w:lineRule="auto"/>
        <w:jc w:val="right"/>
        <w:rPr>
          <w:rFonts w:ascii="Times New Roman" w:hAnsi="Times New Roman" w:cs="Times New Roman"/>
          <w:b/>
          <w:bCs/>
          <w:sz w:val="28"/>
          <w:szCs w:val="28"/>
        </w:rPr>
      </w:pPr>
    </w:p>
    <w:p w14:paraId="3063A2C6" w14:textId="77777777" w:rsidR="001E4C72" w:rsidRDefault="001E4C72" w:rsidP="001E4C72">
      <w:pPr>
        <w:spacing w:after="0" w:line="360" w:lineRule="auto"/>
        <w:jc w:val="right"/>
        <w:rPr>
          <w:rFonts w:ascii="Times New Roman" w:hAnsi="Times New Roman" w:cs="Times New Roman"/>
          <w:b/>
          <w:bCs/>
          <w:sz w:val="28"/>
          <w:szCs w:val="28"/>
        </w:rPr>
      </w:pPr>
    </w:p>
    <w:p w14:paraId="79686430" w14:textId="77777777" w:rsidR="001E4C72" w:rsidRDefault="001E4C72" w:rsidP="001E4C72">
      <w:pPr>
        <w:spacing w:after="0" w:line="360" w:lineRule="auto"/>
        <w:jc w:val="right"/>
        <w:rPr>
          <w:rFonts w:ascii="Times New Roman" w:hAnsi="Times New Roman" w:cs="Times New Roman"/>
          <w:b/>
          <w:bCs/>
          <w:sz w:val="28"/>
          <w:szCs w:val="28"/>
        </w:rPr>
      </w:pPr>
    </w:p>
    <w:p w14:paraId="34D8899D" w14:textId="77777777" w:rsidR="001E4C72" w:rsidRDefault="001E4C72" w:rsidP="001E4C72">
      <w:pPr>
        <w:spacing w:after="0" w:line="360" w:lineRule="auto"/>
        <w:jc w:val="right"/>
        <w:rPr>
          <w:rFonts w:ascii="Times New Roman" w:hAnsi="Times New Roman" w:cs="Times New Roman"/>
          <w:b/>
          <w:bCs/>
          <w:sz w:val="28"/>
          <w:szCs w:val="28"/>
        </w:rPr>
      </w:pPr>
    </w:p>
    <w:p w14:paraId="72240F65" w14:textId="77777777" w:rsidR="001E4C72" w:rsidRDefault="001E4C72" w:rsidP="001E4C72">
      <w:pPr>
        <w:spacing w:after="0" w:line="360" w:lineRule="auto"/>
        <w:rPr>
          <w:rFonts w:ascii="Times New Roman" w:hAnsi="Times New Roman" w:cs="Times New Roman"/>
          <w:b/>
          <w:bCs/>
          <w:sz w:val="28"/>
          <w:szCs w:val="28"/>
        </w:rPr>
      </w:pPr>
    </w:p>
    <w:p w14:paraId="6C6F7AD8" w14:textId="77777777" w:rsidR="001E4C72" w:rsidRDefault="001E4C72" w:rsidP="001E4C72">
      <w:pPr>
        <w:spacing w:after="0" w:line="360" w:lineRule="auto"/>
        <w:jc w:val="right"/>
        <w:rPr>
          <w:rFonts w:ascii="Times New Roman" w:hAnsi="Times New Roman" w:cs="Times New Roman"/>
          <w:b/>
          <w:bCs/>
          <w:sz w:val="28"/>
          <w:szCs w:val="28"/>
        </w:rPr>
      </w:pPr>
    </w:p>
    <w:p w14:paraId="0BC8928E" w14:textId="77777777" w:rsidR="001E4C72" w:rsidRDefault="001E4C72" w:rsidP="001E4C72">
      <w:pPr>
        <w:spacing w:after="0" w:line="360" w:lineRule="auto"/>
        <w:jc w:val="right"/>
        <w:rPr>
          <w:rFonts w:ascii="Times New Roman" w:hAnsi="Times New Roman" w:cs="Times New Roman"/>
          <w:b/>
          <w:bCs/>
          <w:sz w:val="28"/>
          <w:szCs w:val="28"/>
        </w:rPr>
      </w:pPr>
    </w:p>
    <w:p w14:paraId="28AAFC39" w14:textId="77777777" w:rsidR="001E4C72" w:rsidRDefault="001E4C72" w:rsidP="001E4C72">
      <w:pPr>
        <w:spacing w:after="0" w:line="360" w:lineRule="auto"/>
        <w:jc w:val="right"/>
        <w:rPr>
          <w:rFonts w:ascii="Times New Roman" w:hAnsi="Times New Roman" w:cs="Times New Roman"/>
          <w:b/>
          <w:bCs/>
          <w:sz w:val="28"/>
          <w:szCs w:val="28"/>
        </w:rPr>
      </w:pPr>
    </w:p>
    <w:p w14:paraId="429AD7BF" w14:textId="77777777" w:rsidR="001E4C72" w:rsidRDefault="001E4C72" w:rsidP="001E4C72">
      <w:pPr>
        <w:spacing w:after="0" w:line="360" w:lineRule="auto"/>
        <w:jc w:val="right"/>
        <w:rPr>
          <w:rFonts w:ascii="Times New Roman" w:hAnsi="Times New Roman" w:cs="Times New Roman"/>
          <w:b/>
          <w:bCs/>
          <w:sz w:val="28"/>
          <w:szCs w:val="28"/>
        </w:rPr>
      </w:pPr>
    </w:p>
    <w:p w14:paraId="49538756" w14:textId="77777777" w:rsidR="001E4C72" w:rsidRDefault="001E4C72" w:rsidP="001E4C7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247BDCFD" w14:textId="77777777" w:rsidR="001E4C72" w:rsidRDefault="001E4C72" w:rsidP="001E4C72">
      <w:pPr>
        <w:spacing w:after="0" w:line="240" w:lineRule="auto"/>
        <w:jc w:val="center"/>
        <w:rPr>
          <w:rFonts w:ascii="Times New Roman" w:hAnsi="Times New Roman" w:cs="Times New Roman"/>
          <w:noProof/>
          <w:sz w:val="28"/>
          <w:szCs w:val="28"/>
        </w:rPr>
      </w:pPr>
    </w:p>
    <w:p w14:paraId="1241F661" w14:textId="77777777" w:rsidR="001E4C72" w:rsidRDefault="001E4C72" w:rsidP="001E4C72">
      <w:pPr>
        <w:spacing w:after="0" w:line="240" w:lineRule="auto"/>
        <w:jc w:val="center"/>
        <w:rPr>
          <w:rFonts w:ascii="Times New Roman" w:hAnsi="Times New Roman" w:cs="Times New Roman"/>
          <w:b/>
          <w:noProof/>
          <w:sz w:val="28"/>
          <w:szCs w:val="28"/>
        </w:rPr>
      </w:pPr>
    </w:p>
    <w:p w14:paraId="0795AAE7" w14:textId="77777777" w:rsidR="001E4C72" w:rsidRDefault="001E4C72" w:rsidP="001E4C72">
      <w:pPr>
        <w:spacing w:after="0" w:line="240" w:lineRule="auto"/>
        <w:jc w:val="center"/>
        <w:rPr>
          <w:rFonts w:ascii="Times New Roman" w:hAnsi="Times New Roman" w:cs="Times New Roman"/>
          <w:b/>
          <w:noProof/>
          <w:sz w:val="28"/>
          <w:szCs w:val="28"/>
        </w:rPr>
      </w:pPr>
    </w:p>
    <w:p w14:paraId="13CA1439" w14:textId="77777777" w:rsidR="001E4C72" w:rsidRDefault="001E4C72" w:rsidP="001E4C72">
      <w:pPr>
        <w:spacing w:after="0" w:line="240" w:lineRule="auto"/>
        <w:jc w:val="center"/>
        <w:rPr>
          <w:rFonts w:ascii="Times New Roman" w:hAnsi="Times New Roman" w:cs="Times New Roman"/>
          <w:b/>
          <w:noProof/>
          <w:sz w:val="28"/>
          <w:szCs w:val="28"/>
        </w:rPr>
      </w:pPr>
    </w:p>
    <w:p w14:paraId="6D5A833E" w14:textId="3885DB0B" w:rsidR="001E4C72" w:rsidRDefault="001E4C72" w:rsidP="001E4C72">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37BEA892" wp14:editId="023112E3">
            <wp:simplePos x="0" y="0"/>
            <wp:positionH relativeFrom="column">
              <wp:posOffset>-447675</wp:posOffset>
            </wp:positionH>
            <wp:positionV relativeFrom="paragraph">
              <wp:posOffset>224790</wp:posOffset>
            </wp:positionV>
            <wp:extent cx="6739255" cy="6537325"/>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9 cert.jpg"/>
                    <pic:cNvPicPr/>
                  </pic:nvPicPr>
                  <pic:blipFill rotWithShape="1">
                    <a:blip r:embed="rId8">
                      <a:extLst>
                        <a:ext uri="{28A0092B-C50C-407E-A947-70E740481C1C}">
                          <a14:useLocalDpi xmlns:a14="http://schemas.microsoft.com/office/drawing/2010/main" val="0"/>
                        </a:ext>
                      </a:extLst>
                    </a:blip>
                    <a:srcRect t="6763" b="17283"/>
                    <a:stretch/>
                  </pic:blipFill>
                  <pic:spPr bwMode="auto">
                    <a:xfrm>
                      <a:off x="0" y="0"/>
                      <a:ext cx="6739255" cy="6537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9C81A" w14:textId="794072ED" w:rsidR="001E4C72" w:rsidRDefault="001E4C72" w:rsidP="001E4C72">
      <w:pPr>
        <w:spacing w:line="480" w:lineRule="auto"/>
        <w:rPr>
          <w:rFonts w:ascii="Times New Roman" w:hAnsi="Times New Roman" w:cs="Times New Roman"/>
          <w:b/>
          <w:bCs/>
          <w:sz w:val="28"/>
          <w:szCs w:val="28"/>
        </w:rPr>
      </w:pPr>
    </w:p>
    <w:p w14:paraId="292E5A8C" w14:textId="4A986D28" w:rsidR="001E4C72" w:rsidRDefault="001E4C72" w:rsidP="001E4C72">
      <w:pPr>
        <w:spacing w:line="480" w:lineRule="auto"/>
        <w:rPr>
          <w:rFonts w:ascii="Times New Roman" w:hAnsi="Times New Roman" w:cs="Times New Roman"/>
          <w:b/>
          <w:bCs/>
          <w:sz w:val="28"/>
          <w:szCs w:val="28"/>
        </w:rPr>
      </w:pPr>
    </w:p>
    <w:p w14:paraId="4DBCECF5" w14:textId="4262D0BB" w:rsidR="001E4C72" w:rsidRDefault="001E4C72" w:rsidP="001E4C72">
      <w:pPr>
        <w:spacing w:line="480" w:lineRule="auto"/>
        <w:jc w:val="center"/>
        <w:rPr>
          <w:rFonts w:ascii="Times New Roman" w:hAnsi="Times New Roman" w:cs="Times New Roman"/>
          <w:b/>
          <w:bCs/>
          <w:sz w:val="28"/>
          <w:szCs w:val="28"/>
        </w:rPr>
      </w:pPr>
    </w:p>
    <w:p w14:paraId="63DB5263" w14:textId="77777777" w:rsidR="001E4C72" w:rsidRDefault="001E4C72" w:rsidP="001E4C72">
      <w:pPr>
        <w:spacing w:line="480" w:lineRule="auto"/>
        <w:jc w:val="center"/>
        <w:rPr>
          <w:rFonts w:ascii="Times New Roman" w:hAnsi="Times New Roman" w:cs="Times New Roman"/>
          <w:b/>
          <w:bCs/>
          <w:sz w:val="28"/>
          <w:szCs w:val="28"/>
        </w:rPr>
      </w:pPr>
    </w:p>
    <w:p w14:paraId="6FF48291" w14:textId="77777777" w:rsidR="001E4C72" w:rsidRDefault="001E4C72" w:rsidP="001E4C72">
      <w:pPr>
        <w:spacing w:line="480" w:lineRule="auto"/>
        <w:jc w:val="center"/>
        <w:rPr>
          <w:rFonts w:ascii="Times New Roman" w:hAnsi="Times New Roman" w:cs="Times New Roman"/>
          <w:b/>
          <w:bCs/>
          <w:sz w:val="28"/>
          <w:szCs w:val="28"/>
        </w:rPr>
      </w:pPr>
    </w:p>
    <w:p w14:paraId="7254832D" w14:textId="77777777" w:rsidR="001E4C72" w:rsidRDefault="001E4C72" w:rsidP="001E4C7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2F3938C7" w14:textId="77777777" w:rsidR="001E4C72" w:rsidRPr="004B26CA" w:rsidRDefault="001E4C72" w:rsidP="001E4C72">
      <w:pPr>
        <w:spacing w:line="480" w:lineRule="auto"/>
        <w:jc w:val="both"/>
        <w:rPr>
          <w:rFonts w:ascii="Times New Roman" w:hAnsi="Times New Roman" w:cs="Times New Roman"/>
          <w:bCs/>
          <w:sz w:val="28"/>
          <w:szCs w:val="28"/>
        </w:rPr>
      </w:pPr>
      <w:r w:rsidRPr="004B26CA">
        <w:rPr>
          <w:rFonts w:ascii="Times New Roman" w:hAnsi="Times New Roman" w:cs="Times New Roman"/>
          <w:bCs/>
          <w:sz w:val="28"/>
          <w:szCs w:val="28"/>
        </w:rPr>
        <w:t>I dedicate this work to my families, mentors, and friends, whose unwavering support, encouragement, and understanding have been my source of strength throughout the course of this research. Their sacrifices and belief in my potential have been instrumental in my success. This project is a reflection of their continuous prayers, guidance and love.</w:t>
      </w:r>
    </w:p>
    <w:p w14:paraId="414405A1" w14:textId="77777777" w:rsidR="001E4C72" w:rsidRDefault="001E4C72" w:rsidP="001E4C72">
      <w:pPr>
        <w:jc w:val="both"/>
        <w:rPr>
          <w:rFonts w:ascii="Times New Roman" w:hAnsi="Times New Roman" w:cs="Times New Roman"/>
          <w:b/>
          <w:bCs/>
          <w:sz w:val="28"/>
          <w:szCs w:val="28"/>
        </w:rPr>
      </w:pPr>
    </w:p>
    <w:p w14:paraId="6998DB6F" w14:textId="77777777" w:rsidR="001E4C72" w:rsidRDefault="001E4C72" w:rsidP="001E4C72">
      <w:pPr>
        <w:jc w:val="both"/>
        <w:rPr>
          <w:rFonts w:ascii="Times New Roman" w:hAnsi="Times New Roman" w:cs="Times New Roman"/>
          <w:b/>
          <w:bCs/>
          <w:sz w:val="28"/>
          <w:szCs w:val="28"/>
        </w:rPr>
      </w:pPr>
    </w:p>
    <w:p w14:paraId="28272B62" w14:textId="77777777" w:rsidR="001E4C72" w:rsidRDefault="001E4C72" w:rsidP="001E4C72">
      <w:pPr>
        <w:jc w:val="both"/>
        <w:rPr>
          <w:rFonts w:ascii="Times New Roman" w:hAnsi="Times New Roman" w:cs="Times New Roman"/>
          <w:b/>
          <w:bCs/>
          <w:sz w:val="28"/>
          <w:szCs w:val="28"/>
        </w:rPr>
      </w:pPr>
    </w:p>
    <w:p w14:paraId="01B82453" w14:textId="77777777" w:rsidR="001E4C72" w:rsidRDefault="001E4C72" w:rsidP="001E4C72">
      <w:pPr>
        <w:jc w:val="both"/>
        <w:rPr>
          <w:rFonts w:ascii="Times New Roman" w:hAnsi="Times New Roman" w:cs="Times New Roman"/>
          <w:b/>
          <w:bCs/>
          <w:sz w:val="28"/>
          <w:szCs w:val="28"/>
        </w:rPr>
      </w:pPr>
    </w:p>
    <w:p w14:paraId="10562FD7" w14:textId="77777777" w:rsidR="001E4C72" w:rsidRDefault="001E4C72" w:rsidP="001E4C72">
      <w:pPr>
        <w:jc w:val="both"/>
        <w:rPr>
          <w:rFonts w:ascii="Times New Roman" w:hAnsi="Times New Roman" w:cs="Times New Roman"/>
          <w:b/>
          <w:bCs/>
          <w:sz w:val="28"/>
          <w:szCs w:val="28"/>
        </w:rPr>
      </w:pPr>
    </w:p>
    <w:p w14:paraId="5575FA9D" w14:textId="77777777" w:rsidR="001E4C72" w:rsidRDefault="001E4C72" w:rsidP="001E4C72">
      <w:pPr>
        <w:jc w:val="both"/>
        <w:rPr>
          <w:rFonts w:ascii="Times New Roman" w:hAnsi="Times New Roman" w:cs="Times New Roman"/>
          <w:b/>
          <w:bCs/>
          <w:sz w:val="28"/>
          <w:szCs w:val="28"/>
        </w:rPr>
      </w:pPr>
    </w:p>
    <w:p w14:paraId="2A1C29A9" w14:textId="77777777" w:rsidR="001E4C72" w:rsidRDefault="001E4C72" w:rsidP="001E4C72">
      <w:pPr>
        <w:jc w:val="both"/>
        <w:rPr>
          <w:rFonts w:ascii="Times New Roman" w:hAnsi="Times New Roman" w:cs="Times New Roman"/>
          <w:b/>
          <w:bCs/>
          <w:sz w:val="28"/>
          <w:szCs w:val="28"/>
        </w:rPr>
      </w:pPr>
    </w:p>
    <w:p w14:paraId="1576FCF5" w14:textId="77777777" w:rsidR="001E4C72" w:rsidRDefault="001E4C72" w:rsidP="001E4C72">
      <w:pPr>
        <w:jc w:val="both"/>
        <w:rPr>
          <w:rFonts w:ascii="Times New Roman" w:hAnsi="Times New Roman" w:cs="Times New Roman"/>
          <w:b/>
          <w:bCs/>
          <w:sz w:val="28"/>
          <w:szCs w:val="28"/>
        </w:rPr>
      </w:pPr>
    </w:p>
    <w:p w14:paraId="10D2FE33" w14:textId="77777777" w:rsidR="001E4C72" w:rsidRDefault="001E4C72" w:rsidP="001E4C72">
      <w:pPr>
        <w:jc w:val="both"/>
        <w:rPr>
          <w:rFonts w:ascii="Times New Roman" w:hAnsi="Times New Roman" w:cs="Times New Roman"/>
          <w:b/>
          <w:bCs/>
          <w:sz w:val="28"/>
          <w:szCs w:val="28"/>
        </w:rPr>
      </w:pPr>
    </w:p>
    <w:p w14:paraId="096EB10A" w14:textId="77777777" w:rsidR="001E4C72" w:rsidRDefault="001E4C72" w:rsidP="001E4C72">
      <w:pPr>
        <w:jc w:val="both"/>
        <w:rPr>
          <w:rFonts w:ascii="Times New Roman" w:hAnsi="Times New Roman" w:cs="Times New Roman"/>
          <w:b/>
          <w:bCs/>
          <w:sz w:val="28"/>
          <w:szCs w:val="28"/>
        </w:rPr>
      </w:pPr>
    </w:p>
    <w:p w14:paraId="768A7D2F" w14:textId="77777777" w:rsidR="001E4C72" w:rsidRDefault="001E4C72" w:rsidP="001E4C72">
      <w:pPr>
        <w:jc w:val="both"/>
        <w:rPr>
          <w:rFonts w:ascii="Times New Roman" w:hAnsi="Times New Roman" w:cs="Times New Roman"/>
          <w:b/>
          <w:bCs/>
          <w:sz w:val="28"/>
          <w:szCs w:val="28"/>
        </w:rPr>
      </w:pPr>
    </w:p>
    <w:p w14:paraId="39F168E3" w14:textId="77777777" w:rsidR="001E4C72" w:rsidRDefault="001E4C72" w:rsidP="001E4C72">
      <w:pPr>
        <w:jc w:val="both"/>
        <w:rPr>
          <w:rFonts w:ascii="Times New Roman" w:hAnsi="Times New Roman" w:cs="Times New Roman"/>
          <w:b/>
          <w:bCs/>
          <w:sz w:val="28"/>
          <w:szCs w:val="28"/>
        </w:rPr>
      </w:pPr>
    </w:p>
    <w:p w14:paraId="7D51AD32" w14:textId="77777777" w:rsidR="001E4C72" w:rsidRDefault="001E4C72" w:rsidP="001E4C72">
      <w:pPr>
        <w:jc w:val="both"/>
        <w:rPr>
          <w:rFonts w:ascii="Times New Roman" w:hAnsi="Times New Roman" w:cs="Times New Roman"/>
          <w:b/>
          <w:bCs/>
          <w:sz w:val="28"/>
          <w:szCs w:val="28"/>
        </w:rPr>
      </w:pPr>
    </w:p>
    <w:p w14:paraId="416E441C" w14:textId="77777777" w:rsidR="001E4C72" w:rsidRDefault="001E4C72" w:rsidP="001E4C72">
      <w:pPr>
        <w:jc w:val="both"/>
        <w:rPr>
          <w:rFonts w:ascii="Times New Roman" w:hAnsi="Times New Roman" w:cs="Times New Roman"/>
          <w:b/>
          <w:bCs/>
          <w:sz w:val="28"/>
          <w:szCs w:val="28"/>
        </w:rPr>
      </w:pPr>
    </w:p>
    <w:p w14:paraId="3E37C40F" w14:textId="77777777" w:rsidR="001E4C72" w:rsidRDefault="001E4C72" w:rsidP="001E4C72">
      <w:pPr>
        <w:jc w:val="both"/>
        <w:rPr>
          <w:rFonts w:ascii="Times New Roman" w:hAnsi="Times New Roman" w:cs="Times New Roman"/>
          <w:b/>
          <w:bCs/>
          <w:sz w:val="28"/>
          <w:szCs w:val="28"/>
        </w:rPr>
      </w:pPr>
    </w:p>
    <w:p w14:paraId="2FAE326F" w14:textId="77777777" w:rsidR="001E4C72" w:rsidRDefault="001E4C72" w:rsidP="001E4C72">
      <w:pPr>
        <w:jc w:val="center"/>
        <w:rPr>
          <w:rFonts w:ascii="Times New Roman" w:hAnsi="Times New Roman" w:cs="Times New Roman"/>
          <w:b/>
          <w:bCs/>
          <w:sz w:val="28"/>
          <w:szCs w:val="28"/>
        </w:rPr>
      </w:pPr>
    </w:p>
    <w:p w14:paraId="48D186FF" w14:textId="77777777" w:rsidR="001E4C72" w:rsidRDefault="001E4C72" w:rsidP="001E4C72">
      <w:pPr>
        <w:jc w:val="center"/>
        <w:rPr>
          <w:rFonts w:ascii="Times New Roman" w:hAnsi="Times New Roman" w:cs="Times New Roman"/>
          <w:b/>
          <w:bCs/>
          <w:sz w:val="28"/>
          <w:szCs w:val="28"/>
        </w:rPr>
      </w:pPr>
    </w:p>
    <w:p w14:paraId="7C693DC6" w14:textId="77777777" w:rsidR="001E4C72" w:rsidRDefault="001E4C72" w:rsidP="001E4C7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C73DC53" w14:textId="77777777" w:rsidR="001E4C72" w:rsidRPr="004B26CA" w:rsidRDefault="001E4C72" w:rsidP="001E4C72">
      <w:pPr>
        <w:spacing w:line="480" w:lineRule="auto"/>
        <w:jc w:val="both"/>
        <w:rPr>
          <w:rFonts w:ascii="Times New Roman" w:hAnsi="Times New Roman" w:cs="Times New Roman"/>
          <w:bCs/>
          <w:sz w:val="28"/>
          <w:szCs w:val="28"/>
        </w:rPr>
      </w:pPr>
      <w:r w:rsidRPr="004B26CA">
        <w:rPr>
          <w:rFonts w:ascii="Times New Roman" w:hAnsi="Times New Roman" w:cs="Times New Roman"/>
          <w:bCs/>
          <w:sz w:val="28"/>
          <w:szCs w:val="28"/>
        </w:rPr>
        <w:t>I wish to express my profound gratitude to Almighty God for granting me the wisdom, knowledge, and perseverance needed to complete this work. I’m deeply indebted to my supervisor, [MR, OLARONGBE G.O], whose invaluable guidance, encouragement, and constructive criticisms greatly enhanced the quality of this project. My sincere appreciation goes to the academic and non-academic staff of [Science Laboratory Technology], [Institute of Applied Sciences], [</w:t>
      </w:r>
      <w:proofErr w:type="spellStart"/>
      <w:r w:rsidRPr="004B26CA">
        <w:rPr>
          <w:rFonts w:ascii="Times New Roman" w:hAnsi="Times New Roman" w:cs="Times New Roman"/>
          <w:bCs/>
          <w:sz w:val="28"/>
          <w:szCs w:val="28"/>
        </w:rPr>
        <w:t>Kwara</w:t>
      </w:r>
      <w:proofErr w:type="spellEnd"/>
      <w:r w:rsidRPr="004B26CA">
        <w:rPr>
          <w:rFonts w:ascii="Times New Roman" w:hAnsi="Times New Roman" w:cs="Times New Roman"/>
          <w:bCs/>
          <w:sz w:val="28"/>
          <w:szCs w:val="28"/>
        </w:rPr>
        <w:t xml:space="preserve"> State Polytechnic], for their support and contributions toward my academic journey. I’m also grateful to all authors and researchers whose works provided a strong foundation for this study. To my colleagues, friends, and families, your constant motivation and assistance throughout this project are deeply appreciated. Finally, I recognize the spirit of teamwork, dedication, and hard work among all group members, without which this achievement would not have been possible.</w:t>
      </w:r>
    </w:p>
    <w:p w14:paraId="33D83EAF" w14:textId="77777777" w:rsidR="001E4C72" w:rsidRDefault="001E4C72" w:rsidP="001E4C72">
      <w:pPr>
        <w:spacing w:line="480" w:lineRule="auto"/>
        <w:jc w:val="both"/>
        <w:rPr>
          <w:rFonts w:ascii="Times New Roman" w:hAnsi="Times New Roman" w:cs="Times New Roman"/>
          <w:sz w:val="28"/>
          <w:szCs w:val="28"/>
        </w:rPr>
      </w:pPr>
    </w:p>
    <w:p w14:paraId="09E99406" w14:textId="77777777" w:rsidR="001E4C72" w:rsidRDefault="001E4C72" w:rsidP="001E4C72">
      <w:pPr>
        <w:spacing w:line="480" w:lineRule="auto"/>
        <w:jc w:val="both"/>
        <w:rPr>
          <w:rFonts w:ascii="Times New Roman" w:hAnsi="Times New Roman" w:cs="Times New Roman"/>
          <w:sz w:val="28"/>
          <w:szCs w:val="28"/>
        </w:rPr>
      </w:pPr>
    </w:p>
    <w:p w14:paraId="60E0527D" w14:textId="77777777" w:rsidR="001E4C72" w:rsidRDefault="001E4C72" w:rsidP="001E4C72">
      <w:pPr>
        <w:spacing w:line="480" w:lineRule="auto"/>
        <w:jc w:val="both"/>
        <w:rPr>
          <w:rFonts w:ascii="Times New Roman" w:hAnsi="Times New Roman" w:cs="Times New Roman"/>
          <w:sz w:val="28"/>
          <w:szCs w:val="28"/>
        </w:rPr>
      </w:pPr>
    </w:p>
    <w:p w14:paraId="18C97AFA" w14:textId="77777777" w:rsidR="001E4C72" w:rsidRDefault="001E4C72" w:rsidP="001E4C72">
      <w:pPr>
        <w:spacing w:line="480" w:lineRule="auto"/>
        <w:jc w:val="both"/>
        <w:rPr>
          <w:rFonts w:ascii="Times New Roman" w:hAnsi="Times New Roman" w:cs="Times New Roman"/>
          <w:sz w:val="28"/>
          <w:szCs w:val="28"/>
        </w:rPr>
      </w:pPr>
    </w:p>
    <w:p w14:paraId="047F7C13" w14:textId="77777777" w:rsidR="001E4C72" w:rsidRDefault="001E4C72" w:rsidP="001E4C72">
      <w:pPr>
        <w:spacing w:line="480" w:lineRule="auto"/>
        <w:jc w:val="both"/>
        <w:rPr>
          <w:rFonts w:ascii="Times New Roman" w:hAnsi="Times New Roman" w:cs="Times New Roman"/>
          <w:sz w:val="28"/>
          <w:szCs w:val="28"/>
        </w:rPr>
      </w:pPr>
    </w:p>
    <w:p w14:paraId="29C7A1AC" w14:textId="77777777" w:rsidR="001E4C72" w:rsidRDefault="001E4C72" w:rsidP="001E4C72">
      <w:pPr>
        <w:tabs>
          <w:tab w:val="left" w:pos="3340"/>
        </w:tabs>
        <w:spacing w:line="360" w:lineRule="auto"/>
        <w:rPr>
          <w:rFonts w:ascii="Times New Roman" w:hAnsi="Times New Roman" w:cs="Times New Roman"/>
          <w:b/>
          <w:bCs/>
          <w:sz w:val="28"/>
          <w:szCs w:val="28"/>
        </w:rPr>
      </w:pPr>
    </w:p>
    <w:p w14:paraId="6A9202DF" w14:textId="77777777" w:rsidR="001E4C72" w:rsidRDefault="001E4C72" w:rsidP="001E4C7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E851879"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308D6A3"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151F0EA6"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6381AB34"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091CCE0" w14:textId="376FE376"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14:paraId="746D5ED3"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2DBC05D"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36F6A74"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4453C699" w14:textId="77777777" w:rsidR="001E4C72" w:rsidRDefault="001E4C72" w:rsidP="001E4C7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CF6A8FB"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7DBD975F"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6D6510D1"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9432520"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7FF4188F"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525F2148" w14:textId="77777777" w:rsidR="001E4C72" w:rsidRDefault="001E4C72" w:rsidP="001E4C7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68CA03F"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BEC6999"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79C152F"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9E576A0"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304CE0F"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1A6211E8"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F55BFE2"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7AF0955"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7105DF9D"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09606CCB"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33A6AA8"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31A90BE"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D2F771B"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10F9157D"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EBA1C40"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4DA93CD"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5064DD10"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4881947D"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E2A6BE8"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C7A7DB9"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7235DEE5" w14:textId="77777777" w:rsidR="001E4C72" w:rsidRDefault="001E4C72" w:rsidP="001E4C72">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17B4FC57"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54166E8"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91588D5"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1A2F0FD9" w14:textId="77777777" w:rsidR="001E4C72" w:rsidRDefault="001E4C72" w:rsidP="001E4C7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A7FC1B7"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323740B4" w14:textId="6EA33D4A"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46        </w:t>
      </w:r>
    </w:p>
    <w:p w14:paraId="0CBA0E37"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58BFF8C5"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57B77E86" w14:textId="77777777" w:rsidR="001E4C72" w:rsidRDefault="001E4C72" w:rsidP="001E4C72">
      <w:pPr>
        <w:spacing w:line="480" w:lineRule="auto"/>
        <w:jc w:val="both"/>
        <w:rPr>
          <w:rFonts w:ascii="Times New Roman" w:hAnsi="Times New Roman" w:cs="Times New Roman"/>
          <w:sz w:val="28"/>
          <w:szCs w:val="28"/>
        </w:rPr>
      </w:pPr>
    </w:p>
    <w:p w14:paraId="5A75EE52" w14:textId="77777777" w:rsidR="001E4C72" w:rsidRDefault="001E4C72" w:rsidP="001E4C72">
      <w:pPr>
        <w:spacing w:line="480" w:lineRule="auto"/>
        <w:jc w:val="center"/>
        <w:rPr>
          <w:rFonts w:ascii="Times New Roman" w:hAnsi="Times New Roman" w:cs="Times New Roman"/>
          <w:b/>
          <w:bCs/>
          <w:sz w:val="28"/>
          <w:szCs w:val="28"/>
        </w:rPr>
      </w:pPr>
    </w:p>
    <w:p w14:paraId="7944B26D" w14:textId="77777777" w:rsidR="001E4C72" w:rsidRDefault="001E4C72" w:rsidP="001E4C72">
      <w:pPr>
        <w:spacing w:line="480" w:lineRule="auto"/>
        <w:jc w:val="center"/>
        <w:rPr>
          <w:rFonts w:ascii="Times New Roman" w:hAnsi="Times New Roman" w:cs="Times New Roman"/>
          <w:b/>
          <w:bCs/>
          <w:sz w:val="28"/>
          <w:szCs w:val="28"/>
        </w:rPr>
      </w:pPr>
    </w:p>
    <w:p w14:paraId="5B7DFC5A" w14:textId="77777777" w:rsidR="001E4C72" w:rsidRDefault="001E4C72" w:rsidP="001E4C72">
      <w:pPr>
        <w:spacing w:line="480" w:lineRule="auto"/>
        <w:jc w:val="center"/>
        <w:rPr>
          <w:rFonts w:ascii="Times New Roman" w:hAnsi="Times New Roman" w:cs="Times New Roman"/>
          <w:b/>
          <w:bCs/>
          <w:sz w:val="28"/>
          <w:szCs w:val="28"/>
        </w:rPr>
      </w:pPr>
    </w:p>
    <w:p w14:paraId="0B46F32C" w14:textId="77777777" w:rsidR="001E4C72" w:rsidRDefault="001E4C72" w:rsidP="001E4C72">
      <w:pPr>
        <w:spacing w:line="480" w:lineRule="auto"/>
        <w:jc w:val="center"/>
        <w:rPr>
          <w:rFonts w:ascii="Times New Roman" w:hAnsi="Times New Roman" w:cs="Times New Roman"/>
          <w:b/>
          <w:bCs/>
          <w:sz w:val="28"/>
          <w:szCs w:val="28"/>
        </w:rPr>
      </w:pPr>
    </w:p>
    <w:p w14:paraId="3BEB96BB" w14:textId="77777777" w:rsidR="001E4C72" w:rsidRDefault="001E4C72" w:rsidP="001E4C72">
      <w:pPr>
        <w:spacing w:line="480" w:lineRule="auto"/>
        <w:jc w:val="center"/>
        <w:rPr>
          <w:rFonts w:ascii="Times New Roman" w:hAnsi="Times New Roman" w:cs="Times New Roman"/>
          <w:b/>
          <w:bCs/>
          <w:sz w:val="28"/>
          <w:szCs w:val="28"/>
        </w:rPr>
      </w:pPr>
    </w:p>
    <w:p w14:paraId="5802632B" w14:textId="77777777" w:rsidR="001E4C72" w:rsidRDefault="001E4C72" w:rsidP="001E4C72">
      <w:pPr>
        <w:spacing w:line="480" w:lineRule="auto"/>
        <w:jc w:val="center"/>
        <w:rPr>
          <w:rFonts w:ascii="Times New Roman" w:hAnsi="Times New Roman" w:cs="Times New Roman"/>
          <w:b/>
          <w:bCs/>
          <w:sz w:val="28"/>
          <w:szCs w:val="28"/>
        </w:rPr>
      </w:pPr>
    </w:p>
    <w:p w14:paraId="357DB62B" w14:textId="77777777" w:rsidR="001E4C72" w:rsidRDefault="001E4C72" w:rsidP="001E4C7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2C26125"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661593E4"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64D78EA8" w14:textId="77777777" w:rsidR="001E4C72" w:rsidRDefault="001E4C72" w:rsidP="001E4C72">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Prepared Concentration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3C88B466"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37D8013"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0A73CA1"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ACDE3A1" w14:textId="77777777" w:rsidR="001E4C72" w:rsidRDefault="001E4C72" w:rsidP="001E4C72">
      <w:pPr>
        <w:spacing w:line="480" w:lineRule="auto"/>
        <w:jc w:val="both"/>
        <w:rPr>
          <w:rFonts w:ascii="Times New Roman" w:hAnsi="Times New Roman" w:cs="Times New Roman"/>
          <w:sz w:val="28"/>
          <w:szCs w:val="28"/>
        </w:rPr>
      </w:pPr>
    </w:p>
    <w:p w14:paraId="17A243A0" w14:textId="77777777" w:rsidR="001E4C72" w:rsidRDefault="001E4C72" w:rsidP="001E4C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7090413" w14:textId="77777777" w:rsidR="001E4C72" w:rsidRDefault="001E4C72" w:rsidP="001E4C72">
      <w:pPr>
        <w:spacing w:line="480" w:lineRule="auto"/>
        <w:jc w:val="both"/>
        <w:rPr>
          <w:rFonts w:ascii="Times New Roman" w:hAnsi="Times New Roman" w:cs="Times New Roman"/>
          <w:sz w:val="28"/>
          <w:szCs w:val="28"/>
        </w:rPr>
      </w:pPr>
    </w:p>
    <w:p w14:paraId="3FEE3A86" w14:textId="77777777" w:rsidR="001E4C72" w:rsidRDefault="001E4C72" w:rsidP="001E4C72">
      <w:pPr>
        <w:spacing w:line="480" w:lineRule="auto"/>
        <w:jc w:val="both"/>
        <w:rPr>
          <w:rFonts w:ascii="Times New Roman" w:hAnsi="Times New Roman" w:cs="Times New Roman"/>
          <w:sz w:val="28"/>
          <w:szCs w:val="28"/>
        </w:rPr>
      </w:pPr>
    </w:p>
    <w:p w14:paraId="3147F68E" w14:textId="77777777" w:rsidR="001E4C72" w:rsidRDefault="001E4C72" w:rsidP="001E4C72">
      <w:pPr>
        <w:spacing w:line="480" w:lineRule="auto"/>
        <w:jc w:val="both"/>
        <w:rPr>
          <w:rFonts w:ascii="Times New Roman" w:hAnsi="Times New Roman" w:cs="Times New Roman"/>
          <w:sz w:val="28"/>
          <w:szCs w:val="28"/>
        </w:rPr>
      </w:pPr>
    </w:p>
    <w:p w14:paraId="30CA7131" w14:textId="77777777" w:rsidR="001E4C72" w:rsidRDefault="001E4C72" w:rsidP="001E4C72">
      <w:pPr>
        <w:spacing w:line="480" w:lineRule="auto"/>
        <w:jc w:val="center"/>
        <w:rPr>
          <w:rFonts w:ascii="Times New Roman" w:hAnsi="Times New Roman" w:cs="Times New Roman"/>
          <w:b/>
          <w:bCs/>
          <w:sz w:val="28"/>
          <w:szCs w:val="28"/>
        </w:rPr>
      </w:pPr>
    </w:p>
    <w:p w14:paraId="616522D7" w14:textId="77777777" w:rsidR="001E4C72" w:rsidRDefault="001E4C72" w:rsidP="001E4C72">
      <w:pPr>
        <w:spacing w:line="480" w:lineRule="auto"/>
        <w:jc w:val="center"/>
        <w:rPr>
          <w:rFonts w:ascii="Times New Roman" w:hAnsi="Times New Roman" w:cs="Times New Roman"/>
          <w:b/>
          <w:bCs/>
          <w:sz w:val="28"/>
          <w:szCs w:val="28"/>
        </w:rPr>
      </w:pPr>
    </w:p>
    <w:p w14:paraId="7FF67B3A" w14:textId="77777777" w:rsidR="001E4C72" w:rsidRDefault="001E4C72" w:rsidP="001E4C72">
      <w:pPr>
        <w:spacing w:line="480" w:lineRule="auto"/>
        <w:jc w:val="center"/>
        <w:rPr>
          <w:rFonts w:ascii="Times New Roman" w:hAnsi="Times New Roman" w:cs="Times New Roman"/>
          <w:b/>
          <w:bCs/>
          <w:sz w:val="28"/>
          <w:szCs w:val="28"/>
        </w:rPr>
      </w:pPr>
    </w:p>
    <w:p w14:paraId="07732377" w14:textId="77777777" w:rsidR="001E4C72" w:rsidRDefault="001E4C72" w:rsidP="001E4C72">
      <w:pPr>
        <w:spacing w:line="480" w:lineRule="auto"/>
        <w:jc w:val="center"/>
        <w:rPr>
          <w:rFonts w:ascii="Times New Roman" w:hAnsi="Times New Roman" w:cs="Times New Roman"/>
          <w:b/>
          <w:bCs/>
          <w:sz w:val="28"/>
          <w:szCs w:val="28"/>
        </w:rPr>
      </w:pPr>
    </w:p>
    <w:p w14:paraId="67244F24" w14:textId="77777777" w:rsidR="001E4C72" w:rsidRDefault="001E4C72" w:rsidP="001E4C72">
      <w:pPr>
        <w:spacing w:line="480" w:lineRule="auto"/>
        <w:jc w:val="center"/>
        <w:rPr>
          <w:rFonts w:ascii="Times New Roman" w:hAnsi="Times New Roman" w:cs="Times New Roman"/>
          <w:b/>
          <w:bCs/>
          <w:sz w:val="28"/>
          <w:szCs w:val="28"/>
        </w:rPr>
      </w:pPr>
    </w:p>
    <w:p w14:paraId="2DE25A34" w14:textId="77777777" w:rsidR="001E4C72" w:rsidRDefault="001E4C72" w:rsidP="001E4C7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5FAB5993" w14:textId="77777777" w:rsidR="001E4C72" w:rsidRPr="00C34389" w:rsidRDefault="001E4C72" w:rsidP="001E4C72">
      <w:pPr>
        <w:spacing w:line="480" w:lineRule="auto"/>
        <w:jc w:val="both"/>
        <w:rPr>
          <w:rFonts w:ascii="Times New Roman" w:hAnsi="Times New Roman" w:cs="Times New Roman"/>
          <w:sz w:val="28"/>
          <w:szCs w:val="28"/>
        </w:rPr>
      </w:pPr>
      <w:bookmarkStart w:id="1" w:name="_Hlk203238815"/>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w:t>
      </w:r>
      <w:proofErr w:type="spellStart"/>
      <w:r w:rsidRPr="00C34389">
        <w:rPr>
          <w:rFonts w:ascii="Times New Roman" w:hAnsi="Times New Roman" w:cs="Times New Roman"/>
          <w:sz w:val="28"/>
          <w:szCs w:val="28"/>
        </w:rPr>
        <w:t>mycotoxins</w:t>
      </w:r>
      <w:proofErr w:type="spellEnd"/>
      <w:r w:rsidRPr="00C34389">
        <w:rPr>
          <w:rFonts w:ascii="Times New Roman" w:hAnsi="Times New Roman" w:cs="Times New Roman"/>
          <w:sz w:val="28"/>
          <w:szCs w:val="28"/>
        </w:rPr>
        <w:t xml:space="preserve"> such as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citrinin</w:t>
      </w:r>
      <w:proofErr w:type="spellEnd"/>
      <w:r w:rsidRPr="00C34389">
        <w:rPr>
          <w:rFonts w:ascii="Times New Roman" w:hAnsi="Times New Roman" w:cs="Times New Roman"/>
          <w:sz w:val="28"/>
          <w:szCs w:val="28"/>
        </w:rPr>
        <w:t xml:space="preserve">,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w:t>
      </w:r>
      <w:proofErr w:type="spellStart"/>
      <w:r w:rsidRPr="00C34389">
        <w:rPr>
          <w:rFonts w:ascii="Times New Roman" w:hAnsi="Times New Roman" w:cs="Times New Roman"/>
          <w:sz w:val="28"/>
          <w:szCs w:val="28"/>
        </w:rPr>
        <w:t>sublethal</w:t>
      </w:r>
      <w:proofErr w:type="spellEnd"/>
      <w:r w:rsidRPr="00C34389">
        <w:rPr>
          <w:rFonts w:ascii="Times New Roman" w:hAnsi="Times New Roman" w:cs="Times New Roman"/>
          <w:sz w:val="28"/>
          <w:szCs w:val="28"/>
        </w:rPr>
        <w:t xml:space="preserve"> concentrations, and highlight the urgent need for enhanced surveillance and control measures in food safety practices to mitigate exposure.</w:t>
      </w:r>
    </w:p>
    <w:p w14:paraId="4B9850B1" w14:textId="77777777" w:rsidR="001E4C72" w:rsidRPr="00C34389" w:rsidRDefault="001E4C72" w:rsidP="001E4C72">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w:t>
      </w:r>
      <w:proofErr w:type="gramStart"/>
      <w:r w:rsidRPr="00C34389">
        <w:rPr>
          <w:rFonts w:ascii="Times New Roman" w:hAnsi="Times New Roman" w:cs="Times New Roman"/>
          <w:sz w:val="28"/>
          <w:szCs w:val="28"/>
        </w:rPr>
        <w:t>A</w:t>
      </w:r>
      <w:proofErr w:type="gram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mycotoxin</w:t>
      </w:r>
      <w:proofErr w:type="spellEnd"/>
      <w:r w:rsidRPr="00C34389">
        <w:rPr>
          <w:rFonts w:ascii="Times New Roman" w:hAnsi="Times New Roman" w:cs="Times New Roman"/>
          <w:sz w:val="28"/>
          <w:szCs w:val="28"/>
        </w:rPr>
        <w:t>, food safety, albino rats, toxin potency, organ pathology, fungal contamination</w:t>
      </w:r>
    </w:p>
    <w:bookmarkEnd w:id="1"/>
    <w:p w14:paraId="2D5C6C8B" w14:textId="77777777" w:rsidR="001E4C72" w:rsidRDefault="001E4C72" w:rsidP="001E4C72">
      <w:pPr>
        <w:spacing w:line="480" w:lineRule="auto"/>
        <w:jc w:val="both"/>
        <w:rPr>
          <w:rFonts w:ascii="Times New Roman" w:hAnsi="Times New Roman" w:cs="Times New Roman"/>
          <w:sz w:val="28"/>
          <w:szCs w:val="28"/>
        </w:rPr>
      </w:pPr>
    </w:p>
    <w:p w14:paraId="5A3EBE31" w14:textId="77777777" w:rsidR="001E4C72" w:rsidRDefault="001E4C72" w:rsidP="008C396C">
      <w:pPr>
        <w:spacing w:line="480" w:lineRule="auto"/>
        <w:jc w:val="center"/>
        <w:rPr>
          <w:rFonts w:ascii="Times New Roman" w:hAnsi="Times New Roman" w:cs="Times New Roman"/>
          <w:sz w:val="28"/>
          <w:szCs w:val="28"/>
        </w:rPr>
        <w:sectPr w:rsidR="001E4C72" w:rsidSect="001E4C72">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C053240" w14:textId="2092F015" w:rsidR="00C16A4E" w:rsidRPr="00DF1C46" w:rsidRDefault="009A7D2D" w:rsidP="008C396C">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14:paraId="225517F6" w14:textId="6DB0477D" w:rsidR="007B78A4" w:rsidRPr="00DF1C46" w:rsidRDefault="00102B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1.0 </w:t>
      </w:r>
      <w:r w:rsidR="009A7D2D" w:rsidRPr="00DF1C46">
        <w:rPr>
          <w:rFonts w:ascii="Times New Roman" w:hAnsi="Times New Roman" w:cs="Times New Roman"/>
          <w:sz w:val="28"/>
          <w:szCs w:val="28"/>
        </w:rPr>
        <w:t>INTRODUCTION</w:t>
      </w:r>
    </w:p>
    <w:p w14:paraId="66EC3EEF" w14:textId="018BA0E1" w:rsidR="00AA146C" w:rsidRPr="00DF1C46" w:rsidRDefault="00AC249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sidR="00772C96">
        <w:rPr>
          <w:rFonts w:ascii="Times New Roman" w:hAnsi="Times New Roman" w:cs="Times New Roman"/>
          <w:sz w:val="28"/>
          <w:szCs w:val="28"/>
        </w:rPr>
        <w:t>organic matter for sustenance (</w:t>
      </w:r>
      <w:r w:rsidR="00292DF6">
        <w:rPr>
          <w:rFonts w:ascii="Times New Roman" w:hAnsi="Times New Roman" w:cs="Times New Roman"/>
          <w:sz w:val="28"/>
          <w:szCs w:val="28"/>
        </w:rPr>
        <w:t>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sidR="00FB41A8">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sidR="001E4DD7">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sidR="005B36F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ecological purposes such as competition and </w:t>
      </w:r>
      <w:r w:rsidRPr="00DF1C46">
        <w:rPr>
          <w:rFonts w:ascii="Times New Roman" w:hAnsi="Times New Roman" w:cs="Times New Roman"/>
          <w:sz w:val="28"/>
          <w:szCs w:val="28"/>
        </w:rPr>
        <w:lastRenderedPageBreak/>
        <w:t xml:space="preserve">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w:t>
      </w:r>
      <w:r w:rsidR="00262B6A" w:rsidRPr="00DF1C46">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r w:rsidR="00DF1C46" w:rsidRPr="00DF1C46">
        <w:rPr>
          <w:rFonts w:ascii="Times New Roman" w:hAnsi="Times New Roman" w:cs="Times New Roman"/>
          <w:sz w:val="28"/>
          <w:szCs w:val="28"/>
        </w:rPr>
        <w:t>.</w:t>
      </w:r>
    </w:p>
    <w:p w14:paraId="38D1F50C" w14:textId="6C988BDC" w:rsidR="00A37BD6" w:rsidRPr="00DF1C46" w:rsidRDefault="00AA146C" w:rsidP="00634F78">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w:t>
      </w:r>
      <w:r w:rsidRPr="00DF1C46">
        <w:rPr>
          <w:rFonts w:ascii="Times New Roman" w:hAnsi="Times New Roman" w:cs="Times New Roman"/>
          <w:sz w:val="28"/>
          <w:szCs w:val="28"/>
        </w:rPr>
        <w:lastRenderedPageBreak/>
        <w:t>such as high humidity and 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sidR="00A125B5">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sidR="006E056C">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w:t>
      </w:r>
      <w:r w:rsidRPr="00DF1C46">
        <w:rPr>
          <w:rFonts w:ascii="Times New Roman" w:hAnsi="Times New Roman" w:cs="Times New Roman"/>
          <w:sz w:val="28"/>
          <w:szCs w:val="28"/>
        </w:rPr>
        <w:lastRenderedPageBreak/>
        <w:t xml:space="preserve">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w:t>
      </w:r>
      <w:r w:rsidR="00A37BD6" w:rsidRPr="00DF1C46">
        <w:rPr>
          <w:rFonts w:ascii="Times New Roman" w:hAnsi="Times New Roman" w:cs="Times New Roman"/>
          <w:sz w:val="28"/>
          <w:szCs w:val="28"/>
        </w:rPr>
        <w:t xml:space="preserve">In the food industry, OTA contamination leads to substantial economic losses due to product recalls, market restrictions, and </w:t>
      </w:r>
      <w:r w:rsidR="00BD128B">
        <w:rPr>
          <w:rFonts w:ascii="Times New Roman" w:hAnsi="Times New Roman" w:cs="Times New Roman"/>
          <w:sz w:val="28"/>
          <w:szCs w:val="28"/>
        </w:rPr>
        <w:t xml:space="preserve">increased testing requirements. </w:t>
      </w:r>
      <w:r w:rsidR="00A37BD6"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sidR="00BD128B">
        <w:rPr>
          <w:rFonts w:ascii="Times New Roman" w:hAnsi="Times New Roman" w:cs="Times New Roman"/>
          <w:sz w:val="28"/>
          <w:szCs w:val="28"/>
        </w:rPr>
        <w:t xml:space="preserve"> </w:t>
      </w:r>
      <w:r w:rsidR="00BD128B"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w:t>
      </w:r>
      <w:r w:rsidR="00A37BD6" w:rsidRPr="00DF1C46">
        <w:rPr>
          <w:rFonts w:ascii="Times New Roman" w:hAnsi="Times New Roman" w:cs="Times New Roman"/>
          <w:sz w:val="28"/>
          <w:szCs w:val="28"/>
        </w:rPr>
        <w:t xml:space="preserve">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00A37BD6" w:rsidRPr="00DF1C46">
        <w:rPr>
          <w:rFonts w:ascii="Times New Roman" w:hAnsi="Times New Roman" w:cs="Times New Roman"/>
          <w:sz w:val="28"/>
          <w:szCs w:val="28"/>
        </w:rPr>
        <w:t>mycotoxin</w:t>
      </w:r>
      <w:proofErr w:type="spellEnd"/>
      <w:r w:rsidR="00A37BD6" w:rsidRPr="00DF1C46">
        <w:rPr>
          <w:rFonts w:ascii="Times New Roman" w:hAnsi="Times New Roman" w:cs="Times New Roman"/>
          <w:sz w:val="28"/>
          <w:szCs w:val="28"/>
        </w:rPr>
        <w:t xml:space="preserve"> detection systems, yet challenges remain in completely eliminating OTA from the food supply.</w:t>
      </w:r>
      <w:r w:rsidR="00BD128B">
        <w:rPr>
          <w:rFonts w:ascii="Times New Roman" w:hAnsi="Times New Roman" w:cs="Times New Roman"/>
          <w:sz w:val="28"/>
          <w:szCs w:val="28"/>
        </w:rPr>
        <w:t xml:space="preserve"> </w:t>
      </w:r>
      <w:r w:rsidR="00763B00">
        <w:rPr>
          <w:rFonts w:ascii="Times New Roman" w:hAnsi="Times New Roman" w:cs="Times New Roman"/>
          <w:sz w:val="28"/>
          <w:szCs w:val="28"/>
        </w:rPr>
        <w:t xml:space="preserve">OTA is a potent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hepatotoxin</w:t>
      </w:r>
      <w:proofErr w:type="spellEnd"/>
      <w:r w:rsidR="00763B00">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most globally relevant </w:t>
      </w:r>
      <w:proofErr w:type="spellStart"/>
      <w:r w:rsidR="00763B00">
        <w:rPr>
          <w:rFonts w:ascii="Times New Roman" w:hAnsi="Times New Roman" w:cs="Times New Roman"/>
          <w:sz w:val="28"/>
          <w:szCs w:val="28"/>
        </w:rPr>
        <w:lastRenderedPageBreak/>
        <w:t>mycotoxins</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Battilani</w:t>
      </w:r>
      <w:proofErr w:type="spellEnd"/>
      <w:r w:rsidR="00763B00">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sidR="00763B00">
        <w:rPr>
          <w:rFonts w:ascii="Times New Roman" w:hAnsi="Times New Roman" w:cs="Times New Roman"/>
          <w:sz w:val="28"/>
          <w:szCs w:val="28"/>
        </w:rPr>
        <w:t>Pfohl-Leszkowicz</w:t>
      </w:r>
      <w:proofErr w:type="spellEnd"/>
      <w:r w:rsidR="00763B00">
        <w:rPr>
          <w:rFonts w:ascii="Times New Roman" w:hAnsi="Times New Roman" w:cs="Times New Roman"/>
          <w:sz w:val="28"/>
          <w:szCs w:val="28"/>
        </w:rPr>
        <w:t xml:space="preserve"> &amp; </w:t>
      </w:r>
      <w:proofErr w:type="spellStart"/>
      <w:r w:rsidR="00763B00">
        <w:rPr>
          <w:rFonts w:ascii="Times New Roman" w:hAnsi="Times New Roman" w:cs="Times New Roman"/>
          <w:sz w:val="28"/>
          <w:szCs w:val="28"/>
        </w:rPr>
        <w:t>Manderville</w:t>
      </w:r>
      <w:proofErr w:type="spellEnd"/>
      <w:r w:rsidR="00763B00">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sidR="00763B00">
        <w:rPr>
          <w:rFonts w:ascii="Times New Roman" w:hAnsi="Times New Roman" w:cs="Times New Roman"/>
          <w:sz w:val="28"/>
          <w:szCs w:val="28"/>
        </w:rPr>
        <w:t>Rahmani</w:t>
      </w:r>
      <w:proofErr w:type="spellEnd"/>
      <w:r w:rsidR="00763B00">
        <w:rPr>
          <w:rFonts w:ascii="Times New Roman" w:hAnsi="Times New Roman" w:cs="Times New Roman"/>
          <w:sz w:val="28"/>
          <w:szCs w:val="28"/>
        </w:rPr>
        <w:t xml:space="preserve"> et al., 2018). Another secondary metabolite produced by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 neurotoxic </w:t>
      </w:r>
      <w:proofErr w:type="spellStart"/>
      <w:r w:rsidR="00763B00">
        <w:rPr>
          <w:rFonts w:ascii="Times New Roman" w:hAnsi="Times New Roman" w:cs="Times New Roman"/>
          <w:sz w:val="28"/>
          <w:szCs w:val="28"/>
        </w:rPr>
        <w:t>mycotoxin</w:t>
      </w:r>
      <w:proofErr w:type="spellEnd"/>
      <w:r w:rsidR="00763B00">
        <w:rPr>
          <w:rFonts w:ascii="Times New Roman" w:hAnsi="Times New Roman" w:cs="Times New Roman"/>
          <w:sz w:val="28"/>
          <w:szCs w:val="28"/>
        </w:rPr>
        <w:t xml:space="preserve"> that belongs to the </w:t>
      </w:r>
      <w:proofErr w:type="spellStart"/>
      <w:r w:rsidR="00763B00">
        <w:rPr>
          <w:rFonts w:ascii="Times New Roman" w:hAnsi="Times New Roman" w:cs="Times New Roman"/>
          <w:sz w:val="28"/>
          <w:szCs w:val="28"/>
        </w:rPr>
        <w:t>indole-diterpenoid</w:t>
      </w:r>
      <w:proofErr w:type="spellEnd"/>
      <w:r w:rsidR="00763B00">
        <w:rPr>
          <w:rFonts w:ascii="Times New Roman" w:hAnsi="Times New Roman" w:cs="Times New Roman"/>
          <w:sz w:val="28"/>
          <w:szCs w:val="28"/>
        </w:rPr>
        <w:t xml:space="preserve"> class.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has been shown to </w:t>
      </w:r>
      <w:proofErr w:type="gramStart"/>
      <w:r w:rsidR="00763B00">
        <w:rPr>
          <w:rFonts w:ascii="Times New Roman" w:hAnsi="Times New Roman" w:cs="Times New Roman"/>
          <w:sz w:val="28"/>
          <w:szCs w:val="28"/>
        </w:rPr>
        <w:t>Inhibit</w:t>
      </w:r>
      <w:proofErr w:type="gramEnd"/>
      <w:r w:rsidR="00763B00">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sidR="00763B00">
        <w:rPr>
          <w:rFonts w:ascii="Times New Roman" w:hAnsi="Times New Roman" w:cs="Times New Roman"/>
          <w:sz w:val="28"/>
          <w:szCs w:val="28"/>
        </w:rPr>
        <w:t>Sugiura</w:t>
      </w:r>
      <w:proofErr w:type="spellEnd"/>
      <w:r w:rsidR="00763B00">
        <w:rPr>
          <w:rFonts w:ascii="Times New Roman" w:hAnsi="Times New Roman" w:cs="Times New Roman"/>
          <w:sz w:val="28"/>
          <w:szCs w:val="28"/>
        </w:rPr>
        <w:t xml:space="preserve"> et al., 2018). Although less frequently studied than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known to produce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another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that often co-occurs with OTA in contaminated food products (Lee et al., 2017).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has been implicated in mitochondrial dysfunction and apoptotic cell death, further compounding the nephrotoxic effects of OTA when both toxins are present together (</w:t>
      </w:r>
      <w:proofErr w:type="spellStart"/>
      <w:r w:rsidR="00763B00">
        <w:rPr>
          <w:rFonts w:ascii="Times New Roman" w:hAnsi="Times New Roman" w:cs="Times New Roman"/>
          <w:sz w:val="28"/>
          <w:szCs w:val="28"/>
        </w:rPr>
        <w:t>Mahfoud</w:t>
      </w:r>
      <w:proofErr w:type="spellEnd"/>
      <w:r w:rsidR="00763B00">
        <w:rPr>
          <w:rFonts w:ascii="Times New Roman" w:hAnsi="Times New Roman" w:cs="Times New Roman"/>
          <w:sz w:val="28"/>
          <w:szCs w:val="28"/>
        </w:rPr>
        <w:t xml:space="preserve"> et al., 2021). Emerging research suggests that combined exposure to multiple </w:t>
      </w:r>
      <w:proofErr w:type="spellStart"/>
      <w:r w:rsidR="00763B00">
        <w:rPr>
          <w:rFonts w:ascii="Times New Roman" w:hAnsi="Times New Roman" w:cs="Times New Roman"/>
          <w:sz w:val="28"/>
          <w:szCs w:val="28"/>
        </w:rPr>
        <w:t>mycotoxins</w:t>
      </w:r>
      <w:proofErr w:type="spellEnd"/>
      <w:r w:rsidR="00763B00">
        <w:rPr>
          <w:rFonts w:ascii="Times New Roman" w:hAnsi="Times New Roman" w:cs="Times New Roman"/>
          <w:sz w:val="28"/>
          <w:szCs w:val="28"/>
        </w:rPr>
        <w:t xml:space="preserve">, including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and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can result in synergistic </w:t>
      </w:r>
      <w:r w:rsidR="00763B00">
        <w:rPr>
          <w:rFonts w:ascii="Times New Roman" w:hAnsi="Times New Roman" w:cs="Times New Roman"/>
          <w:sz w:val="28"/>
          <w:szCs w:val="28"/>
        </w:rPr>
        <w:lastRenderedPageBreak/>
        <w:t>toxicity, exacerbating their harmful effects beyond individual exposure (</w:t>
      </w:r>
      <w:proofErr w:type="spellStart"/>
      <w:r w:rsidR="00763B00">
        <w:rPr>
          <w:rFonts w:ascii="Times New Roman" w:hAnsi="Times New Roman" w:cs="Times New Roman"/>
          <w:sz w:val="28"/>
          <w:szCs w:val="28"/>
        </w:rPr>
        <w:t>Alassane-Kpembi</w:t>
      </w:r>
      <w:proofErr w:type="spellEnd"/>
      <w:r w:rsidR="00763B00">
        <w:rPr>
          <w:rFonts w:ascii="Times New Roman" w:hAnsi="Times New Roman" w:cs="Times New Roman"/>
          <w:sz w:val="28"/>
          <w:szCs w:val="28"/>
        </w:rPr>
        <w:t xml:space="preserve"> et al., 2017). </w:t>
      </w:r>
    </w:p>
    <w:p w14:paraId="467BA8AF" w14:textId="748E7196" w:rsidR="00832FA8" w:rsidRDefault="00A37BD6"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w:t>
      </w:r>
      <w:proofErr w:type="gramStart"/>
      <w:r w:rsidRPr="00DF1C46">
        <w:rPr>
          <w:rFonts w:ascii="Times New Roman" w:hAnsi="Times New Roman" w:cs="Times New Roman"/>
          <w:sz w:val="28"/>
          <w:szCs w:val="28"/>
        </w:rPr>
        <w:t>samples</w:t>
      </w:r>
      <w:proofErr w:type="gram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sidR="00660B20">
        <w:rPr>
          <w:rFonts w:ascii="Times New Roman" w:hAnsi="Times New Roman" w:cs="Times New Roman"/>
          <w:sz w:val="28"/>
          <w:szCs w:val="28"/>
        </w:rPr>
        <w:t>Mannaa</w:t>
      </w:r>
      <w:proofErr w:type="spellEnd"/>
      <w:r w:rsidR="00660B20">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r w:rsidR="00832FA8" w:rsidRPr="00DF1C46">
        <w:rPr>
          <w:rFonts w:ascii="Times New Roman" w:hAnsi="Times New Roman" w:cs="Times New Roman"/>
          <w:sz w:val="28"/>
          <w:szCs w:val="28"/>
        </w:rPr>
        <w:t>.</w:t>
      </w:r>
      <w:proofErr w:type="gramEnd"/>
    </w:p>
    <w:p w14:paraId="1DCC0014" w14:textId="77777777" w:rsidR="002D244D" w:rsidRDefault="00E90F01" w:rsidP="00B96B27">
      <w:pPr>
        <w:pStyle w:val="ListParagraph"/>
        <w:numPr>
          <w:ilvl w:val="1"/>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B27" w:rsidRPr="00B96B27">
        <w:rPr>
          <w:rFonts w:ascii="Times New Roman" w:hAnsi="Times New Roman" w:cs="Times New Roman"/>
          <w:sz w:val="28"/>
          <w:szCs w:val="28"/>
        </w:rPr>
        <w:t xml:space="preserve">LITERATURE REVIEW </w:t>
      </w:r>
    </w:p>
    <w:p w14:paraId="6F80CCDF" w14:textId="3038B53F" w:rsidR="006C3266" w:rsidRDefault="006C3266" w:rsidP="00E66CC8">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w:t>
      </w:r>
      <w:r w:rsidRPr="00E66CC8">
        <w:rPr>
          <w:rFonts w:ascii="Times New Roman" w:hAnsi="Times New Roman" w:cs="Times New Roman"/>
          <w:sz w:val="28"/>
          <w:szCs w:val="28"/>
        </w:rPr>
        <w:lastRenderedPageBreak/>
        <w:t>influenced by temperature and water activity thresholds (20–25 °C, high humidity). However, more recent work has deepened understanding far beyond taxonomy and ecology, now probing biosynthetic regulation and in vivo control strategies.</w:t>
      </w:r>
      <w:r w:rsidR="00810353" w:rsidRPr="00E66CC8">
        <w:rPr>
          <w:rFonts w:ascii="Times New Roman" w:hAnsi="Times New Roman" w:cs="Times New Roman"/>
          <w:sz w:val="28"/>
          <w:szCs w:val="28"/>
        </w:rPr>
        <w:t xml:space="preserve"> </w:t>
      </w:r>
      <w:r w:rsidR="00CA39AA">
        <w:rPr>
          <w:rFonts w:ascii="Times New Roman" w:hAnsi="Times New Roman" w:cs="Times New Roman"/>
          <w:sz w:val="28"/>
          <w:szCs w:val="28"/>
        </w:rPr>
        <w:t xml:space="preserve">In a pivotal 2024 investigation by </w:t>
      </w:r>
      <w:proofErr w:type="spellStart"/>
      <w:r w:rsidR="00CA39AA">
        <w:rPr>
          <w:rFonts w:ascii="Times New Roman" w:hAnsi="Times New Roman" w:cs="Times New Roman"/>
          <w:sz w:val="28"/>
          <w:szCs w:val="28"/>
        </w:rPr>
        <w:t>Oridikitorusinyaa</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Amaechi</w:t>
      </w:r>
      <w:proofErr w:type="spellEnd"/>
      <w:r w:rsidR="00CA39AA">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00CA39AA" w:rsidRPr="0003377C">
        <w:rPr>
          <w:rFonts w:ascii="Times New Roman" w:hAnsi="Times New Roman" w:cs="Times New Roman"/>
          <w:i/>
          <w:iCs/>
          <w:sz w:val="28"/>
          <w:szCs w:val="28"/>
        </w:rPr>
        <w:t>Aspergillus</w:t>
      </w:r>
      <w:proofErr w:type="spellEnd"/>
      <w:r w:rsidR="00CA39AA">
        <w:rPr>
          <w:rFonts w:ascii="Times New Roman" w:hAnsi="Times New Roman" w:cs="Times New Roman"/>
          <w:sz w:val="28"/>
          <w:szCs w:val="28"/>
        </w:rPr>
        <w:t xml:space="preserve"> </w:t>
      </w:r>
      <w:proofErr w:type="spellStart"/>
      <w:proofErr w:type="gramStart"/>
      <w:r w:rsidR="00CA39AA" w:rsidRPr="0003377C">
        <w:rPr>
          <w:rFonts w:ascii="Times New Roman" w:hAnsi="Times New Roman" w:cs="Times New Roman"/>
          <w:i/>
          <w:iCs/>
          <w:sz w:val="28"/>
          <w:szCs w:val="28"/>
        </w:rPr>
        <w:t>niger</w:t>
      </w:r>
      <w:proofErr w:type="spellEnd"/>
      <w:proofErr w:type="gramEnd"/>
      <w:r w:rsidR="00CA39AA">
        <w:rPr>
          <w:rFonts w:ascii="Times New Roman" w:hAnsi="Times New Roman" w:cs="Times New Roman"/>
          <w:sz w:val="28"/>
          <w:szCs w:val="28"/>
        </w:rPr>
        <w:t xml:space="preserve">, </w:t>
      </w:r>
      <w:proofErr w:type="spellStart"/>
      <w:r w:rsidR="00CA39AA" w:rsidRPr="0003377C">
        <w:rPr>
          <w:rFonts w:ascii="Times New Roman" w:hAnsi="Times New Roman" w:cs="Times New Roman"/>
          <w:i/>
          <w:iCs/>
          <w:sz w:val="28"/>
          <w:szCs w:val="28"/>
        </w:rPr>
        <w:t>Fusarium</w:t>
      </w:r>
      <w:proofErr w:type="spellEnd"/>
      <w:r w:rsidR="00CA39AA" w:rsidRPr="0003377C">
        <w:rPr>
          <w:rFonts w:ascii="Times New Roman" w:hAnsi="Times New Roman" w:cs="Times New Roman"/>
          <w:i/>
          <w:iCs/>
          <w:sz w:val="28"/>
          <w:szCs w:val="28"/>
        </w:rPr>
        <w:t xml:space="preserve"> spp., A. </w:t>
      </w:r>
      <w:proofErr w:type="spellStart"/>
      <w:r w:rsidR="00CA39AA" w:rsidRPr="0003377C">
        <w:rPr>
          <w:rFonts w:ascii="Times New Roman" w:hAnsi="Times New Roman" w:cs="Times New Roman"/>
          <w:i/>
          <w:iCs/>
          <w:sz w:val="28"/>
          <w:szCs w:val="28"/>
        </w:rPr>
        <w:t>flavus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Rhizopus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stolonifer</w:t>
      </w:r>
      <w:proofErr w:type="spellEnd"/>
      <w:r w:rsidR="00CA39AA"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 xml:space="preserve">and </w:t>
      </w:r>
      <w:proofErr w:type="spellStart"/>
      <w:r w:rsidR="00CA39AA" w:rsidRPr="0003377C">
        <w:rPr>
          <w:rFonts w:ascii="Times New Roman" w:hAnsi="Times New Roman" w:cs="Times New Roman"/>
          <w:i/>
          <w:iCs/>
          <w:sz w:val="28"/>
          <w:szCs w:val="28"/>
        </w:rPr>
        <w:t>Penicillium</w:t>
      </w:r>
      <w:proofErr w:type="spellEnd"/>
      <w:r w:rsidR="00CA39AA" w:rsidRPr="0003377C">
        <w:rPr>
          <w:rFonts w:ascii="Times New Roman" w:hAnsi="Times New Roman" w:cs="Times New Roman"/>
          <w:i/>
          <w:iCs/>
          <w:sz w:val="28"/>
          <w:szCs w:val="28"/>
        </w:rPr>
        <w:t xml:space="preserve"> spp.</w:t>
      </w:r>
      <w:r w:rsidR="00DE4CCB"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with total heterotrophic fungal counts reaching up to 3.2 × 10⁴ CFU/g. Their analysis uncovered a s</w:t>
      </w:r>
      <w:proofErr w:type="gramStart"/>
      <w:r w:rsidR="001E48E7">
        <w:rPr>
          <w:rFonts w:ascii="Times New Roman" w:hAnsi="Times New Roman" w:cs="Times New Roman"/>
          <w:sz w:val="28"/>
          <w:szCs w:val="28"/>
        </w:rPr>
        <w:t>]</w:t>
      </w:r>
      <w:proofErr w:type="spellStart"/>
      <w:r w:rsidR="00CA39AA">
        <w:rPr>
          <w:rFonts w:ascii="Times New Roman" w:hAnsi="Times New Roman" w:cs="Times New Roman"/>
          <w:sz w:val="28"/>
          <w:szCs w:val="28"/>
        </w:rPr>
        <w:t>pectrum</w:t>
      </w:r>
      <w:proofErr w:type="spellEnd"/>
      <w:proofErr w:type="gramEnd"/>
      <w:r w:rsidR="00CA39AA">
        <w:rPr>
          <w:rFonts w:ascii="Times New Roman" w:hAnsi="Times New Roman" w:cs="Times New Roman"/>
          <w:sz w:val="28"/>
          <w:szCs w:val="28"/>
        </w:rPr>
        <w:t xml:space="preserve"> of </w:t>
      </w:r>
      <w:proofErr w:type="spellStart"/>
      <w:r w:rsidR="00CA39AA">
        <w:rPr>
          <w:rFonts w:ascii="Times New Roman" w:hAnsi="Times New Roman" w:cs="Times New Roman"/>
          <w:sz w:val="28"/>
          <w:szCs w:val="28"/>
        </w:rPr>
        <w:t>mycotoxins</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aflatoxin</w:t>
      </w:r>
      <w:proofErr w:type="spellEnd"/>
      <w:r w:rsidR="00CA39AA">
        <w:rPr>
          <w:rFonts w:ascii="Times New Roman" w:hAnsi="Times New Roman" w:cs="Times New Roman"/>
          <w:sz w:val="28"/>
          <w:szCs w:val="28"/>
        </w:rPr>
        <w:t xml:space="preserve"> B₁ (3.5–6.1 µg/kg), </w:t>
      </w:r>
      <w:proofErr w:type="spellStart"/>
      <w:r w:rsidR="00CA39AA">
        <w:rPr>
          <w:rFonts w:ascii="Times New Roman" w:hAnsi="Times New Roman" w:cs="Times New Roman"/>
          <w:sz w:val="28"/>
          <w:szCs w:val="28"/>
        </w:rPr>
        <w:t>ochratoxin</w:t>
      </w:r>
      <w:proofErr w:type="spellEnd"/>
      <w:r w:rsidR="00CA39AA">
        <w:rPr>
          <w:rFonts w:ascii="Times New Roman" w:hAnsi="Times New Roman" w:cs="Times New Roman"/>
          <w:sz w:val="28"/>
          <w:szCs w:val="28"/>
        </w:rPr>
        <w:t xml:space="preserve"> A (1.8–2.7 µg/kg), </w:t>
      </w:r>
      <w:proofErr w:type="spellStart"/>
      <w:r w:rsidR="00CA39AA">
        <w:rPr>
          <w:rFonts w:ascii="Times New Roman" w:hAnsi="Times New Roman" w:cs="Times New Roman"/>
          <w:sz w:val="28"/>
          <w:szCs w:val="28"/>
        </w:rPr>
        <w:t>deoxynivalenol</w:t>
      </w:r>
      <w:proofErr w:type="spellEnd"/>
      <w:r w:rsidR="00CA39AA">
        <w:rPr>
          <w:rFonts w:ascii="Times New Roman" w:hAnsi="Times New Roman" w:cs="Times New Roman"/>
          <w:sz w:val="28"/>
          <w:szCs w:val="28"/>
        </w:rPr>
        <w:t xml:space="preserve"> (1.0–1.7 mg/kg), </w:t>
      </w:r>
      <w:proofErr w:type="spellStart"/>
      <w:r w:rsidR="00CA39AA">
        <w:rPr>
          <w:rFonts w:ascii="Times New Roman" w:hAnsi="Times New Roman" w:cs="Times New Roman"/>
          <w:sz w:val="28"/>
          <w:szCs w:val="28"/>
        </w:rPr>
        <w:t>zearalenone</w:t>
      </w:r>
      <w:proofErr w:type="spellEnd"/>
      <w:r w:rsidR="00CA39AA">
        <w:rPr>
          <w:rFonts w:ascii="Times New Roman" w:hAnsi="Times New Roman" w:cs="Times New Roman"/>
          <w:sz w:val="28"/>
          <w:szCs w:val="28"/>
        </w:rPr>
        <w:t xml:space="preserve"> (0.6–1.3 mg/kg), and </w:t>
      </w:r>
      <w:proofErr w:type="spellStart"/>
      <w:r w:rsidR="00CA39AA">
        <w:rPr>
          <w:rFonts w:ascii="Times New Roman" w:hAnsi="Times New Roman" w:cs="Times New Roman"/>
          <w:sz w:val="28"/>
          <w:szCs w:val="28"/>
        </w:rPr>
        <w:t>fumonisin</w:t>
      </w:r>
      <w:proofErr w:type="spellEnd"/>
      <w:r w:rsidR="00CA39AA">
        <w:rPr>
          <w:rFonts w:ascii="Times New Roman" w:hAnsi="Times New Roman" w:cs="Times New Roman"/>
          <w:sz w:val="28"/>
          <w:szCs w:val="28"/>
        </w:rPr>
        <w:t xml:space="preserve"> B₁ (1.2–2.0 mg/kg). Notably, conditions within these spoiled tomatoes</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high moisture (91–94%), warm ambient temperatures (23–28 °C), acidic pH (4.6–5.0), and elevated water activity (0.97–0.99)</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created an ideal environment for fungal proliferation and toxin synthesis</w:t>
      </w:r>
      <w:r w:rsidR="00DE4CCB">
        <w:rPr>
          <w:rFonts w:ascii="Times New Roman" w:hAnsi="Times New Roman" w:cs="Times New Roman"/>
          <w:sz w:val="28"/>
          <w:szCs w:val="28"/>
        </w:rPr>
        <w:t xml:space="preserve">. Studies focusing on solid substrates like grains offer critical insights into conditions conducive to OTA and CIT biosynthesis. Research by </w:t>
      </w:r>
      <w:proofErr w:type="spellStart"/>
      <w:r w:rsidR="00DE4CCB">
        <w:rPr>
          <w:rFonts w:ascii="Times New Roman" w:hAnsi="Times New Roman" w:cs="Times New Roman"/>
          <w:sz w:val="28"/>
          <w:szCs w:val="28"/>
        </w:rPr>
        <w:t>Bucharova</w:t>
      </w:r>
      <w:proofErr w:type="spellEnd"/>
      <w:r w:rsidR="00DE4CCB">
        <w:rPr>
          <w:rFonts w:ascii="Times New Roman" w:hAnsi="Times New Roman" w:cs="Times New Roman"/>
          <w:sz w:val="28"/>
          <w:szCs w:val="28"/>
        </w:rPr>
        <w:t xml:space="preserve"> et al. (2013) demonstrated that</w:t>
      </w:r>
      <w:r w:rsidR="00DE4CCB" w:rsidRPr="0003377C">
        <w:rPr>
          <w:rFonts w:ascii="Times New Roman" w:hAnsi="Times New Roman" w:cs="Times New Roman"/>
          <w:i/>
          <w:iCs/>
          <w:sz w:val="28"/>
          <w:szCs w:val="28"/>
        </w:rPr>
        <w:t xml:space="preserve"> P. </w:t>
      </w:r>
      <w:proofErr w:type="spellStart"/>
      <w:r w:rsidR="00DE4CCB" w:rsidRPr="0003377C">
        <w:rPr>
          <w:rFonts w:ascii="Times New Roman" w:hAnsi="Times New Roman" w:cs="Times New Roman"/>
          <w:i/>
          <w:iCs/>
          <w:sz w:val="28"/>
          <w:szCs w:val="28"/>
        </w:rPr>
        <w:t>verrucosum</w:t>
      </w:r>
      <w:proofErr w:type="spellEnd"/>
      <w:r w:rsidR="00DE4CCB" w:rsidRPr="0003377C">
        <w:rPr>
          <w:rFonts w:ascii="Times New Roman" w:hAnsi="Times New Roman" w:cs="Times New Roman"/>
          <w:i/>
          <w:iCs/>
          <w:sz w:val="28"/>
          <w:szCs w:val="28"/>
        </w:rPr>
        <w:t xml:space="preserve"> </w:t>
      </w:r>
      <w:r w:rsidR="00DE4CCB">
        <w:rPr>
          <w:rFonts w:ascii="Times New Roman" w:hAnsi="Times New Roman" w:cs="Times New Roman"/>
          <w:sz w:val="28"/>
          <w:szCs w:val="28"/>
        </w:rPr>
        <w:t>on moistened cereal substrates produced peak OTA (31.9 ± 4.3 µg/kg) and CIT (74.8 ± 5.7 µg/kg) at 20 °</w:t>
      </w:r>
      <w:proofErr w:type="spellStart"/>
      <w:r w:rsidR="00DE4CCB">
        <w:rPr>
          <w:rFonts w:ascii="Times New Roman" w:hAnsi="Times New Roman" w:cs="Times New Roman"/>
          <w:sz w:val="28"/>
          <w:szCs w:val="28"/>
        </w:rPr>
        <w:t>C over</w:t>
      </w:r>
      <w:proofErr w:type="spellEnd"/>
      <w:r w:rsidR="00DE4CCB">
        <w:rPr>
          <w:rFonts w:ascii="Times New Roman" w:hAnsi="Times New Roman" w:cs="Times New Roman"/>
          <w:sz w:val="28"/>
          <w:szCs w:val="28"/>
        </w:rPr>
        <w:t xml:space="preserve"> 40 days; neither toxin was detectable at 10 °C, indicating a narrow </w:t>
      </w:r>
      <w:proofErr w:type="spellStart"/>
      <w:r w:rsidR="00DE4CCB">
        <w:rPr>
          <w:rFonts w:ascii="Times New Roman" w:hAnsi="Times New Roman" w:cs="Times New Roman"/>
          <w:sz w:val="28"/>
          <w:szCs w:val="28"/>
        </w:rPr>
        <w:t>ecophysiological</w:t>
      </w:r>
      <w:proofErr w:type="spellEnd"/>
      <w:r w:rsidR="00DE4CCB">
        <w:rPr>
          <w:rFonts w:ascii="Times New Roman" w:hAnsi="Times New Roman" w:cs="Times New Roman"/>
          <w:sz w:val="28"/>
          <w:szCs w:val="28"/>
        </w:rPr>
        <w:t xml:space="preserve"> window for </w:t>
      </w:r>
      <w:proofErr w:type="spellStart"/>
      <w:r w:rsidR="00DE4CCB">
        <w:rPr>
          <w:rFonts w:ascii="Times New Roman" w:hAnsi="Times New Roman" w:cs="Times New Roman"/>
          <w:sz w:val="28"/>
          <w:szCs w:val="28"/>
        </w:rPr>
        <w:t>mycotoxin</w:t>
      </w:r>
      <w:proofErr w:type="spellEnd"/>
      <w:r w:rsidR="00DE4CCB">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w:t>
      </w:r>
      <w:r w:rsidR="0083652B">
        <w:rPr>
          <w:rFonts w:ascii="Times New Roman" w:hAnsi="Times New Roman" w:cs="Times New Roman"/>
          <w:sz w:val="28"/>
          <w:szCs w:val="28"/>
        </w:rPr>
        <w:t xml:space="preserve">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w:t>
      </w:r>
      <w:r w:rsidRPr="00E66CC8">
        <w:rPr>
          <w:rFonts w:ascii="Times New Roman" w:hAnsi="Times New Roman" w:cs="Times New Roman"/>
          <w:sz w:val="28"/>
          <w:szCs w:val="28"/>
        </w:rPr>
        <w:lastRenderedPageBreak/>
        <w:t xml:space="preserve">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particularly CIT</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w:t>
      </w:r>
      <w:r w:rsidR="00AC0710" w:rsidRPr="00E66CC8">
        <w:rPr>
          <w:rFonts w:ascii="Times New Roman" w:hAnsi="Times New Roman" w:cs="Times New Roman"/>
          <w:sz w:val="28"/>
          <w:szCs w:val="28"/>
        </w:rPr>
        <w:t xml:space="preserve"> </w:t>
      </w:r>
      <w:r w:rsidRPr="00E66CC8">
        <w:rPr>
          <w:rFonts w:ascii="Times New Roman" w:hAnsi="Times New Roman" w:cs="Times New Roman"/>
          <w:sz w:val="28"/>
          <w:szCs w:val="28"/>
        </w:rPr>
        <w:t>where high moisture and ambient storage temperatures correlated with OTA loads exceeding EFSA limits</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but also offers a critical eco-centric approach to prevent toxin formation rather than remove preformed toxin.</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w:t>
      </w:r>
      <w:r w:rsidRPr="00E66CC8">
        <w:rPr>
          <w:rFonts w:ascii="Times New Roman" w:hAnsi="Times New Roman" w:cs="Times New Roman"/>
          <w:sz w:val="28"/>
          <w:szCs w:val="28"/>
        </w:rPr>
        <w:lastRenderedPageBreak/>
        <w:t>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contaminated over 30% of wheat/ barley samples in Denmark and Poland</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with OTA levels frequently surpassing EFSA thresholds. Italian cheese samples also demonstrated contamination, reinforcing a pan-European food safety challenge.</w:t>
      </w:r>
      <w:r w:rsidR="001B2592"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w:t>
      </w:r>
      <w:r w:rsidRPr="00E66CC8">
        <w:rPr>
          <w:rFonts w:ascii="Times New Roman" w:hAnsi="Times New Roman" w:cs="Times New Roman"/>
          <w:sz w:val="28"/>
          <w:szCs w:val="28"/>
        </w:rPr>
        <w:lastRenderedPageBreak/>
        <w:t xml:space="preserve">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w:t>
      </w:r>
      <w:r w:rsidR="00216C38"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sidR="00E66CC8">
        <w:rPr>
          <w:rFonts w:ascii="Times New Roman" w:hAnsi="Times New Roman" w:cs="Times New Roman"/>
          <w:sz w:val="28"/>
          <w:szCs w:val="28"/>
        </w:rPr>
        <w:t xml:space="preserve"> </w:t>
      </w:r>
    </w:p>
    <w:p w14:paraId="31C45479" w14:textId="05EED58C" w:rsidR="006C3266" w:rsidRDefault="008143A8" w:rsidP="00B96B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1C4F56">
        <w:rPr>
          <w:rFonts w:ascii="Times New Roman" w:hAnsi="Times New Roman" w:cs="Times New Roman"/>
          <w:sz w:val="28"/>
          <w:szCs w:val="28"/>
        </w:rPr>
        <w:t>d</w:t>
      </w:r>
      <w:r w:rsidR="002031F3">
        <w:rPr>
          <w:rFonts w:ascii="Times New Roman" w:hAnsi="Times New Roman" w:cs="Times New Roman"/>
          <w:sz w:val="28"/>
          <w:szCs w:val="28"/>
        </w:rPr>
        <w:t xml:space="preserve">espite these robust </w:t>
      </w:r>
      <w:r w:rsidR="001C4F56">
        <w:rPr>
          <w:rFonts w:ascii="Times New Roman" w:hAnsi="Times New Roman" w:cs="Times New Roman"/>
          <w:sz w:val="28"/>
          <w:szCs w:val="28"/>
        </w:rPr>
        <w:t>developments significant</w:t>
      </w:r>
      <w:r>
        <w:rPr>
          <w:rFonts w:ascii="Times New Roman" w:hAnsi="Times New Roman" w:cs="Times New Roman"/>
          <w:sz w:val="28"/>
          <w:szCs w:val="28"/>
        </w:rPr>
        <w:t xml:space="preserve">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w:t>
      </w:r>
      <w:r w:rsidR="00CE633E">
        <w:rPr>
          <w:rFonts w:ascii="Times New Roman" w:hAnsi="Times New Roman" w:cs="Times New Roman"/>
          <w:sz w:val="28"/>
          <w:szCs w:val="28"/>
        </w:rPr>
        <w:t xml:space="preserve"> </w:t>
      </w:r>
      <w:r>
        <w:rPr>
          <w:rFonts w:ascii="Times New Roman" w:hAnsi="Times New Roman" w:cs="Times New Roman"/>
          <w:sz w:val="28"/>
          <w:szCs w:val="28"/>
        </w:rPr>
        <w:t>whether they suppress or synergize in toxin production</w:t>
      </w:r>
      <w:r w:rsidR="00034FB9">
        <w:rPr>
          <w:rFonts w:ascii="Times New Roman" w:hAnsi="Times New Roman" w:cs="Times New Roman"/>
          <w:sz w:val="28"/>
          <w:szCs w:val="28"/>
        </w:rPr>
        <w:t xml:space="preserve"> </w:t>
      </w:r>
      <w:r>
        <w:rPr>
          <w:rFonts w:ascii="Times New Roman" w:hAnsi="Times New Roman" w:cs="Times New Roman"/>
          <w:sz w:val="28"/>
          <w:szCs w:val="28"/>
        </w:rPr>
        <w:t>and how combinations of toxins (e.g., OTA + DON) affect biological systems.</w:t>
      </w:r>
      <w:r w:rsidR="001F08CE">
        <w:rPr>
          <w:rFonts w:ascii="Times New Roman" w:hAnsi="Times New Roman" w:cs="Times New Roman"/>
          <w:sz w:val="28"/>
          <w:szCs w:val="28"/>
        </w:rPr>
        <w:t xml:space="preserve"> </w:t>
      </w:r>
      <w:r>
        <w:rPr>
          <w:rFonts w:ascii="Times New Roman" w:hAnsi="Times New Roman" w:cs="Times New Roman"/>
          <w:sz w:val="28"/>
          <w:szCs w:val="28"/>
        </w:rPr>
        <w:t xml:space="preserve">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w:t>
      </w:r>
      <w:r>
        <w:rPr>
          <w:rFonts w:ascii="Times New Roman" w:hAnsi="Times New Roman" w:cs="Times New Roman"/>
          <w:sz w:val="28"/>
          <w:szCs w:val="28"/>
        </w:rPr>
        <w:lastRenderedPageBreak/>
        <w:t xml:space="preserve">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 xml:space="preserve">effectively </w:t>
      </w:r>
      <w:r w:rsidR="001E48E7">
        <w:rPr>
          <w:rFonts w:ascii="Times New Roman" w:hAnsi="Times New Roman" w:cs="Times New Roman"/>
          <w:sz w:val="28"/>
          <w:szCs w:val="28"/>
        </w:rPr>
        <w:t>]</w:t>
      </w:r>
      <w:r>
        <w:rPr>
          <w:rFonts w:ascii="Times New Roman" w:hAnsi="Times New Roman" w:cs="Times New Roman"/>
          <w:sz w:val="28"/>
          <w:szCs w:val="28"/>
        </w:rPr>
        <w:t>assessed</w:t>
      </w:r>
      <w:proofErr w:type="gramEnd"/>
      <w:r>
        <w:rPr>
          <w:rFonts w:ascii="Times New Roman" w:hAnsi="Times New Roman" w:cs="Times New Roman"/>
          <w:sz w:val="28"/>
          <w:szCs w:val="28"/>
        </w:rPr>
        <w:t xml:space="preserve"> and mitigated.</w:t>
      </w:r>
      <w:r w:rsidR="001F08CE">
        <w:rPr>
          <w:rFonts w:ascii="Times New Roman" w:hAnsi="Times New Roman" w:cs="Times New Roman"/>
          <w:sz w:val="28"/>
          <w:szCs w:val="28"/>
        </w:rPr>
        <w:t xml:space="preserve"> Lastly,</w:t>
      </w:r>
      <w:r w:rsidR="00EB75FF">
        <w:rPr>
          <w:rFonts w:ascii="Times New Roman" w:hAnsi="Times New Roman" w:cs="Times New Roman"/>
          <w:sz w:val="28"/>
          <w:szCs w:val="28"/>
        </w:rPr>
        <w:t xml:space="preserve"> there are no published in vivo </w:t>
      </w:r>
      <w:proofErr w:type="gramStart"/>
      <w:r w:rsidR="00EB75FF">
        <w:rPr>
          <w:rFonts w:ascii="Times New Roman" w:hAnsi="Times New Roman" w:cs="Times New Roman"/>
          <w:sz w:val="28"/>
          <w:szCs w:val="28"/>
        </w:rPr>
        <w:t xml:space="preserve">studies </w:t>
      </w:r>
      <w:r w:rsidR="001E48E7">
        <w:rPr>
          <w:rFonts w:ascii="Times New Roman" w:hAnsi="Times New Roman" w:cs="Times New Roman"/>
          <w:sz w:val="28"/>
          <w:szCs w:val="28"/>
        </w:rPr>
        <w:t>]</w:t>
      </w:r>
      <w:r w:rsidR="00EB75FF">
        <w:rPr>
          <w:rFonts w:ascii="Times New Roman" w:hAnsi="Times New Roman" w:cs="Times New Roman"/>
          <w:sz w:val="28"/>
          <w:szCs w:val="28"/>
        </w:rPr>
        <w:t>that</w:t>
      </w:r>
      <w:proofErr w:type="gramEnd"/>
      <w:r w:rsidR="00EB75FF">
        <w:rPr>
          <w:rFonts w:ascii="Times New Roman" w:hAnsi="Times New Roman" w:cs="Times New Roman"/>
          <w:sz w:val="28"/>
          <w:szCs w:val="28"/>
        </w:rPr>
        <w:t xml:space="preserve"> assess the potency of </w:t>
      </w:r>
      <w:r w:rsidR="00EB75FF" w:rsidRPr="005F3E17">
        <w:rPr>
          <w:rFonts w:ascii="Times New Roman" w:hAnsi="Times New Roman" w:cs="Times New Roman"/>
          <w:i/>
          <w:iCs/>
          <w:sz w:val="28"/>
          <w:szCs w:val="28"/>
        </w:rPr>
        <w:t xml:space="preserve">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sidR="00EB75FF">
        <w:rPr>
          <w:rFonts w:ascii="Times New Roman" w:hAnsi="Times New Roman" w:cs="Times New Roman"/>
          <w:sz w:val="28"/>
          <w:szCs w:val="28"/>
        </w:rPr>
        <w:t>50%</w:t>
      </w:r>
      <w:proofErr w:type="gramEnd"/>
      <w:r w:rsidR="00EB75FF">
        <w:rPr>
          <w:rFonts w:ascii="Times New Roman" w:hAnsi="Times New Roman" w:cs="Times New Roman"/>
          <w:sz w:val="28"/>
          <w:szCs w:val="28"/>
        </w:rPr>
        <w:t>,)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00EB75FF" w:rsidRPr="005F3E17">
        <w:rPr>
          <w:rFonts w:ascii="Times New Roman" w:hAnsi="Times New Roman" w:cs="Times New Roman"/>
          <w:i/>
          <w:iCs/>
          <w:sz w:val="28"/>
          <w:szCs w:val="28"/>
        </w:rPr>
        <w:t xml:space="preserve"> 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w:t>
      </w:r>
      <w:r w:rsidR="00EB75FF">
        <w:rPr>
          <w:rFonts w:ascii="Times New Roman" w:hAnsi="Times New Roman" w:cs="Times New Roman"/>
          <w:sz w:val="28"/>
          <w:szCs w:val="28"/>
        </w:rPr>
        <w:lastRenderedPageBreak/>
        <w:t xml:space="preserve">integration are implemented at industrial scale, but without biological validation, we don’t know how effective they are beyond chemical measurements. To bridge this divide, what’s needed is a systematic set of experiments administering </w:t>
      </w:r>
      <w:r w:rsidR="00EB75FF" w:rsidRPr="005F3E17">
        <w:rPr>
          <w:rFonts w:ascii="Times New Roman" w:hAnsi="Times New Roman" w:cs="Times New Roman"/>
          <w:i/>
          <w:iCs/>
          <w:sz w:val="28"/>
          <w:szCs w:val="28"/>
        </w:rPr>
        <w:t>P</w:t>
      </w:r>
      <w:r w:rsidR="00EB75FF">
        <w:rPr>
          <w:rFonts w:ascii="Times New Roman" w:hAnsi="Times New Roman" w:cs="Times New Roman"/>
          <w:sz w:val="28"/>
          <w:szCs w:val="28"/>
        </w:rPr>
        <w:t xml:space="preserve">.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3B9C2C3F" w14:textId="38CC4BD5" w:rsidR="00D82CA6" w:rsidRDefault="00D82CA6" w:rsidP="00D82CA6">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FB717D">
        <w:rPr>
          <w:rFonts w:ascii="Times New Roman" w:hAnsi="Times New Roman" w:cs="Times New Roman"/>
          <w:sz w:val="28"/>
          <w:szCs w:val="28"/>
        </w:rPr>
        <w:t xml:space="preserve"> OF PROBLEM </w:t>
      </w:r>
    </w:p>
    <w:p w14:paraId="54D86282" w14:textId="1EF65CC6"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14:paraId="3EC50FAF" w14:textId="69D156A8"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14:paraId="3B0C00C2" w14:textId="429BB090"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2655BDBC" w14:textId="6800504A" w:rsidR="003D2611" w:rsidRPr="00756BA8" w:rsidRDefault="003D2611" w:rsidP="00D82CA6">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14:paraId="1C6E24EE" w14:textId="449F32C4" w:rsidR="003D22AF" w:rsidRPr="00DF1C46" w:rsidRDefault="00D82CA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E072B0" w:rsidRPr="00DF1C46">
        <w:rPr>
          <w:rFonts w:ascii="Times New Roman" w:hAnsi="Times New Roman" w:cs="Times New Roman"/>
          <w:sz w:val="28"/>
          <w:szCs w:val="28"/>
        </w:rPr>
        <w:t xml:space="preserve">. </w:t>
      </w:r>
      <w:r w:rsidR="003D22AF" w:rsidRPr="00DF1C46">
        <w:rPr>
          <w:rFonts w:ascii="Times New Roman" w:hAnsi="Times New Roman" w:cs="Times New Roman"/>
          <w:sz w:val="28"/>
          <w:szCs w:val="28"/>
        </w:rPr>
        <w:t>JUSTIFICATION OF STUDY</w:t>
      </w:r>
    </w:p>
    <w:p w14:paraId="6D6A219A" w14:textId="1061F017" w:rsidR="00460933" w:rsidRPr="00DF1C46" w:rsidRDefault="00460933"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14:paraId="006648E3" w14:textId="7629F8FD" w:rsidR="008E1834" w:rsidRPr="00DF1C46" w:rsidRDefault="008E1834"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1.4 A</w:t>
      </w:r>
      <w:r w:rsidR="00D20A43" w:rsidRPr="00DF1C46">
        <w:rPr>
          <w:rFonts w:ascii="Times New Roman" w:hAnsi="Times New Roman" w:cs="Times New Roman"/>
          <w:sz w:val="28"/>
          <w:szCs w:val="28"/>
        </w:rPr>
        <w:t xml:space="preserve">IM AND OBJECTIVES </w:t>
      </w:r>
    </w:p>
    <w:p w14:paraId="29DAB9EE" w14:textId="5CEADC83" w:rsidR="00CC4D1F" w:rsidRPr="00DF1C46" w:rsidRDefault="00D20A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sidR="004B6498">
        <w:rPr>
          <w:rFonts w:ascii="Times New Roman" w:hAnsi="Times New Roman" w:cs="Times New Roman"/>
          <w:sz w:val="28"/>
          <w:szCs w:val="28"/>
        </w:rPr>
        <w:t>aim to examine the potency of toxin through laboratory analysis and experimental testing</w:t>
      </w:r>
    </w:p>
    <w:p w14:paraId="10E035BE" w14:textId="6C58E875" w:rsidR="00CC4D1F" w:rsidRPr="00DF1C46" w:rsidRDefault="00CC4D1F"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6ADE159B" w14:textId="50FFF266"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14:paraId="5D9786DC" w14:textId="2DE745D0"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2029CA22" w14:textId="1DD509C9"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lastRenderedPageBreak/>
        <w:t>To test toxin potency on</w:t>
      </w:r>
      <w:r w:rsidR="004B6498">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sidR="004B6498">
        <w:rPr>
          <w:rFonts w:ascii="Times New Roman" w:hAnsi="Times New Roman" w:cs="Times New Roman"/>
          <w:sz w:val="28"/>
          <w:szCs w:val="28"/>
        </w:rPr>
        <w:t>)</w:t>
      </w:r>
      <w:r w:rsidRPr="00291CD5">
        <w:rPr>
          <w:rFonts w:ascii="Times New Roman" w:hAnsi="Times New Roman" w:cs="Times New Roman"/>
          <w:sz w:val="28"/>
          <w:szCs w:val="28"/>
        </w:rPr>
        <w:t>.</w:t>
      </w:r>
    </w:p>
    <w:p w14:paraId="384FD36D" w14:textId="77777777" w:rsidR="009A7D2D" w:rsidRDefault="009A7D2D" w:rsidP="00634F78">
      <w:pPr>
        <w:spacing w:line="480" w:lineRule="auto"/>
        <w:jc w:val="both"/>
        <w:rPr>
          <w:rFonts w:ascii="Times New Roman" w:hAnsi="Times New Roman" w:cs="Times New Roman"/>
          <w:sz w:val="28"/>
          <w:szCs w:val="28"/>
        </w:rPr>
      </w:pPr>
    </w:p>
    <w:p w14:paraId="73A9BB57" w14:textId="77777777" w:rsidR="00D82CA6" w:rsidRDefault="00D82CA6" w:rsidP="00634F78">
      <w:pPr>
        <w:spacing w:line="480" w:lineRule="auto"/>
        <w:jc w:val="both"/>
        <w:rPr>
          <w:rFonts w:ascii="Times New Roman" w:hAnsi="Times New Roman" w:cs="Times New Roman"/>
          <w:sz w:val="28"/>
          <w:szCs w:val="28"/>
        </w:rPr>
      </w:pPr>
    </w:p>
    <w:p w14:paraId="4828D057" w14:textId="77777777" w:rsidR="001D1EB8" w:rsidRDefault="001D1EB8" w:rsidP="00634F78">
      <w:pPr>
        <w:spacing w:line="480" w:lineRule="auto"/>
        <w:jc w:val="both"/>
        <w:rPr>
          <w:rFonts w:ascii="Times New Roman" w:hAnsi="Times New Roman" w:cs="Times New Roman"/>
          <w:sz w:val="28"/>
          <w:szCs w:val="28"/>
        </w:rPr>
      </w:pPr>
    </w:p>
    <w:p w14:paraId="42434B93" w14:textId="77777777" w:rsidR="001D1EB8" w:rsidRDefault="001D1EB8" w:rsidP="00634F78">
      <w:pPr>
        <w:spacing w:line="480" w:lineRule="auto"/>
        <w:jc w:val="both"/>
        <w:rPr>
          <w:rFonts w:ascii="Times New Roman" w:hAnsi="Times New Roman" w:cs="Times New Roman"/>
          <w:sz w:val="28"/>
          <w:szCs w:val="28"/>
        </w:rPr>
      </w:pPr>
    </w:p>
    <w:p w14:paraId="2933D5E7" w14:textId="77777777" w:rsidR="00AC369F" w:rsidRDefault="00AC369F" w:rsidP="00634F78">
      <w:pPr>
        <w:spacing w:line="480" w:lineRule="auto"/>
        <w:jc w:val="both"/>
        <w:rPr>
          <w:rFonts w:ascii="Times New Roman" w:hAnsi="Times New Roman" w:cs="Times New Roman"/>
          <w:sz w:val="28"/>
          <w:szCs w:val="28"/>
        </w:rPr>
      </w:pPr>
    </w:p>
    <w:p w14:paraId="62B0CA49" w14:textId="77777777" w:rsidR="00AC369F" w:rsidRDefault="00AC369F" w:rsidP="00634F78">
      <w:pPr>
        <w:spacing w:line="480" w:lineRule="auto"/>
        <w:jc w:val="both"/>
        <w:rPr>
          <w:rFonts w:ascii="Times New Roman" w:hAnsi="Times New Roman" w:cs="Times New Roman"/>
          <w:sz w:val="28"/>
          <w:szCs w:val="28"/>
        </w:rPr>
      </w:pPr>
    </w:p>
    <w:p w14:paraId="42E7D612" w14:textId="32F56A2A" w:rsidR="00395C4E" w:rsidRDefault="00395C4E" w:rsidP="00D82CA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312C54D" w14:textId="77777777" w:rsidR="00DC4B71"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14:paraId="28210DF5" w14:textId="33D8CF4C" w:rsidR="001A5DA8" w:rsidRDefault="00DC4B71"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5DA8">
        <w:rPr>
          <w:rFonts w:ascii="Times New Roman" w:hAnsi="Times New Roman" w:cs="Times New Roman"/>
          <w:sz w:val="28"/>
          <w:szCs w:val="28"/>
        </w:rPr>
        <w:t xml:space="preserve">Materials </w:t>
      </w:r>
    </w:p>
    <w:p w14:paraId="1A4634A3" w14:textId="6FDE87DB" w:rsidR="00395C4E" w:rsidRDefault="001A5DA8"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w:t>
      </w:r>
      <w:r w:rsidR="00D53AA3">
        <w:rPr>
          <w:rFonts w:ascii="Times New Roman" w:hAnsi="Times New Roman" w:cs="Times New Roman"/>
          <w:sz w:val="28"/>
          <w:szCs w:val="28"/>
        </w:rPr>
        <w:t>es</w:t>
      </w:r>
      <w:r w:rsidR="0002636B">
        <w:rPr>
          <w:rFonts w:ascii="Times New Roman" w:hAnsi="Times New Roman" w:cs="Times New Roman"/>
          <w:sz w:val="28"/>
          <w:szCs w:val="28"/>
        </w:rPr>
        <w:t xml:space="preserve">, </w:t>
      </w:r>
      <w:r w:rsidR="00EA675A">
        <w:rPr>
          <w:rFonts w:ascii="Times New Roman" w:hAnsi="Times New Roman" w:cs="Times New Roman"/>
          <w:sz w:val="28"/>
          <w:szCs w:val="28"/>
        </w:rPr>
        <w:t>conical flakes, beakers</w:t>
      </w:r>
      <w:r w:rsidR="0002636B">
        <w:rPr>
          <w:rFonts w:ascii="Times New Roman" w:hAnsi="Times New Roman" w:cs="Times New Roman"/>
          <w:sz w:val="28"/>
          <w:szCs w:val="28"/>
        </w:rPr>
        <w:t>, cotton wool, aluminum foil paper, wire loop, spirit lamp, matches, stirring rod, 70% dilute ethanol, petri dishes, distilled water</w:t>
      </w:r>
      <w:r w:rsidR="005E4BB9">
        <w:rPr>
          <w:rFonts w:ascii="Times New Roman" w:hAnsi="Times New Roman" w:cs="Times New Roman"/>
          <w:sz w:val="28"/>
          <w:szCs w:val="28"/>
        </w:rPr>
        <w:t>, Lacto</w:t>
      </w:r>
      <w:r w:rsidR="00A23528">
        <w:rPr>
          <w:rFonts w:ascii="Times New Roman" w:hAnsi="Times New Roman" w:cs="Times New Roman"/>
          <w:sz w:val="28"/>
          <w:szCs w:val="28"/>
        </w:rPr>
        <w:t xml:space="preserve"> phenol cotton blue</w:t>
      </w:r>
      <w:r w:rsidR="0002636B">
        <w:rPr>
          <w:rFonts w:ascii="Times New Roman" w:hAnsi="Times New Roman" w:cs="Times New Roman"/>
          <w:sz w:val="28"/>
          <w:szCs w:val="28"/>
        </w:rPr>
        <w:t xml:space="preserve">, nose mask, gloves, autoclaves, incubator, glass slide, </w:t>
      </w:r>
      <w:r w:rsidR="00F47EF2">
        <w:rPr>
          <w:rFonts w:ascii="Times New Roman" w:hAnsi="Times New Roman" w:cs="Times New Roman"/>
          <w:sz w:val="28"/>
          <w:szCs w:val="28"/>
        </w:rPr>
        <w:t>test tubes</w:t>
      </w:r>
      <w:r w:rsidR="0002636B">
        <w:rPr>
          <w:rFonts w:ascii="Times New Roman" w:hAnsi="Times New Roman" w:cs="Times New Roman"/>
          <w:sz w:val="28"/>
          <w:szCs w:val="28"/>
        </w:rPr>
        <w:t xml:space="preserve">, centrifuge, </w:t>
      </w:r>
      <w:proofErr w:type="spellStart"/>
      <w:r w:rsidR="0002636B">
        <w:rPr>
          <w:rFonts w:ascii="Times New Roman" w:hAnsi="Times New Roman" w:cs="Times New Roman"/>
          <w:sz w:val="28"/>
          <w:szCs w:val="28"/>
        </w:rPr>
        <w:t>wistar</w:t>
      </w:r>
      <w:proofErr w:type="spellEnd"/>
      <w:r w:rsidR="0002636B">
        <w:rPr>
          <w:rFonts w:ascii="Times New Roman" w:hAnsi="Times New Roman" w:cs="Times New Roman"/>
          <w:sz w:val="28"/>
          <w:szCs w:val="28"/>
        </w:rPr>
        <w:t xml:space="preserve"> rats, oral feeding syringe, digital weighing scale, microscope and spatula</w:t>
      </w:r>
      <w:r w:rsidR="000B3333">
        <w:rPr>
          <w:rFonts w:ascii="Times New Roman" w:hAnsi="Times New Roman" w:cs="Times New Roman"/>
          <w:sz w:val="28"/>
          <w:szCs w:val="28"/>
        </w:rPr>
        <w:t>, antibiotics (streptomycin),</w:t>
      </w:r>
      <w:r w:rsidR="002920BA">
        <w:rPr>
          <w:rFonts w:ascii="Times New Roman" w:hAnsi="Times New Roman" w:cs="Times New Roman"/>
          <w:sz w:val="28"/>
          <w:szCs w:val="28"/>
        </w:rPr>
        <w:t xml:space="preserve"> rotary shaker, </w:t>
      </w:r>
      <w:r w:rsidR="008C619D">
        <w:rPr>
          <w:rFonts w:ascii="Times New Roman" w:hAnsi="Times New Roman" w:cs="Times New Roman"/>
          <w:sz w:val="28"/>
          <w:szCs w:val="28"/>
        </w:rPr>
        <w:t xml:space="preserve">hot air oven, </w:t>
      </w:r>
      <w:r w:rsidR="00A23528">
        <w:rPr>
          <w:rFonts w:ascii="Times New Roman" w:hAnsi="Times New Roman" w:cs="Times New Roman"/>
          <w:sz w:val="28"/>
          <w:szCs w:val="28"/>
        </w:rPr>
        <w:t xml:space="preserve">dissecting </w:t>
      </w:r>
      <w:r w:rsidR="003118FF">
        <w:rPr>
          <w:rFonts w:ascii="Times New Roman" w:hAnsi="Times New Roman" w:cs="Times New Roman"/>
          <w:sz w:val="28"/>
          <w:szCs w:val="28"/>
        </w:rPr>
        <w:t>instrument.</w:t>
      </w:r>
    </w:p>
    <w:p w14:paraId="3C8D8479" w14:textId="4CC0D47E"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C4B71">
        <w:rPr>
          <w:rFonts w:ascii="Times New Roman" w:hAnsi="Times New Roman" w:cs="Times New Roman"/>
          <w:sz w:val="28"/>
          <w:szCs w:val="28"/>
        </w:rPr>
        <w:t>2</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Sterilization of Equipment and Environment </w:t>
      </w:r>
    </w:p>
    <w:p w14:paraId="21DF58EF" w14:textId="106392B5" w:rsidR="00D801CD" w:rsidRDefault="00D801CD"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2517170" w14:textId="1F7D1F12"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3</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Sample Collection </w:t>
      </w:r>
    </w:p>
    <w:p w14:paraId="6BEC097B" w14:textId="5934AD11" w:rsidR="002E792A" w:rsidRDefault="002E79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14:paraId="73823CA5" w14:textId="74D55A02"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Media preparation </w:t>
      </w:r>
    </w:p>
    <w:p w14:paraId="4FB9AD0F" w14:textId="77777777" w:rsidR="00CA70C4" w:rsidRDefault="00CA70C4" w:rsidP="00CA70C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5A404CD9" w14:textId="4B123B5A"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Serial Dilution </w:t>
      </w:r>
    </w:p>
    <w:p w14:paraId="3FD422A8" w14:textId="58E15F3C" w:rsidR="00395C4E" w:rsidRDefault="0066380C"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Five</w:t>
      </w:r>
      <w:r w:rsidR="00395C4E">
        <w:rPr>
          <w:rFonts w:ascii="Times New Roman" w:hAnsi="Times New Roman" w:cs="Times New Roman"/>
          <w:sz w:val="28"/>
          <w:szCs w:val="28"/>
        </w:rPr>
        <w:t xml:space="preserve"> (</w:t>
      </w:r>
      <w:r>
        <w:rPr>
          <w:rFonts w:ascii="Times New Roman" w:hAnsi="Times New Roman" w:cs="Times New Roman"/>
          <w:sz w:val="28"/>
          <w:szCs w:val="28"/>
        </w:rPr>
        <w:t>5</w:t>
      </w:r>
      <w:r w:rsidR="00395C4E">
        <w:rPr>
          <w:rFonts w:ascii="Times New Roman" w:hAnsi="Times New Roman" w:cs="Times New Roman"/>
          <w:sz w:val="28"/>
          <w:szCs w:val="28"/>
        </w:rPr>
        <w:t xml:space="preserve">) test tube </w:t>
      </w:r>
      <w:proofErr w:type="spellStart"/>
      <w:r w:rsidR="00395C4E">
        <w:rPr>
          <w:rFonts w:ascii="Times New Roman" w:hAnsi="Times New Roman" w:cs="Times New Roman"/>
          <w:sz w:val="28"/>
          <w:szCs w:val="28"/>
        </w:rPr>
        <w:t>labelled</w:t>
      </w:r>
      <w:proofErr w:type="spellEnd"/>
      <w:r w:rsidR="00395C4E">
        <w:rPr>
          <w:rFonts w:ascii="Times New Roman" w:hAnsi="Times New Roman" w:cs="Times New Roman"/>
          <w:sz w:val="28"/>
          <w:szCs w:val="28"/>
        </w:rPr>
        <w:t xml:space="preserve"> 10-¹ to 10-</w:t>
      </w:r>
      <w:r w:rsidR="00E87BBF">
        <w:rPr>
          <w:rFonts w:ascii="Times New Roman" w:hAnsi="Times New Roman" w:cs="Times New Roman"/>
          <w:sz w:val="28"/>
          <w:szCs w:val="28"/>
        </w:rPr>
        <w:t>⁵</w:t>
      </w:r>
      <w:r w:rsidR="00395C4E">
        <w:rPr>
          <w:rFonts w:ascii="Times New Roman" w:hAnsi="Times New Roman" w:cs="Times New Roman"/>
          <w:sz w:val="28"/>
          <w:szCs w:val="28"/>
        </w:rPr>
        <w:t xml:space="preserve"> was placed in a tube rack and each tube was filled with 9ml of distilled water using 10ml needle and syringe, then from the prepared </w:t>
      </w:r>
      <w:r w:rsidR="00E87BBF">
        <w:rPr>
          <w:rFonts w:ascii="Times New Roman" w:hAnsi="Times New Roman" w:cs="Times New Roman"/>
          <w:sz w:val="28"/>
          <w:szCs w:val="28"/>
        </w:rPr>
        <w:t xml:space="preserve">tomatoes </w:t>
      </w:r>
      <w:r w:rsidR="00395C4E">
        <w:rPr>
          <w:rFonts w:ascii="Times New Roman" w:hAnsi="Times New Roman" w:cs="Times New Roman"/>
          <w:sz w:val="28"/>
          <w:szCs w:val="28"/>
        </w:rPr>
        <w:t>sample in a beaker (Initial suspension), 1ml was withdraw and transferred into 10-¹, from 10-¹ 1ml was withdraw and transferred into 10-², from 10-² 1ml was withdraw and transferred into 10-³, from 10-³ 1ml was withdraw and transferred into 10-⁴</w:t>
      </w:r>
      <w:r w:rsidR="0097306D">
        <w:rPr>
          <w:rFonts w:ascii="Times New Roman" w:hAnsi="Times New Roman" w:cs="Times New Roman"/>
          <w:sz w:val="28"/>
          <w:szCs w:val="28"/>
        </w:rPr>
        <w:t xml:space="preserve"> and from 10-⁴, 1ml was withdraw and transferred into 10-⁵ </w:t>
      </w:r>
      <w:r w:rsidR="00395C4E">
        <w:rPr>
          <w:rFonts w:ascii="Times New Roman" w:hAnsi="Times New Roman" w:cs="Times New Roman"/>
          <w:sz w:val="28"/>
          <w:szCs w:val="28"/>
        </w:rPr>
        <w:t xml:space="preserve">respectfully </w:t>
      </w:r>
    </w:p>
    <w:p w14:paraId="3426ACB9" w14:textId="47F70EB5"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118FF">
        <w:rPr>
          <w:rFonts w:ascii="Times New Roman" w:hAnsi="Times New Roman" w:cs="Times New Roman"/>
          <w:sz w:val="28"/>
          <w:szCs w:val="28"/>
        </w:rPr>
        <w:t>6</w:t>
      </w:r>
      <w:r>
        <w:rPr>
          <w:rFonts w:ascii="Times New Roman" w:hAnsi="Times New Roman" w:cs="Times New Roman"/>
          <w:sz w:val="28"/>
          <w:szCs w:val="28"/>
        </w:rPr>
        <w:t xml:space="preserve"> Sample Preparation and</w:t>
      </w:r>
      <w:r w:rsidR="00395C4E">
        <w:rPr>
          <w:rFonts w:ascii="Times New Roman" w:hAnsi="Times New Roman" w:cs="Times New Roman"/>
          <w:sz w:val="28"/>
          <w:szCs w:val="28"/>
        </w:rPr>
        <w:t xml:space="preserve"> </w:t>
      </w:r>
      <w:r w:rsidR="00E44950">
        <w:rPr>
          <w:rFonts w:ascii="Times New Roman" w:hAnsi="Times New Roman" w:cs="Times New Roman"/>
          <w:sz w:val="28"/>
          <w:szCs w:val="28"/>
        </w:rPr>
        <w:t xml:space="preserve">Culturing </w:t>
      </w:r>
    </w:p>
    <w:p w14:paraId="4DFD7ED0" w14:textId="71BEF1BB" w:rsidR="00395C4E" w:rsidRPr="004165A2" w:rsidRDefault="00B4322A" w:rsidP="00634F78">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w:t>
      </w:r>
      <w:r w:rsidR="004165A2">
        <w:rPr>
          <w:rFonts w:ascii="Times New Roman" w:hAnsi="Times New Roman" w:cs="Times New Roman"/>
          <w:sz w:val="28"/>
          <w:szCs w:val="28"/>
        </w:rPr>
        <w:t xml:space="preserve"> </w:t>
      </w:r>
      <w:r w:rsidR="004165A2">
        <w:rPr>
          <w:rFonts w:ascii="Times New Roman" w:eastAsia="Arial" w:hAnsi="Times New Roman" w:cs="Times New Roman"/>
          <w:color w:val="252525"/>
          <w:sz w:val="28"/>
          <w:szCs w:val="28"/>
        </w:rPr>
        <w:t xml:space="preserve">then </w:t>
      </w:r>
      <w:r w:rsidR="004165A2"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165A2">
        <w:rPr>
          <w:rFonts w:ascii="Times New Roman" w:eastAsia="Arial" w:hAnsi="Times New Roman" w:cs="Times New Roman"/>
          <w:color w:val="252525"/>
          <w:sz w:val="28"/>
          <w:szCs w:val="28"/>
        </w:rPr>
        <w:t>3</w:t>
      </w:r>
      <w:r w:rsidR="004165A2" w:rsidRPr="007E3C13">
        <w:rPr>
          <w:rFonts w:ascii="Times New Roman" w:eastAsia="Arial" w:hAnsi="Times New Roman" w:cs="Times New Roman"/>
          <w:color w:val="252525"/>
          <w:sz w:val="28"/>
          <w:szCs w:val="28"/>
        </w:rPr>
        <w:t xml:space="preserve"> to </w:t>
      </w:r>
      <w:r w:rsidR="004165A2">
        <w:rPr>
          <w:rFonts w:ascii="Times New Roman" w:eastAsia="Arial" w:hAnsi="Times New Roman" w:cs="Times New Roman"/>
          <w:color w:val="252525"/>
          <w:sz w:val="28"/>
          <w:szCs w:val="28"/>
        </w:rPr>
        <w:t>5</w:t>
      </w:r>
      <w:r w:rsidR="004165A2" w:rsidRPr="007E3C13">
        <w:rPr>
          <w:rFonts w:ascii="Times New Roman" w:eastAsia="Arial" w:hAnsi="Times New Roman" w:cs="Times New Roman"/>
          <w:color w:val="252525"/>
          <w:sz w:val="28"/>
          <w:szCs w:val="28"/>
        </w:rPr>
        <w:t xml:space="preserve"> days</w:t>
      </w:r>
      <w:r w:rsidR="004165A2">
        <w:rPr>
          <w:rFonts w:ascii="Times New Roman" w:eastAsia="Arial" w:hAnsi="Times New Roman" w:cs="Times New Roman"/>
          <w:color w:val="252525"/>
          <w:sz w:val="28"/>
          <w:szCs w:val="28"/>
        </w:rPr>
        <w:t>.</w:t>
      </w:r>
    </w:p>
    <w:p w14:paraId="10F6CC01" w14:textId="42FFC896"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7</w:t>
      </w:r>
      <w:r w:rsidR="00395C4E">
        <w:rPr>
          <w:rFonts w:ascii="Times New Roman" w:hAnsi="Times New Roman" w:cs="Times New Roman"/>
          <w:sz w:val="28"/>
          <w:szCs w:val="28"/>
        </w:rPr>
        <w:t xml:space="preserve"> Classification and Identification </w:t>
      </w:r>
    </w:p>
    <w:p w14:paraId="6E4D2CBC"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71F10D50" w14:textId="5CF4B0CB"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8</w:t>
      </w:r>
      <w:r w:rsidR="00395C4E">
        <w:rPr>
          <w:rFonts w:ascii="Times New Roman" w:hAnsi="Times New Roman" w:cs="Times New Roman"/>
          <w:sz w:val="28"/>
          <w:szCs w:val="28"/>
        </w:rPr>
        <w:t xml:space="preserve"> </w:t>
      </w:r>
      <w:proofErr w:type="spellStart"/>
      <w:r w:rsidR="00395C4E">
        <w:rPr>
          <w:rFonts w:ascii="Times New Roman" w:hAnsi="Times New Roman" w:cs="Times New Roman"/>
          <w:sz w:val="28"/>
          <w:szCs w:val="28"/>
        </w:rPr>
        <w:t>Subculturing</w:t>
      </w:r>
      <w:proofErr w:type="spellEnd"/>
      <w:r w:rsidR="00395C4E">
        <w:rPr>
          <w:rFonts w:ascii="Times New Roman" w:hAnsi="Times New Roman" w:cs="Times New Roman"/>
          <w:sz w:val="28"/>
          <w:szCs w:val="28"/>
        </w:rPr>
        <w:t xml:space="preserve"> </w:t>
      </w:r>
    </w:p>
    <w:p w14:paraId="78D3E02B"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2E468A3D" w14:textId="5AD3AE62"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9</w:t>
      </w:r>
      <w:r w:rsidR="00395C4E">
        <w:rPr>
          <w:rFonts w:ascii="Times New Roman" w:hAnsi="Times New Roman" w:cs="Times New Roman"/>
          <w:sz w:val="28"/>
          <w:szCs w:val="28"/>
        </w:rPr>
        <w:t xml:space="preserve"> Toxin Extraction </w:t>
      </w:r>
    </w:p>
    <w:p w14:paraId="5E7D28E3"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47EF0349" w14:textId="4EB6A1F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10</w:t>
      </w:r>
      <w:r w:rsidR="00395C4E">
        <w:rPr>
          <w:rFonts w:ascii="Times New Roman" w:hAnsi="Times New Roman" w:cs="Times New Roman"/>
          <w:sz w:val="28"/>
          <w:szCs w:val="28"/>
        </w:rPr>
        <w:t xml:space="preserve"> Separation of Biomass </w:t>
      </w:r>
    </w:p>
    <w:p w14:paraId="29E5BDB7" w14:textId="129E2A4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liquid was swirl gently and pour into six (6) test tubes </w:t>
      </w:r>
      <w:r w:rsidR="004F6EC6">
        <w:rPr>
          <w:rFonts w:ascii="Times New Roman" w:hAnsi="Times New Roman" w:cs="Times New Roman"/>
          <w:sz w:val="28"/>
          <w:szCs w:val="28"/>
        </w:rPr>
        <w:t xml:space="preserve">and </w:t>
      </w:r>
      <w:r>
        <w:rPr>
          <w:rFonts w:ascii="Times New Roman" w:hAnsi="Times New Roman" w:cs="Times New Roman"/>
          <w:sz w:val="28"/>
          <w:szCs w:val="28"/>
        </w:rPr>
        <w:t>fill till ¾ of e</w:t>
      </w:r>
      <w:r w:rsidR="004F6EC6">
        <w:rPr>
          <w:rFonts w:ascii="Times New Roman" w:hAnsi="Times New Roman" w:cs="Times New Roman"/>
          <w:sz w:val="28"/>
          <w:szCs w:val="28"/>
        </w:rPr>
        <w:t>ach tube, the tubes was then s</w:t>
      </w:r>
      <w:r>
        <w:rPr>
          <w:rFonts w:ascii="Times New Roman" w:hAnsi="Times New Roman" w:cs="Times New Roman"/>
          <w:sz w:val="28"/>
          <w:szCs w:val="28"/>
        </w:rPr>
        <w:t>ubjected to centrifugation and spin at 4000–6000 rpm for 10–15 minutes. After spinning, a clear liquid on top which is the (supernatant) was carefully pour into another clean test tubes and the solid layer at the bottom which is the fungal biomass was discarded.</w:t>
      </w:r>
    </w:p>
    <w:p w14:paraId="72B66BC2" w14:textId="3A34A887"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1</w:t>
      </w:r>
      <w:r w:rsidR="00395C4E">
        <w:rPr>
          <w:rFonts w:ascii="Times New Roman" w:hAnsi="Times New Roman" w:cs="Times New Roman"/>
          <w:sz w:val="28"/>
          <w:szCs w:val="28"/>
        </w:rPr>
        <w:t xml:space="preserve"> Preparation of </w:t>
      </w:r>
      <w:proofErr w:type="spellStart"/>
      <w:r w:rsidR="00E90F01">
        <w:rPr>
          <w:rFonts w:ascii="Times New Roman" w:hAnsi="Times New Roman" w:cs="Times New Roman"/>
          <w:i/>
          <w:sz w:val="28"/>
          <w:szCs w:val="28"/>
        </w:rPr>
        <w:t>verrucosum</w:t>
      </w:r>
      <w:proofErr w:type="spellEnd"/>
      <w:r w:rsidR="00395C4E">
        <w:rPr>
          <w:rFonts w:ascii="Times New Roman" w:hAnsi="Times New Roman" w:cs="Times New Roman"/>
          <w:sz w:val="28"/>
          <w:szCs w:val="28"/>
        </w:rPr>
        <w:t xml:space="preserve"> Concentrations</w:t>
      </w:r>
    </w:p>
    <w:p w14:paraId="4ACA782A" w14:textId="4D89B3C0"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00E90F01"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14:paraId="05F34429" w14:textId="51C603F1"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90F01">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14:paraId="3E7FC6F3" w14:textId="2EE999D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1 mL of sterile distilled water.</w:t>
      </w:r>
    </w:p>
    <w:p w14:paraId="6F4D0686" w14:textId="248BF4A9"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 mL of sterile distilled water.</w:t>
      </w:r>
    </w:p>
    <w:p w14:paraId="1644359E" w14:textId="71C480BA"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 concentration: 2.5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41A9C526" w14:textId="47C1FBD9"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2</w:t>
      </w:r>
      <w:r w:rsidR="00395C4E">
        <w:rPr>
          <w:rFonts w:ascii="Times New Roman" w:hAnsi="Times New Roman" w:cs="Times New Roman"/>
          <w:sz w:val="28"/>
          <w:szCs w:val="28"/>
        </w:rPr>
        <w:t xml:space="preserve"> Experimental Animals and Grouping</w:t>
      </w:r>
    </w:p>
    <w:p w14:paraId="0F358F27" w14:textId="6D319B3B"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w:t>
      </w:r>
      <w:r w:rsidR="00CA70C4">
        <w:rPr>
          <w:rFonts w:ascii="Times New Roman" w:hAnsi="Times New Roman" w:cs="Times New Roman"/>
          <w:sz w:val="28"/>
          <w:szCs w:val="28"/>
        </w:rPr>
        <w:t xml:space="preserve"> They were provided with feed and water ad libitum, following animal care guidelines (National Research Council [NRC], 2018).</w:t>
      </w:r>
    </w:p>
    <w:p w14:paraId="613DADEB" w14:textId="0710A9B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3</w:t>
      </w:r>
      <w:r w:rsidR="00395C4E">
        <w:rPr>
          <w:rFonts w:ascii="Times New Roman" w:hAnsi="Times New Roman" w:cs="Times New Roman"/>
          <w:sz w:val="28"/>
          <w:szCs w:val="28"/>
        </w:rPr>
        <w:t xml:space="preserve"> Identification and Grouping of Experimental Rats</w:t>
      </w:r>
    </w:p>
    <w:p w14:paraId="152B14CA" w14:textId="0184ADE3"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they received as follows:</w:t>
      </w:r>
    </w:p>
    <w:p w14:paraId="34E581F0" w14:textId="1589950D"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95C4E">
        <w:rPr>
          <w:rFonts w:ascii="Times New Roman" w:hAnsi="Times New Roman" w:cs="Times New Roman"/>
          <w:sz w:val="28"/>
          <w:szCs w:val="28"/>
        </w:rPr>
        <w:t>– 100% concentration</w:t>
      </w:r>
    </w:p>
    <w:p w14:paraId="704AEAB7" w14:textId="7FE1730C"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Green </w:t>
      </w:r>
      <w:r w:rsidR="00395C4E">
        <w:rPr>
          <w:rFonts w:ascii="Times New Roman" w:hAnsi="Times New Roman" w:cs="Times New Roman"/>
          <w:sz w:val="28"/>
          <w:szCs w:val="28"/>
        </w:rPr>
        <w:t>– 80% concentration</w:t>
      </w:r>
    </w:p>
    <w:p w14:paraId="069A9689" w14:textId="07079E81"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95C4E">
        <w:rPr>
          <w:rFonts w:ascii="Times New Roman" w:hAnsi="Times New Roman" w:cs="Times New Roman"/>
          <w:sz w:val="28"/>
          <w:szCs w:val="28"/>
        </w:rPr>
        <w:t xml:space="preserve"> – 60% concentration</w:t>
      </w:r>
    </w:p>
    <w:p w14:paraId="1DCF25A8" w14:textId="58C8419A"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95C4E">
        <w:rPr>
          <w:rFonts w:ascii="Times New Roman" w:hAnsi="Times New Roman" w:cs="Times New Roman"/>
          <w:sz w:val="28"/>
          <w:szCs w:val="28"/>
        </w:rPr>
        <w:t xml:space="preserve"> – 50% concentration</w:t>
      </w:r>
      <w:r w:rsidR="004F6EC6">
        <w:rPr>
          <w:rFonts w:ascii="Times New Roman" w:hAnsi="Times New Roman" w:cs="Times New Roman"/>
          <w:sz w:val="28"/>
          <w:szCs w:val="28"/>
        </w:rPr>
        <w:t>s</w:t>
      </w:r>
      <w:r w:rsidR="00395C4E">
        <w:rPr>
          <w:rFonts w:ascii="Times New Roman" w:hAnsi="Times New Roman" w:cs="Times New Roman"/>
          <w:sz w:val="28"/>
          <w:szCs w:val="28"/>
        </w:rPr>
        <w:t>. The color marking was maintained throughout the experiment for accurate tracking and observation.</w:t>
      </w:r>
    </w:p>
    <w:p w14:paraId="0C1CCB9A" w14:textId="7681D96E"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Toxin Administration</w:t>
      </w:r>
    </w:p>
    <w:p w14:paraId="09EB0EDD"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F472DE" w14:textId="25C6C518"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Dissection and Post-Mortem Examination</w:t>
      </w:r>
    </w:p>
    <w:p w14:paraId="763597C9" w14:textId="77777777" w:rsidR="00BD7E86" w:rsidRDefault="00BD7E86" w:rsidP="00BD7E86">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50F0215C" w14:textId="77777777" w:rsidR="004F6EC6" w:rsidRDefault="004F6EC6" w:rsidP="004F6EC6">
      <w:pPr>
        <w:spacing w:line="480" w:lineRule="auto"/>
        <w:jc w:val="both"/>
        <w:rPr>
          <w:rFonts w:ascii="Times New Roman" w:hAnsi="Times New Roman" w:cs="Times New Roman"/>
          <w:sz w:val="28"/>
          <w:szCs w:val="28"/>
        </w:rPr>
      </w:pPr>
    </w:p>
    <w:p w14:paraId="273C9F24" w14:textId="77777777" w:rsidR="004F6EC6" w:rsidRDefault="004F6EC6" w:rsidP="004F6EC6">
      <w:pPr>
        <w:spacing w:line="480" w:lineRule="auto"/>
        <w:jc w:val="both"/>
        <w:rPr>
          <w:rFonts w:ascii="Times New Roman" w:hAnsi="Times New Roman" w:cs="Times New Roman"/>
          <w:sz w:val="28"/>
          <w:szCs w:val="28"/>
        </w:rPr>
      </w:pPr>
    </w:p>
    <w:p w14:paraId="5BB1DDF3" w14:textId="77777777" w:rsidR="004F6EC6" w:rsidRDefault="004F6EC6" w:rsidP="004F6EC6">
      <w:pPr>
        <w:spacing w:line="480" w:lineRule="auto"/>
        <w:jc w:val="both"/>
        <w:rPr>
          <w:rFonts w:ascii="Times New Roman" w:hAnsi="Times New Roman" w:cs="Times New Roman"/>
          <w:sz w:val="28"/>
          <w:szCs w:val="28"/>
        </w:rPr>
      </w:pPr>
    </w:p>
    <w:p w14:paraId="519CA41E" w14:textId="77777777" w:rsidR="004F6EC6" w:rsidRDefault="004F6EC6" w:rsidP="004F6EC6">
      <w:pPr>
        <w:spacing w:line="480" w:lineRule="auto"/>
        <w:jc w:val="both"/>
        <w:rPr>
          <w:rFonts w:ascii="Times New Roman" w:hAnsi="Times New Roman" w:cs="Times New Roman"/>
          <w:sz w:val="28"/>
          <w:szCs w:val="28"/>
        </w:rPr>
      </w:pPr>
    </w:p>
    <w:p w14:paraId="317E1671" w14:textId="77777777" w:rsidR="00BD7E86" w:rsidRDefault="00BD7E86" w:rsidP="004F6EC6">
      <w:pPr>
        <w:spacing w:line="480" w:lineRule="auto"/>
        <w:jc w:val="both"/>
        <w:rPr>
          <w:rFonts w:ascii="Times New Roman" w:hAnsi="Times New Roman" w:cs="Times New Roman"/>
          <w:sz w:val="28"/>
          <w:szCs w:val="28"/>
        </w:rPr>
      </w:pPr>
    </w:p>
    <w:p w14:paraId="4D2FAB9E" w14:textId="77777777" w:rsidR="00BD7E86" w:rsidRDefault="00BD7E86" w:rsidP="004F6EC6">
      <w:pPr>
        <w:spacing w:line="480" w:lineRule="auto"/>
        <w:jc w:val="both"/>
        <w:rPr>
          <w:rFonts w:ascii="Times New Roman" w:hAnsi="Times New Roman" w:cs="Times New Roman"/>
          <w:sz w:val="28"/>
          <w:szCs w:val="28"/>
        </w:rPr>
      </w:pPr>
    </w:p>
    <w:p w14:paraId="531419D8" w14:textId="77777777" w:rsidR="002850E7" w:rsidRDefault="002850E7" w:rsidP="004F6EC6">
      <w:pPr>
        <w:spacing w:line="480" w:lineRule="auto"/>
        <w:jc w:val="both"/>
        <w:rPr>
          <w:rFonts w:ascii="Times New Roman" w:hAnsi="Times New Roman" w:cs="Times New Roman"/>
          <w:sz w:val="28"/>
          <w:szCs w:val="28"/>
        </w:rPr>
      </w:pPr>
    </w:p>
    <w:p w14:paraId="1BC17BDD" w14:textId="35D337B1" w:rsidR="004F6EC6" w:rsidRDefault="004F6EC6" w:rsidP="003E4992">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53CE1CB0" w14:textId="3CEBC909" w:rsidR="005E434A" w:rsidRPr="00717B89" w:rsidRDefault="005E434A" w:rsidP="00717B89">
      <w:pPr>
        <w:pStyle w:val="ListParagraph"/>
        <w:numPr>
          <w:ilvl w:val="1"/>
          <w:numId w:val="5"/>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37D68CFE" w14:textId="436C88E8" w:rsidR="00717B89" w:rsidRPr="00E202EA" w:rsidRDefault="00E202EA" w:rsidP="00E202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86F94">
        <w:rPr>
          <w:rFonts w:ascii="Times New Roman" w:hAnsi="Times New Roman" w:cs="Times New Roman"/>
          <w:sz w:val="28"/>
          <w:szCs w:val="28"/>
        </w:rPr>
        <w:t xml:space="preserve">1: </w:t>
      </w:r>
      <w:r w:rsidR="00717B89"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072277" w14:paraId="2DF37221" w14:textId="77777777" w:rsidTr="0055380B">
        <w:trPr>
          <w:trHeight w:val="377"/>
        </w:trPr>
        <w:tc>
          <w:tcPr>
            <w:tcW w:w="5042" w:type="dxa"/>
          </w:tcPr>
          <w:p w14:paraId="79F32CDF" w14:textId="08FE6601"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010D529D" w14:textId="12ADA33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072277" w14:paraId="6235612E" w14:textId="77777777" w:rsidTr="0055380B">
        <w:trPr>
          <w:trHeight w:val="431"/>
        </w:trPr>
        <w:tc>
          <w:tcPr>
            <w:tcW w:w="5042" w:type="dxa"/>
          </w:tcPr>
          <w:p w14:paraId="6F6E1B73" w14:textId="4C5B649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Olive-green </w:t>
            </w:r>
            <w:r w:rsidR="006E4646">
              <w:rPr>
                <w:rFonts w:ascii="Times New Roman" w:hAnsi="Times New Roman" w:cs="Times New Roman"/>
                <w:sz w:val="28"/>
                <w:szCs w:val="28"/>
              </w:rPr>
              <w:t xml:space="preserve">with velvety texture </w:t>
            </w:r>
          </w:p>
        </w:tc>
        <w:tc>
          <w:tcPr>
            <w:tcW w:w="5039" w:type="dxa"/>
          </w:tcPr>
          <w:p w14:paraId="6E200535" w14:textId="485F8C82" w:rsidR="00072277" w:rsidRDefault="006E4646" w:rsidP="0055380B">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w:t>
            </w:r>
            <w:r w:rsidR="009E005A">
              <w:rPr>
                <w:rFonts w:ascii="Times New Roman" w:hAnsi="Times New Roman" w:cs="Times New Roman"/>
                <w:sz w:val="28"/>
                <w:szCs w:val="28"/>
              </w:rPr>
              <w:t xml:space="preserve">and branched brush-like structure </w:t>
            </w:r>
          </w:p>
        </w:tc>
      </w:tr>
    </w:tbl>
    <w:p w14:paraId="74EB2AA9" w14:textId="77777777" w:rsidR="00BD7E86" w:rsidRDefault="00BD7E86" w:rsidP="005E434A">
      <w:pPr>
        <w:spacing w:line="480" w:lineRule="auto"/>
        <w:jc w:val="both"/>
        <w:rPr>
          <w:rFonts w:ascii="Times New Roman" w:hAnsi="Times New Roman" w:cs="Times New Roman"/>
          <w:sz w:val="28"/>
          <w:szCs w:val="28"/>
        </w:rPr>
      </w:pPr>
    </w:p>
    <w:p w14:paraId="2A87E99D" w14:textId="039F5E83" w:rsidR="005E434A" w:rsidRDefault="005E434A"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Tabl</w:t>
      </w:r>
      <w:r w:rsidR="000C0530">
        <w:rPr>
          <w:rFonts w:ascii="Times New Roman" w:hAnsi="Times New Roman" w:cs="Times New Roman"/>
          <w:sz w:val="28"/>
          <w:szCs w:val="28"/>
        </w:rPr>
        <w:t xml:space="preserve">e </w:t>
      </w:r>
      <w:r w:rsidR="00E202EA">
        <w:rPr>
          <w:rFonts w:ascii="Times New Roman" w:hAnsi="Times New Roman" w:cs="Times New Roman"/>
          <w:sz w:val="28"/>
          <w:szCs w:val="28"/>
        </w:rPr>
        <w:t>2</w:t>
      </w:r>
      <w:r w:rsidR="00682955">
        <w:rPr>
          <w:rFonts w:ascii="Times New Roman" w:hAnsi="Times New Roman" w:cs="Times New Roman"/>
          <w:sz w:val="28"/>
          <w:szCs w:val="28"/>
        </w:rPr>
        <w:t xml:space="preserve">: </w:t>
      </w:r>
      <w:r w:rsidR="00C04DDB"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C04DDB" w14:paraId="57FD4256" w14:textId="77777777" w:rsidTr="00000BC0">
        <w:trPr>
          <w:trHeight w:val="738"/>
        </w:trPr>
        <w:tc>
          <w:tcPr>
            <w:tcW w:w="1078" w:type="dxa"/>
            <w:tcBorders>
              <w:top w:val="single" w:sz="4" w:space="0" w:color="auto"/>
              <w:bottom w:val="single" w:sz="4" w:space="0" w:color="auto"/>
            </w:tcBorders>
          </w:tcPr>
          <w:p w14:paraId="51677EA2"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A71F48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84E09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58A9FA91"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BFE7F7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D6CDC8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C04DDB" w14:paraId="09318777" w14:textId="77777777" w:rsidTr="00000BC0">
        <w:trPr>
          <w:trHeight w:val="177"/>
        </w:trPr>
        <w:tc>
          <w:tcPr>
            <w:tcW w:w="1078" w:type="dxa"/>
            <w:tcBorders>
              <w:top w:val="single" w:sz="4" w:space="0" w:color="auto"/>
              <w:bottom w:val="nil"/>
            </w:tcBorders>
          </w:tcPr>
          <w:p w14:paraId="29E6D50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17883E93" w14:textId="001F04C8"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043881D" w14:textId="1C1CC4F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69C9BD70" w14:textId="699803E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w:t>
            </w:r>
            <w:r w:rsidR="006D7FC5">
              <w:rPr>
                <w:rFonts w:ascii="Times New Roman" w:hAnsi="Times New Roman" w:cs="Times New Roman"/>
                <w:iCs/>
                <w:sz w:val="28"/>
                <w:szCs w:val="28"/>
              </w:rPr>
              <w:t>igh consumption</w:t>
            </w:r>
          </w:p>
        </w:tc>
        <w:tc>
          <w:tcPr>
            <w:tcW w:w="1577" w:type="dxa"/>
            <w:tcBorders>
              <w:top w:val="single" w:sz="4" w:space="0" w:color="auto"/>
              <w:bottom w:val="nil"/>
            </w:tcBorders>
          </w:tcPr>
          <w:p w14:paraId="7B756A18" w14:textId="3783077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27416F3" w14:textId="623CEF2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4362ACEE" w14:textId="77777777" w:rsidTr="00000BC0">
        <w:trPr>
          <w:trHeight w:val="183"/>
        </w:trPr>
        <w:tc>
          <w:tcPr>
            <w:tcW w:w="1078" w:type="dxa"/>
            <w:tcBorders>
              <w:top w:val="nil"/>
            </w:tcBorders>
          </w:tcPr>
          <w:p w14:paraId="4C26A6D0"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1DA5774" w14:textId="04115A45"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98669D7" w14:textId="0CF000A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34975691" w14:textId="1EF5C2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2CE0BD16" w14:textId="37BD045E"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Borders>
              <w:top w:val="nil"/>
            </w:tcBorders>
          </w:tcPr>
          <w:p w14:paraId="44C2C89D" w14:textId="7C225E83"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8507E83" w14:textId="77777777" w:rsidTr="00000BC0">
        <w:trPr>
          <w:trHeight w:val="183"/>
        </w:trPr>
        <w:tc>
          <w:tcPr>
            <w:tcW w:w="1078" w:type="dxa"/>
          </w:tcPr>
          <w:p w14:paraId="3B9109F7"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46382AF6" w14:textId="029ECB6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D29CF43" w14:textId="6479335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58010F3C" w14:textId="5EA3E7E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BB25F18" w14:textId="3038A272"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4F6DD95" w14:textId="345AC6F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CF1D5F5" w14:textId="77777777" w:rsidTr="00000BC0">
        <w:trPr>
          <w:trHeight w:val="177"/>
        </w:trPr>
        <w:tc>
          <w:tcPr>
            <w:tcW w:w="1078" w:type="dxa"/>
          </w:tcPr>
          <w:p w14:paraId="63121B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48B0AC55" w14:textId="35C3E16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2E14BBF" w14:textId="7F45191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68239C0D" w14:textId="3C6B3AB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9268B5F" w14:textId="1F7108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6BD7D87" w14:textId="02E7894D"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341219EC" w14:textId="77777777" w:rsidTr="00000BC0">
        <w:trPr>
          <w:trHeight w:val="183"/>
        </w:trPr>
        <w:tc>
          <w:tcPr>
            <w:tcW w:w="1078" w:type="dxa"/>
          </w:tcPr>
          <w:p w14:paraId="04A9CBB5"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0F89EF9" w14:textId="58221A13"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8BC3D9D" w14:textId="6609045C"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8947CB1" w14:textId="4126D69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3803ECF" w14:textId="1EC30A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9F660FE" w14:textId="35886D7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75420C4" w14:textId="77777777" w:rsidTr="00000BC0">
        <w:trPr>
          <w:trHeight w:val="183"/>
        </w:trPr>
        <w:tc>
          <w:tcPr>
            <w:tcW w:w="1078" w:type="dxa"/>
          </w:tcPr>
          <w:p w14:paraId="357943C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082B3B36" w14:textId="1C40BB8A"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317E72E" w14:textId="6F56769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270CB7CA" w14:textId="30257D66"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DF37F53" w14:textId="5E3FEC77"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1685CCE" w14:textId="77FBB0A8" w:rsidR="00C04DDB"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753C63D5" w14:textId="77777777" w:rsidTr="00000BC0">
        <w:trPr>
          <w:trHeight w:val="177"/>
        </w:trPr>
        <w:tc>
          <w:tcPr>
            <w:tcW w:w="1078" w:type="dxa"/>
          </w:tcPr>
          <w:p w14:paraId="1179C4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6EF05E" w14:textId="304AB61F"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8E998DA" w14:textId="2569138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w:t>
            </w:r>
            <w:r w:rsidR="006D7FC5">
              <w:rPr>
                <w:rFonts w:ascii="Times New Roman" w:hAnsi="Times New Roman" w:cs="Times New Roman"/>
                <w:iCs/>
                <w:sz w:val="28"/>
                <w:szCs w:val="28"/>
              </w:rPr>
              <w:t>t normal</w:t>
            </w:r>
          </w:p>
        </w:tc>
        <w:tc>
          <w:tcPr>
            <w:tcW w:w="2497" w:type="dxa"/>
          </w:tcPr>
          <w:p w14:paraId="7499BBD5" w14:textId="060914A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8C7D603" w14:textId="5C9A472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569FFB1" w14:textId="3DF22F76"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0674EBC1" w14:textId="77777777" w:rsidTr="00000BC0">
        <w:trPr>
          <w:trHeight w:val="189"/>
        </w:trPr>
        <w:tc>
          <w:tcPr>
            <w:tcW w:w="1078" w:type="dxa"/>
          </w:tcPr>
          <w:p w14:paraId="28CECBA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2067A774" w14:textId="422CDA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D199C5A" w14:textId="5470ED7B"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A901EA2" w14:textId="6FD1B312"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5F402F1" w14:textId="2886764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D21CC70" w14:textId="798D37B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DF2CACB" w14:textId="2C2BD049" w:rsidR="004F36EF"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658C2DA0" w14:textId="5C35F2D1" w:rsidR="0055380B"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w:t>
      </w:r>
      <w:r w:rsidR="00EE64B2">
        <w:rPr>
          <w:rFonts w:ascii="Times New Roman" w:hAnsi="Times New Roman" w:cs="Times New Roman"/>
          <w:sz w:val="28"/>
          <w:szCs w:val="28"/>
        </w:rPr>
        <w:t xml:space="preserve">  Blue</w:t>
      </w:r>
      <w:proofErr w:type="gramEnd"/>
      <w:r w:rsidR="0005057C">
        <w:rPr>
          <w:rFonts w:ascii="Times New Roman" w:hAnsi="Times New Roman" w:cs="Times New Roman"/>
          <w:sz w:val="28"/>
          <w:szCs w:val="28"/>
        </w:rPr>
        <w:t>-60%</w:t>
      </w:r>
    </w:p>
    <w:p w14:paraId="4DBF513B" w14:textId="4644E5F0" w:rsidR="0055380B" w:rsidRDefault="008A58E5"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w:t>
      </w:r>
      <w:r w:rsidR="00EE64B2">
        <w:rPr>
          <w:rFonts w:ascii="Times New Roman" w:hAnsi="Times New Roman" w:cs="Times New Roman"/>
          <w:sz w:val="28"/>
          <w:szCs w:val="28"/>
        </w:rPr>
        <w:t>-80%</w:t>
      </w:r>
      <w:r w:rsidR="0005057C">
        <w:rPr>
          <w:rFonts w:ascii="Times New Roman" w:hAnsi="Times New Roman" w:cs="Times New Roman"/>
          <w:sz w:val="28"/>
          <w:szCs w:val="28"/>
        </w:rPr>
        <w:t xml:space="preserve">      Red-50%</w:t>
      </w:r>
    </w:p>
    <w:p w14:paraId="178615AE" w14:textId="161D58C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3</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8</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096BC919" w14:textId="77777777" w:rsidTr="00000BC0">
        <w:trPr>
          <w:trHeight w:val="738"/>
        </w:trPr>
        <w:tc>
          <w:tcPr>
            <w:tcW w:w="1078" w:type="dxa"/>
            <w:tcBorders>
              <w:top w:val="single" w:sz="4" w:space="0" w:color="auto"/>
              <w:bottom w:val="single" w:sz="4" w:space="0" w:color="auto"/>
            </w:tcBorders>
          </w:tcPr>
          <w:p w14:paraId="5369223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5231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31C6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7A0933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563CEC8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7A4A249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24B9E181" w14:textId="77777777" w:rsidTr="00000BC0">
        <w:trPr>
          <w:trHeight w:val="177"/>
        </w:trPr>
        <w:tc>
          <w:tcPr>
            <w:tcW w:w="1078" w:type="dxa"/>
            <w:tcBorders>
              <w:top w:val="single" w:sz="4" w:space="0" w:color="auto"/>
              <w:bottom w:val="nil"/>
            </w:tcBorders>
          </w:tcPr>
          <w:p w14:paraId="070E75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0C87D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68C11C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692C48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78A429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E2962A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2F476CFC" w14:textId="77777777" w:rsidTr="00000BC0">
        <w:trPr>
          <w:trHeight w:val="183"/>
        </w:trPr>
        <w:tc>
          <w:tcPr>
            <w:tcW w:w="1078" w:type="dxa"/>
            <w:tcBorders>
              <w:top w:val="nil"/>
            </w:tcBorders>
          </w:tcPr>
          <w:p w14:paraId="0A0CE6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C06123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FF572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0626B95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16A1287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3F9AC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F6DE214" w14:textId="77777777" w:rsidTr="00000BC0">
        <w:trPr>
          <w:trHeight w:val="183"/>
        </w:trPr>
        <w:tc>
          <w:tcPr>
            <w:tcW w:w="1078" w:type="dxa"/>
          </w:tcPr>
          <w:p w14:paraId="622CD13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C632A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36B3C8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3FDAC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5CCEA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1456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003AD3C" w14:textId="77777777" w:rsidTr="00000BC0">
        <w:trPr>
          <w:trHeight w:val="177"/>
        </w:trPr>
        <w:tc>
          <w:tcPr>
            <w:tcW w:w="1078" w:type="dxa"/>
          </w:tcPr>
          <w:p w14:paraId="5586EEE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4</w:t>
            </w:r>
          </w:p>
        </w:tc>
        <w:tc>
          <w:tcPr>
            <w:tcW w:w="1577" w:type="dxa"/>
          </w:tcPr>
          <w:p w14:paraId="34882B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702323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A4C87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5018814" w14:textId="72D29C46"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6CE363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188A563" w14:textId="77777777" w:rsidTr="00000BC0">
        <w:trPr>
          <w:trHeight w:val="183"/>
        </w:trPr>
        <w:tc>
          <w:tcPr>
            <w:tcW w:w="1078" w:type="dxa"/>
          </w:tcPr>
          <w:p w14:paraId="78199FE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A192B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F56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8F097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9E76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EDE4E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09C3EAC" w14:textId="77777777" w:rsidTr="00000BC0">
        <w:trPr>
          <w:trHeight w:val="183"/>
        </w:trPr>
        <w:tc>
          <w:tcPr>
            <w:tcW w:w="1078" w:type="dxa"/>
          </w:tcPr>
          <w:p w14:paraId="323D95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7F94246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146317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CE4107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458C9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D4A25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A3CBDF" w14:textId="77777777" w:rsidTr="00000BC0">
        <w:trPr>
          <w:trHeight w:val="177"/>
        </w:trPr>
        <w:tc>
          <w:tcPr>
            <w:tcW w:w="1078" w:type="dxa"/>
          </w:tcPr>
          <w:p w14:paraId="451D11B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3D936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04C2B1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51EAB7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4A4A2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B0D84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EDA102" w14:textId="77777777" w:rsidTr="00000BC0">
        <w:trPr>
          <w:trHeight w:val="189"/>
        </w:trPr>
        <w:tc>
          <w:tcPr>
            <w:tcW w:w="1078" w:type="dxa"/>
          </w:tcPr>
          <w:p w14:paraId="56D12D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31C60C4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5D28C5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5E99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4D238C4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7CA3F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2DDF5E9" w14:textId="77777777" w:rsidR="00207F2D"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0383F09" w14:textId="2A7E1AF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0F4C246F" w14:textId="660CC0CA"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0DFA7E2B" w14:textId="071A86FA"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4</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6</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4FC767EC" w14:textId="77777777" w:rsidTr="00000BC0">
        <w:trPr>
          <w:trHeight w:val="738"/>
        </w:trPr>
        <w:tc>
          <w:tcPr>
            <w:tcW w:w="1078" w:type="dxa"/>
            <w:tcBorders>
              <w:top w:val="single" w:sz="4" w:space="0" w:color="auto"/>
              <w:bottom w:val="single" w:sz="4" w:space="0" w:color="auto"/>
            </w:tcBorders>
          </w:tcPr>
          <w:p w14:paraId="14C22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7684EB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59ED3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8EDD54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71B180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574755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7A41C976" w14:textId="77777777" w:rsidTr="00000BC0">
        <w:trPr>
          <w:trHeight w:val="177"/>
        </w:trPr>
        <w:tc>
          <w:tcPr>
            <w:tcW w:w="1078" w:type="dxa"/>
            <w:tcBorders>
              <w:top w:val="single" w:sz="4" w:space="0" w:color="auto"/>
              <w:bottom w:val="nil"/>
            </w:tcBorders>
          </w:tcPr>
          <w:p w14:paraId="2FEA9B3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651FFB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22CD300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4B78C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0099BB8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24BCCE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EB1348B" w14:textId="77777777" w:rsidTr="00000BC0">
        <w:trPr>
          <w:trHeight w:val="183"/>
        </w:trPr>
        <w:tc>
          <w:tcPr>
            <w:tcW w:w="1078" w:type="dxa"/>
            <w:tcBorders>
              <w:top w:val="nil"/>
            </w:tcBorders>
          </w:tcPr>
          <w:p w14:paraId="48DAB98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A0B4E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EDDA60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4836BB9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6C7B5D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6971FF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D58FAF9" w14:textId="77777777" w:rsidTr="00000BC0">
        <w:trPr>
          <w:trHeight w:val="183"/>
        </w:trPr>
        <w:tc>
          <w:tcPr>
            <w:tcW w:w="1078" w:type="dxa"/>
          </w:tcPr>
          <w:p w14:paraId="7F39AA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23EF5E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46D0FD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704776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1667A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80C02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C4EED01" w14:textId="77777777" w:rsidTr="00000BC0">
        <w:trPr>
          <w:trHeight w:val="177"/>
        </w:trPr>
        <w:tc>
          <w:tcPr>
            <w:tcW w:w="1078" w:type="dxa"/>
          </w:tcPr>
          <w:p w14:paraId="39A11B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74BBAA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8BB84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0E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588B9D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4DE4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E3A776" w14:textId="77777777" w:rsidTr="00000BC0">
        <w:trPr>
          <w:trHeight w:val="183"/>
        </w:trPr>
        <w:tc>
          <w:tcPr>
            <w:tcW w:w="1078" w:type="dxa"/>
          </w:tcPr>
          <w:p w14:paraId="1AE70E1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2D1544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3F982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1EFB9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DA74B8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609CBF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616F2689" w14:textId="77777777" w:rsidTr="00000BC0">
        <w:trPr>
          <w:trHeight w:val="183"/>
        </w:trPr>
        <w:tc>
          <w:tcPr>
            <w:tcW w:w="1078" w:type="dxa"/>
          </w:tcPr>
          <w:p w14:paraId="689C522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00783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B5F96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D1C425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2A38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EC5B2F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2DFA1D7" w14:textId="77777777" w:rsidTr="00000BC0">
        <w:trPr>
          <w:trHeight w:val="177"/>
        </w:trPr>
        <w:tc>
          <w:tcPr>
            <w:tcW w:w="1078" w:type="dxa"/>
          </w:tcPr>
          <w:p w14:paraId="0026453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739201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5913AD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F8C526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543227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8F489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5AAE79D" w14:textId="77777777" w:rsidTr="00000BC0">
        <w:trPr>
          <w:trHeight w:val="189"/>
        </w:trPr>
        <w:tc>
          <w:tcPr>
            <w:tcW w:w="1078" w:type="dxa"/>
          </w:tcPr>
          <w:p w14:paraId="485093A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563DC37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A7F81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8AAD31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3C71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4907A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09640158" w14:textId="061C6333" w:rsidR="00753966"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85FA1DB" w14:textId="1D804E0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3F08C516" w14:textId="7733E90B"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61182E" w14:textId="77777777" w:rsidR="00AC369F" w:rsidRDefault="00AC369F" w:rsidP="00C04DDB">
      <w:pPr>
        <w:spacing w:line="480" w:lineRule="auto"/>
        <w:jc w:val="both"/>
        <w:rPr>
          <w:rFonts w:ascii="Times New Roman" w:hAnsi="Times New Roman" w:cs="Times New Roman"/>
          <w:sz w:val="28"/>
          <w:szCs w:val="28"/>
        </w:rPr>
      </w:pPr>
    </w:p>
    <w:p w14:paraId="3063E45F" w14:textId="5D53204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5</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5</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19FF2938" w14:textId="77777777" w:rsidTr="00000BC0">
        <w:trPr>
          <w:trHeight w:val="738"/>
        </w:trPr>
        <w:tc>
          <w:tcPr>
            <w:tcW w:w="1078" w:type="dxa"/>
            <w:tcBorders>
              <w:top w:val="single" w:sz="4" w:space="0" w:color="auto"/>
              <w:bottom w:val="single" w:sz="4" w:space="0" w:color="auto"/>
            </w:tcBorders>
          </w:tcPr>
          <w:p w14:paraId="58842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604F67E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15122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00B089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F9715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21991E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5D56A4C3" w14:textId="77777777" w:rsidTr="00000BC0">
        <w:trPr>
          <w:trHeight w:val="177"/>
        </w:trPr>
        <w:tc>
          <w:tcPr>
            <w:tcW w:w="1078" w:type="dxa"/>
            <w:tcBorders>
              <w:top w:val="single" w:sz="4" w:space="0" w:color="auto"/>
              <w:bottom w:val="nil"/>
            </w:tcBorders>
          </w:tcPr>
          <w:p w14:paraId="6CDD007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14:paraId="75673FB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503276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50BFDA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280FAC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7C582A2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08BC452D" w14:textId="77777777" w:rsidTr="00000BC0">
        <w:trPr>
          <w:trHeight w:val="183"/>
        </w:trPr>
        <w:tc>
          <w:tcPr>
            <w:tcW w:w="1078" w:type="dxa"/>
            <w:tcBorders>
              <w:top w:val="nil"/>
            </w:tcBorders>
          </w:tcPr>
          <w:p w14:paraId="5FFBB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5CE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9599DF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2E0DE9C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6CEDB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8BA28C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C8365FC" w14:textId="77777777" w:rsidTr="00000BC0">
        <w:trPr>
          <w:trHeight w:val="183"/>
        </w:trPr>
        <w:tc>
          <w:tcPr>
            <w:tcW w:w="1078" w:type="dxa"/>
          </w:tcPr>
          <w:p w14:paraId="39B676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7F6DF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4DB732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DD311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DB08F8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97FF26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455CF6" w14:textId="77777777" w:rsidTr="00000BC0">
        <w:trPr>
          <w:trHeight w:val="177"/>
        </w:trPr>
        <w:tc>
          <w:tcPr>
            <w:tcW w:w="1078" w:type="dxa"/>
          </w:tcPr>
          <w:p w14:paraId="67EC451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6E238D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4FEE52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AA427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BC4B0A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B93C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A853E7B" w14:textId="77777777" w:rsidTr="00000BC0">
        <w:trPr>
          <w:trHeight w:val="183"/>
        </w:trPr>
        <w:tc>
          <w:tcPr>
            <w:tcW w:w="1078" w:type="dxa"/>
          </w:tcPr>
          <w:p w14:paraId="040C3D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649D8CA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B2A183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8EFFA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DD31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548F25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B7B6479" w14:textId="77777777" w:rsidTr="00000BC0">
        <w:trPr>
          <w:trHeight w:val="183"/>
        </w:trPr>
        <w:tc>
          <w:tcPr>
            <w:tcW w:w="1078" w:type="dxa"/>
          </w:tcPr>
          <w:p w14:paraId="24BAD6D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2ED0CD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B7B8BF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DB4BA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96C360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76291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EBC1E5C" w14:textId="77777777" w:rsidTr="00000BC0">
        <w:trPr>
          <w:trHeight w:val="177"/>
        </w:trPr>
        <w:tc>
          <w:tcPr>
            <w:tcW w:w="1078" w:type="dxa"/>
          </w:tcPr>
          <w:p w14:paraId="47CA72D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CA55A5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E8744C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1665335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370912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07CCC7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4F36820" w14:textId="77777777" w:rsidTr="00000BC0">
        <w:trPr>
          <w:trHeight w:val="189"/>
        </w:trPr>
        <w:tc>
          <w:tcPr>
            <w:tcW w:w="1078" w:type="dxa"/>
          </w:tcPr>
          <w:p w14:paraId="71E58D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E6ADA0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43B1F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B372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C0C1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73C558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C150CCA" w14:textId="77777777" w:rsidR="00BD7E86" w:rsidRDefault="00BD7E86" w:rsidP="005E434A">
      <w:pPr>
        <w:spacing w:line="480" w:lineRule="auto"/>
        <w:jc w:val="both"/>
        <w:rPr>
          <w:rFonts w:ascii="Times New Roman" w:hAnsi="Times New Roman" w:cs="Times New Roman"/>
          <w:sz w:val="28"/>
          <w:szCs w:val="28"/>
        </w:rPr>
      </w:pPr>
    </w:p>
    <w:p w14:paraId="0271EBFF" w14:textId="42A9AE41" w:rsidR="00772601" w:rsidRDefault="00772601"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sidR="00DF5D55">
        <w:rPr>
          <w:rFonts w:ascii="Times New Roman" w:hAnsi="Times New Roman" w:cs="Times New Roman"/>
          <w:sz w:val="28"/>
          <w:szCs w:val="28"/>
        </w:rPr>
        <w:t>EY</w:t>
      </w:r>
      <w:r w:rsidR="00225777">
        <w:rPr>
          <w:rFonts w:ascii="Times New Roman" w:hAnsi="Times New Roman" w:cs="Times New Roman"/>
          <w:sz w:val="28"/>
          <w:szCs w:val="28"/>
        </w:rPr>
        <w:t>:</w:t>
      </w:r>
    </w:p>
    <w:p w14:paraId="3DF239E5" w14:textId="14D6FF2A"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743425AD" w14:textId="0F965211"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8F8514C" w14:textId="56FFCAE8" w:rsidR="003C1F69" w:rsidRDefault="00C04DDB" w:rsidP="003C1F69">
      <w:pPr>
        <w:spacing w:line="480" w:lineRule="auto"/>
        <w:jc w:val="both"/>
        <w:rPr>
          <w:rFonts w:ascii="Times New Roman" w:hAnsi="Times New Roman" w:cs="Times New Roman"/>
          <w:sz w:val="28"/>
          <w:szCs w:val="28"/>
        </w:rPr>
      </w:pPr>
      <w:r>
        <w:rPr>
          <w:noProof/>
        </w:rPr>
        <w:drawing>
          <wp:inline distT="0" distB="0" distL="0" distR="0" wp14:anchorId="0E6534C8" wp14:editId="5BB97C2C">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87073E" w14:textId="3FCF45DB" w:rsidR="005E434A" w:rsidRDefault="000C0530" w:rsidP="00FD4C80">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6</w:t>
      </w:r>
      <w:r w:rsidR="005E434A">
        <w:rPr>
          <w:rFonts w:ascii="Times New Roman" w:hAnsi="Times New Roman" w:cs="Times New Roman"/>
          <w:sz w:val="28"/>
          <w:szCs w:val="28"/>
        </w:rPr>
        <w:t>: Post-Mortem Gross Pathological Findings</w:t>
      </w:r>
      <w:r w:rsidR="00FD4C80">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FD4C80" w14:paraId="669659CF" w14:textId="77777777" w:rsidTr="00000BC0">
        <w:trPr>
          <w:trHeight w:val="612"/>
        </w:trPr>
        <w:tc>
          <w:tcPr>
            <w:tcW w:w="1468" w:type="dxa"/>
            <w:tcBorders>
              <w:top w:val="single" w:sz="18" w:space="0" w:color="auto"/>
              <w:bottom w:val="single" w:sz="12" w:space="0" w:color="auto"/>
            </w:tcBorders>
            <w:hideMark/>
          </w:tcPr>
          <w:p w14:paraId="082DB79C"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5CE9863B" w14:textId="13F97C7A"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05CF65DF"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0083C6BA" w14:textId="322C6015"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5A6B6F36" w14:textId="7949FD2D"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FD4C80" w14:paraId="3CAC844F" w14:textId="77777777" w:rsidTr="00000BC0">
        <w:trPr>
          <w:trHeight w:val="375"/>
        </w:trPr>
        <w:tc>
          <w:tcPr>
            <w:tcW w:w="1468" w:type="dxa"/>
            <w:tcBorders>
              <w:top w:val="single" w:sz="12" w:space="0" w:color="auto"/>
              <w:bottom w:val="nil"/>
            </w:tcBorders>
            <w:hideMark/>
          </w:tcPr>
          <w:p w14:paraId="310054C8" w14:textId="5EEF9F5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74C15CC9" w14:textId="225111C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39118CF2" w14:textId="278D343B" w:rsidR="005E434A" w:rsidRDefault="005E434A" w:rsidP="00000BC0">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14:paraId="7158F88D" w14:textId="2AFCEDE1" w:rsidR="001513FB"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443E991E" w14:textId="77777777" w:rsidR="005E434A" w:rsidRPr="001513FB" w:rsidRDefault="005E434A" w:rsidP="00000BC0">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7D4434DA" w14:textId="4D95545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5E434A" w14:paraId="35951554" w14:textId="77777777" w:rsidTr="00000BC0">
        <w:trPr>
          <w:trHeight w:val="436"/>
        </w:trPr>
        <w:tc>
          <w:tcPr>
            <w:tcW w:w="1468" w:type="dxa"/>
            <w:tcBorders>
              <w:top w:val="nil"/>
            </w:tcBorders>
            <w:hideMark/>
          </w:tcPr>
          <w:p w14:paraId="415CA0F1" w14:textId="2492ED38"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p>
        </w:tc>
        <w:tc>
          <w:tcPr>
            <w:tcW w:w="2226" w:type="dxa"/>
            <w:tcBorders>
              <w:top w:val="nil"/>
            </w:tcBorders>
            <w:hideMark/>
          </w:tcPr>
          <w:p w14:paraId="19971A04" w14:textId="439C58B7"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54CDC479" w14:textId="585DF50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74F7388F" w14:textId="1359FF9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4B41C7A6" w14:textId="21DEE314"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5E434A" w14:paraId="64A9E5A5" w14:textId="77777777" w:rsidTr="00000BC0">
        <w:trPr>
          <w:trHeight w:val="320"/>
        </w:trPr>
        <w:tc>
          <w:tcPr>
            <w:tcW w:w="1468" w:type="dxa"/>
          </w:tcPr>
          <w:p w14:paraId="1FF71F21" w14:textId="72F755D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6671FDBE" w14:textId="06D2CE6E"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3E204A2D" w14:textId="132FE201"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7CA6641" w14:textId="11C2576A"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2AC1B783" w14:textId="756F638C"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5E434A" w14:paraId="1DB8A41F" w14:textId="77777777" w:rsidTr="00000BC0">
        <w:trPr>
          <w:trHeight w:val="321"/>
        </w:trPr>
        <w:tc>
          <w:tcPr>
            <w:tcW w:w="1468" w:type="dxa"/>
          </w:tcPr>
          <w:p w14:paraId="7CE20312" w14:textId="28038FD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059CC241" w14:textId="65C5D8D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9D4DCB3" w14:textId="178332F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2623BBDC" w14:textId="1B91442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43EAB1ED" w14:textId="550500A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071701E5" w14:textId="7AC46EE8" w:rsidR="00FD4C80" w:rsidRDefault="00FD4C80" w:rsidP="00634F78">
      <w:pPr>
        <w:spacing w:line="480" w:lineRule="auto"/>
        <w:jc w:val="both"/>
        <w:rPr>
          <w:rFonts w:ascii="Times New Roman" w:hAnsi="Times New Roman" w:cs="Times New Roman"/>
          <w:sz w:val="28"/>
          <w:szCs w:val="28"/>
        </w:rPr>
      </w:pPr>
    </w:p>
    <w:p w14:paraId="6163A511" w14:textId="77777777" w:rsidR="00746AF6" w:rsidRDefault="00746AF6" w:rsidP="00FD4C80">
      <w:pPr>
        <w:rPr>
          <w:rFonts w:ascii="Times New Roman" w:hAnsi="Times New Roman" w:cs="Times New Roman"/>
          <w:sz w:val="28"/>
          <w:szCs w:val="28"/>
        </w:rPr>
      </w:pPr>
    </w:p>
    <w:p w14:paraId="2BF385D9" w14:textId="77777777" w:rsidR="00396670" w:rsidRDefault="00396670" w:rsidP="00FD4C80">
      <w:pPr>
        <w:rPr>
          <w:rFonts w:ascii="Times New Roman" w:hAnsi="Times New Roman" w:cs="Times New Roman"/>
          <w:sz w:val="28"/>
          <w:szCs w:val="28"/>
        </w:rPr>
      </w:pPr>
    </w:p>
    <w:p w14:paraId="2E1800DF" w14:textId="77777777" w:rsidR="000C0530" w:rsidRDefault="000C0530" w:rsidP="00FD4C80">
      <w:pPr>
        <w:rPr>
          <w:rFonts w:ascii="Times New Roman" w:hAnsi="Times New Roman" w:cs="Times New Roman"/>
          <w:sz w:val="28"/>
          <w:szCs w:val="28"/>
        </w:rPr>
      </w:pPr>
    </w:p>
    <w:p w14:paraId="69E635A3" w14:textId="77777777" w:rsidR="000C0530" w:rsidRDefault="000C0530" w:rsidP="00FD4C80">
      <w:pPr>
        <w:rPr>
          <w:rFonts w:ascii="Times New Roman" w:hAnsi="Times New Roman" w:cs="Times New Roman"/>
          <w:sz w:val="28"/>
          <w:szCs w:val="28"/>
        </w:rPr>
      </w:pPr>
    </w:p>
    <w:p w14:paraId="174098FD" w14:textId="678D4178" w:rsidR="00BE5999" w:rsidRDefault="00BE5999" w:rsidP="00746AF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6C05631" w14:textId="05CEB279" w:rsidR="00746AF6"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66B05089" w14:textId="024A4F87" w:rsidR="005E6EA4"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D55F79">
        <w:rPr>
          <w:rFonts w:ascii="Times New Roman" w:hAnsi="Times New Roman" w:cs="Times New Roman"/>
          <w:sz w:val="28"/>
          <w:szCs w:val="28"/>
        </w:rPr>
        <w:t>Discussion of Results</w:t>
      </w:r>
    </w:p>
    <w:p w14:paraId="567B0F0D" w14:textId="0C4109AF" w:rsidR="005E6EA4" w:rsidRDefault="005E6EA4"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w:t>
      </w:r>
      <w:r w:rsidR="00F1590E">
        <w:rPr>
          <w:rFonts w:ascii="Times New Roman" w:hAnsi="Times New Roman" w:cs="Times New Roman"/>
          <w:sz w:val="28"/>
          <w:szCs w:val="28"/>
        </w:rPr>
        <w:t xml:space="preserve">confirms the identification of the fungal isolate. The observation of </w:t>
      </w:r>
      <w:r w:rsidR="002220B4">
        <w:rPr>
          <w:rFonts w:ascii="Times New Roman" w:hAnsi="Times New Roman" w:cs="Times New Roman"/>
          <w:sz w:val="28"/>
          <w:szCs w:val="28"/>
        </w:rPr>
        <w:t>olive-green coloration, a velvety texture,</w:t>
      </w:r>
      <w:r w:rsidR="0049232E">
        <w:rPr>
          <w:rFonts w:ascii="Times New Roman" w:hAnsi="Times New Roman" w:cs="Times New Roman"/>
          <w:sz w:val="28"/>
          <w:szCs w:val="28"/>
        </w:rPr>
        <w:t xml:space="preserve"> </w:t>
      </w:r>
      <w:proofErr w:type="spellStart"/>
      <w:r w:rsidR="00F1590E">
        <w:rPr>
          <w:rFonts w:ascii="Times New Roman" w:hAnsi="Times New Roman" w:cs="Times New Roman"/>
          <w:sz w:val="28"/>
          <w:szCs w:val="28"/>
        </w:rPr>
        <w:t>septate</w:t>
      </w:r>
      <w:proofErr w:type="spellEnd"/>
      <w:r w:rsidR="00F1590E">
        <w:rPr>
          <w:rFonts w:ascii="Times New Roman" w:hAnsi="Times New Roman" w:cs="Times New Roman"/>
          <w:sz w:val="28"/>
          <w:szCs w:val="28"/>
        </w:rPr>
        <w:t xml:space="preserve"> and branched hyphae along with a </w:t>
      </w:r>
      <w:proofErr w:type="spellStart"/>
      <w:r w:rsidR="00F1590E">
        <w:rPr>
          <w:rFonts w:ascii="Times New Roman" w:hAnsi="Times New Roman" w:cs="Times New Roman"/>
          <w:sz w:val="28"/>
          <w:szCs w:val="28"/>
        </w:rPr>
        <w:t>penicillus</w:t>
      </w:r>
      <w:proofErr w:type="spellEnd"/>
      <w:r w:rsidR="00F1590E">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F1590E">
        <w:rPr>
          <w:rFonts w:ascii="Times New Roman" w:hAnsi="Times New Roman" w:cs="Times New Roman"/>
          <w:sz w:val="28"/>
          <w:szCs w:val="28"/>
        </w:rPr>
        <w:t>Penicillium</w:t>
      </w:r>
      <w:proofErr w:type="spellEnd"/>
      <w:r w:rsidR="00F1590E">
        <w:rPr>
          <w:rFonts w:ascii="Times New Roman" w:hAnsi="Times New Roman" w:cs="Times New Roman"/>
          <w:sz w:val="28"/>
          <w:szCs w:val="28"/>
        </w:rPr>
        <w:t xml:space="preserve"> genus as outlined by Smith &amp; Read (2018) and De </w:t>
      </w:r>
      <w:proofErr w:type="spellStart"/>
      <w:r w:rsidR="00F1590E">
        <w:rPr>
          <w:rFonts w:ascii="Times New Roman" w:hAnsi="Times New Roman" w:cs="Times New Roman"/>
          <w:sz w:val="28"/>
          <w:szCs w:val="28"/>
        </w:rPr>
        <w:t>Vries</w:t>
      </w:r>
      <w:proofErr w:type="spellEnd"/>
      <w:r w:rsidR="00F1590E">
        <w:rPr>
          <w:rFonts w:ascii="Times New Roman" w:hAnsi="Times New Roman" w:cs="Times New Roman"/>
          <w:sz w:val="28"/>
          <w:szCs w:val="28"/>
        </w:rPr>
        <w:t xml:space="preserve"> et al. (2019)</w:t>
      </w:r>
      <w:r w:rsidR="003D346C">
        <w:rPr>
          <w:rFonts w:ascii="Times New Roman" w:hAnsi="Times New Roman" w:cs="Times New Roman"/>
          <w:sz w:val="28"/>
          <w:szCs w:val="28"/>
        </w:rPr>
        <w:t>.</w:t>
      </w:r>
      <w:r w:rsidR="00F9729A">
        <w:rPr>
          <w:rFonts w:ascii="Times New Roman" w:hAnsi="Times New Roman" w:cs="Times New Roman"/>
          <w:sz w:val="28"/>
          <w:szCs w:val="28"/>
        </w:rPr>
        <w:t xml:space="preserve"> </w:t>
      </w:r>
      <w:r>
        <w:rPr>
          <w:rFonts w:ascii="Times New Roman" w:hAnsi="Times New Roman" w:cs="Times New Roman"/>
          <w:sz w:val="28"/>
          <w:szCs w:val="28"/>
        </w:rPr>
        <w:t xml:space="preserve">Tables </w:t>
      </w:r>
      <w:r w:rsidR="003D346C">
        <w:rPr>
          <w:rFonts w:ascii="Times New Roman" w:hAnsi="Times New Roman" w:cs="Times New Roman"/>
          <w:sz w:val="28"/>
          <w:szCs w:val="28"/>
        </w:rPr>
        <w:t>2</w:t>
      </w:r>
      <w:r>
        <w:rPr>
          <w:rFonts w:ascii="Times New Roman" w:hAnsi="Times New Roman" w:cs="Times New Roman"/>
          <w:sz w:val="28"/>
          <w:szCs w:val="28"/>
        </w:rPr>
        <w:t xml:space="preserve"> through </w:t>
      </w:r>
      <w:r w:rsidR="00DC4AB4">
        <w:rPr>
          <w:rFonts w:ascii="Times New Roman" w:hAnsi="Times New Roman" w:cs="Times New Roman"/>
          <w:sz w:val="28"/>
          <w:szCs w:val="28"/>
        </w:rPr>
        <w:t>6</w:t>
      </w:r>
      <w:r>
        <w:rPr>
          <w:rFonts w:ascii="Times New Roman" w:hAnsi="Times New Roman" w:cs="Times New Roman"/>
          <w:sz w:val="28"/>
          <w:szCs w:val="28"/>
        </w:rPr>
        <w:t xml:space="preserve"> document the daily physiological responses of the rats over an 8-day period. At 100% concentration (Table </w:t>
      </w:r>
      <w:r w:rsidR="003D346C">
        <w:rPr>
          <w:rFonts w:ascii="Times New Roman" w:hAnsi="Times New Roman" w:cs="Times New Roman"/>
          <w:sz w:val="28"/>
          <w:szCs w:val="28"/>
        </w:rPr>
        <w:t>2</w:t>
      </w:r>
      <w:r>
        <w:rPr>
          <w:rFonts w:ascii="Times New Roman" w:hAnsi="Times New Roman" w:cs="Times New Roman"/>
          <w:sz w:val="28"/>
          <w:szCs w:val="28"/>
        </w:rPr>
        <w:t xml:space="preserve">), the rat initially maintained normal behavior, but signs </w:t>
      </w:r>
      <w:r>
        <w:rPr>
          <w:rFonts w:ascii="Times New Roman" w:hAnsi="Times New Roman" w:cs="Times New Roman"/>
          <w:sz w:val="28"/>
          <w:szCs w:val="28"/>
        </w:rPr>
        <w:lastRenderedPageBreak/>
        <w:t xml:space="preserve">of distress such as reduced locomotion, low feeding activity, and abnormal respiration emerged by Day 7 and worsened on Day 8. Similar progressive symptoms were observed at 80% (Table </w:t>
      </w:r>
      <w:r w:rsidR="003D346C">
        <w:rPr>
          <w:rFonts w:ascii="Times New Roman" w:hAnsi="Times New Roman" w:cs="Times New Roman"/>
          <w:sz w:val="28"/>
          <w:szCs w:val="28"/>
        </w:rPr>
        <w:t>3</w:t>
      </w:r>
      <w:r>
        <w:rPr>
          <w:rFonts w:ascii="Times New Roman" w:hAnsi="Times New Roman" w:cs="Times New Roman"/>
          <w:sz w:val="28"/>
          <w:szCs w:val="28"/>
        </w:rPr>
        <w:t xml:space="preserve">), 60% (Table </w:t>
      </w:r>
      <w:r w:rsidR="003D346C">
        <w:rPr>
          <w:rFonts w:ascii="Times New Roman" w:hAnsi="Times New Roman" w:cs="Times New Roman"/>
          <w:sz w:val="28"/>
          <w:szCs w:val="28"/>
        </w:rPr>
        <w:t>4</w:t>
      </w:r>
      <w:r>
        <w:rPr>
          <w:rFonts w:ascii="Times New Roman" w:hAnsi="Times New Roman" w:cs="Times New Roman"/>
          <w:sz w:val="28"/>
          <w:szCs w:val="28"/>
        </w:rPr>
        <w:t xml:space="preserve">), and 50% (Table </w:t>
      </w:r>
      <w:r w:rsidR="003D346C">
        <w:rPr>
          <w:rFonts w:ascii="Times New Roman" w:hAnsi="Times New Roman" w:cs="Times New Roman"/>
          <w:sz w:val="28"/>
          <w:szCs w:val="28"/>
        </w:rPr>
        <w:t>5</w:t>
      </w:r>
      <w:r>
        <w:rPr>
          <w:rFonts w:ascii="Times New Roman" w:hAnsi="Times New Roman" w:cs="Times New Roman"/>
          <w:sz w:val="28"/>
          <w:szCs w:val="28"/>
        </w:rPr>
        <w:t xml:space="preserve">)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sidR="00D03659">
        <w:rPr>
          <w:rFonts w:ascii="Times New Roman" w:hAnsi="Times New Roman" w:cs="Times New Roman"/>
          <w:sz w:val="28"/>
          <w:szCs w:val="28"/>
        </w:rPr>
        <w:t xml:space="preserve"> </w:t>
      </w:r>
      <w:r>
        <w:rPr>
          <w:rFonts w:ascii="Times New Roman" w:hAnsi="Times New Roman" w:cs="Times New Roman"/>
          <w:sz w:val="28"/>
          <w:szCs w:val="28"/>
        </w:rPr>
        <w:t xml:space="preserve">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Post-mortem findings, as shown in Table </w:t>
      </w:r>
      <w:r w:rsidR="0046234E">
        <w:rPr>
          <w:rFonts w:ascii="Times New Roman" w:hAnsi="Times New Roman" w:cs="Times New Roman"/>
          <w:sz w:val="28"/>
          <w:szCs w:val="28"/>
        </w:rPr>
        <w:t>6</w:t>
      </w:r>
      <w:r>
        <w:rPr>
          <w:rFonts w:ascii="Times New Roman" w:hAnsi="Times New Roman" w:cs="Times New Roman"/>
          <w:sz w:val="28"/>
          <w:szCs w:val="28"/>
        </w:rPr>
        <w:t>, further confirm the systemic impact of the toxin. Rats administered with 100% (Red) and 80% (Blue) concentrations exhibited severe pathological damage</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such as inflammatory or 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lastRenderedPageBreak/>
        <w:t>Ndwiga</w:t>
      </w:r>
      <w:proofErr w:type="spellEnd"/>
      <w:r>
        <w:rPr>
          <w:rFonts w:ascii="Times New Roman" w:hAnsi="Times New Roman" w:cs="Times New Roman"/>
          <w:sz w:val="28"/>
          <w:szCs w:val="28"/>
        </w:rPr>
        <w:t xml:space="preserve"> (2020).</w:t>
      </w:r>
      <w:r w:rsidR="00F61263">
        <w:rPr>
          <w:rFonts w:ascii="Times New Roman" w:hAnsi="Times New Roman" w:cs="Times New Roman"/>
          <w:sz w:val="28"/>
          <w:szCs w:val="28"/>
        </w:rPr>
        <w:t xml:space="preserve"> </w:t>
      </w:r>
      <w:r>
        <w:rPr>
          <w:rFonts w:ascii="Times New Roman" w:hAnsi="Times New Roman" w:cs="Times New Roman"/>
          <w:sz w:val="28"/>
          <w:szCs w:val="28"/>
        </w:rPr>
        <w:t>The consistency of the observed pathological symptoms</w:t>
      </w:r>
      <w:r w:rsidR="009C473E">
        <w:rPr>
          <w:rFonts w:ascii="Times New Roman" w:hAnsi="Times New Roman" w:cs="Times New Roman"/>
          <w:sz w:val="28"/>
          <w:szCs w:val="28"/>
        </w:rPr>
        <w:t xml:space="preserve"> </w:t>
      </w:r>
      <w:r>
        <w:rPr>
          <w:rFonts w:ascii="Times New Roman" w:hAnsi="Times New Roman" w:cs="Times New Roman"/>
          <w:sz w:val="28"/>
          <w:szCs w:val="28"/>
        </w:rPr>
        <w:t>across both the behavioral and anatomical levels</w:t>
      </w:r>
      <w:r w:rsidR="009C473E">
        <w:rPr>
          <w:rFonts w:ascii="Times New Roman" w:hAnsi="Times New Roman" w:cs="Times New Roman"/>
          <w:sz w:val="28"/>
          <w:szCs w:val="28"/>
        </w:rPr>
        <w:t xml:space="preserve"> </w:t>
      </w:r>
      <w:r>
        <w:rPr>
          <w:rFonts w:ascii="Times New Roman" w:hAnsi="Times New Roman" w:cs="Times New Roman"/>
          <w:sz w:val="28"/>
          <w:szCs w:val="28"/>
        </w:rPr>
        <w:t xml:space="preserve">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2A901522" w14:textId="11631604" w:rsidR="00D5311B"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D5311B">
        <w:rPr>
          <w:rFonts w:ascii="Times New Roman" w:hAnsi="Times New Roman" w:cs="Times New Roman"/>
          <w:sz w:val="28"/>
          <w:szCs w:val="28"/>
        </w:rPr>
        <w:t xml:space="preserve">Conclusion </w:t>
      </w:r>
    </w:p>
    <w:p w14:paraId="114F33F7" w14:textId="14C022E5" w:rsidR="00BE5999" w:rsidRDefault="003740E4" w:rsidP="003740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14:paraId="21504337" w14:textId="77777777" w:rsidR="00746AF6" w:rsidRDefault="00746AF6" w:rsidP="00FD4C80">
      <w:pPr>
        <w:rPr>
          <w:rFonts w:ascii="Times New Roman" w:hAnsi="Times New Roman" w:cs="Times New Roman"/>
          <w:sz w:val="28"/>
          <w:szCs w:val="28"/>
        </w:rPr>
      </w:pPr>
    </w:p>
    <w:p w14:paraId="1F2F4B75" w14:textId="77777777" w:rsidR="00746AF6" w:rsidRDefault="00746AF6" w:rsidP="00FD4C80">
      <w:pPr>
        <w:rPr>
          <w:rFonts w:ascii="Times New Roman" w:hAnsi="Times New Roman" w:cs="Times New Roman"/>
          <w:sz w:val="28"/>
          <w:szCs w:val="28"/>
        </w:rPr>
      </w:pPr>
    </w:p>
    <w:p w14:paraId="746E7D00" w14:textId="77777777" w:rsidR="00746AF6" w:rsidRDefault="00746AF6" w:rsidP="00FD4C80">
      <w:pPr>
        <w:rPr>
          <w:rFonts w:ascii="Times New Roman" w:hAnsi="Times New Roman" w:cs="Times New Roman"/>
          <w:sz w:val="28"/>
          <w:szCs w:val="28"/>
        </w:rPr>
      </w:pPr>
    </w:p>
    <w:p w14:paraId="4DBE5D5D" w14:textId="77777777" w:rsidR="00746AF6" w:rsidRDefault="00746AF6" w:rsidP="00FD4C80">
      <w:pPr>
        <w:rPr>
          <w:rFonts w:ascii="Times New Roman" w:hAnsi="Times New Roman" w:cs="Times New Roman"/>
          <w:sz w:val="28"/>
          <w:szCs w:val="28"/>
        </w:rPr>
      </w:pPr>
    </w:p>
    <w:p w14:paraId="1B109613" w14:textId="77777777" w:rsidR="00746AF6" w:rsidRDefault="00746AF6" w:rsidP="00FD4C80">
      <w:pPr>
        <w:rPr>
          <w:rFonts w:ascii="Times New Roman" w:hAnsi="Times New Roman" w:cs="Times New Roman"/>
          <w:sz w:val="28"/>
          <w:szCs w:val="28"/>
        </w:rPr>
      </w:pPr>
    </w:p>
    <w:p w14:paraId="665A0FD9" w14:textId="77777777" w:rsidR="00746AF6" w:rsidRDefault="00746AF6" w:rsidP="00FD4C80">
      <w:pPr>
        <w:rPr>
          <w:rFonts w:ascii="Times New Roman" w:hAnsi="Times New Roman" w:cs="Times New Roman"/>
          <w:sz w:val="28"/>
          <w:szCs w:val="28"/>
        </w:rPr>
      </w:pPr>
    </w:p>
    <w:p w14:paraId="281ED379" w14:textId="77777777" w:rsidR="00746AF6" w:rsidRDefault="00746AF6" w:rsidP="00FD4C80">
      <w:pPr>
        <w:rPr>
          <w:rFonts w:ascii="Times New Roman" w:hAnsi="Times New Roman" w:cs="Times New Roman"/>
          <w:sz w:val="28"/>
          <w:szCs w:val="28"/>
        </w:rPr>
      </w:pPr>
    </w:p>
    <w:p w14:paraId="41A3820D" w14:textId="77777777" w:rsidR="00746AF6" w:rsidRDefault="00746AF6" w:rsidP="00FD4C80">
      <w:pPr>
        <w:rPr>
          <w:rFonts w:ascii="Times New Roman" w:hAnsi="Times New Roman" w:cs="Times New Roman"/>
          <w:sz w:val="28"/>
          <w:szCs w:val="28"/>
        </w:rPr>
      </w:pPr>
    </w:p>
    <w:p w14:paraId="38C1164C" w14:textId="77777777" w:rsidR="00746AF6" w:rsidRDefault="00746AF6" w:rsidP="00FD4C80">
      <w:pPr>
        <w:rPr>
          <w:rFonts w:ascii="Times New Roman" w:hAnsi="Times New Roman" w:cs="Times New Roman"/>
          <w:sz w:val="28"/>
          <w:szCs w:val="28"/>
        </w:rPr>
      </w:pPr>
    </w:p>
    <w:p w14:paraId="628138D3" w14:textId="77777777" w:rsidR="00746AF6" w:rsidRDefault="00746AF6" w:rsidP="00FD4C80">
      <w:pPr>
        <w:rPr>
          <w:rFonts w:ascii="Times New Roman" w:hAnsi="Times New Roman" w:cs="Times New Roman"/>
          <w:sz w:val="28"/>
          <w:szCs w:val="28"/>
        </w:rPr>
      </w:pPr>
    </w:p>
    <w:p w14:paraId="126DE0FB" w14:textId="77777777" w:rsidR="00746AF6" w:rsidRDefault="00746AF6" w:rsidP="00FD4C80">
      <w:pPr>
        <w:rPr>
          <w:rFonts w:ascii="Times New Roman" w:hAnsi="Times New Roman" w:cs="Times New Roman"/>
          <w:sz w:val="28"/>
          <w:szCs w:val="28"/>
        </w:rPr>
      </w:pPr>
    </w:p>
    <w:p w14:paraId="1C5CA6FF" w14:textId="77777777" w:rsidR="00746AF6" w:rsidRDefault="00746AF6" w:rsidP="00FD4C80">
      <w:pPr>
        <w:rPr>
          <w:rFonts w:ascii="Times New Roman" w:hAnsi="Times New Roman" w:cs="Times New Roman"/>
          <w:sz w:val="28"/>
          <w:szCs w:val="28"/>
        </w:rPr>
      </w:pPr>
    </w:p>
    <w:p w14:paraId="297F45C0" w14:textId="77777777" w:rsidR="00746AF6" w:rsidRDefault="00746AF6" w:rsidP="00FD4C80">
      <w:pPr>
        <w:rPr>
          <w:rFonts w:ascii="Times New Roman" w:hAnsi="Times New Roman" w:cs="Times New Roman"/>
          <w:sz w:val="28"/>
          <w:szCs w:val="28"/>
        </w:rPr>
      </w:pPr>
    </w:p>
    <w:p w14:paraId="12A3AAAC" w14:textId="77777777" w:rsidR="00746AF6" w:rsidRDefault="00746AF6" w:rsidP="00FD4C80">
      <w:pPr>
        <w:rPr>
          <w:rFonts w:ascii="Times New Roman" w:hAnsi="Times New Roman" w:cs="Times New Roman"/>
          <w:sz w:val="28"/>
          <w:szCs w:val="28"/>
        </w:rPr>
      </w:pPr>
    </w:p>
    <w:p w14:paraId="2BD74CBF" w14:textId="77777777" w:rsidR="00746AF6" w:rsidRDefault="00746AF6" w:rsidP="00FD4C80">
      <w:pPr>
        <w:rPr>
          <w:rFonts w:ascii="Times New Roman" w:hAnsi="Times New Roman" w:cs="Times New Roman"/>
          <w:sz w:val="28"/>
          <w:szCs w:val="28"/>
        </w:rPr>
      </w:pPr>
    </w:p>
    <w:p w14:paraId="7DA80111" w14:textId="77777777" w:rsidR="00746AF6" w:rsidRDefault="00746AF6" w:rsidP="00FD4C80">
      <w:pPr>
        <w:rPr>
          <w:rFonts w:ascii="Times New Roman" w:hAnsi="Times New Roman" w:cs="Times New Roman"/>
          <w:sz w:val="28"/>
          <w:szCs w:val="28"/>
        </w:rPr>
      </w:pPr>
    </w:p>
    <w:p w14:paraId="313DE688" w14:textId="77777777" w:rsidR="00746AF6" w:rsidRDefault="00746AF6" w:rsidP="00FD4C80">
      <w:pPr>
        <w:rPr>
          <w:rFonts w:ascii="Times New Roman" w:hAnsi="Times New Roman" w:cs="Times New Roman"/>
          <w:sz w:val="28"/>
          <w:szCs w:val="28"/>
        </w:rPr>
      </w:pPr>
    </w:p>
    <w:p w14:paraId="2EC1C4E7" w14:textId="77777777" w:rsidR="00746AF6" w:rsidRDefault="00746AF6" w:rsidP="00FD4C80">
      <w:pPr>
        <w:rPr>
          <w:rFonts w:ascii="Times New Roman" w:hAnsi="Times New Roman" w:cs="Times New Roman"/>
          <w:sz w:val="28"/>
          <w:szCs w:val="28"/>
        </w:rPr>
      </w:pPr>
    </w:p>
    <w:p w14:paraId="029C14AF" w14:textId="77777777" w:rsidR="00746AF6" w:rsidRDefault="00746AF6" w:rsidP="00FD4C80">
      <w:pPr>
        <w:rPr>
          <w:rFonts w:ascii="Times New Roman" w:hAnsi="Times New Roman" w:cs="Times New Roman"/>
          <w:sz w:val="28"/>
          <w:szCs w:val="28"/>
        </w:rPr>
      </w:pPr>
    </w:p>
    <w:p w14:paraId="11BE8584" w14:textId="6A6A4D1A" w:rsidR="00FA6945" w:rsidRPr="00746AF6" w:rsidRDefault="00166D88" w:rsidP="00746AF6">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t>REFERENCES</w:t>
      </w:r>
    </w:p>
    <w:p w14:paraId="7AF5BC0F" w14:textId="77777777" w:rsidR="00746AF6" w:rsidRPr="00FD4C80" w:rsidRDefault="00746AF6" w:rsidP="00746AF6">
      <w:pPr>
        <w:ind w:left="720" w:hanging="720"/>
        <w:jc w:val="both"/>
        <w:rPr>
          <w:rFonts w:ascii="Times New Roman" w:hAnsi="Times New Roman" w:cs="Times New Roman"/>
          <w:sz w:val="28"/>
          <w:szCs w:val="28"/>
        </w:rPr>
      </w:pPr>
    </w:p>
    <w:p w14:paraId="403C7C71" w14:textId="332E8C6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00E328FD" w:rsidRP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rat kidney. Environmental Toxicology and Pharmacology, 45, 259–267. </w:t>
      </w:r>
      <w:hyperlink r:id="rId12" w:history="1">
        <w:r w:rsidRPr="00746AF6">
          <w:rPr>
            <w:rStyle w:val="Hyperlink"/>
            <w:rFonts w:ascii="Times New Roman" w:hAnsi="Times New Roman" w:cs="Times New Roman"/>
            <w:sz w:val="28"/>
            <w:szCs w:val="28"/>
          </w:rPr>
          <w:t>https://doi.org/10.1016/j.etap.2016.06.004</w:t>
        </w:r>
      </w:hyperlink>
    </w:p>
    <w:p w14:paraId="6B7ED19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3" w:history="1">
        <w:r w:rsidRPr="00746AF6">
          <w:rPr>
            <w:rStyle w:val="Hyperlink"/>
            <w:rFonts w:ascii="Times New Roman" w:hAnsi="Times New Roman" w:cs="Times New Roman"/>
            <w:sz w:val="28"/>
            <w:szCs w:val="28"/>
          </w:rPr>
          <w:t>https://doi.org/10.3390/ijerph14060632</w:t>
        </w:r>
      </w:hyperlink>
    </w:p>
    <w:p w14:paraId="7B3B863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4" w:history="1">
        <w:r w:rsidRPr="00746AF6">
          <w:rPr>
            <w:rStyle w:val="Hyperlink"/>
            <w:rFonts w:ascii="Times New Roman" w:hAnsi="Times New Roman" w:cs="Times New Roman"/>
            <w:sz w:val="28"/>
            <w:szCs w:val="28"/>
          </w:rPr>
          <w:t>https://doi.org/10.1016/j.ijfoodmicro.2017.11.013</w:t>
        </w:r>
      </w:hyperlink>
    </w:p>
    <w:p w14:paraId="3597D4DA"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5" w:history="1">
        <w:r w:rsidRPr="00746AF6">
          <w:rPr>
            <w:rStyle w:val="Hyperlink"/>
            <w:rFonts w:ascii="Times New Roman" w:hAnsi="Times New Roman" w:cs="Times New Roman"/>
            <w:sz w:val="28"/>
            <w:szCs w:val="28"/>
          </w:rPr>
          <w:t>https://doi.org/10.2903/j.efsa.2020.6113</w:t>
        </w:r>
      </w:hyperlink>
    </w:p>
    <w:p w14:paraId="11F28842" w14:textId="5199DF4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-induced nephrotoxicity in rats.</w:t>
      </w:r>
      <w:proofErr w:type="gramEnd"/>
      <w:r w:rsidRPr="00746AF6">
        <w:rPr>
          <w:rFonts w:ascii="Times New Roman" w:hAnsi="Times New Roman" w:cs="Times New Roman"/>
          <w:sz w:val="28"/>
          <w:szCs w:val="28"/>
        </w:rPr>
        <w:t xml:space="preserve"> Journal of Applied Pharmaceutical Science, 6(6), 124–130. </w:t>
      </w:r>
      <w:hyperlink r:id="rId16" w:history="1">
        <w:r w:rsidRPr="00746AF6">
          <w:rPr>
            <w:rStyle w:val="Hyperlink"/>
            <w:rFonts w:ascii="Times New Roman" w:hAnsi="Times New Roman" w:cs="Times New Roman"/>
            <w:sz w:val="28"/>
            <w:szCs w:val="28"/>
          </w:rPr>
          <w:t>https://doi.org/10.7324/JAPS.2016.60618</w:t>
        </w:r>
      </w:hyperlink>
    </w:p>
    <w:p w14:paraId="2062067F"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17" w:history="1">
        <w:r w:rsidRPr="00746AF6">
          <w:rPr>
            <w:rStyle w:val="Hyperlink"/>
            <w:rFonts w:ascii="Times New Roman" w:hAnsi="Times New Roman" w:cs="Times New Roman"/>
            <w:sz w:val="28"/>
            <w:szCs w:val="28"/>
          </w:rPr>
          <w:t>https://doi.org/10.1080/10408398.2019.1658570</w:t>
        </w:r>
      </w:hyperlink>
    </w:p>
    <w:p w14:paraId="6BA00AA7" w14:textId="2DB3BF0C"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Archives of Industrial Hygiene and Toxicology, 60(4), 457–464.</w:t>
      </w:r>
      <w:proofErr w:type="gramEnd"/>
      <w:r w:rsidRPr="00746AF6">
        <w:rPr>
          <w:rFonts w:ascii="Times New Roman" w:hAnsi="Times New Roman" w:cs="Times New Roman"/>
          <w:sz w:val="28"/>
          <w:szCs w:val="28"/>
        </w:rPr>
        <w:t xml:space="preserve"> </w:t>
      </w:r>
      <w:hyperlink r:id="rId18" w:history="1">
        <w:r w:rsidRPr="00746AF6">
          <w:rPr>
            <w:rStyle w:val="Hyperlink"/>
            <w:rFonts w:ascii="Times New Roman" w:hAnsi="Times New Roman" w:cs="Times New Roman"/>
            <w:sz w:val="28"/>
            <w:szCs w:val="28"/>
          </w:rPr>
          <w:t>https://doi.org/10.2478/10004-1254-60-2009-2017</w:t>
        </w:r>
      </w:hyperlink>
    </w:p>
    <w:p w14:paraId="75C5A4A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19" w:history="1">
        <w:r w:rsidRPr="00746AF6">
          <w:rPr>
            <w:rStyle w:val="Hyperlink"/>
            <w:rFonts w:ascii="Times New Roman" w:hAnsi="Times New Roman" w:cs="Times New Roman"/>
            <w:sz w:val="28"/>
            <w:szCs w:val="28"/>
          </w:rPr>
          <w:t>https://doi.org/10.1016/j.simyco.2018.02.001</w:t>
        </w:r>
      </w:hyperlink>
    </w:p>
    <w:p w14:paraId="3A4B4C0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0" w:history="1">
        <w:r w:rsidRPr="00746AF6">
          <w:rPr>
            <w:rStyle w:val="Hyperlink"/>
            <w:rFonts w:ascii="Times New Roman" w:hAnsi="Times New Roman" w:cs="Times New Roman"/>
            <w:sz w:val="28"/>
            <w:szCs w:val="28"/>
          </w:rPr>
          <w:t>https://doi.org/10.1007/0-387-28391-9_1</w:t>
        </w:r>
      </w:hyperlink>
    </w:p>
    <w:p w14:paraId="685C7E5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21" w:history="1">
        <w:r w:rsidRPr="00746AF6">
          <w:rPr>
            <w:rStyle w:val="Hyperlink"/>
            <w:rFonts w:ascii="Times New Roman" w:hAnsi="Times New Roman" w:cs="Times New Roman"/>
            <w:sz w:val="28"/>
            <w:szCs w:val="28"/>
          </w:rPr>
          <w:t>https://doi.org/10.3390/toxins9030060</w:t>
        </w:r>
      </w:hyperlink>
    </w:p>
    <w:p w14:paraId="3F68835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22" w:history="1">
        <w:r w:rsidRPr="00746AF6">
          <w:rPr>
            <w:rStyle w:val="Hyperlink"/>
            <w:rFonts w:ascii="Times New Roman" w:hAnsi="Times New Roman" w:cs="Times New Roman"/>
            <w:sz w:val="28"/>
            <w:szCs w:val="28"/>
          </w:rPr>
          <w:t>https://doi.org/10.1016/j.simyco.2020.02.001</w:t>
        </w:r>
      </w:hyperlink>
    </w:p>
    <w:p w14:paraId="2783540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3" w:history="1">
        <w:r w:rsidRPr="00746AF6">
          <w:rPr>
            <w:rStyle w:val="Hyperlink"/>
            <w:rFonts w:ascii="Times New Roman" w:hAnsi="Times New Roman" w:cs="Times New Roman"/>
            <w:sz w:val="28"/>
            <w:szCs w:val="28"/>
          </w:rPr>
          <w:t>https://doi.org/10.1016/S0300-483X(01)00471-1</w:t>
        </w:r>
      </w:hyperlink>
    </w:p>
    <w:p w14:paraId="743A9B6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14:paraId="7B70F7CE"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4" w:history="1">
        <w:r w:rsidRPr="00746AF6">
          <w:rPr>
            <w:rStyle w:val="Hyperlink"/>
            <w:rFonts w:ascii="Times New Roman" w:hAnsi="Times New Roman" w:cs="Times New Roman"/>
            <w:sz w:val="28"/>
            <w:szCs w:val="28"/>
          </w:rPr>
          <w:t>https://doi.org/10.3920/WMJ2018.2385</w:t>
        </w:r>
      </w:hyperlink>
    </w:p>
    <w:p w14:paraId="37DF8F79"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J. (2016).</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5" w:history="1">
        <w:r w:rsidRPr="00746AF6">
          <w:rPr>
            <w:rStyle w:val="Hyperlink"/>
            <w:rFonts w:ascii="Times New Roman" w:hAnsi="Times New Roman" w:cs="Times New Roman"/>
            <w:sz w:val="28"/>
            <w:szCs w:val="28"/>
          </w:rPr>
          <w:t>https://doi.org/10.3390/toxins8070191</w:t>
        </w:r>
      </w:hyperlink>
    </w:p>
    <w:p w14:paraId="168FF5B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26" w:history="1">
        <w:r w:rsidRPr="00746AF6">
          <w:rPr>
            <w:rStyle w:val="Hyperlink"/>
            <w:rFonts w:ascii="Times New Roman" w:hAnsi="Times New Roman" w:cs="Times New Roman"/>
            <w:sz w:val="28"/>
            <w:szCs w:val="28"/>
          </w:rPr>
          <w:t>https://doi.org/10.1016/j.ijfoodmicro.2017.12.019</w:t>
        </w:r>
      </w:hyperlink>
    </w:p>
    <w:p w14:paraId="2BD14DE3"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27" w:history="1">
        <w:r w:rsidRPr="00746AF6">
          <w:rPr>
            <w:rStyle w:val="Hyperlink"/>
            <w:rFonts w:ascii="Times New Roman" w:hAnsi="Times New Roman" w:cs="Times New Roman"/>
            <w:sz w:val="28"/>
            <w:szCs w:val="28"/>
          </w:rPr>
          <w:t>https://doi.org/10.14601/Phyto-11142</w:t>
        </w:r>
      </w:hyperlink>
    </w:p>
    <w:p w14:paraId="17A5B4FD" w14:textId="6E9CC5E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sidR="00E328FD">
        <w:rPr>
          <w:rFonts w:ascii="Times New Roman" w:hAnsi="Times New Roman" w:cs="Times New Roman"/>
          <w:kern w:val="0"/>
          <w:sz w:val="28"/>
          <w:szCs w:val="28"/>
          <w14:ligatures w14:val="none"/>
        </w:rPr>
        <w:t>verrucosum</w:t>
      </w:r>
      <w:proofErr w:type="spellEnd"/>
      <w:proofErr w:type="gram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28" w:history="1">
        <w:r w:rsidRPr="00746AF6">
          <w:rPr>
            <w:rStyle w:val="Hyperlink"/>
            <w:rFonts w:ascii="Times New Roman" w:hAnsi="Times New Roman" w:cs="Times New Roman"/>
            <w:sz w:val="28"/>
            <w:szCs w:val="28"/>
          </w:rPr>
          <w:t>https://doi.org/10.1002/jbt.22313</w:t>
        </w:r>
      </w:hyperlink>
    </w:p>
    <w:p w14:paraId="4B1D183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https://doi.org/10.1002/mnfr.201600873</w:t>
        </w:r>
      </w:hyperlink>
    </w:p>
    <w:p w14:paraId="3637BD31" w14:textId="77777777" w:rsidR="00746AF6" w:rsidRPr="00746AF6" w:rsidRDefault="00746AF6" w:rsidP="00746AF6">
      <w:pPr>
        <w:spacing w:line="480" w:lineRule="auto"/>
        <w:ind w:left="720" w:hanging="720"/>
        <w:jc w:val="both"/>
        <w:rPr>
          <w:rStyle w:val="Hyperlink"/>
          <w:rFonts w:ascii="Times New Roman" w:hAnsi="Times New Roman" w:cs="Times New Roman"/>
          <w:color w:val="auto"/>
          <w:sz w:val="28"/>
          <w:szCs w:val="28"/>
          <w:u w:val="none"/>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30" w:history="1">
        <w:r w:rsidRPr="00746AF6">
          <w:rPr>
            <w:rStyle w:val="Hyperlink"/>
            <w:rFonts w:ascii="Times New Roman" w:hAnsi="Times New Roman" w:cs="Times New Roman"/>
            <w:sz w:val="28"/>
            <w:szCs w:val="28"/>
          </w:rPr>
          <w:t>https://doi.org/10.1007/978-0-387-92207-2</w:t>
        </w:r>
      </w:hyperlink>
    </w:p>
    <w:p w14:paraId="1361E34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31" w:history="1">
        <w:r w:rsidRPr="00746AF6">
          <w:rPr>
            <w:rStyle w:val="Hyperlink"/>
            <w:rFonts w:ascii="Times New Roman" w:hAnsi="Times New Roman" w:cs="Times New Roman"/>
            <w:sz w:val="28"/>
            <w:szCs w:val="28"/>
          </w:rPr>
          <w:t>https://doi.org/10.3390/toxins10030112</w:t>
        </w:r>
      </w:hyperlink>
    </w:p>
    <w:p w14:paraId="2A11DD1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https://doi.org/10.3390/toxins11030129</w:t>
        </w:r>
      </w:hyperlink>
    </w:p>
    <w:p w14:paraId="0A5AA82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14:paraId="52F08A0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3" w:history="1">
        <w:r w:rsidRPr="00746AF6">
          <w:rPr>
            <w:rStyle w:val="Hyperlink"/>
            <w:rFonts w:ascii="Times New Roman" w:hAnsi="Times New Roman" w:cs="Times New Roman"/>
            <w:sz w:val="28"/>
            <w:szCs w:val="28"/>
          </w:rPr>
          <w:t>https://doi.org/10.3390/toxins15030209</w:t>
        </w:r>
      </w:hyperlink>
    </w:p>
    <w:p w14:paraId="70EBDD1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4" w:history="1">
        <w:r w:rsidRPr="00746AF6">
          <w:rPr>
            <w:rStyle w:val="Hyperlink"/>
            <w:rFonts w:ascii="Times New Roman" w:hAnsi="Times New Roman" w:cs="Times New Roman"/>
            <w:sz w:val="28"/>
            <w:szCs w:val="28"/>
          </w:rPr>
          <w:t>https://doi.org/10.1016/j.chroma.2020.460791</w:t>
        </w:r>
      </w:hyperlink>
    </w:p>
    <w:p w14:paraId="238CF40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5" w:history="1">
        <w:r w:rsidRPr="00746AF6">
          <w:rPr>
            <w:rStyle w:val="Hyperlink"/>
            <w:rFonts w:ascii="Times New Roman" w:hAnsi="Times New Roman" w:cs="Times New Roman"/>
            <w:sz w:val="28"/>
            <w:szCs w:val="28"/>
          </w:rPr>
          <w:t>https://doi.org/10.1186/s40104-021-00603-0</w:t>
        </w:r>
      </w:hyperlink>
    </w:p>
    <w:sectPr w:rsidR="00746AF6" w:rsidRPr="00746AF6" w:rsidSect="001E4C72">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C558" w14:textId="77777777" w:rsidR="00EB04D2" w:rsidRDefault="00EB04D2" w:rsidP="00E36513">
      <w:pPr>
        <w:spacing w:after="0" w:line="240" w:lineRule="auto"/>
      </w:pPr>
      <w:r>
        <w:separator/>
      </w:r>
    </w:p>
  </w:endnote>
  <w:endnote w:type="continuationSeparator" w:id="0">
    <w:p w14:paraId="0DAA1CCA" w14:textId="77777777" w:rsidR="00EB04D2" w:rsidRDefault="00EB04D2" w:rsidP="00E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6384948"/>
      <w:docPartObj>
        <w:docPartGallery w:val="Page Numbers (Bottom of Page)"/>
        <w:docPartUnique/>
      </w:docPartObj>
    </w:sdtPr>
    <w:sdtEndPr>
      <w:rPr>
        <w:rStyle w:val="PageNumber"/>
      </w:rPr>
    </w:sdtEndPr>
    <w:sdtContent>
      <w:p w14:paraId="1B5446E5" w14:textId="5BC8C602"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567D4" w14:textId="77777777" w:rsidR="00B4322A" w:rsidRDefault="00B4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6066656"/>
      <w:docPartObj>
        <w:docPartGallery w:val="Page Numbers (Bottom of Page)"/>
        <w:docPartUnique/>
      </w:docPartObj>
    </w:sdtPr>
    <w:sdtEndPr>
      <w:rPr>
        <w:rStyle w:val="PageNumber"/>
      </w:rPr>
    </w:sdtEndPr>
    <w:sdtContent>
      <w:p w14:paraId="480B10E4" w14:textId="5862A1A6"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F6D93">
          <w:rPr>
            <w:rStyle w:val="PageNumber"/>
            <w:noProof/>
          </w:rPr>
          <w:t>ii</w:t>
        </w:r>
        <w:r>
          <w:rPr>
            <w:rStyle w:val="PageNumber"/>
          </w:rPr>
          <w:fldChar w:fldCharType="end"/>
        </w:r>
      </w:p>
    </w:sdtContent>
  </w:sdt>
  <w:p w14:paraId="55E91AED" w14:textId="77777777" w:rsidR="00B4322A" w:rsidRDefault="00B4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9E00" w14:textId="77777777" w:rsidR="00EB04D2" w:rsidRDefault="00EB04D2" w:rsidP="00E36513">
      <w:pPr>
        <w:spacing w:after="0" w:line="240" w:lineRule="auto"/>
      </w:pPr>
      <w:r>
        <w:separator/>
      </w:r>
    </w:p>
  </w:footnote>
  <w:footnote w:type="continuationSeparator" w:id="0">
    <w:p w14:paraId="454ADE2E" w14:textId="77777777" w:rsidR="00EB04D2" w:rsidRDefault="00EB04D2" w:rsidP="00E3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A5"/>
    <w:multiLevelType w:val="hybridMultilevel"/>
    <w:tmpl w:val="65468D22"/>
    <w:lvl w:ilvl="0" w:tplc="B9CC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63B9"/>
    <w:multiLevelType w:val="hybridMultilevel"/>
    <w:tmpl w:val="E76CB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6F2D20"/>
    <w:multiLevelType w:val="hybridMultilevel"/>
    <w:tmpl w:val="0D6C6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00C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E018E8"/>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37F86"/>
    <w:multiLevelType w:val="multilevel"/>
    <w:tmpl w:val="2F762184"/>
    <w:lvl w:ilvl="0">
      <w:start w:val="1"/>
      <w:numFmt w:val="decimal"/>
      <w:lvlText w:val="%1."/>
      <w:lvlJc w:val="left"/>
      <w:pPr>
        <w:ind w:left="675" w:hanging="67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0935235"/>
    <w:multiLevelType w:val="multilevel"/>
    <w:tmpl w:val="E2BAB82E"/>
    <w:lvl w:ilvl="0">
      <w:start w:val="1"/>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B5B25EA"/>
    <w:multiLevelType w:val="hybridMultilevel"/>
    <w:tmpl w:val="7AC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466D6"/>
    <w:multiLevelType w:val="multilevel"/>
    <w:tmpl w:val="DB0CE17E"/>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5"/>
  </w:num>
  <w:num w:numId="3">
    <w:abstractNumId w:val="1"/>
  </w:num>
  <w:num w:numId="4">
    <w:abstractNumId w:val="0"/>
  </w:num>
  <w:num w:numId="5">
    <w:abstractNumId w:val="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4E"/>
    <w:rsid w:val="00000BC0"/>
    <w:rsid w:val="00010BAA"/>
    <w:rsid w:val="000155C6"/>
    <w:rsid w:val="0002636B"/>
    <w:rsid w:val="00026CB0"/>
    <w:rsid w:val="00027CDB"/>
    <w:rsid w:val="00027EB0"/>
    <w:rsid w:val="000328B6"/>
    <w:rsid w:val="0003377C"/>
    <w:rsid w:val="00034FB9"/>
    <w:rsid w:val="000435D1"/>
    <w:rsid w:val="0005057C"/>
    <w:rsid w:val="00072277"/>
    <w:rsid w:val="00086F94"/>
    <w:rsid w:val="000A2B6B"/>
    <w:rsid w:val="000A39C0"/>
    <w:rsid w:val="000B10CF"/>
    <w:rsid w:val="000B3333"/>
    <w:rsid w:val="000C0530"/>
    <w:rsid w:val="000C243D"/>
    <w:rsid w:val="000C6AE8"/>
    <w:rsid w:val="000E6BCC"/>
    <w:rsid w:val="000E7E8B"/>
    <w:rsid w:val="00102B43"/>
    <w:rsid w:val="00105F92"/>
    <w:rsid w:val="0010621F"/>
    <w:rsid w:val="001164B2"/>
    <w:rsid w:val="00121A4F"/>
    <w:rsid w:val="00124CBA"/>
    <w:rsid w:val="00126C80"/>
    <w:rsid w:val="001271B3"/>
    <w:rsid w:val="00134184"/>
    <w:rsid w:val="001513FB"/>
    <w:rsid w:val="00154072"/>
    <w:rsid w:val="00166D88"/>
    <w:rsid w:val="00181DD2"/>
    <w:rsid w:val="00186931"/>
    <w:rsid w:val="00194984"/>
    <w:rsid w:val="001A2C7E"/>
    <w:rsid w:val="001A5DA8"/>
    <w:rsid w:val="001B103F"/>
    <w:rsid w:val="001B2592"/>
    <w:rsid w:val="001C2866"/>
    <w:rsid w:val="001C4F56"/>
    <w:rsid w:val="001D1EB8"/>
    <w:rsid w:val="001D53D8"/>
    <w:rsid w:val="001E3FCC"/>
    <w:rsid w:val="001E48E7"/>
    <w:rsid w:val="001E4C72"/>
    <w:rsid w:val="001E4DD7"/>
    <w:rsid w:val="001E4DEA"/>
    <w:rsid w:val="001F08CE"/>
    <w:rsid w:val="001F21D7"/>
    <w:rsid w:val="002004B5"/>
    <w:rsid w:val="002031F3"/>
    <w:rsid w:val="00207F2D"/>
    <w:rsid w:val="00211240"/>
    <w:rsid w:val="00211AA0"/>
    <w:rsid w:val="00214A68"/>
    <w:rsid w:val="00216C38"/>
    <w:rsid w:val="002220B4"/>
    <w:rsid w:val="00225777"/>
    <w:rsid w:val="00243CB7"/>
    <w:rsid w:val="00262B6A"/>
    <w:rsid w:val="00266298"/>
    <w:rsid w:val="002738B6"/>
    <w:rsid w:val="002850E7"/>
    <w:rsid w:val="00291CD5"/>
    <w:rsid w:val="002920BA"/>
    <w:rsid w:val="00292DF6"/>
    <w:rsid w:val="002962A8"/>
    <w:rsid w:val="002A339F"/>
    <w:rsid w:val="002A40D0"/>
    <w:rsid w:val="002A45C5"/>
    <w:rsid w:val="002C5228"/>
    <w:rsid w:val="002C55F0"/>
    <w:rsid w:val="002D244D"/>
    <w:rsid w:val="002D3841"/>
    <w:rsid w:val="002D7DEB"/>
    <w:rsid w:val="002E70A3"/>
    <w:rsid w:val="002E792A"/>
    <w:rsid w:val="002E7F0D"/>
    <w:rsid w:val="00301A12"/>
    <w:rsid w:val="00302562"/>
    <w:rsid w:val="0030690A"/>
    <w:rsid w:val="003118FF"/>
    <w:rsid w:val="00324D15"/>
    <w:rsid w:val="00336E38"/>
    <w:rsid w:val="00341EFD"/>
    <w:rsid w:val="003437A2"/>
    <w:rsid w:val="00357C04"/>
    <w:rsid w:val="00362D59"/>
    <w:rsid w:val="00365AEF"/>
    <w:rsid w:val="003669A1"/>
    <w:rsid w:val="00367973"/>
    <w:rsid w:val="00367A21"/>
    <w:rsid w:val="003724F8"/>
    <w:rsid w:val="003740E4"/>
    <w:rsid w:val="00390E2C"/>
    <w:rsid w:val="00395C4E"/>
    <w:rsid w:val="00396670"/>
    <w:rsid w:val="003A1968"/>
    <w:rsid w:val="003B4141"/>
    <w:rsid w:val="003B55AD"/>
    <w:rsid w:val="003C1052"/>
    <w:rsid w:val="003C1F69"/>
    <w:rsid w:val="003C2219"/>
    <w:rsid w:val="003D22AF"/>
    <w:rsid w:val="003D2611"/>
    <w:rsid w:val="003D346C"/>
    <w:rsid w:val="003E03B6"/>
    <w:rsid w:val="003E4992"/>
    <w:rsid w:val="00401D6D"/>
    <w:rsid w:val="004165A2"/>
    <w:rsid w:val="00423AB9"/>
    <w:rsid w:val="004241F3"/>
    <w:rsid w:val="00437B47"/>
    <w:rsid w:val="00444E32"/>
    <w:rsid w:val="00447E5A"/>
    <w:rsid w:val="0045025E"/>
    <w:rsid w:val="00452207"/>
    <w:rsid w:val="00460933"/>
    <w:rsid w:val="0046234E"/>
    <w:rsid w:val="00463FAA"/>
    <w:rsid w:val="00466BDE"/>
    <w:rsid w:val="0047642F"/>
    <w:rsid w:val="0047682E"/>
    <w:rsid w:val="0049232E"/>
    <w:rsid w:val="004A52A7"/>
    <w:rsid w:val="004A6123"/>
    <w:rsid w:val="004B04EF"/>
    <w:rsid w:val="004B08D1"/>
    <w:rsid w:val="004B6498"/>
    <w:rsid w:val="004C07EB"/>
    <w:rsid w:val="004C1951"/>
    <w:rsid w:val="004D2A27"/>
    <w:rsid w:val="004E39DA"/>
    <w:rsid w:val="004E6C18"/>
    <w:rsid w:val="004F36EF"/>
    <w:rsid w:val="004F4A14"/>
    <w:rsid w:val="004F6EC6"/>
    <w:rsid w:val="00500AD1"/>
    <w:rsid w:val="005023A6"/>
    <w:rsid w:val="00505B46"/>
    <w:rsid w:val="00531FC4"/>
    <w:rsid w:val="00541090"/>
    <w:rsid w:val="005523FA"/>
    <w:rsid w:val="0055380B"/>
    <w:rsid w:val="00573A90"/>
    <w:rsid w:val="0059049F"/>
    <w:rsid w:val="00595FC3"/>
    <w:rsid w:val="00596820"/>
    <w:rsid w:val="005B36F6"/>
    <w:rsid w:val="005B729D"/>
    <w:rsid w:val="005B73E2"/>
    <w:rsid w:val="005C3867"/>
    <w:rsid w:val="005C6225"/>
    <w:rsid w:val="005E434A"/>
    <w:rsid w:val="005E4BB9"/>
    <w:rsid w:val="005E6091"/>
    <w:rsid w:val="005E6EA4"/>
    <w:rsid w:val="005F3E17"/>
    <w:rsid w:val="005F5B03"/>
    <w:rsid w:val="00615982"/>
    <w:rsid w:val="00624D8C"/>
    <w:rsid w:val="006322E2"/>
    <w:rsid w:val="00633B07"/>
    <w:rsid w:val="00634F78"/>
    <w:rsid w:val="0064344A"/>
    <w:rsid w:val="00645214"/>
    <w:rsid w:val="00654E6C"/>
    <w:rsid w:val="00660B20"/>
    <w:rsid w:val="00662604"/>
    <w:rsid w:val="0066380C"/>
    <w:rsid w:val="00682955"/>
    <w:rsid w:val="006B4F2B"/>
    <w:rsid w:val="006B7CE3"/>
    <w:rsid w:val="006C3266"/>
    <w:rsid w:val="006D2B14"/>
    <w:rsid w:val="006D7FC5"/>
    <w:rsid w:val="006E056C"/>
    <w:rsid w:val="006E4646"/>
    <w:rsid w:val="006E4F45"/>
    <w:rsid w:val="006F5099"/>
    <w:rsid w:val="007054BA"/>
    <w:rsid w:val="00717B89"/>
    <w:rsid w:val="0072002C"/>
    <w:rsid w:val="007200D5"/>
    <w:rsid w:val="00721DB0"/>
    <w:rsid w:val="007247C5"/>
    <w:rsid w:val="007350EF"/>
    <w:rsid w:val="0073770E"/>
    <w:rsid w:val="00740AB9"/>
    <w:rsid w:val="00743DF9"/>
    <w:rsid w:val="00746AF6"/>
    <w:rsid w:val="00746E69"/>
    <w:rsid w:val="0075323B"/>
    <w:rsid w:val="00753966"/>
    <w:rsid w:val="00756BA8"/>
    <w:rsid w:val="00763B00"/>
    <w:rsid w:val="007720A5"/>
    <w:rsid w:val="00772601"/>
    <w:rsid w:val="00772C96"/>
    <w:rsid w:val="00773E89"/>
    <w:rsid w:val="0078229D"/>
    <w:rsid w:val="00782B84"/>
    <w:rsid w:val="0079658B"/>
    <w:rsid w:val="0079774A"/>
    <w:rsid w:val="007A1128"/>
    <w:rsid w:val="007A7731"/>
    <w:rsid w:val="007B78A4"/>
    <w:rsid w:val="007C03B1"/>
    <w:rsid w:val="007C08B5"/>
    <w:rsid w:val="007C7707"/>
    <w:rsid w:val="007F6B7A"/>
    <w:rsid w:val="00810353"/>
    <w:rsid w:val="008143A8"/>
    <w:rsid w:val="00817EBF"/>
    <w:rsid w:val="00832FA8"/>
    <w:rsid w:val="0083652B"/>
    <w:rsid w:val="0084674E"/>
    <w:rsid w:val="00882EB2"/>
    <w:rsid w:val="008849BB"/>
    <w:rsid w:val="00886B1E"/>
    <w:rsid w:val="008A58E5"/>
    <w:rsid w:val="008B5161"/>
    <w:rsid w:val="008C396C"/>
    <w:rsid w:val="008C619D"/>
    <w:rsid w:val="008E1834"/>
    <w:rsid w:val="008F2B53"/>
    <w:rsid w:val="0090272C"/>
    <w:rsid w:val="00906E51"/>
    <w:rsid w:val="0091062A"/>
    <w:rsid w:val="00950142"/>
    <w:rsid w:val="00957B94"/>
    <w:rsid w:val="0097306D"/>
    <w:rsid w:val="009942F2"/>
    <w:rsid w:val="009A7D2D"/>
    <w:rsid w:val="009B0A9C"/>
    <w:rsid w:val="009C26B9"/>
    <w:rsid w:val="009C31DE"/>
    <w:rsid w:val="009C473E"/>
    <w:rsid w:val="009D3D1B"/>
    <w:rsid w:val="009D4E55"/>
    <w:rsid w:val="009D6521"/>
    <w:rsid w:val="009E005A"/>
    <w:rsid w:val="009E0A4C"/>
    <w:rsid w:val="009E48C1"/>
    <w:rsid w:val="009E4C16"/>
    <w:rsid w:val="009F009B"/>
    <w:rsid w:val="00A125B5"/>
    <w:rsid w:val="00A23528"/>
    <w:rsid w:val="00A32491"/>
    <w:rsid w:val="00A35398"/>
    <w:rsid w:val="00A37BD6"/>
    <w:rsid w:val="00A71754"/>
    <w:rsid w:val="00A762AA"/>
    <w:rsid w:val="00A972D0"/>
    <w:rsid w:val="00AA146C"/>
    <w:rsid w:val="00AA3980"/>
    <w:rsid w:val="00AA6880"/>
    <w:rsid w:val="00AA69D1"/>
    <w:rsid w:val="00AB4550"/>
    <w:rsid w:val="00AC0710"/>
    <w:rsid w:val="00AC2493"/>
    <w:rsid w:val="00AC369F"/>
    <w:rsid w:val="00AE1014"/>
    <w:rsid w:val="00AE2582"/>
    <w:rsid w:val="00B324E5"/>
    <w:rsid w:val="00B4322A"/>
    <w:rsid w:val="00B71BAE"/>
    <w:rsid w:val="00B7357D"/>
    <w:rsid w:val="00B735E1"/>
    <w:rsid w:val="00B94EB0"/>
    <w:rsid w:val="00B9662D"/>
    <w:rsid w:val="00B96B27"/>
    <w:rsid w:val="00BA3E95"/>
    <w:rsid w:val="00BA6B72"/>
    <w:rsid w:val="00BB6982"/>
    <w:rsid w:val="00BC0AB2"/>
    <w:rsid w:val="00BC44EC"/>
    <w:rsid w:val="00BD128B"/>
    <w:rsid w:val="00BD4733"/>
    <w:rsid w:val="00BD7E86"/>
    <w:rsid w:val="00BE0BBE"/>
    <w:rsid w:val="00BE5999"/>
    <w:rsid w:val="00BF15E8"/>
    <w:rsid w:val="00C04DDB"/>
    <w:rsid w:val="00C16A4E"/>
    <w:rsid w:val="00C332DA"/>
    <w:rsid w:val="00C42DE3"/>
    <w:rsid w:val="00C5490C"/>
    <w:rsid w:val="00C855C6"/>
    <w:rsid w:val="00CA2C11"/>
    <w:rsid w:val="00CA39AA"/>
    <w:rsid w:val="00CA70C4"/>
    <w:rsid w:val="00CA7FDB"/>
    <w:rsid w:val="00CB14E3"/>
    <w:rsid w:val="00CB55EF"/>
    <w:rsid w:val="00CC4D1F"/>
    <w:rsid w:val="00CD05B0"/>
    <w:rsid w:val="00CE633E"/>
    <w:rsid w:val="00CF29D8"/>
    <w:rsid w:val="00CF6D93"/>
    <w:rsid w:val="00CF7D89"/>
    <w:rsid w:val="00D01A0D"/>
    <w:rsid w:val="00D03659"/>
    <w:rsid w:val="00D05E8A"/>
    <w:rsid w:val="00D16B2B"/>
    <w:rsid w:val="00D16B88"/>
    <w:rsid w:val="00D20A43"/>
    <w:rsid w:val="00D2534F"/>
    <w:rsid w:val="00D5311B"/>
    <w:rsid w:val="00D53AA3"/>
    <w:rsid w:val="00D55F79"/>
    <w:rsid w:val="00D63E9A"/>
    <w:rsid w:val="00D801CD"/>
    <w:rsid w:val="00D82CA6"/>
    <w:rsid w:val="00DB43DC"/>
    <w:rsid w:val="00DB5616"/>
    <w:rsid w:val="00DC1856"/>
    <w:rsid w:val="00DC4AB4"/>
    <w:rsid w:val="00DC4B71"/>
    <w:rsid w:val="00DD4E9A"/>
    <w:rsid w:val="00DE4CCB"/>
    <w:rsid w:val="00DF1C46"/>
    <w:rsid w:val="00DF2BCF"/>
    <w:rsid w:val="00DF5D55"/>
    <w:rsid w:val="00E012E3"/>
    <w:rsid w:val="00E072B0"/>
    <w:rsid w:val="00E1436B"/>
    <w:rsid w:val="00E202EA"/>
    <w:rsid w:val="00E23E37"/>
    <w:rsid w:val="00E26133"/>
    <w:rsid w:val="00E2676C"/>
    <w:rsid w:val="00E328FD"/>
    <w:rsid w:val="00E35D17"/>
    <w:rsid w:val="00E36513"/>
    <w:rsid w:val="00E4181C"/>
    <w:rsid w:val="00E44950"/>
    <w:rsid w:val="00E6412A"/>
    <w:rsid w:val="00E66CC8"/>
    <w:rsid w:val="00E87BBF"/>
    <w:rsid w:val="00E90F01"/>
    <w:rsid w:val="00E94FCD"/>
    <w:rsid w:val="00E97DE1"/>
    <w:rsid w:val="00EA675A"/>
    <w:rsid w:val="00EB04D2"/>
    <w:rsid w:val="00EB4AFC"/>
    <w:rsid w:val="00EB75FF"/>
    <w:rsid w:val="00ED4B4E"/>
    <w:rsid w:val="00ED541F"/>
    <w:rsid w:val="00ED59ED"/>
    <w:rsid w:val="00EE64B2"/>
    <w:rsid w:val="00EF1F96"/>
    <w:rsid w:val="00F11AC7"/>
    <w:rsid w:val="00F1590E"/>
    <w:rsid w:val="00F23431"/>
    <w:rsid w:val="00F32DEB"/>
    <w:rsid w:val="00F4479A"/>
    <w:rsid w:val="00F47EF2"/>
    <w:rsid w:val="00F61263"/>
    <w:rsid w:val="00F82E61"/>
    <w:rsid w:val="00F85E9C"/>
    <w:rsid w:val="00F9671A"/>
    <w:rsid w:val="00F9729A"/>
    <w:rsid w:val="00FA6945"/>
    <w:rsid w:val="00FA6A78"/>
    <w:rsid w:val="00FB41A8"/>
    <w:rsid w:val="00FB717D"/>
    <w:rsid w:val="00FD4C80"/>
    <w:rsid w:val="00FD698E"/>
    <w:rsid w:val="00FE4AB7"/>
    <w:rsid w:val="00FF5143"/>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8489">
      <w:bodyDiv w:val="1"/>
      <w:marLeft w:val="0"/>
      <w:marRight w:val="0"/>
      <w:marTop w:val="0"/>
      <w:marBottom w:val="0"/>
      <w:divBdr>
        <w:top w:val="none" w:sz="0" w:space="0" w:color="auto"/>
        <w:left w:val="none" w:sz="0" w:space="0" w:color="auto"/>
        <w:bottom w:val="none" w:sz="0" w:space="0" w:color="auto"/>
        <w:right w:val="none" w:sz="0" w:space="0" w:color="auto"/>
      </w:divBdr>
    </w:div>
    <w:div w:id="1028721195">
      <w:bodyDiv w:val="1"/>
      <w:marLeft w:val="0"/>
      <w:marRight w:val="0"/>
      <w:marTop w:val="0"/>
      <w:marBottom w:val="0"/>
      <w:divBdr>
        <w:top w:val="none" w:sz="0" w:space="0" w:color="auto"/>
        <w:left w:val="none" w:sz="0" w:space="0" w:color="auto"/>
        <w:bottom w:val="none" w:sz="0" w:space="0" w:color="auto"/>
        <w:right w:val="none" w:sz="0" w:space="0" w:color="auto"/>
      </w:divBdr>
    </w:div>
    <w:div w:id="1276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4060632" TargetMode="External"/><Relationship Id="rId18" Type="http://schemas.openxmlformats.org/officeDocument/2006/relationships/hyperlink" Target="https://doi.org/10.2478/10004-1254-60-2009-2017" TargetMode="External"/><Relationship Id="rId26" Type="http://schemas.openxmlformats.org/officeDocument/2006/relationships/hyperlink" Target="https://doi.org/10.1016/j.ijfoodmicro.2017.12.019" TargetMode="External"/><Relationship Id="rId3" Type="http://schemas.microsoft.com/office/2007/relationships/stylesWithEffects" Target="stylesWithEffects.xml"/><Relationship Id="rId21" Type="http://schemas.openxmlformats.org/officeDocument/2006/relationships/hyperlink" Target="https://doi.org/10.3390/toxins9030060" TargetMode="External"/><Relationship Id="rId34" Type="http://schemas.openxmlformats.org/officeDocument/2006/relationships/hyperlink" Target="https://doi.org/10.1016/j.chroma.2020.460791" TargetMode="External"/><Relationship Id="rId7" Type="http://schemas.openxmlformats.org/officeDocument/2006/relationships/endnotes" Target="endnotes.xml"/><Relationship Id="rId12" Type="http://schemas.openxmlformats.org/officeDocument/2006/relationships/hyperlink" Target="https://doi.org/10.1016/j.etap.2016.06.004" TargetMode="External"/><Relationship Id="rId17" Type="http://schemas.openxmlformats.org/officeDocument/2006/relationships/hyperlink" Target="https://doi.org/10.1080/10408398.2019.1658570" TargetMode="External"/><Relationship Id="rId25" Type="http://schemas.openxmlformats.org/officeDocument/2006/relationships/hyperlink" Target="https://doi.org/10.3390/toxins8070191" TargetMode="External"/><Relationship Id="rId33" Type="http://schemas.openxmlformats.org/officeDocument/2006/relationships/hyperlink" Target="https://doi.org/10.3390/toxins15030209" TargetMode="External"/><Relationship Id="rId2" Type="http://schemas.openxmlformats.org/officeDocument/2006/relationships/styles" Target="styles.xml"/><Relationship Id="rId16" Type="http://schemas.openxmlformats.org/officeDocument/2006/relationships/hyperlink" Target="https://doi.org/10.7324/JAPS.2016.60618" TargetMode="External"/><Relationship Id="rId20" Type="http://schemas.openxmlformats.org/officeDocument/2006/relationships/hyperlink" Target="https://doi.org/10.1007/0-387-28391-9_1" TargetMode="External"/><Relationship Id="rId29" Type="http://schemas.openxmlformats.org/officeDocument/2006/relationships/hyperlink" Target="https://doi.org/10.1002/mnfr.2016008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3920/WMJ2018.2385" TargetMode="External"/><Relationship Id="rId32" Type="http://schemas.openxmlformats.org/officeDocument/2006/relationships/hyperlink" Target="https://doi.org/10.3390/toxins1103012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03/j.efsa.2020.6113" TargetMode="External"/><Relationship Id="rId23" Type="http://schemas.openxmlformats.org/officeDocument/2006/relationships/hyperlink" Target="https://doi.org/10.1016/S0300-483X(01)00471-1" TargetMode="External"/><Relationship Id="rId28" Type="http://schemas.openxmlformats.org/officeDocument/2006/relationships/hyperlink" Target="https://doi.org/10.1002/jbt.22313"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simyco.2018.02.001" TargetMode="External"/><Relationship Id="rId31" Type="http://schemas.openxmlformats.org/officeDocument/2006/relationships/hyperlink" Target="https://doi.org/10.3390/toxins100301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foodmicro.2017.11.013" TargetMode="External"/><Relationship Id="rId22" Type="http://schemas.openxmlformats.org/officeDocument/2006/relationships/hyperlink" Target="https://doi.org/10.1016/j.simyco.2020.02.001" TargetMode="External"/><Relationship Id="rId27" Type="http://schemas.openxmlformats.org/officeDocument/2006/relationships/hyperlink" Target="https://doi.org/10.14601/Phyto-11142" TargetMode="External"/><Relationship Id="rId30" Type="http://schemas.openxmlformats.org/officeDocument/2006/relationships/hyperlink" Target="https://doi.org/10.1007/978-0-387-92207-2" TargetMode="External"/><Relationship Id="rId35" Type="http://schemas.openxmlformats.org/officeDocument/2006/relationships/hyperlink" Target="https://doi.org/10.1186/s40104-021-00603-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44446080"/>
        <c:axId val="44447616"/>
      </c:barChart>
      <c:catAx>
        <c:axId val="44446080"/>
        <c:scaling>
          <c:orientation val="minMax"/>
        </c:scaling>
        <c:delete val="0"/>
        <c:axPos val="b"/>
        <c:numFmt formatCode="General" sourceLinked="0"/>
        <c:majorTickMark val="none"/>
        <c:minorTickMark val="none"/>
        <c:tickLblPos val="nextTo"/>
        <c:crossAx val="44447616"/>
        <c:crosses val="autoZero"/>
        <c:auto val="1"/>
        <c:lblAlgn val="ctr"/>
        <c:lblOffset val="100"/>
        <c:noMultiLvlLbl val="0"/>
      </c:catAx>
      <c:valAx>
        <c:axId val="44447616"/>
        <c:scaling>
          <c:orientation val="minMax"/>
        </c:scaling>
        <c:delete val="0"/>
        <c:axPos val="l"/>
        <c:majorGridlines/>
        <c:numFmt formatCode="General" sourceLinked="1"/>
        <c:majorTickMark val="none"/>
        <c:minorTickMark val="none"/>
        <c:tickLblPos val="nextTo"/>
        <c:spPr>
          <a:ln w="12700">
            <a:noFill/>
          </a:ln>
        </c:spPr>
        <c:crossAx val="44446080"/>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6775</Words>
  <Characters>38621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5</cp:revision>
  <dcterms:created xsi:type="dcterms:W3CDTF">2025-07-10T09:22:00Z</dcterms:created>
  <dcterms:modified xsi:type="dcterms:W3CDTF">2025-08-20T21:53:00Z</dcterms:modified>
</cp:coreProperties>
</file>