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auto" w:line="240"/>
        <w:jc w:val="center"/>
        <w:rPr/>
      </w:pPr>
      <w:bookmarkStart w:id="0" w:name="_GoBack"/>
      <w:bookmarkEnd w:id="0"/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ABSTRACT</w:t>
      </w: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drawings,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specifications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exper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stages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execution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examines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delivery,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evaluate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eradicating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sampled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0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Ikeja-Oregun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Lagos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analysed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method.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spite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hindrances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include;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unclear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objectives,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unclear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channels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ineffective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system,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ineffective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stereotyping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difficulties.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Finally,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felt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outside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walls.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recommend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stablishing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structures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agenda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leaders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commencement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project.</w:t>
      </w: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autoSpaceDE w:val="false"/>
        <w:autoSpaceDN w:val="false"/>
        <w:adjustRightInd w:val="false"/>
        <w:spacing w:lineRule="auto" w:line="36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480"/>
        <w:jc w:val="center"/>
        <w:rPr/>
      </w:pP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CONTENTS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Dedication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Acknowledgment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Abstract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vii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1.0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1.2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1.3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1.4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1.5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1.6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1.7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Limitation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1.8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TWO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2.0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Conceptual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framework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2.1.2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Theoretical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framework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12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12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gratification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13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Integration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16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17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18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18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18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19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sentence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19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Noise/distraction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21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overcoming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23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23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23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Courtesy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27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Patterns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28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conception/Design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28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29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30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31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31</w:t>
      </w:r>
    </w:p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THREE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3.0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3.3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Techniques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3.3.1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3.4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36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3.5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37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38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Returned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38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39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4.4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tab/>
      </w:r>
      <w:r>
        <w:tab/>
      </w:r>
      <w:r>
        <w:tab/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45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4.5</w:t>
      </w:r>
      <w:r>
        <w:tab/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NewRomanPS-BoldMT" w:cs="TimesNewRomanPS-BoldMT" w:eastAsia="SimSun" w:hAnsi="TimesNewRomanPS-BoldMT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47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5.0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Recommendations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48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48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5.2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49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5.3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Recommendation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49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References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Appendix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rPr/>
        <w:sectPr>
          <w:pgSz w:w="11906" w:h="16838" w:orient="portrait"/>
          <w:pgMar w:top="1440" w:right="1440" w:bottom="1872" w:left="1440" w:header="720" w:footer="1152" w:gutter="0"/>
          <w:docGrid w:type="lines" w:linePitch="312"/>
        </w:sectPr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</w:p>
    <w:p>
      <w:pPr>
        <w:tabs>
          <w:tab w:val="left" w:leader="none" w:pos="3360"/>
        </w:tabs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INTRODUCTION</w:t>
      </w:r>
      <w:r>
        <w:tab/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backbone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Kenny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Undeniable”.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investments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governments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globe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oldest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division,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centuries.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mentions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drastically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scientific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designs”.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Leesard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landscape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crucibles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collaboration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developed”.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decades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society.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output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constitutes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one-half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capital,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Domestic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(GDP)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(Arditi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Morkhtar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Mee-Edoiye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Andawei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declared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workforce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transferring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(Emmitt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unfolds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transferred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assembled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transferring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execution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regularly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engaged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transmitting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(Maame,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activities;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integral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argument,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effectiveness.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motivation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2009).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demotivated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workforce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(Sheetanshu,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risky,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participation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co-ordination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interpersonal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successfully.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feedback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disseminate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(Sheetanshu,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co-ordination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errors.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pervades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Breakdowns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rapidly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failure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slowdown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verticals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(Dainty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fragmented,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disparate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combine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problematic.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Nevertheless,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principal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enabler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crucial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discussing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mechanism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investigation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likely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articulated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inherent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mechanisms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Juran’s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warns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against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shortcuts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symptoms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removing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tatement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Kezsbom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single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efficiency,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satisfaction,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team”.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continues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implementation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accompanied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dissatisfaction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(Hafez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step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controlling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eliminating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controlling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substantial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 To assess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 To Identify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 To examine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 To evaluate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eradicating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 Toidentify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addressed: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 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 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 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 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 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eradicating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communication?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1.5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Significance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ignored,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omestic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roduct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(GDP)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justifiable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Endeavour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Already,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substantial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elsewhere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interfaces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specialists.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specialist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visualize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accuracy,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possibly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relevance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model),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recognizing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incorrect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adjustment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recourses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alteration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incorrectly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components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eliminated.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identifying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step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implementation.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gathered,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negatively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status.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cope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Lagos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metropolis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concentration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1.7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Limitations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validity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ascertained.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honestly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honesty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1.8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DEFINITION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somebody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endeavour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task.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GDP: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domestic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task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attain.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obstacles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impediment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something.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judicious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achieves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ends.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TWO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REVIEW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Conceptual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framework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life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executed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humans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2009).Communication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Dainty,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recognized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itself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multifarious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2009).:Communication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symbols,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speech,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report.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definitions,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successful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delivery".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2.1.2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overview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booming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world.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urban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repairing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alterations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one-third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world’s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domestic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energy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consumption.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2009).Therefore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depends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upon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sub-contractors.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(Emmit&amp;Gorse,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Globally,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countries,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4-14%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GDP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wealth.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strategic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nation’s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country’s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wealth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Nowadays,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fixed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capital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4.2%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GDP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(Ibrahim,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Theoretical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framework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believe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objectively;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cognitive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interactionist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life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interaction;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interpretive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uncover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perpetuates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earliest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propounded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Western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Siebert,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Paterson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(1956).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"normative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theories"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McQuail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"mainly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prevailing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values."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original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political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scenario.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underlying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capitalism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legitimized,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otherwise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called,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undertook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carrying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programmes,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accepting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restrictions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instructions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subordinated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themselves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political,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"development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communication"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"development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journalism".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tacit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UNESCO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weakness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"development"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equated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government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propaganda.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gratification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propounded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Katz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1970,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gratification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Abraham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Maslow's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Heirarchy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choose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individual"s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hierarchy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pyramid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clothing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climbing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pyramid.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looking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superior-most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self-actualization.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Gratifications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reminds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confronted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choices,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audience.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Lull's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television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families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television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facilitation,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intimacy,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structuring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gratifications: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world-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curiosity.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world.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watch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television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soap.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decide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ourselves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ourselves.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2.2.2.3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Integration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Interaction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circumstances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Watching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empathize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sympathize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thinking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programme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friends.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review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Features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syllabus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tuned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together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thoughts,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opinions,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sentiments,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Feedback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chief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principles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integrity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briefing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recipient,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uniformity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feedback,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guidelines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thoughts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careful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overtone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opportunity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suggest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follow-up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yourself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transmitting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Mehra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continuous,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ongoing,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dynamic.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(massage/content).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(symbol,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speech,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signals).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transactional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irreversible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delegated,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copy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electronically.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instructions,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stored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reference.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addenda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execute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sub-contract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subcontractors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Unfortunately,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classification,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outlined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2009).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Reports,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Metrics.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Presentations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speeches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category.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memos,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e-mail,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stakeholders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conversations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categorized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tone,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pitches,and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38%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businessdictionary.com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interfere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thoughts.”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prevents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Olu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traditionally,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loud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moments.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pronunciation,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ascent,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vocabulary,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analyzes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highlighted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perspectives.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assembly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genuinely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appreciates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encourage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emulate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assembly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regard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singled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“buttering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boss”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hostile.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radically.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discipline.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avoiding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tendency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disapprove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speaker’s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reference.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Consequently,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said.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listener’s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communicator.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punished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honestly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reporting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unfavorable,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chosen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phrases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sentences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transmission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massages.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mouth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marred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chosen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omission,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coherence,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ideas,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wkward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platitude,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jargons,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failure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clarify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sentence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emphasize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compounded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academy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resentful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interior/superior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misinterpret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currently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Consequently,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severe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pressure.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Inconsistent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movement,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clothing,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talking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eye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movement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contact.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morning”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anger,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defensiveness,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jealousy,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embarrassment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atmosphere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threatened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prestige,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gauge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defensively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aggressively.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2.3.3.9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Noise/distraction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otherwise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interferes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course,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learnt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screen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irrelevant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screen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Mehra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medium.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religious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mindset.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culture,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encoding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similar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feelings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besides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vocabulary.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Non-verbal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non-word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dialect.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interferences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negatively.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Extension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equally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fault.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below: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standardized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portion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closely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standardized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risk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optimizing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remains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unstructured.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vocabulary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industry-wide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advancement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(Kenig,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Severity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brief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history: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suffering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1995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desperately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detrimental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similarly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recognize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severe.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decade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economy.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immigration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labour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shortages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begin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(Flory,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jobsite.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overcoming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Mehra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applicable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Incompleteness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(before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enhances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avoids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ambiguous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Correctness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grammatical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errors.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Concise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Conciseness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eliminating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“stepping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receiver/s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(i.e.,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audience's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viewpoints,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mindset,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etc.).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attempt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audience,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self-respect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audience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hurt.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2.3.5.6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Courtesy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Courtesy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receiver.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sincerely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polite,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judicious,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reflective,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enthusiastic.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2.3.6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detrimental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Miss-communicated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redone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minimal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assemble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consecutively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labour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turnover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immediately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foundation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concrete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correct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turn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consecutive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crews.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Conclusively,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Jergeas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unrealistic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execution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deadlines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Maslej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(2006),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misinterpretation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supervision.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inefficiencies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brick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mortar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(Construct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n.d).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Maslej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risks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employees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workload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minimize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profit,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money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labour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illegal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immigrants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immigrants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severe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profitability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(Dexter,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deaths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injuries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falls,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something,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machinery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equipment,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addenda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supplementary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(Collier,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Dunbar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expectation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equitable.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suggested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fault,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predominantly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achieved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Inefficiencies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1940’s,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appeared,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(Emmit&amp;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Gorse,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reported,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focus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intra-supplier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single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(representative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principals,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investors,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(sub)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advisors,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depends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failure.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Second,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innovations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Patterns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prerequisites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smooth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running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Shutt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hampered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legislative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increasing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proportion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labor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nominated)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control.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specialist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instructions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phone,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instructions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conception/Design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(owner)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continuous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limitation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Shutt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hampered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subsequently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carrying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members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action.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obtained,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budget.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consumers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houses,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entertainment,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(Shutt,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authorities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surroundings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policies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employment,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transport,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recreation,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housing,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policy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regard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(Shutt,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prevent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foolish,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extension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proposing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widening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inspection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offices,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forestall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regulations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(Shutt,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arises,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overcome,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earlier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Shutt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seldom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until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considerably,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procedure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started.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purpose-made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components,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manufacture.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hand,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obvious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builder/site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advice,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points,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until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contractor’s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(Shutt,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smaller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disseminated.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decision-making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wanted.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sometimes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“in”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irrelevant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department.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2.3.8.5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efforts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visualizing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discuss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hand.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Shutt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greatly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weekly.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foreman,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subcontractors,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happenings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recorded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2.3.9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topic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referred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(Latham,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characteristics,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fragmented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stakeholders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driven.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culture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(Dainty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2006).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activities;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integral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argument,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effectiveness.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motivation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Conversely,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demotivated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workforce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(Sheetanshu,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risky,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participation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co-ordination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interpersonal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successfully.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feedback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disseminate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(Sheetanshu,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Sheetanshu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co-ordination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errors.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pervades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functioning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Breakdowns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rapidly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failure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slowdown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quickly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verticals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fragmented,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disparate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conflict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trust,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combine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problematic.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Nevertheless,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principal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enabl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Jacklyn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overstress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disputes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expectations.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Depending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warrant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Owners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Representative.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Concerted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members.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well: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permit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entitlements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expediter,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installers,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furnishing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installers,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landscape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enormous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“moving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parts”: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successful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demands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mind-set,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players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complimentary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skill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sets–and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goals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input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requests,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addressed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channels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progress,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captured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assemble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optimum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team,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coordinate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disciplines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properly,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skillfully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execute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phases.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careful,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attention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anticipated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mitigated.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accomplish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smoothly,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budget.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continued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serves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monitor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coordinate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inspections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budget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left"/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THREE</w:t>
      </w: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3.0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OLOGY</w:t>
      </w: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Introduction</w:t>
      </w:r>
    </w:p>
    <w:p>
      <w:pPr>
        <w:widowControl/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essence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describes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realizing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objectives.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inclusiveness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samplings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necessitating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discussions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centered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describes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indicating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suitability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tools.</w:t>
      </w: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</w:t>
      </w:r>
    </w:p>
    <w:p>
      <w:pPr>
        <w:widowControl/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categories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experimental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facto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deemed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reasons: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group,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generalizing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predict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interest,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structured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systematic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unbiased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permit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generalization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larger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population,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sectional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Population</w:t>
      </w:r>
    </w:p>
    <w:p>
      <w:pPr>
        <w:widowControl/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comprises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Architect,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Builders,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Quantity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Consultancy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analyze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Arial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questionnaires.</w:t>
      </w: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3.3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Techniques</w:t>
      </w:r>
    </w:p>
    <w:p>
      <w:pPr>
        <w:widowControl/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drawn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Oregun-Ikeja,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Oregun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allocated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wenty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Ikeja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allocated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hirty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town/city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returned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distributes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proportional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ratio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distribute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3.4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collection</w:t>
      </w:r>
    </w:p>
    <w:p>
      <w:pPr>
        <w:widowControl/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structured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guidance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supervisor.</w:t>
      </w: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concepts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upon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body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surrounding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theories,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principles,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literature.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outset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preliminary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topics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domain.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essentially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foundation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throwing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clearly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highlighting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gaps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practice.</w:t>
      </w: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libraries,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publishing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engines.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papers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articles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magazines,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textbooks,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encyclopedia,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etc.</w:t>
      </w: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3.5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analysis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480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cleaned,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choices,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understandable.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480"/>
        <w:ind w:firstLine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as: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(response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variable)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em w:val="none"/>
          <w:lang w:val="en-US" w:eastAsia="zh-CN"/>
        </w:rPr>
        <w:t>100</w:t>
      </w:r>
    </w:p>
    <w:p>
      <w:pPr>
        <w:widowControl/>
        <w:spacing w:lineRule="auto" w:line="480"/>
        <w:ind w:left="10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respondents)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480"/>
        <w:ind w:firstLine="720"/>
        <w:jc w:val="both"/>
        <w:rPr/>
      </w:pP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widowControl/>
        <w:autoSpaceDE w:val="false"/>
        <w:autoSpaceDN w:val="false"/>
        <w:adjustRightInd w:val="false"/>
        <w:spacing w:lineRule="auto" w:line="480"/>
        <w:jc w:val="left"/>
        <w:rPr/>
      </w:pP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PRESENTATION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Introduction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previous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Distributed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Returned</w:t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distributed,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completed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returned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(percentage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return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80%)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details.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presented.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Socio-Economic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requency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(No)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6.0pt;margin-top:13.95pt;width:384.0pt;height:1.5pt;z-index:2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28" type="#_x0000_t32" filled="f" style="position:absolute;margin-left:6.0pt;margin-top:-11.55pt;width:384.0pt;height:1.5pt;z-index:3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20-29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37.5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30-39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42.5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40-49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17.5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50-59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29" type="#_x0000_t32" filled="f" style="position:absolute;margin-left:9.75pt;margin-top:42.6pt;width:384.0pt;height:1.5pt;z-index:6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30-39years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42.5%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0" type="#_x0000_t32" filled="f" style="position:absolute;margin-left:9.75pt;margin-top:14.4pt;width:395.25pt;height:1.5pt;z-index:7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1" type="#_x0000_t32" filled="f" style="position:absolute;margin-left:8.25pt;margin-top:12.45pt;width:395.25pt;height:1.5pt;z-index:8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22.5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Quantity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surveyors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17.5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2" type="#_x0000_t32" filled="f" style="position:absolute;margin-left:6.75pt;margin-top:42.0pt;width:395.25pt;height:1.5pt;z-index:9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4.2.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50%.followed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22.5%.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justify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represents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contractors.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3" type="#_x0000_t32" filled="f" style="position:absolute;margin-left:3.75pt;margin-top:44.55pt;width:395.25pt;height:1.5pt;z-index:10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4" type="#_x0000_t32" filled="f" style="position:absolute;margin-left:3.75pt;margin-top:73.8pt;width:395.25pt;height:1.5pt;z-index:11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Classification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Contracting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52.5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Consulting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45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2.5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5" type="#_x0000_t32" filled="f" style="position:absolute;margin-left:3.0pt;margin-top:40.8pt;width:395.25pt;height:1.5pt;z-index:12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52.5%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6" type="#_x0000_t32" filled="f" style="position:absolute;margin-left:12.0pt;margin-top:45.75pt;width:384.0pt;height:1.5pt;z-index:13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7" type="#_x0000_t32" filled="f" style="position:absolute;margin-left:12.75pt;margin-top:74.25pt;width:384.0pt;height:1.5pt;z-index:14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(No)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0-9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10-19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70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8" type="#_x0000_t32" filled="f" style="position:absolute;margin-left:9.75pt;margin-top:42.3pt;width:384.0pt;height:1.5pt;z-index:15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10-19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9" type="#_x0000_t32" filled="f" style="position:absolute;margin-left:12.75pt;margin-top:232.35pt;width:384.0pt;height:1.5pt;z-index:21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0" type="#_x0000_t32" filled="f" style="position:absolute;margin-left:12.75pt;margin-top:46.35pt;width:384.0pt;height:1.5pt;z-index:4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1" type="#_x0000_t32" filled="f" style="position:absolute;margin-left:12.0pt;margin-top:75.6pt;width:384.0pt;height:1.5pt;z-index:5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Qualification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qualification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(no)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17.5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32.5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12.5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(35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(32.5)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(17.5)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2" type="#_x0000_t32" filled="f" style="position:absolute;margin-left:12.0pt;margin-top:43.35pt;width:412.5pt;height:1.5pt;z-index:16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4.7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Builders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Q/S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Rank</w:t>
      </w:r>
    </w:p>
    <w:p>
      <w:pPr>
        <w:spacing w:lineRule="auto" w:line="240"/>
        <w:jc w:val="both"/>
        <w:rPr/>
      </w:pP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Index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pict>
          <v:shape id="1043" type="#_x0000_t32" filled="f" style="position:absolute;margin-left:9.75pt;margin-top:13.2pt;width:412.5pt;height:1.5pt;z-index:17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5.1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.8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Deferring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4.9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4.0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2.8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Overload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4.2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6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7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reaction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Noise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Inconsistent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pict>
          <v:shape id="1044" type="#_x0000_t32" filled="f" style="position:absolute;margin-left:9.75pt;margin-top:104.55pt;width:412.5pt;height:1.5pt;z-index:18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0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Distraction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Muddled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2.4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8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message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argument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muddled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messages.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4.8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pict>
          <v:shape id="1045" type="#_x0000_t32" filled="f" style="position:absolute;margin-left:11.25pt;margin-top:12.6pt;width:412.5pt;height:1.5pt;z-index:19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Classification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Builders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Architect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Q/S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Rank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pict>
          <v:shape id="1046" type="#_x0000_t32" filled="f" style="position:absolute;margin-left:11.25pt;margin-top:31.8pt;width:412.5pt;height:1.5pt;z-index:23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0"/>
          <w:highlight w:val="none"/>
          <w:vertAlign w:val="baseline"/>
          <w:em w:val="none"/>
          <w:lang w:val="en-US" w:eastAsia="zh-CN"/>
        </w:rPr>
        <w:t>Index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3.5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3.4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3.3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7" type="#_x0000_t32" filled="f" style="position:absolute;margin-left:11.25pt;margin-top:39.3pt;width:412.5pt;height:1.5pt;z-index:20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8" type="#_x0000_t32" filled="f" style="position:absolute;margin-left:11.25pt;margin-top:33.45pt;width:412.5pt;height:1.5pt;z-index:25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PSYCHOLOGICAL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tab/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Builders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Architect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Q/S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Rank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pict>
          <v:shape id="1049" type="#_x0000_t32" filled="f" style="position:absolute;margin-left:11.25pt;margin-top:26.55pt;width:412.5pt;height:1.5pt;z-index:26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dissatisfaction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1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superiors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Unconscious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incompetence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commitment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Confusion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behavior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6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attitude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pict>
          <v:shape id="1050" type="#_x0000_t32" filled="f" style="position:absolute;margin-left:9.0pt;margin-top:31.65pt;width:412.5pt;height:1.5pt;z-index:24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7</w:t>
      </w:r>
    </w:p>
    <w:p>
      <w:pPr>
        <w:tabs>
          <w:tab w:val="left" w:leader="none" w:pos="2360"/>
        </w:tabs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1" type="#_x0000_t32" filled="f" style="position:absolute;margin-left:9.0pt;margin-top:33.75pt;width:412.5pt;height:1.5pt;z-index:27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Builders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Architect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Q/S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Rank</w:t>
      </w:r>
    </w:p>
    <w:p>
      <w:pPr>
        <w:spacing w:lineRule="auto" w:line="240"/>
        <w:jc w:val="both"/>
        <w:rPr/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pict>
          <v:shape id="1052" type="#_x0000_t32" filled="f" style="position:absolute;margin-left:11.25pt;margin-top:31.8pt;width:412.5pt;height:1.5pt;z-index:28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Index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1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Pronunciation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vocabulary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4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Gestures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2.8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6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3" type="#_x0000_t32" filled="f" style="position:absolute;margin-left:9.0pt;margin-top:14.7pt;width:412.5pt;height:1.5pt;z-index:22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tabs>
          <w:tab w:val="left" w:leader="none" w:pos="2420"/>
        </w:tabs>
        <w:autoSpaceDE w:val="false"/>
        <w:autoSpaceDN w:val="false"/>
        <w:adjustRightInd w:val="false"/>
        <w:spacing w:lineRule="auto" w:line="240"/>
        <w:jc w:val="both"/>
        <w:rPr/>
      </w:pPr>
    </w:p>
    <w:p>
      <w:pPr>
        <w:tabs>
          <w:tab w:val="left" w:leader="none" w:pos="2420"/>
        </w:tabs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Table4.8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attitude,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adopting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religious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beliefs,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skills,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confusion,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superiors,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unconscious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competence,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ascent,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pressure,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pronunciation,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dissatisfaction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vocabulary.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</w:t>
      </w:r>
      <w:r>
        <w:tab/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4" type="#_x0000_t32" filled="f" style="position:absolute;margin-left:12.0pt;margin-top:72.6pt;width:384.0pt;height:1.5pt;z-index:30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5" type="#_x0000_t32" filled="f" style="position:absolute;margin-left:12.75pt;margin-top:41.1pt;width:384.0pt;height:1.5pt;z-index:29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4.9: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(%)</w:t>
      </w: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11.2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28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24.9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62.2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6.1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0.5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             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100</w:t>
      </w:r>
    </w:p>
    <w:p>
      <w:pPr>
        <w:tabs>
          <w:tab w:val="left" w:leader="none" w:pos="2360"/>
        </w:tabs>
        <w:spacing w:lineRule="auto" w:line="480"/>
        <w:jc w:val="both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noProof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6" type="#_x0000_t32" filled="f" style="position:absolute;margin-left:12.0pt;margin-top:12.0pt;width:384.0pt;height:1.5pt;z-index:31;mso-position-horizontal-relative:text;mso-position-vertical-relative:text;mso-width-relative:page;mso-height-relative:page;mso-wrap-distance-left:0.0pt;mso-wrap-distance-right:0.0pt;visibility:visible;flip:y;">
            <v:stroke weight="2.25pt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Researcher’s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2025.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Fig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NewRomanPS-BoldMT" w:cs="TimesNewRomanPS-BoldMT" w:eastAsia="SimSun" w:hAnsi="TimesNewRomanPS-BoldMT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</w:p>
    <w:p>
      <w:pPr>
        <w:spacing w:lineRule="auto" w:line="480"/>
        <w:jc w:val="both"/>
        <w:rPr/>
      </w:pPr>
    </w:p>
    <w:p>
      <w:pPr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create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interferences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negatively,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gathered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overrun,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Mehra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(2009),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Inefficiencies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issued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miscommunication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preparation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document.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62.2%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28%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work.</w:t>
      </w: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: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premature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evaluation,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deferring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inconsistent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verbal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noise,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overload,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distrust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emotional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reaction.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influences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occurrence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classified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cultural,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message,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adapting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group,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vocabulary,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satisfaction,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pronunciation,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disturbing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religious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beliefs,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schedule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pressure,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ethics,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differences,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body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gestures,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ascent,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unconscious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competence.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overrun,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professionals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better.</w:t>
      </w:r>
    </w:p>
    <w:p>
      <w:pPr>
        <w:spacing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center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FIVE</w:t>
      </w:r>
    </w:p>
    <w:p>
      <w:pPr>
        <w:autoSpaceDE w:val="false"/>
        <w:autoSpaceDN w:val="false"/>
        <w:adjustRightInd w:val="false"/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RECOMMENDATION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lineRule="auto" w:line="480"/>
        <w:ind w:firstLine="4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project-based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environments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challenges.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true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characterised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unfamiliar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periods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disbanding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endeavours.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temporary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inter-disciplinary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teams.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complicates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already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problematic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environment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language,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adversarial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culture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noise/distraction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combine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straightforward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party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another.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fragmented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stakeholders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operate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driven.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aimed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industry.</w:t>
      </w:r>
    </w:p>
    <w:p>
      <w:pPr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drawings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difficult,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specialist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situated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having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parties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5.2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Conclusion</w:t>
      </w:r>
    </w:p>
    <w:p>
      <w:pPr>
        <w:widowControl/>
        <w:spacing w:lineRule="auto" w:line="480"/>
        <w:ind w:firstLine="4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viewing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facet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viewed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prerequisite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successful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delivery;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effectively,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result.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prescribe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guiding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principles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thereby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performance,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recognised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paradigm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panacea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complexity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tailor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approaches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hand.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480"/>
        <w:ind w:firstLine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obtained,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outside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walls.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5.3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Recommendations</w:t>
      </w:r>
    </w:p>
    <w:p>
      <w:pPr>
        <w:autoSpaceDE w:val="false"/>
        <w:autoSpaceDN w:val="false"/>
        <w:adjustRightInd w:val="false"/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recommendations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made:</w:t>
      </w:r>
    </w:p>
    <w:p>
      <w:pPr>
        <w:widowControl/>
        <w:autoSpaceDE w:val="false"/>
        <w:autoSpaceDN w:val="false"/>
        <w:adjustRightInd w:val="false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structures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agenda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leaders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commencement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project.</w:t>
      </w:r>
    </w:p>
    <w:p>
      <w:pPr>
        <w:widowControl/>
        <w:autoSpaceDE w:val="false"/>
        <w:autoSpaceDN w:val="false"/>
        <w:adjustRightInd w:val="false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mitigate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influences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occurrence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communication.</w:t>
      </w:r>
    </w:p>
    <w:p>
      <w:pPr>
        <w:widowControl/>
        <w:autoSpaceDE w:val="false"/>
        <w:autoSpaceDN w:val="false"/>
        <w:adjustRightInd w:val="false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encouraged.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obtaining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necessary.</w:t>
      </w:r>
    </w:p>
    <w:p>
      <w:pPr>
        <w:widowControl/>
        <w:autoSpaceDE w:val="false"/>
        <w:autoSpaceDN w:val="false"/>
        <w:adjustRightInd w:val="false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organized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obligations,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appreciation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information</w:t>
      </w: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widowControl/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widowControl/>
        <w:spacing w:lineRule="auto" w:line="48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</w:p>
    <w:p>
      <w:pPr>
        <w:widowControl/>
        <w:autoSpaceDE w:val="false"/>
        <w:autoSpaceDN w:val="false"/>
        <w:adjustRightInd w:val="false"/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REFRENCES</w:t>
      </w:r>
    </w:p>
    <w:p>
      <w:pPr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Arditi,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Moikhtar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retrospective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evolving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Measurement: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[http://alarcos.inf-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cr.uclm.es/doc/pgsi/doc/otros/pmbok-2000.pdf]</w:t>
      </w:r>
    </w:p>
    <w:p>
      <w:pPr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Collier,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Toronto: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Thomson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Limited.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Developes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Contractual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Dainty,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Moore,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Murray,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theory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practice,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London: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Taylor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Francis.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DETR.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Task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Force.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Rethinking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Egan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Report),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HMSO.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Dexter,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remove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November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2009,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proquest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database,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Article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882308981.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Dunbaar,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(2006).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Specification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Lecture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George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Brown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U.S.A.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Emmit,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Gorse,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11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London: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Blackwell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publishing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ltd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Hafez,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obstacles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Kuwait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project,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Kuwait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University.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A.D.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vibrant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Nigeria: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Issues,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Challenges.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Proceedings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1st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Annual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Round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organized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Quantity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Surveyors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Registration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14th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15th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June,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Shehu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Musa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YarÁdua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Centre,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Abuja,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88-98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Jacklyn,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(2011).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Microsoft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Encarta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Encyclopedia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2011.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June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20,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2011,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fromhttp://www.stonemarkcm.com/bartmendel.htm#education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Jergeas,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(2005).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Cost/Schedule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overrun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mega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December12,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2005,from</w:t>
      </w:r>
      <w:r>
        <w:rPr/>
        <w:fldChar w:fldCharType="begin"/>
      </w:r>
      <w:r>
        <w:instrText xml:space="preserve"> HYPERLINK "http://www.schulich.ucalgary.ca/Project%20Management/Jergeas/APEGGAMegaprojects2b2004.pdf" </w:instrText>
      </w:r>
      <w:r>
        <w:rPr/>
        <w:fldChar w:fldCharType="separate"/>
      </w:r>
      <w:r>
        <w:rPr>
          <w:rStyle w:val="style85"/>
          <w:rFonts w:ascii="Times New Roman" w:cs="Times New Roman" w:eastAsia="SimSun" w:hAnsi="Times New Roman" w:hint="default"/>
          <w:b w:val="false"/>
          <w:bCs w:val="false"/>
          <w:i/>
          <w:iCs/>
          <w:color w:val="0000ff"/>
          <w:kern w:val="0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http://www.schulich.ucalgary.ca/Project</w:t>
      </w:r>
      <w:r>
        <w:rPr>
          <w:rStyle w:val="style85"/>
          <w:rFonts w:ascii="Times New Roman" w:cs="Times New Roman" w:eastAsia="SimSun" w:hAnsi="Times New Roman" w:hint="default"/>
          <w:b w:val="false"/>
          <w:bCs w:val="false"/>
          <w:i/>
          <w:iCs/>
          <w:color w:val="0000ff"/>
          <w:kern w:val="0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Style w:val="style85"/>
          <w:rFonts w:ascii="Times New Roman" w:cs="Times New Roman" w:eastAsia="SimSun" w:hAnsi="Times New Roman" w:hint="default"/>
          <w:b w:val="false"/>
          <w:bCs w:val="false"/>
          <w:i/>
          <w:iCs/>
          <w:color w:val="0000ff"/>
          <w:kern w:val="0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Management/Jergeas/APEGGAMegaprojects2b2004.pdf</w:t>
      </w:r>
      <w:r>
        <w:rPr/>
        <w:fldChar w:fldCharType="end"/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Kenny,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Fundamentals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Measurement,: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[http://alarcos.inf-cr.uclm.es/doc/pgsi/doc/otros/pmbok-2000.pdf]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Latham,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).Constructing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HMSO.77Lenard,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D.,&amp;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Eckersley,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(1997).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Driving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client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contractor,Report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No.11,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institute.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Adelaide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Australia.</w:t>
      </w:r>
    </w:p>
    <w:p>
      <w:pPr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Leesord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08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Jump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Start,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Sybex,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Incorporated,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relationship-based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determinants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China,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Environment,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41,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915-925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Maame,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A.W.A,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assessment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Kwame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Nkruma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vers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Ghana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Maslej,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(2006).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industry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(Diplo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U.S.A,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George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Brown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College.</w:t>
      </w:r>
    </w:p>
    <w:p>
      <w:pPr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Mee-Edoye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&amp;Advo,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monitoring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reengineering,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CPR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99,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Sedney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UNSW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12-13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July,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Center.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Mehra,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(2009).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http://www.scribd.com/doc/7875707/Project-Communication-summary-by-</w:t>
      </w:r>
    </w:p>
    <w:p>
      <w:pPr>
        <w:widowControl/>
        <w:autoSpaceDE w:val="false"/>
        <w:autoSpaceDN w:val="false"/>
        <w:adjustRightInd w:val="false"/>
        <w:spacing w:lineRule="auto" w:line="480"/>
        <w:ind w:left="420" w:hanging="4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Shacin-Mehra.</w:t>
      </w: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SimSun" w:hAnsi="Times New Roman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>APPENDIX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000000"/>
          <w:kern w:val="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QUESTIONNAIRE</w:t>
      </w:r>
    </w:p>
    <w:p>
      <w:pPr>
        <w:spacing w:lineRule="auto" w:line="240"/>
        <w:ind w:left="420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240"/>
        <w:ind w:left="420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240"/>
        <w:ind w:left="420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0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360"/>
        <w:ind w:left="4620"/>
        <w:jc w:val="both"/>
        <w:rPr/>
      </w:pPr>
    </w:p>
    <w:p>
      <w:pPr>
        <w:spacing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assured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treated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confidentiality.</w:t>
      </w:r>
    </w:p>
    <w:p>
      <w:pPr>
        <w:spacing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Thank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kind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cooperation.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information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Company: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----------------------------------------------------------------------------------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2.Type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organization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Contracting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Consulting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Client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y-----------------------------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3.Age(a)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10-20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(b)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21-30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(c)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31-40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41-50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Sex: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Female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Marital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Status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Single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Married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Separated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Widow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6.Profession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Quantity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surveyor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Architect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manager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Builder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Engineer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7.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Qualification: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iii.BS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MSC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vi.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specify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------------------------------------------------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8.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years: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0-5yrs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(b)6-10yrs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(c)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11-15yrs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(d)16-20yrs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(e)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above.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sites.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arguments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not.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Indicate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agreement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ticking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appropriately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</w:p>
    <w:tbl>
      <w:tblPr>
        <w:tblW w:w="9245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216"/>
        <w:gridCol w:w="1633"/>
        <w:gridCol w:w="2620"/>
        <w:gridCol w:w="1514"/>
      </w:tblGrid>
      <w:tr>
        <w:trPr>
          <w:cantSplit w:val="false"/>
          <w:trHeight w:val="378" w:hRule="atLeast"/>
          <w:tblHeader w:val="false"/>
          <w:jc w:val="left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36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1.Strongly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36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2.Agree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36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3.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36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4.Strongly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36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5.Not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</w:tbl>
    <w:p>
      <w:pPr>
        <w:spacing w:lineRule="auto" w:line="360"/>
        <w:jc w:val="both"/>
        <w:rPr/>
      </w:pPr>
    </w:p>
    <w:tbl>
      <w:tblPr>
        <w:tblW w:w="936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181"/>
        <w:gridCol w:w="906"/>
        <w:gridCol w:w="1207"/>
        <w:gridCol w:w="1212"/>
        <w:gridCol w:w="913"/>
      </w:tblGrid>
      <w:tr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Barriers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site.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60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premature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evaluation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Differing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perception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between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sender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receiver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Badly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expressed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message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Information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overload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Distrust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Emotional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reaction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342" w:hanging="2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Noise/Distraction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522" w:hanging="4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Inconsistent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verbal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non-verbal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communication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432" w:hanging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field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Rule="auto" w:line="240"/>
              <w:ind w:left="432" w:hanging="36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Muddled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messages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</w:tbl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3: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</w:p>
    <w:tbl>
      <w:tblPr>
        <w:tblW w:w="9360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170"/>
        <w:gridCol w:w="990"/>
        <w:gridCol w:w="1260"/>
        <w:gridCol w:w="1170"/>
        <w:gridCol w:w="990"/>
      </w:tblGrid>
      <w:tr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Factors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a.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Operation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construction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tools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equipment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b.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Distance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c.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Disturbing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moment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d.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Time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schedule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pressure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8"/>
                <w:highlight w:val="none"/>
                <w:vertAlign w:val="baseline"/>
                <w:em w:val="none"/>
                <w:lang w:val="en-US" w:eastAsia="zh-CN"/>
              </w:rPr>
              <w:t>Environment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B: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Psychological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factors</w:t>
      </w:r>
    </w:p>
    <w:tbl>
      <w:tblPr>
        <w:tblW w:w="9000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1181"/>
        <w:gridCol w:w="901"/>
        <w:gridCol w:w="1212"/>
        <w:gridCol w:w="1212"/>
        <w:gridCol w:w="683"/>
      </w:tblGrid>
      <w:tr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Factors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Job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dissatisfaction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b.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fear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superiors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c.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unconscious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incompetence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Lack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commitment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Confusion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f.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Human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behaviour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attitude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g.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listening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skills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Linguistic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factor</w:t>
      </w:r>
    </w:p>
    <w:tbl>
      <w:tblPr>
        <w:tblW w:w="856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1160"/>
        <w:gridCol w:w="842"/>
        <w:gridCol w:w="1157"/>
        <w:gridCol w:w="1157"/>
        <w:gridCol w:w="682"/>
      </w:tblGrid>
      <w:tr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Factors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a.Badly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expressed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message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b.Pronunciation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c.Ascent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d.Limited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Vocabulary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e.Grammar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8"/>
                <w:highlight w:val="none"/>
                <w:vertAlign w:val="baseline"/>
                <w:em w:val="none"/>
                <w:lang w:val="en-US" w:eastAsia="zh-CN"/>
              </w:rPr>
              <w:t>f.Gestures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</w:tbl>
    <w:p>
      <w:pPr>
        <w:spacing w:lineRule="auto" w:line="480"/>
        <w:jc w:val="both"/>
        <w:rPr/>
      </w:pPr>
    </w:p>
    <w:p>
      <w:pPr>
        <w:widowControl/>
        <w:spacing w:lineRule="auto" w:line="240"/>
        <w:jc w:val="left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br w:type="page"/>
      </w:r>
    </w:p>
    <w:p>
      <w:pPr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4: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delivery.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1136"/>
        <w:gridCol w:w="842"/>
        <w:gridCol w:w="1157"/>
        <w:gridCol w:w="1195"/>
        <w:gridCol w:w="711"/>
      </w:tblGrid>
      <w:tr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Agree</w:t>
            </w:r>
          </w:p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disagree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sure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a)Quality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construction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refers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standard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expected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based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requirement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contract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documents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including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drawings,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specifications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contract,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additional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conditions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supplementary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contract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b)Poor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affects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construction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c)Poor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associated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contractor’s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fault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d)Mistakes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designers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specification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writers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responsible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desired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achieved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e)Inefficiencies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contract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document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issued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consultants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miscommunication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significant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problems/Construction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schedules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gnificantly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delayed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direct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result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f)Miss-communication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leads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redone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corrected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g)It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takes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small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misunderstanding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significant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delays</w:t>
            </w:r>
          </w:p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given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construction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grow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significantly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direct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result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h)Poor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inefficiencies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between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companies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responsible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30%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design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construction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i)Language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barrier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strong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contributor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jobsite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j)Language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barrier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tremendous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impact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safety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k)Contractors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risks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associated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hiring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employees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who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freely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other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workers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l)Contractors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larger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workload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order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minimize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profit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m)Contractors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money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labour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illegal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immigrants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language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barrier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n)Many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immigrant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little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English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skills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o)Difference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language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severe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problems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worksite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affect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productivity,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profitability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above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safety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4680"/>
                <w:tab w:val="right" w:leader="none" w:pos="9360"/>
              </w:tabs>
              <w:spacing w:lineRule="auto" w:line="240"/>
              <w:jc w:val="both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imesNewRomanPS-Bold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TimesNewRomanPS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widowControl w:val="false"/>
      <w:tabs>
        <w:tab w:val="center" w:leader="none" w:pos="4680"/>
        <w:tab w:val="right" w:leader="none" w:pos="9360"/>
      </w:tabs>
      <w:spacing w:after="0"/>
      <w:jc w:val="both"/>
    </w:pPr>
    <w:rPr>
      <w:rFonts w:ascii="Times New Roman" w:cs="Times New Roman" w:eastAsia="宋体" w:hAnsi="Times New Roman"/>
      <w:kern w:val="2"/>
      <w:sz w:val="21"/>
      <w:lang w:val="en-US" w:eastAsia="zh-CN"/>
    </w:rPr>
  </w:style>
  <w:style w:type="paragraph" w:styleId="style31">
    <w:name w:val="header"/>
    <w:basedOn w:val="style0"/>
    <w:next w:val="style4094"/>
    <w:pPr>
      <w:widowControl w:val="false"/>
      <w:tabs>
        <w:tab w:val="center" w:leader="none" w:pos="4680"/>
        <w:tab w:val="right" w:leader="none" w:pos="9360"/>
      </w:tabs>
      <w:spacing w:after="0"/>
      <w:jc w:val="both"/>
    </w:pPr>
    <w:rPr>
      <w:rFonts w:ascii="Times New Roman" w:cs="Times New Roman" w:eastAsia="宋体" w:hAnsi="Times New Roman"/>
      <w:kern w:val="2"/>
      <w:sz w:val="21"/>
      <w:lang w:val="en-US" w:eastAsia="zh-CN"/>
    </w:rPr>
  </w:style>
  <w:style w:type="paragraph" w:styleId="style179">
    <w:name w:val="List Paragraph"/>
    <w:basedOn w:val="style0"/>
    <w:next w:val="style4094"/>
    <w:qFormat/>
    <w:pPr>
      <w:widowControl/>
      <w:spacing w:before="0" w:after="200" w:lineRule="auto" w:line="276"/>
      <w:ind w:left="720" w:right="0"/>
      <w:jc w:val="left"/>
    </w:pPr>
    <w:rPr>
      <w:rFonts w:ascii="Calibri" w:cs="Calibri" w:eastAsia="Calibri" w:hAnsi="Calibri"/>
      <w:kern w:val="0"/>
      <w:sz w:val="22"/>
      <w:szCs w:val="22"/>
      <w:lang w:val="en-US" w:eastAsia="en-US"/>
    </w:rPr>
  </w:style>
  <w:style w:type="character" w:styleId="style85">
    <w:name w:val="Hyperlink"/>
    <w:next w:val="style4094"/>
    <w:rPr>
      <w:rFonts w:ascii="Times New Roman" w:cs="Times New Roman" w:eastAsia="SimSun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11021</Words>
  <Characters>64188</Characters>
  <Application>WPS Office</Application>
  <Paragraphs>795</Paragraphs>
  <CharactersWithSpaces>77262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2025-07-19T22:01:57Z</dcterms:created>
  <dc:creator>Infinix X6817</dc:creator>
  <lastModifiedBy>Infinix X6817</lastModifiedBy>
  <dcterms:modified xsi:type="dcterms:W3CDTF">2025-07-19T22:12:21Z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ad047c28bfc74808a85dc6f9cdaba672</vt:lpwstr>
  </property>
</Properties>
</file>