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19D" w:rsidRPr="0077619D" w:rsidRDefault="0077619D" w:rsidP="0077619D">
      <w:pPr>
        <w:spacing w:after="0" w:line="360" w:lineRule="auto"/>
        <w:jc w:val="center"/>
        <w:rPr>
          <w:rFonts w:ascii="Berlin Sans FB Demi" w:hAnsi="Berlin Sans FB Demi" w:cs="Times New Roman"/>
          <w:b/>
          <w:sz w:val="28"/>
          <w:szCs w:val="24"/>
        </w:rPr>
      </w:pPr>
      <w:r w:rsidRPr="0077619D">
        <w:rPr>
          <w:rFonts w:ascii="Berlin Sans FB Demi" w:hAnsi="Berlin Sans FB Demi" w:cs="Times New Roman"/>
          <w:b/>
          <w:sz w:val="28"/>
          <w:szCs w:val="24"/>
        </w:rPr>
        <w:t>FINANCIAL RATIO ANALYSIS AS AN INDEX FOR EVALUATION CO-OPERATE PERFORMANCE IN THE MANUFACTURING INDUSTRIES</w:t>
      </w:r>
    </w:p>
    <w:p w:rsidR="0077619D" w:rsidRPr="0077619D" w:rsidRDefault="0077619D" w:rsidP="0077619D">
      <w:pPr>
        <w:spacing w:after="0" w:line="360" w:lineRule="auto"/>
        <w:jc w:val="center"/>
        <w:rPr>
          <w:rFonts w:ascii="Bernard MT Condensed" w:hAnsi="Bernard MT Condensed" w:cs="Times New Roman"/>
          <w:b/>
          <w:sz w:val="26"/>
          <w:szCs w:val="24"/>
        </w:rPr>
      </w:pPr>
      <w:r w:rsidRPr="0077619D">
        <w:rPr>
          <w:rFonts w:ascii="Bernard MT Condensed" w:hAnsi="Bernard MT Condensed" w:cs="Times New Roman"/>
          <w:b/>
          <w:sz w:val="26"/>
          <w:szCs w:val="24"/>
        </w:rPr>
        <w:t>(A CASE STUDY OF BERGER PAINT PLC)</w:t>
      </w:r>
    </w:p>
    <w:p w:rsidR="0077619D" w:rsidRPr="0077619D" w:rsidRDefault="0077619D" w:rsidP="0077619D">
      <w:pPr>
        <w:spacing w:line="360" w:lineRule="auto"/>
        <w:rPr>
          <w:rFonts w:ascii="Times New Roman" w:hAnsi="Times New Roman" w:cs="Times New Roman"/>
          <w:b/>
          <w:sz w:val="24"/>
          <w:szCs w:val="24"/>
        </w:rPr>
      </w:pPr>
    </w:p>
    <w:p w:rsidR="0077619D" w:rsidRPr="0077619D" w:rsidRDefault="0077619D" w:rsidP="0077619D">
      <w:pPr>
        <w:spacing w:line="360" w:lineRule="auto"/>
        <w:jc w:val="center"/>
        <w:rPr>
          <w:rFonts w:ascii="Bernard MT Condensed" w:hAnsi="Bernard MT Condensed" w:cs="Times New Roman"/>
          <w:b/>
          <w:sz w:val="36"/>
          <w:szCs w:val="24"/>
        </w:rPr>
      </w:pPr>
      <w:r w:rsidRPr="0077619D">
        <w:rPr>
          <w:rFonts w:ascii="Bernard MT Condensed" w:hAnsi="Bernard MT Condensed" w:cs="Times New Roman"/>
          <w:b/>
          <w:sz w:val="36"/>
          <w:szCs w:val="24"/>
        </w:rPr>
        <w:t>BY</w:t>
      </w:r>
    </w:p>
    <w:p w:rsidR="0077619D" w:rsidRPr="0077619D" w:rsidRDefault="0077619D" w:rsidP="0077619D">
      <w:pPr>
        <w:spacing w:line="360" w:lineRule="auto"/>
        <w:jc w:val="center"/>
        <w:rPr>
          <w:rFonts w:ascii="Britannic Bold" w:hAnsi="Britannic Bold" w:cs="Times New Roman"/>
          <w:b/>
          <w:sz w:val="42"/>
          <w:szCs w:val="24"/>
        </w:rPr>
      </w:pPr>
      <w:r w:rsidRPr="0077619D">
        <w:rPr>
          <w:rFonts w:ascii="Britannic Bold" w:hAnsi="Britannic Bold" w:cs="Times New Roman"/>
          <w:b/>
          <w:sz w:val="42"/>
          <w:szCs w:val="24"/>
        </w:rPr>
        <w:t>YUSUF HABEEBAT</w:t>
      </w:r>
    </w:p>
    <w:p w:rsidR="0077619D" w:rsidRPr="0077619D" w:rsidRDefault="0077619D" w:rsidP="0077619D">
      <w:pPr>
        <w:spacing w:line="360" w:lineRule="auto"/>
        <w:jc w:val="center"/>
        <w:rPr>
          <w:rFonts w:ascii="Gill Sans Ultra Bold" w:hAnsi="Gill Sans Ultra Bold" w:cs="Times New Roman"/>
          <w:b/>
          <w:sz w:val="32"/>
          <w:szCs w:val="24"/>
        </w:rPr>
      </w:pPr>
      <w:r w:rsidRPr="0077619D">
        <w:rPr>
          <w:rFonts w:ascii="Gill Sans Ultra Bold" w:hAnsi="Gill Sans Ultra Bold" w:cs="Times New Roman"/>
          <w:b/>
          <w:sz w:val="32"/>
          <w:szCs w:val="24"/>
        </w:rPr>
        <w:t>ND/23/ACC/FT/0040</w:t>
      </w:r>
    </w:p>
    <w:p w:rsidR="0077619D" w:rsidRPr="0077619D" w:rsidRDefault="0077619D" w:rsidP="0077619D">
      <w:pPr>
        <w:spacing w:line="360" w:lineRule="auto"/>
        <w:jc w:val="center"/>
        <w:rPr>
          <w:rFonts w:ascii="Times New Roman" w:hAnsi="Times New Roman" w:cs="Times New Roman"/>
          <w:b/>
          <w:sz w:val="24"/>
          <w:szCs w:val="24"/>
        </w:rPr>
      </w:pPr>
    </w:p>
    <w:p w:rsidR="0077619D" w:rsidRPr="0077619D" w:rsidRDefault="0077619D" w:rsidP="0077619D">
      <w:pPr>
        <w:spacing w:line="360" w:lineRule="auto"/>
        <w:jc w:val="center"/>
        <w:rPr>
          <w:rFonts w:ascii="Arial Rounded MT Bold" w:hAnsi="Arial Rounded MT Bold" w:cs="Times New Roman"/>
          <w:b/>
          <w:sz w:val="26"/>
          <w:szCs w:val="24"/>
        </w:rPr>
      </w:pPr>
      <w:r w:rsidRPr="0077619D">
        <w:rPr>
          <w:rFonts w:ascii="Arial Rounded MT Bold" w:hAnsi="Arial Rounded MT Bold" w:cs="Times New Roman"/>
          <w:b/>
          <w:sz w:val="26"/>
          <w:szCs w:val="24"/>
        </w:rPr>
        <w:t>SUBMITTED TO</w:t>
      </w:r>
    </w:p>
    <w:p w:rsidR="0077619D" w:rsidRPr="0077619D" w:rsidRDefault="0077619D" w:rsidP="0077619D">
      <w:pPr>
        <w:tabs>
          <w:tab w:val="left" w:pos="5250"/>
        </w:tabs>
        <w:spacing w:line="360" w:lineRule="auto"/>
        <w:jc w:val="center"/>
        <w:rPr>
          <w:rFonts w:ascii="Arial Rounded MT Bold" w:hAnsi="Arial Rounded MT Bold" w:cs="Times New Roman"/>
          <w:b/>
          <w:sz w:val="24"/>
          <w:szCs w:val="24"/>
        </w:rPr>
      </w:pPr>
      <w:r w:rsidRPr="0077619D">
        <w:rPr>
          <w:rFonts w:ascii="Arial Rounded MT Bold" w:hAnsi="Arial Rounded MT Bold" w:cs="Times New Roman"/>
          <w:b/>
          <w:sz w:val="24"/>
          <w:szCs w:val="24"/>
        </w:rPr>
        <w:t>BEING A RESEARCH PROJECT SUBMITTED TO THE DEPARTMENT OF ACCOUNTANCY,</w:t>
      </w:r>
    </w:p>
    <w:p w:rsidR="0077619D" w:rsidRPr="0077619D" w:rsidRDefault="0077619D" w:rsidP="0077619D">
      <w:pPr>
        <w:spacing w:line="360" w:lineRule="auto"/>
        <w:jc w:val="center"/>
        <w:rPr>
          <w:rFonts w:ascii="Arial Rounded MT Bold" w:hAnsi="Arial Rounded MT Bold" w:cs="Times New Roman"/>
          <w:b/>
          <w:sz w:val="24"/>
          <w:szCs w:val="24"/>
        </w:rPr>
      </w:pPr>
      <w:r w:rsidRPr="0077619D">
        <w:rPr>
          <w:rFonts w:ascii="Arial Rounded MT Bold" w:hAnsi="Arial Rounded MT Bold" w:cs="Times New Roman"/>
          <w:b/>
          <w:sz w:val="24"/>
          <w:szCs w:val="24"/>
        </w:rPr>
        <w:t>INSTITUTE OF FINANCE AND MANAGEMENT STUDIES</w:t>
      </w:r>
    </w:p>
    <w:p w:rsidR="0077619D" w:rsidRPr="0077619D" w:rsidRDefault="0077619D" w:rsidP="0077619D">
      <w:pPr>
        <w:spacing w:line="360" w:lineRule="auto"/>
        <w:jc w:val="center"/>
        <w:rPr>
          <w:rFonts w:ascii="Arial Rounded MT Bold" w:hAnsi="Arial Rounded MT Bold" w:cs="Times New Roman"/>
          <w:b/>
          <w:sz w:val="24"/>
          <w:szCs w:val="24"/>
        </w:rPr>
      </w:pPr>
      <w:r w:rsidRPr="0077619D">
        <w:rPr>
          <w:rFonts w:ascii="Arial Rounded MT Bold" w:hAnsi="Arial Rounded MT Bold" w:cs="Times New Roman"/>
          <w:b/>
          <w:sz w:val="24"/>
          <w:szCs w:val="24"/>
        </w:rPr>
        <w:t>KWARA STATE POLYTECHNIC, ILORIN</w:t>
      </w:r>
    </w:p>
    <w:p w:rsidR="0077619D" w:rsidRPr="0077619D" w:rsidRDefault="0077619D" w:rsidP="0077619D">
      <w:pPr>
        <w:spacing w:line="360" w:lineRule="auto"/>
        <w:jc w:val="center"/>
        <w:rPr>
          <w:rFonts w:ascii="Arial Rounded MT Bold" w:hAnsi="Arial Rounded MT Bold" w:cs="Times New Roman"/>
          <w:b/>
          <w:sz w:val="24"/>
          <w:szCs w:val="24"/>
        </w:rPr>
      </w:pPr>
      <w:r w:rsidRPr="0077619D">
        <w:rPr>
          <w:rFonts w:ascii="Arial Rounded MT Bold" w:hAnsi="Arial Rounded MT Bold" w:cs="Times New Roman"/>
          <w:b/>
          <w:sz w:val="24"/>
          <w:szCs w:val="24"/>
        </w:rPr>
        <w:t>IN PARTIAL FULFILMENT OF THE REQUIREMENTS</w:t>
      </w:r>
    </w:p>
    <w:p w:rsidR="0077619D" w:rsidRPr="0077619D" w:rsidRDefault="0077619D" w:rsidP="0077619D">
      <w:pPr>
        <w:spacing w:line="360" w:lineRule="auto"/>
        <w:jc w:val="center"/>
        <w:rPr>
          <w:rFonts w:ascii="Arial Rounded MT Bold" w:hAnsi="Arial Rounded MT Bold" w:cs="Times New Roman"/>
          <w:b/>
          <w:sz w:val="24"/>
          <w:szCs w:val="24"/>
        </w:rPr>
      </w:pPr>
      <w:r w:rsidRPr="0077619D">
        <w:rPr>
          <w:rFonts w:ascii="Arial Rounded MT Bold" w:hAnsi="Arial Rounded MT Bold" w:cs="Times New Roman"/>
          <w:b/>
          <w:sz w:val="24"/>
          <w:szCs w:val="24"/>
        </w:rPr>
        <w:t>FOR THE AWARD OF NATIONAL DIPLOMA (ND)</w:t>
      </w:r>
    </w:p>
    <w:p w:rsidR="0077619D" w:rsidRPr="0077619D" w:rsidRDefault="0077619D" w:rsidP="0077619D">
      <w:pPr>
        <w:spacing w:line="360" w:lineRule="auto"/>
        <w:jc w:val="center"/>
        <w:rPr>
          <w:rFonts w:ascii="Arial Rounded MT Bold" w:hAnsi="Arial Rounded MT Bold" w:cs="Times New Roman"/>
          <w:b/>
          <w:sz w:val="24"/>
          <w:szCs w:val="24"/>
        </w:rPr>
      </w:pPr>
      <w:r w:rsidRPr="0077619D">
        <w:rPr>
          <w:rFonts w:ascii="Arial Rounded MT Bold" w:hAnsi="Arial Rounded MT Bold" w:cs="Times New Roman"/>
          <w:b/>
          <w:sz w:val="24"/>
          <w:szCs w:val="24"/>
        </w:rPr>
        <w:t>IN ACCOUNTANCY</w:t>
      </w:r>
    </w:p>
    <w:p w:rsidR="0077619D" w:rsidRDefault="0077619D" w:rsidP="0077619D">
      <w:pPr>
        <w:spacing w:before="100" w:beforeAutospacing="1" w:after="100" w:afterAutospacing="1" w:line="360" w:lineRule="auto"/>
        <w:ind w:left="2880" w:firstLine="720"/>
        <w:jc w:val="both"/>
        <w:outlineLvl w:val="0"/>
        <w:rPr>
          <w:rFonts w:ascii="Arial Rounded MT Bold" w:eastAsia="Times New Roman" w:hAnsi="Arial Rounded MT Bold" w:cs="Times New Roman"/>
          <w:b/>
          <w:bCs/>
          <w:kern w:val="36"/>
          <w:sz w:val="32"/>
          <w:szCs w:val="24"/>
        </w:rPr>
      </w:pPr>
    </w:p>
    <w:p w:rsidR="0077619D" w:rsidRPr="002970A1" w:rsidRDefault="0077619D" w:rsidP="002970A1">
      <w:pPr>
        <w:spacing w:before="100" w:beforeAutospacing="1" w:after="100" w:afterAutospacing="1" w:line="360" w:lineRule="auto"/>
        <w:ind w:left="2880" w:firstLine="720"/>
        <w:jc w:val="both"/>
        <w:outlineLvl w:val="0"/>
        <w:rPr>
          <w:rFonts w:ascii="Algerian" w:eastAsia="Times New Roman" w:hAnsi="Algerian" w:cs="Times New Roman"/>
          <w:b/>
          <w:bCs/>
          <w:kern w:val="36"/>
          <w:sz w:val="36"/>
          <w:szCs w:val="24"/>
        </w:rPr>
      </w:pPr>
      <w:r w:rsidRPr="0077619D">
        <w:rPr>
          <w:rFonts w:ascii="Algerian" w:eastAsia="Times New Roman" w:hAnsi="Algerian" w:cs="Times New Roman"/>
          <w:b/>
          <w:bCs/>
          <w:kern w:val="36"/>
          <w:sz w:val="36"/>
          <w:szCs w:val="24"/>
        </w:rPr>
        <w:tab/>
      </w:r>
      <w:r w:rsidRPr="0077619D">
        <w:rPr>
          <w:rFonts w:ascii="Algerian" w:eastAsia="Times New Roman" w:hAnsi="Algerian" w:cs="Times New Roman"/>
          <w:b/>
          <w:bCs/>
          <w:kern w:val="36"/>
          <w:sz w:val="36"/>
          <w:szCs w:val="24"/>
        </w:rPr>
        <w:tab/>
      </w:r>
      <w:r w:rsidRPr="0077619D">
        <w:rPr>
          <w:rFonts w:ascii="Algerian" w:eastAsia="Times New Roman" w:hAnsi="Algerian" w:cs="Times New Roman"/>
          <w:b/>
          <w:bCs/>
          <w:kern w:val="36"/>
          <w:sz w:val="36"/>
          <w:szCs w:val="24"/>
        </w:rPr>
        <w:tab/>
      </w:r>
      <w:r w:rsidRPr="0077619D">
        <w:rPr>
          <w:rFonts w:ascii="Algerian" w:eastAsia="Times New Roman" w:hAnsi="Algerian" w:cs="Times New Roman"/>
          <w:b/>
          <w:bCs/>
          <w:kern w:val="36"/>
          <w:sz w:val="36"/>
          <w:szCs w:val="24"/>
        </w:rPr>
        <w:tab/>
      </w:r>
      <w:r w:rsidR="00FD7C2D">
        <w:rPr>
          <w:rFonts w:ascii="Algerian" w:eastAsia="Times New Roman" w:hAnsi="Algerian" w:cs="Times New Roman"/>
          <w:b/>
          <w:bCs/>
          <w:kern w:val="36"/>
          <w:sz w:val="36"/>
          <w:szCs w:val="24"/>
        </w:rPr>
        <w:t xml:space="preserve">JULY, </w:t>
      </w:r>
      <w:r w:rsidRPr="0077619D">
        <w:rPr>
          <w:rFonts w:ascii="Algerian" w:eastAsia="Times New Roman" w:hAnsi="Algerian" w:cs="Times New Roman"/>
          <w:b/>
          <w:bCs/>
          <w:kern w:val="36"/>
          <w:sz w:val="36"/>
          <w:szCs w:val="24"/>
        </w:rPr>
        <w:t>2025</w:t>
      </w:r>
    </w:p>
    <w:p w:rsidR="002970A1" w:rsidRPr="002970A1" w:rsidRDefault="002970A1" w:rsidP="002970A1">
      <w:pPr>
        <w:spacing w:line="360" w:lineRule="auto"/>
        <w:jc w:val="center"/>
        <w:rPr>
          <w:rFonts w:ascii="Times New Roman" w:hAnsi="Times New Roman" w:cs="Times New Roman"/>
          <w:b/>
          <w:sz w:val="24"/>
          <w:szCs w:val="24"/>
        </w:rPr>
      </w:pPr>
      <w:r w:rsidRPr="002970A1">
        <w:rPr>
          <w:rFonts w:ascii="Times New Roman" w:hAnsi="Times New Roman" w:cs="Times New Roman"/>
          <w:b/>
          <w:sz w:val="24"/>
          <w:szCs w:val="24"/>
        </w:rPr>
        <w:lastRenderedPageBreak/>
        <w:t>CERTIFICATION</w:t>
      </w:r>
    </w:p>
    <w:p w:rsidR="002970A1" w:rsidRPr="002970A1" w:rsidRDefault="002970A1" w:rsidP="002970A1">
      <w:pPr>
        <w:spacing w:line="360" w:lineRule="auto"/>
        <w:jc w:val="both"/>
        <w:rPr>
          <w:rFonts w:ascii="Times New Roman" w:hAnsi="Times New Roman" w:cs="Times New Roman"/>
          <w:sz w:val="24"/>
          <w:szCs w:val="24"/>
        </w:rPr>
      </w:pPr>
      <w:r w:rsidRPr="002970A1">
        <w:rPr>
          <w:rFonts w:ascii="Times New Roman" w:hAnsi="Times New Roman" w:cs="Times New Roman"/>
          <w:sz w:val="24"/>
          <w:szCs w:val="24"/>
        </w:rPr>
        <w:tab/>
        <w:t>This Research work has been read and approved as meeting the Requirements of department of Accountancy, Institute of Finance And Management S</w:t>
      </w:r>
      <w:r w:rsidR="002943E6">
        <w:rPr>
          <w:rFonts w:ascii="Times New Roman" w:hAnsi="Times New Roman" w:cs="Times New Roman"/>
          <w:sz w:val="24"/>
          <w:szCs w:val="24"/>
        </w:rPr>
        <w:t>tudies, Kwara State Polytechnic</w:t>
      </w:r>
      <w:r w:rsidRPr="002970A1">
        <w:rPr>
          <w:rFonts w:ascii="Times New Roman" w:hAnsi="Times New Roman" w:cs="Times New Roman"/>
          <w:sz w:val="24"/>
          <w:szCs w:val="24"/>
        </w:rPr>
        <w:t xml:space="preserve"> Ilorin</w:t>
      </w:r>
      <w:r w:rsidR="002943E6">
        <w:rPr>
          <w:rFonts w:ascii="Times New Roman" w:hAnsi="Times New Roman" w:cs="Times New Roman"/>
          <w:sz w:val="24"/>
          <w:szCs w:val="24"/>
        </w:rPr>
        <w:t>,</w:t>
      </w:r>
      <w:r w:rsidRPr="002970A1">
        <w:rPr>
          <w:rFonts w:ascii="Times New Roman" w:hAnsi="Times New Roman" w:cs="Times New Roman"/>
          <w:sz w:val="24"/>
          <w:szCs w:val="24"/>
        </w:rPr>
        <w:t xml:space="preserve"> for The Award of </w:t>
      </w:r>
      <w:r w:rsidR="002943E6" w:rsidRPr="002943E6">
        <w:rPr>
          <w:rFonts w:ascii="Times New Roman" w:hAnsi="Times New Roman" w:cs="Times New Roman"/>
          <w:sz w:val="24"/>
          <w:szCs w:val="24"/>
        </w:rPr>
        <w:t>National Diploma in Accountancy</w:t>
      </w:r>
      <w:r w:rsidRPr="002970A1">
        <w:rPr>
          <w:rFonts w:ascii="Times New Roman" w:hAnsi="Times New Roman" w:cs="Times New Roman"/>
          <w:b/>
          <w:sz w:val="24"/>
          <w:szCs w:val="24"/>
        </w:rPr>
        <w:t>.</w:t>
      </w:r>
    </w:p>
    <w:p w:rsidR="002970A1" w:rsidRPr="002970A1" w:rsidRDefault="002970A1" w:rsidP="002970A1">
      <w:pPr>
        <w:spacing w:line="360" w:lineRule="auto"/>
        <w:jc w:val="both"/>
        <w:rPr>
          <w:rFonts w:ascii="Times New Roman" w:hAnsi="Times New Roman" w:cs="Times New Roman"/>
          <w:sz w:val="24"/>
          <w:szCs w:val="24"/>
        </w:rPr>
      </w:pPr>
    </w:p>
    <w:p w:rsidR="002970A1" w:rsidRPr="002970A1" w:rsidRDefault="002970A1" w:rsidP="002970A1">
      <w:pPr>
        <w:spacing w:line="240" w:lineRule="auto"/>
        <w:jc w:val="both"/>
        <w:rPr>
          <w:rFonts w:ascii="Times New Roman" w:hAnsi="Times New Roman" w:cs="Times New Roman"/>
          <w:sz w:val="24"/>
          <w:szCs w:val="24"/>
        </w:rPr>
      </w:pPr>
      <w:r w:rsidRPr="002970A1">
        <w:rPr>
          <w:rFonts w:ascii="Times New Roman" w:hAnsi="Times New Roman" w:cs="Times New Roman"/>
          <w:sz w:val="24"/>
          <w:szCs w:val="24"/>
        </w:rPr>
        <w:t>………………………………</w:t>
      </w:r>
      <w:r w:rsidRPr="002970A1">
        <w:rPr>
          <w:rFonts w:ascii="Times New Roman" w:hAnsi="Times New Roman" w:cs="Times New Roman"/>
          <w:sz w:val="24"/>
          <w:szCs w:val="24"/>
        </w:rPr>
        <w:tab/>
      </w:r>
      <w:r w:rsidRPr="002970A1">
        <w:rPr>
          <w:rFonts w:ascii="Times New Roman" w:hAnsi="Times New Roman" w:cs="Times New Roman"/>
          <w:sz w:val="24"/>
          <w:szCs w:val="24"/>
        </w:rPr>
        <w:tab/>
      </w:r>
      <w:r w:rsidRPr="002970A1">
        <w:rPr>
          <w:rFonts w:ascii="Times New Roman" w:hAnsi="Times New Roman" w:cs="Times New Roman"/>
          <w:sz w:val="24"/>
          <w:szCs w:val="24"/>
        </w:rPr>
        <w:tab/>
      </w:r>
      <w:r w:rsidRPr="002970A1">
        <w:rPr>
          <w:rFonts w:ascii="Times New Roman" w:hAnsi="Times New Roman" w:cs="Times New Roman"/>
          <w:sz w:val="24"/>
          <w:szCs w:val="24"/>
        </w:rPr>
        <w:tab/>
      </w:r>
      <w:r w:rsidRPr="002970A1">
        <w:rPr>
          <w:rFonts w:ascii="Times New Roman" w:hAnsi="Times New Roman" w:cs="Times New Roman"/>
          <w:sz w:val="24"/>
          <w:szCs w:val="24"/>
        </w:rPr>
        <w:tab/>
        <w:t>……………………</w:t>
      </w:r>
    </w:p>
    <w:p w:rsidR="002970A1" w:rsidRPr="002970A1" w:rsidRDefault="002970A1" w:rsidP="002970A1">
      <w:pPr>
        <w:spacing w:line="240" w:lineRule="auto"/>
        <w:jc w:val="both"/>
        <w:rPr>
          <w:rFonts w:ascii="Times New Roman" w:hAnsi="Times New Roman" w:cs="Times New Roman"/>
          <w:b/>
          <w:sz w:val="24"/>
          <w:szCs w:val="24"/>
        </w:rPr>
      </w:pPr>
      <w:r>
        <w:rPr>
          <w:rFonts w:ascii="Times New Roman" w:hAnsi="Times New Roman" w:cs="Times New Roman"/>
          <w:b/>
          <w:sz w:val="24"/>
          <w:szCs w:val="24"/>
        </w:rPr>
        <w:t>MR. ELELU M.O</w:t>
      </w:r>
      <w:r w:rsidRPr="002970A1">
        <w:rPr>
          <w:rFonts w:ascii="Times New Roman" w:hAnsi="Times New Roman" w:cs="Times New Roman"/>
          <w:b/>
          <w:sz w:val="24"/>
          <w:szCs w:val="24"/>
        </w:rPr>
        <w:tab/>
      </w:r>
      <w:r w:rsidRPr="002970A1">
        <w:rPr>
          <w:rFonts w:ascii="Times New Roman" w:hAnsi="Times New Roman" w:cs="Times New Roman"/>
          <w:b/>
          <w:sz w:val="24"/>
          <w:szCs w:val="24"/>
        </w:rPr>
        <w:tab/>
      </w:r>
      <w:r w:rsidRPr="002970A1">
        <w:rPr>
          <w:rFonts w:ascii="Times New Roman" w:hAnsi="Times New Roman" w:cs="Times New Roman"/>
          <w:b/>
          <w:sz w:val="24"/>
          <w:szCs w:val="24"/>
        </w:rPr>
        <w:tab/>
      </w:r>
      <w:r w:rsidRPr="002970A1">
        <w:rPr>
          <w:rFonts w:ascii="Times New Roman" w:hAnsi="Times New Roman" w:cs="Times New Roman"/>
          <w:b/>
          <w:sz w:val="24"/>
          <w:szCs w:val="24"/>
        </w:rPr>
        <w:tab/>
      </w:r>
      <w:r w:rsidRPr="002970A1">
        <w:rPr>
          <w:rFonts w:ascii="Times New Roman" w:hAnsi="Times New Roman" w:cs="Times New Roman"/>
          <w:b/>
          <w:sz w:val="24"/>
          <w:szCs w:val="24"/>
        </w:rPr>
        <w:tab/>
      </w:r>
      <w:r w:rsidRPr="002970A1">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970A1">
        <w:rPr>
          <w:rFonts w:ascii="Times New Roman" w:hAnsi="Times New Roman" w:cs="Times New Roman"/>
          <w:b/>
          <w:sz w:val="24"/>
          <w:szCs w:val="24"/>
        </w:rPr>
        <w:t>DATA</w:t>
      </w:r>
    </w:p>
    <w:p w:rsidR="002970A1" w:rsidRPr="002970A1" w:rsidRDefault="002970A1" w:rsidP="002970A1">
      <w:pPr>
        <w:spacing w:line="240" w:lineRule="auto"/>
        <w:jc w:val="both"/>
        <w:rPr>
          <w:rFonts w:ascii="Times New Roman" w:hAnsi="Times New Roman" w:cs="Times New Roman"/>
          <w:sz w:val="24"/>
          <w:szCs w:val="24"/>
        </w:rPr>
      </w:pPr>
      <w:r w:rsidRPr="002970A1">
        <w:rPr>
          <w:rFonts w:ascii="Times New Roman" w:hAnsi="Times New Roman" w:cs="Times New Roman"/>
          <w:sz w:val="24"/>
          <w:szCs w:val="24"/>
        </w:rPr>
        <w:t>(Project Supervisor)</w:t>
      </w:r>
    </w:p>
    <w:p w:rsidR="002970A1" w:rsidRPr="002970A1" w:rsidRDefault="002970A1" w:rsidP="002970A1">
      <w:pPr>
        <w:spacing w:line="240" w:lineRule="auto"/>
        <w:jc w:val="both"/>
        <w:rPr>
          <w:rFonts w:ascii="Times New Roman" w:hAnsi="Times New Roman" w:cs="Times New Roman"/>
          <w:sz w:val="24"/>
          <w:szCs w:val="24"/>
        </w:rPr>
      </w:pPr>
    </w:p>
    <w:p w:rsidR="002970A1" w:rsidRPr="002970A1" w:rsidRDefault="002970A1" w:rsidP="002970A1">
      <w:pPr>
        <w:spacing w:line="240" w:lineRule="auto"/>
        <w:jc w:val="both"/>
        <w:rPr>
          <w:rFonts w:ascii="Times New Roman" w:hAnsi="Times New Roman" w:cs="Times New Roman"/>
          <w:sz w:val="24"/>
          <w:szCs w:val="24"/>
        </w:rPr>
      </w:pPr>
      <w:r w:rsidRPr="002970A1">
        <w:rPr>
          <w:rFonts w:ascii="Times New Roman" w:hAnsi="Times New Roman" w:cs="Times New Roman"/>
          <w:sz w:val="24"/>
          <w:szCs w:val="24"/>
        </w:rPr>
        <w:t>…………………………………</w:t>
      </w:r>
      <w:r w:rsidRPr="002970A1">
        <w:rPr>
          <w:rFonts w:ascii="Times New Roman" w:hAnsi="Times New Roman" w:cs="Times New Roman"/>
          <w:sz w:val="24"/>
          <w:szCs w:val="24"/>
        </w:rPr>
        <w:tab/>
      </w:r>
      <w:r w:rsidRPr="002970A1">
        <w:rPr>
          <w:rFonts w:ascii="Times New Roman" w:hAnsi="Times New Roman" w:cs="Times New Roman"/>
          <w:sz w:val="24"/>
          <w:szCs w:val="24"/>
        </w:rPr>
        <w:tab/>
      </w:r>
      <w:r w:rsidRPr="002970A1">
        <w:rPr>
          <w:rFonts w:ascii="Times New Roman" w:hAnsi="Times New Roman" w:cs="Times New Roman"/>
          <w:sz w:val="24"/>
          <w:szCs w:val="24"/>
        </w:rPr>
        <w:tab/>
      </w:r>
      <w:r w:rsidRPr="002970A1">
        <w:rPr>
          <w:rFonts w:ascii="Times New Roman" w:hAnsi="Times New Roman" w:cs="Times New Roman"/>
          <w:sz w:val="24"/>
          <w:szCs w:val="24"/>
        </w:rPr>
        <w:tab/>
      </w:r>
      <w:r w:rsidRPr="002970A1">
        <w:rPr>
          <w:rFonts w:ascii="Times New Roman" w:hAnsi="Times New Roman" w:cs="Times New Roman"/>
          <w:sz w:val="24"/>
          <w:szCs w:val="24"/>
        </w:rPr>
        <w:tab/>
        <w:t>……………………</w:t>
      </w:r>
    </w:p>
    <w:p w:rsidR="002970A1" w:rsidRPr="002970A1" w:rsidRDefault="002970A1" w:rsidP="002970A1">
      <w:pPr>
        <w:spacing w:line="240" w:lineRule="auto"/>
        <w:jc w:val="both"/>
        <w:rPr>
          <w:rFonts w:ascii="Times New Roman" w:hAnsi="Times New Roman" w:cs="Times New Roman"/>
          <w:b/>
          <w:sz w:val="24"/>
          <w:szCs w:val="24"/>
        </w:rPr>
      </w:pPr>
      <w:r>
        <w:rPr>
          <w:rFonts w:ascii="Times New Roman" w:hAnsi="Times New Roman" w:cs="Times New Roman"/>
          <w:b/>
          <w:sz w:val="24"/>
          <w:szCs w:val="24"/>
        </w:rPr>
        <w:t>MR. AKANBI 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970A1">
        <w:rPr>
          <w:rFonts w:ascii="Times New Roman" w:hAnsi="Times New Roman" w:cs="Times New Roman"/>
          <w:b/>
          <w:sz w:val="24"/>
          <w:szCs w:val="24"/>
        </w:rPr>
        <w:tab/>
      </w:r>
      <w:r w:rsidRPr="002970A1">
        <w:rPr>
          <w:rFonts w:ascii="Times New Roman" w:hAnsi="Times New Roman" w:cs="Times New Roman"/>
          <w:b/>
          <w:sz w:val="24"/>
          <w:szCs w:val="24"/>
        </w:rPr>
        <w:tab/>
      </w:r>
      <w:r w:rsidRPr="002970A1">
        <w:rPr>
          <w:rFonts w:ascii="Times New Roman" w:hAnsi="Times New Roman" w:cs="Times New Roman"/>
          <w:b/>
          <w:sz w:val="24"/>
          <w:szCs w:val="24"/>
        </w:rPr>
        <w:tab/>
      </w:r>
      <w:r w:rsidRPr="002970A1">
        <w:rPr>
          <w:rFonts w:ascii="Times New Roman" w:hAnsi="Times New Roman" w:cs="Times New Roman"/>
          <w:b/>
          <w:sz w:val="24"/>
          <w:szCs w:val="24"/>
        </w:rPr>
        <w:tab/>
      </w:r>
      <w:r w:rsidRPr="002970A1">
        <w:rPr>
          <w:rFonts w:ascii="Times New Roman" w:hAnsi="Times New Roman" w:cs="Times New Roman"/>
          <w:b/>
          <w:sz w:val="24"/>
          <w:szCs w:val="24"/>
        </w:rPr>
        <w:tab/>
        <w:t>DATE</w:t>
      </w:r>
    </w:p>
    <w:p w:rsidR="002970A1" w:rsidRPr="002970A1" w:rsidRDefault="002970A1" w:rsidP="002970A1">
      <w:pPr>
        <w:spacing w:line="240" w:lineRule="auto"/>
        <w:jc w:val="both"/>
        <w:rPr>
          <w:rFonts w:ascii="Times New Roman" w:hAnsi="Times New Roman" w:cs="Times New Roman"/>
          <w:sz w:val="24"/>
          <w:szCs w:val="24"/>
        </w:rPr>
      </w:pPr>
      <w:r w:rsidRPr="002970A1">
        <w:rPr>
          <w:rFonts w:ascii="Times New Roman" w:hAnsi="Times New Roman" w:cs="Times New Roman"/>
          <w:sz w:val="24"/>
          <w:szCs w:val="24"/>
        </w:rPr>
        <w:t xml:space="preserve">(Project Coordinator)  </w:t>
      </w:r>
    </w:p>
    <w:p w:rsidR="002970A1" w:rsidRPr="002970A1" w:rsidRDefault="002970A1" w:rsidP="002970A1">
      <w:pPr>
        <w:spacing w:line="240" w:lineRule="auto"/>
        <w:jc w:val="both"/>
        <w:rPr>
          <w:rFonts w:ascii="Times New Roman" w:hAnsi="Times New Roman" w:cs="Times New Roman"/>
          <w:sz w:val="24"/>
          <w:szCs w:val="24"/>
        </w:rPr>
      </w:pPr>
    </w:p>
    <w:p w:rsidR="002970A1" w:rsidRPr="002970A1" w:rsidRDefault="002970A1" w:rsidP="002970A1">
      <w:pPr>
        <w:spacing w:line="240" w:lineRule="auto"/>
        <w:jc w:val="both"/>
        <w:rPr>
          <w:rFonts w:ascii="Times New Roman" w:hAnsi="Times New Roman" w:cs="Times New Roman"/>
          <w:sz w:val="24"/>
          <w:szCs w:val="24"/>
        </w:rPr>
      </w:pPr>
      <w:r w:rsidRPr="002970A1">
        <w:rPr>
          <w:rFonts w:ascii="Times New Roman" w:hAnsi="Times New Roman" w:cs="Times New Roman"/>
          <w:sz w:val="24"/>
          <w:szCs w:val="24"/>
        </w:rPr>
        <w:t>…………………………………….</w:t>
      </w:r>
      <w:r w:rsidRPr="002970A1">
        <w:rPr>
          <w:rFonts w:ascii="Times New Roman" w:hAnsi="Times New Roman" w:cs="Times New Roman"/>
          <w:sz w:val="24"/>
          <w:szCs w:val="24"/>
        </w:rPr>
        <w:tab/>
      </w:r>
      <w:r w:rsidRPr="002970A1">
        <w:rPr>
          <w:rFonts w:ascii="Times New Roman" w:hAnsi="Times New Roman" w:cs="Times New Roman"/>
          <w:sz w:val="24"/>
          <w:szCs w:val="24"/>
        </w:rPr>
        <w:tab/>
      </w:r>
      <w:r w:rsidRPr="002970A1">
        <w:rPr>
          <w:rFonts w:ascii="Times New Roman" w:hAnsi="Times New Roman" w:cs="Times New Roman"/>
          <w:sz w:val="24"/>
          <w:szCs w:val="24"/>
        </w:rPr>
        <w:tab/>
      </w:r>
      <w:r w:rsidRPr="002970A1">
        <w:rPr>
          <w:rFonts w:ascii="Times New Roman" w:hAnsi="Times New Roman" w:cs="Times New Roman"/>
          <w:sz w:val="24"/>
          <w:szCs w:val="24"/>
        </w:rPr>
        <w:tab/>
      </w:r>
      <w:r w:rsidRPr="002970A1">
        <w:rPr>
          <w:rFonts w:ascii="Times New Roman" w:hAnsi="Times New Roman" w:cs="Times New Roman"/>
          <w:sz w:val="24"/>
          <w:szCs w:val="24"/>
        </w:rPr>
        <w:tab/>
        <w:t>………………………</w:t>
      </w:r>
    </w:p>
    <w:p w:rsidR="002970A1" w:rsidRPr="002970A1" w:rsidRDefault="002970A1" w:rsidP="002970A1">
      <w:pPr>
        <w:spacing w:line="240" w:lineRule="auto"/>
        <w:ind w:left="-90"/>
        <w:jc w:val="both"/>
        <w:rPr>
          <w:rFonts w:ascii="Times New Roman" w:hAnsi="Times New Roman" w:cs="Times New Roman"/>
          <w:b/>
          <w:sz w:val="24"/>
          <w:szCs w:val="24"/>
        </w:rPr>
      </w:pPr>
      <w:r w:rsidRPr="002970A1">
        <w:rPr>
          <w:rFonts w:ascii="Times New Roman" w:hAnsi="Times New Roman" w:cs="Times New Roman"/>
          <w:b/>
          <w:sz w:val="24"/>
          <w:szCs w:val="24"/>
        </w:rPr>
        <w:t xml:space="preserve">MR. </w:t>
      </w:r>
      <w:r>
        <w:rPr>
          <w:rFonts w:ascii="Times New Roman" w:hAnsi="Times New Roman" w:cs="Times New Roman"/>
          <w:b/>
          <w:sz w:val="24"/>
          <w:szCs w:val="24"/>
        </w:rPr>
        <w:t>ELELU M.O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970A1">
        <w:rPr>
          <w:rFonts w:ascii="Times New Roman" w:hAnsi="Times New Roman" w:cs="Times New Roman"/>
          <w:b/>
          <w:sz w:val="24"/>
          <w:szCs w:val="24"/>
        </w:rPr>
        <w:tab/>
      </w:r>
      <w:r w:rsidRPr="002970A1">
        <w:rPr>
          <w:rFonts w:ascii="Times New Roman" w:hAnsi="Times New Roman" w:cs="Times New Roman"/>
          <w:b/>
          <w:sz w:val="24"/>
          <w:szCs w:val="24"/>
        </w:rPr>
        <w:tab/>
      </w:r>
      <w:r w:rsidRPr="002970A1">
        <w:rPr>
          <w:rFonts w:ascii="Times New Roman" w:hAnsi="Times New Roman" w:cs="Times New Roman"/>
          <w:b/>
          <w:sz w:val="24"/>
          <w:szCs w:val="24"/>
        </w:rPr>
        <w:tab/>
      </w:r>
      <w:r w:rsidRPr="002970A1">
        <w:rPr>
          <w:rFonts w:ascii="Times New Roman" w:hAnsi="Times New Roman" w:cs="Times New Roman"/>
          <w:b/>
          <w:sz w:val="24"/>
          <w:szCs w:val="24"/>
        </w:rPr>
        <w:tab/>
        <w:t>DATE</w:t>
      </w:r>
    </w:p>
    <w:p w:rsidR="002970A1" w:rsidRPr="002970A1" w:rsidRDefault="002970A1" w:rsidP="002970A1">
      <w:pPr>
        <w:spacing w:line="240" w:lineRule="auto"/>
        <w:ind w:left="-90"/>
        <w:jc w:val="both"/>
        <w:rPr>
          <w:rFonts w:ascii="Times New Roman" w:hAnsi="Times New Roman" w:cs="Times New Roman"/>
          <w:sz w:val="24"/>
          <w:szCs w:val="24"/>
        </w:rPr>
      </w:pPr>
      <w:r w:rsidRPr="002970A1">
        <w:rPr>
          <w:rFonts w:ascii="Times New Roman" w:hAnsi="Times New Roman" w:cs="Times New Roman"/>
          <w:sz w:val="24"/>
          <w:szCs w:val="24"/>
        </w:rPr>
        <w:t>(Head of Department)</w:t>
      </w:r>
    </w:p>
    <w:p w:rsidR="002970A1" w:rsidRPr="002970A1" w:rsidRDefault="002970A1" w:rsidP="002970A1">
      <w:pPr>
        <w:spacing w:line="240" w:lineRule="auto"/>
        <w:jc w:val="both"/>
        <w:rPr>
          <w:rFonts w:ascii="Times New Roman" w:hAnsi="Times New Roman" w:cs="Times New Roman"/>
          <w:sz w:val="24"/>
          <w:szCs w:val="24"/>
        </w:rPr>
      </w:pPr>
    </w:p>
    <w:p w:rsidR="002970A1" w:rsidRPr="002970A1" w:rsidRDefault="002970A1" w:rsidP="002970A1">
      <w:pPr>
        <w:spacing w:line="240" w:lineRule="auto"/>
        <w:jc w:val="both"/>
        <w:rPr>
          <w:rFonts w:ascii="Times New Roman" w:hAnsi="Times New Roman" w:cs="Times New Roman"/>
          <w:sz w:val="24"/>
          <w:szCs w:val="24"/>
        </w:rPr>
      </w:pPr>
      <w:r w:rsidRPr="002970A1">
        <w:rPr>
          <w:rFonts w:ascii="Times New Roman" w:hAnsi="Times New Roman" w:cs="Times New Roman"/>
          <w:sz w:val="24"/>
          <w:szCs w:val="24"/>
        </w:rPr>
        <w:t>-----------------------------</w:t>
      </w:r>
      <w:r w:rsidRPr="002970A1">
        <w:rPr>
          <w:rFonts w:ascii="Times New Roman" w:hAnsi="Times New Roman" w:cs="Times New Roman"/>
          <w:sz w:val="24"/>
          <w:szCs w:val="24"/>
        </w:rPr>
        <w:tab/>
      </w:r>
      <w:r w:rsidRPr="002970A1">
        <w:rPr>
          <w:rFonts w:ascii="Times New Roman" w:hAnsi="Times New Roman" w:cs="Times New Roman"/>
          <w:sz w:val="24"/>
          <w:szCs w:val="24"/>
        </w:rPr>
        <w:tab/>
      </w:r>
      <w:r w:rsidRPr="002970A1">
        <w:rPr>
          <w:rFonts w:ascii="Times New Roman" w:hAnsi="Times New Roman" w:cs="Times New Roman"/>
          <w:sz w:val="24"/>
          <w:szCs w:val="24"/>
        </w:rPr>
        <w:tab/>
      </w:r>
      <w:r w:rsidRPr="002970A1">
        <w:rPr>
          <w:rFonts w:ascii="Times New Roman" w:hAnsi="Times New Roman" w:cs="Times New Roman"/>
          <w:sz w:val="24"/>
          <w:szCs w:val="24"/>
        </w:rPr>
        <w:tab/>
      </w:r>
      <w:r w:rsidRPr="002970A1">
        <w:rPr>
          <w:rFonts w:ascii="Times New Roman" w:hAnsi="Times New Roman" w:cs="Times New Roman"/>
          <w:sz w:val="24"/>
          <w:szCs w:val="24"/>
        </w:rPr>
        <w:tab/>
      </w:r>
      <w:r>
        <w:rPr>
          <w:rFonts w:ascii="Times New Roman" w:hAnsi="Times New Roman" w:cs="Times New Roman"/>
          <w:sz w:val="24"/>
          <w:szCs w:val="24"/>
        </w:rPr>
        <w:tab/>
      </w:r>
      <w:r w:rsidR="00586F73">
        <w:rPr>
          <w:rFonts w:ascii="Times New Roman" w:hAnsi="Times New Roman" w:cs="Times New Roman"/>
          <w:sz w:val="24"/>
          <w:szCs w:val="24"/>
        </w:rPr>
        <w:t>________________</w:t>
      </w:r>
    </w:p>
    <w:p w:rsidR="002970A1" w:rsidRPr="002970A1" w:rsidRDefault="002970A1" w:rsidP="002970A1">
      <w:pPr>
        <w:spacing w:line="240" w:lineRule="auto"/>
        <w:ind w:left="-90"/>
        <w:jc w:val="both"/>
        <w:rPr>
          <w:rFonts w:ascii="Times New Roman" w:hAnsi="Times New Roman" w:cs="Times New Roman"/>
          <w:b/>
          <w:sz w:val="24"/>
          <w:szCs w:val="24"/>
        </w:rPr>
      </w:pPr>
      <w:r w:rsidRPr="002970A1">
        <w:rPr>
          <w:rFonts w:ascii="Times New Roman" w:hAnsi="Times New Roman" w:cs="Times New Roman"/>
          <w:b/>
          <w:sz w:val="24"/>
          <w:szCs w:val="24"/>
        </w:rPr>
        <w:t xml:space="preserve">MR. </w:t>
      </w:r>
      <w:r>
        <w:rPr>
          <w:rFonts w:ascii="Times New Roman" w:hAnsi="Times New Roman" w:cs="Times New Roman"/>
          <w:b/>
          <w:sz w:val="24"/>
          <w:szCs w:val="24"/>
        </w:rPr>
        <w:t>ABDULRAMAN ABDULLAT</w:t>
      </w:r>
      <w:r>
        <w:rPr>
          <w:rFonts w:ascii="Times New Roman" w:hAnsi="Times New Roman" w:cs="Times New Roman"/>
          <w:b/>
          <w:sz w:val="24"/>
          <w:szCs w:val="24"/>
        </w:rPr>
        <w:tab/>
        <w:t>EEF</w:t>
      </w:r>
      <w:r>
        <w:rPr>
          <w:rFonts w:ascii="Times New Roman" w:hAnsi="Times New Roman" w:cs="Times New Roman"/>
          <w:b/>
          <w:sz w:val="24"/>
          <w:szCs w:val="24"/>
        </w:rPr>
        <w:tab/>
      </w:r>
      <w:r w:rsidRPr="002970A1">
        <w:rPr>
          <w:rFonts w:ascii="Times New Roman" w:hAnsi="Times New Roman" w:cs="Times New Roman"/>
          <w:b/>
          <w:sz w:val="24"/>
          <w:szCs w:val="24"/>
        </w:rPr>
        <w:tab/>
      </w:r>
      <w:r w:rsidRPr="002970A1">
        <w:rPr>
          <w:rFonts w:ascii="Times New Roman" w:hAnsi="Times New Roman" w:cs="Times New Roman"/>
          <w:b/>
          <w:sz w:val="24"/>
          <w:szCs w:val="24"/>
        </w:rPr>
        <w:tab/>
      </w:r>
      <w:r w:rsidRPr="002970A1">
        <w:rPr>
          <w:rFonts w:ascii="Times New Roman" w:hAnsi="Times New Roman" w:cs="Times New Roman"/>
          <w:b/>
          <w:sz w:val="24"/>
          <w:szCs w:val="24"/>
        </w:rPr>
        <w:tab/>
      </w:r>
      <w:r w:rsidR="00586F73">
        <w:rPr>
          <w:rFonts w:ascii="Times New Roman" w:hAnsi="Times New Roman" w:cs="Times New Roman"/>
          <w:b/>
          <w:sz w:val="24"/>
          <w:szCs w:val="24"/>
        </w:rPr>
        <w:tab/>
        <w:t>DATE</w:t>
      </w:r>
    </w:p>
    <w:p w:rsidR="002970A1" w:rsidRPr="002970A1" w:rsidRDefault="002970A1" w:rsidP="002970A1">
      <w:pPr>
        <w:spacing w:line="240" w:lineRule="auto"/>
        <w:ind w:left="-90"/>
        <w:jc w:val="both"/>
        <w:rPr>
          <w:rFonts w:ascii="Times New Roman" w:hAnsi="Times New Roman" w:cs="Times New Roman"/>
          <w:sz w:val="24"/>
          <w:szCs w:val="24"/>
        </w:rPr>
      </w:pPr>
      <w:r w:rsidRPr="002970A1">
        <w:rPr>
          <w:rFonts w:ascii="Times New Roman" w:hAnsi="Times New Roman" w:cs="Times New Roman"/>
          <w:sz w:val="24"/>
          <w:szCs w:val="24"/>
        </w:rPr>
        <w:t>(External Examiner)</w:t>
      </w:r>
      <w:r w:rsidRPr="002970A1">
        <w:rPr>
          <w:rFonts w:ascii="Times New Roman" w:hAnsi="Times New Roman" w:cs="Times New Roman"/>
          <w:sz w:val="24"/>
          <w:szCs w:val="24"/>
        </w:rPr>
        <w:tab/>
      </w:r>
    </w:p>
    <w:p w:rsidR="0077619D" w:rsidRDefault="0077619D" w:rsidP="0077619D">
      <w:pPr>
        <w:spacing w:before="100" w:beforeAutospacing="1" w:after="100" w:afterAutospacing="1" w:line="360" w:lineRule="auto"/>
        <w:ind w:left="2880" w:firstLine="720"/>
        <w:jc w:val="both"/>
        <w:outlineLvl w:val="0"/>
        <w:rPr>
          <w:rFonts w:ascii="Times New Roman" w:eastAsia="Times New Roman" w:hAnsi="Times New Roman" w:cs="Times New Roman"/>
          <w:b/>
          <w:bCs/>
          <w:kern w:val="36"/>
          <w:sz w:val="30"/>
          <w:szCs w:val="24"/>
        </w:rPr>
      </w:pPr>
    </w:p>
    <w:p w:rsidR="0077619D" w:rsidRDefault="0077619D" w:rsidP="0077619D">
      <w:pPr>
        <w:spacing w:before="100" w:beforeAutospacing="1" w:after="100" w:afterAutospacing="1" w:line="360" w:lineRule="auto"/>
        <w:ind w:left="2880" w:firstLine="720"/>
        <w:jc w:val="both"/>
        <w:outlineLvl w:val="0"/>
        <w:rPr>
          <w:rFonts w:ascii="Times New Roman" w:eastAsia="Times New Roman" w:hAnsi="Times New Roman" w:cs="Times New Roman"/>
          <w:b/>
          <w:bCs/>
          <w:kern w:val="36"/>
          <w:sz w:val="30"/>
          <w:szCs w:val="24"/>
        </w:rPr>
      </w:pPr>
    </w:p>
    <w:p w:rsidR="0077619D" w:rsidRDefault="0077619D" w:rsidP="00880505">
      <w:pPr>
        <w:spacing w:before="100" w:beforeAutospacing="1" w:after="100" w:afterAutospacing="1" w:line="360" w:lineRule="auto"/>
        <w:jc w:val="both"/>
        <w:outlineLvl w:val="0"/>
        <w:rPr>
          <w:rFonts w:ascii="Times New Roman" w:eastAsia="Times New Roman" w:hAnsi="Times New Roman" w:cs="Times New Roman"/>
          <w:b/>
          <w:bCs/>
          <w:kern w:val="36"/>
          <w:sz w:val="30"/>
          <w:szCs w:val="24"/>
        </w:rPr>
      </w:pPr>
    </w:p>
    <w:p w:rsidR="00880505" w:rsidRPr="00B72C18" w:rsidRDefault="00880505" w:rsidP="00880505">
      <w:pPr>
        <w:spacing w:line="360" w:lineRule="auto"/>
        <w:jc w:val="center"/>
        <w:rPr>
          <w:rFonts w:ascii="Times New Roman" w:hAnsi="Times New Roman"/>
          <w:b/>
          <w:sz w:val="26"/>
          <w:szCs w:val="26"/>
        </w:rPr>
      </w:pPr>
      <w:r w:rsidRPr="00B72C18">
        <w:rPr>
          <w:rFonts w:ascii="Times New Roman" w:hAnsi="Times New Roman"/>
          <w:b/>
          <w:sz w:val="26"/>
          <w:szCs w:val="26"/>
        </w:rPr>
        <w:lastRenderedPageBreak/>
        <w:t>DEDICATION</w:t>
      </w:r>
    </w:p>
    <w:p w:rsidR="00880505" w:rsidRPr="00B72C18" w:rsidRDefault="00880505" w:rsidP="00880505">
      <w:pPr>
        <w:spacing w:line="360" w:lineRule="auto"/>
        <w:jc w:val="both"/>
        <w:rPr>
          <w:rFonts w:ascii="Times New Roman" w:hAnsi="Times New Roman"/>
          <w:sz w:val="26"/>
          <w:szCs w:val="26"/>
        </w:rPr>
      </w:pPr>
      <w:r w:rsidRPr="00B72C18">
        <w:rPr>
          <w:rFonts w:ascii="Times New Roman" w:hAnsi="Times New Roman"/>
          <w:b/>
          <w:sz w:val="26"/>
          <w:szCs w:val="26"/>
        </w:rPr>
        <w:tab/>
      </w:r>
      <w:r w:rsidRPr="00B72C18">
        <w:rPr>
          <w:rFonts w:ascii="Times New Roman" w:hAnsi="Times New Roman"/>
          <w:sz w:val="26"/>
          <w:szCs w:val="26"/>
        </w:rPr>
        <w:t xml:space="preserve">This project is dedicated to the </w:t>
      </w:r>
      <w:r>
        <w:rPr>
          <w:rFonts w:ascii="Times New Roman" w:hAnsi="Times New Roman"/>
          <w:b/>
          <w:sz w:val="26"/>
          <w:szCs w:val="26"/>
        </w:rPr>
        <w:t>Almighty Allah</w:t>
      </w:r>
      <w:r w:rsidRPr="00B72C18">
        <w:rPr>
          <w:rFonts w:ascii="Times New Roman" w:hAnsi="Times New Roman"/>
          <w:b/>
          <w:sz w:val="26"/>
          <w:szCs w:val="26"/>
        </w:rPr>
        <w:t xml:space="preserve">, </w:t>
      </w:r>
      <w:r>
        <w:rPr>
          <w:rFonts w:ascii="Times New Roman" w:hAnsi="Times New Roman"/>
          <w:sz w:val="26"/>
          <w:szCs w:val="26"/>
        </w:rPr>
        <w:t xml:space="preserve">The source of all knowledge and also to my parent </w:t>
      </w:r>
      <w:r w:rsidR="00BC1C87" w:rsidRPr="005C0B2B">
        <w:rPr>
          <w:rFonts w:ascii="Times New Roman" w:hAnsi="Times New Roman"/>
          <w:b/>
          <w:sz w:val="26"/>
          <w:szCs w:val="26"/>
        </w:rPr>
        <w:t>Mr</w:t>
      </w:r>
      <w:r>
        <w:rPr>
          <w:rFonts w:ascii="Times New Roman" w:hAnsi="Times New Roman"/>
          <w:sz w:val="26"/>
          <w:szCs w:val="26"/>
        </w:rPr>
        <w:t xml:space="preserve">. </w:t>
      </w:r>
      <w:r w:rsidR="00BC1C87" w:rsidRPr="005C0B2B">
        <w:rPr>
          <w:rFonts w:ascii="Times New Roman" w:hAnsi="Times New Roman"/>
          <w:b/>
          <w:sz w:val="26"/>
          <w:szCs w:val="26"/>
        </w:rPr>
        <w:t>and</w:t>
      </w:r>
      <w:r w:rsidR="00BC1C87">
        <w:rPr>
          <w:rFonts w:ascii="Times New Roman" w:hAnsi="Times New Roman"/>
          <w:sz w:val="26"/>
          <w:szCs w:val="26"/>
        </w:rPr>
        <w:t xml:space="preserve"> </w:t>
      </w:r>
      <w:r w:rsidR="00BC1C87" w:rsidRPr="005C0B2B">
        <w:rPr>
          <w:rFonts w:ascii="Times New Roman" w:hAnsi="Times New Roman"/>
          <w:b/>
          <w:sz w:val="26"/>
          <w:szCs w:val="26"/>
        </w:rPr>
        <w:t>Mrs</w:t>
      </w:r>
      <w:r w:rsidR="00BC1C87">
        <w:rPr>
          <w:rFonts w:ascii="Times New Roman" w:hAnsi="Times New Roman"/>
          <w:sz w:val="26"/>
          <w:szCs w:val="26"/>
        </w:rPr>
        <w:t xml:space="preserve"> </w:t>
      </w:r>
      <w:r w:rsidRPr="005C0B2B">
        <w:rPr>
          <w:rFonts w:ascii="Times New Roman" w:hAnsi="Times New Roman"/>
          <w:b/>
          <w:sz w:val="26"/>
          <w:szCs w:val="26"/>
        </w:rPr>
        <w:t>YUSUF</w:t>
      </w:r>
    </w:p>
    <w:p w:rsidR="00880505" w:rsidRPr="00B72C18" w:rsidRDefault="00BC1C87" w:rsidP="00BC1C87">
      <w:pPr>
        <w:tabs>
          <w:tab w:val="left" w:pos="1640"/>
        </w:tabs>
        <w:spacing w:line="360" w:lineRule="auto"/>
        <w:jc w:val="both"/>
        <w:rPr>
          <w:rFonts w:ascii="Times New Roman" w:hAnsi="Times New Roman"/>
          <w:sz w:val="26"/>
          <w:szCs w:val="26"/>
        </w:rPr>
      </w:pPr>
      <w:r>
        <w:rPr>
          <w:rFonts w:ascii="Times New Roman" w:hAnsi="Times New Roman"/>
          <w:sz w:val="26"/>
          <w:szCs w:val="26"/>
        </w:rPr>
        <w:tab/>
      </w:r>
    </w:p>
    <w:p w:rsidR="00880505" w:rsidRPr="00B72C18" w:rsidRDefault="00880505" w:rsidP="00880505">
      <w:pPr>
        <w:spacing w:line="360" w:lineRule="auto"/>
        <w:jc w:val="both"/>
        <w:rPr>
          <w:rFonts w:ascii="Times New Roman" w:hAnsi="Times New Roman"/>
          <w:sz w:val="26"/>
          <w:szCs w:val="26"/>
        </w:rPr>
      </w:pPr>
    </w:p>
    <w:p w:rsidR="00880505" w:rsidRPr="00B72C18" w:rsidRDefault="00880505" w:rsidP="00880505">
      <w:pPr>
        <w:spacing w:line="360" w:lineRule="auto"/>
        <w:jc w:val="both"/>
        <w:rPr>
          <w:rFonts w:ascii="Times New Roman" w:hAnsi="Times New Roman"/>
          <w:sz w:val="26"/>
          <w:szCs w:val="26"/>
        </w:rPr>
      </w:pPr>
    </w:p>
    <w:p w:rsidR="00880505" w:rsidRPr="00B72C18" w:rsidRDefault="00880505" w:rsidP="00880505">
      <w:pPr>
        <w:spacing w:line="360" w:lineRule="auto"/>
        <w:jc w:val="both"/>
        <w:rPr>
          <w:rFonts w:ascii="Times New Roman" w:hAnsi="Times New Roman"/>
          <w:sz w:val="26"/>
          <w:szCs w:val="26"/>
        </w:rPr>
      </w:pPr>
    </w:p>
    <w:p w:rsidR="00880505" w:rsidRPr="00B72C18" w:rsidRDefault="00880505" w:rsidP="00880505">
      <w:pPr>
        <w:spacing w:line="360" w:lineRule="auto"/>
        <w:jc w:val="both"/>
        <w:rPr>
          <w:rFonts w:ascii="Times New Roman" w:hAnsi="Times New Roman"/>
          <w:sz w:val="26"/>
          <w:szCs w:val="26"/>
        </w:rPr>
      </w:pPr>
    </w:p>
    <w:p w:rsidR="00880505" w:rsidRPr="00B72C18" w:rsidRDefault="00880505" w:rsidP="00880505">
      <w:pPr>
        <w:spacing w:line="360" w:lineRule="auto"/>
        <w:jc w:val="both"/>
        <w:rPr>
          <w:rFonts w:ascii="Times New Roman" w:hAnsi="Times New Roman"/>
          <w:sz w:val="26"/>
          <w:szCs w:val="26"/>
        </w:rPr>
      </w:pPr>
    </w:p>
    <w:p w:rsidR="00880505" w:rsidRPr="00B72C18" w:rsidRDefault="00880505" w:rsidP="00880505">
      <w:pPr>
        <w:spacing w:line="360" w:lineRule="auto"/>
        <w:jc w:val="both"/>
        <w:rPr>
          <w:rFonts w:ascii="Times New Roman" w:hAnsi="Times New Roman"/>
          <w:sz w:val="26"/>
          <w:szCs w:val="26"/>
        </w:rPr>
      </w:pPr>
    </w:p>
    <w:p w:rsidR="00880505" w:rsidRPr="00B72C18" w:rsidRDefault="00880505" w:rsidP="00880505">
      <w:pPr>
        <w:spacing w:line="360" w:lineRule="auto"/>
        <w:jc w:val="both"/>
        <w:rPr>
          <w:rFonts w:ascii="Times New Roman" w:hAnsi="Times New Roman"/>
          <w:sz w:val="26"/>
          <w:szCs w:val="26"/>
        </w:rPr>
      </w:pPr>
    </w:p>
    <w:p w:rsidR="00880505" w:rsidRPr="00B72C18" w:rsidRDefault="00880505" w:rsidP="00880505">
      <w:pPr>
        <w:spacing w:line="360" w:lineRule="auto"/>
        <w:jc w:val="both"/>
        <w:rPr>
          <w:rFonts w:ascii="Times New Roman" w:hAnsi="Times New Roman"/>
          <w:sz w:val="26"/>
          <w:szCs w:val="26"/>
        </w:rPr>
      </w:pPr>
    </w:p>
    <w:p w:rsidR="00880505" w:rsidRPr="00B72C18" w:rsidRDefault="00880505" w:rsidP="00880505">
      <w:pPr>
        <w:spacing w:line="360" w:lineRule="auto"/>
        <w:jc w:val="both"/>
        <w:rPr>
          <w:rFonts w:ascii="Times New Roman" w:hAnsi="Times New Roman"/>
          <w:sz w:val="26"/>
          <w:szCs w:val="26"/>
        </w:rPr>
      </w:pPr>
    </w:p>
    <w:p w:rsidR="00880505" w:rsidRPr="00B72C18" w:rsidRDefault="00880505" w:rsidP="00880505">
      <w:pPr>
        <w:spacing w:line="360" w:lineRule="auto"/>
        <w:jc w:val="both"/>
        <w:rPr>
          <w:rFonts w:ascii="Times New Roman" w:hAnsi="Times New Roman"/>
          <w:sz w:val="26"/>
          <w:szCs w:val="26"/>
        </w:rPr>
      </w:pPr>
    </w:p>
    <w:p w:rsidR="00880505" w:rsidRPr="00B72C18" w:rsidRDefault="00880505" w:rsidP="00880505">
      <w:pPr>
        <w:spacing w:line="360" w:lineRule="auto"/>
        <w:jc w:val="both"/>
        <w:rPr>
          <w:rFonts w:ascii="Times New Roman" w:hAnsi="Times New Roman"/>
          <w:sz w:val="26"/>
          <w:szCs w:val="26"/>
        </w:rPr>
      </w:pPr>
    </w:p>
    <w:p w:rsidR="00880505" w:rsidRPr="00B72C18" w:rsidRDefault="00880505" w:rsidP="00880505">
      <w:pPr>
        <w:spacing w:line="360" w:lineRule="auto"/>
        <w:jc w:val="both"/>
        <w:rPr>
          <w:rFonts w:ascii="Times New Roman" w:hAnsi="Times New Roman"/>
          <w:sz w:val="26"/>
          <w:szCs w:val="26"/>
        </w:rPr>
      </w:pPr>
    </w:p>
    <w:p w:rsidR="00880505" w:rsidRPr="00B72C18" w:rsidRDefault="00880505" w:rsidP="00880505">
      <w:pPr>
        <w:spacing w:line="360" w:lineRule="auto"/>
        <w:jc w:val="both"/>
        <w:rPr>
          <w:rFonts w:ascii="Times New Roman" w:hAnsi="Times New Roman"/>
          <w:sz w:val="26"/>
          <w:szCs w:val="26"/>
        </w:rPr>
      </w:pPr>
    </w:p>
    <w:p w:rsidR="00880505" w:rsidRPr="00B72C18" w:rsidRDefault="00880505" w:rsidP="00880505">
      <w:pPr>
        <w:spacing w:line="360" w:lineRule="auto"/>
        <w:jc w:val="both"/>
        <w:rPr>
          <w:rFonts w:ascii="Times New Roman" w:hAnsi="Times New Roman"/>
          <w:sz w:val="26"/>
          <w:szCs w:val="26"/>
        </w:rPr>
      </w:pPr>
    </w:p>
    <w:p w:rsidR="00880505" w:rsidRDefault="00880505" w:rsidP="00880505">
      <w:pPr>
        <w:spacing w:line="360" w:lineRule="auto"/>
        <w:jc w:val="center"/>
        <w:rPr>
          <w:rFonts w:ascii="Times New Roman" w:hAnsi="Times New Roman"/>
          <w:b/>
          <w:sz w:val="26"/>
          <w:szCs w:val="26"/>
        </w:rPr>
      </w:pPr>
    </w:p>
    <w:p w:rsidR="00880505" w:rsidRPr="00B72C18" w:rsidRDefault="00880505" w:rsidP="00880505">
      <w:pPr>
        <w:spacing w:line="360" w:lineRule="auto"/>
        <w:jc w:val="center"/>
        <w:rPr>
          <w:rFonts w:ascii="Times New Roman" w:hAnsi="Times New Roman"/>
          <w:b/>
          <w:sz w:val="26"/>
          <w:szCs w:val="26"/>
        </w:rPr>
      </w:pPr>
      <w:r w:rsidRPr="00B72C18">
        <w:rPr>
          <w:rFonts w:ascii="Times New Roman" w:hAnsi="Times New Roman"/>
          <w:b/>
          <w:sz w:val="26"/>
          <w:szCs w:val="26"/>
        </w:rPr>
        <w:lastRenderedPageBreak/>
        <w:t>ACKNOWLEDGEMENT</w:t>
      </w:r>
    </w:p>
    <w:p w:rsidR="00880505" w:rsidRPr="00B72C18" w:rsidRDefault="00880505" w:rsidP="00880505">
      <w:pPr>
        <w:spacing w:line="360" w:lineRule="auto"/>
        <w:jc w:val="both"/>
        <w:rPr>
          <w:rFonts w:ascii="Times New Roman" w:hAnsi="Times New Roman"/>
          <w:sz w:val="26"/>
          <w:szCs w:val="26"/>
        </w:rPr>
      </w:pPr>
      <w:r w:rsidRPr="00B72C18">
        <w:rPr>
          <w:rFonts w:ascii="Times New Roman" w:hAnsi="Times New Roman"/>
          <w:b/>
          <w:sz w:val="26"/>
          <w:szCs w:val="26"/>
        </w:rPr>
        <w:tab/>
      </w:r>
      <w:r w:rsidRPr="00B72C18">
        <w:rPr>
          <w:rFonts w:ascii="Times New Roman" w:hAnsi="Times New Roman"/>
          <w:sz w:val="26"/>
          <w:szCs w:val="26"/>
        </w:rPr>
        <w:t>I wish to place on record my appreciation to the following individuals and bodies for their contribution towards the production of this project.</w:t>
      </w:r>
    </w:p>
    <w:p w:rsidR="00880505" w:rsidRDefault="00880505" w:rsidP="00880505">
      <w:pPr>
        <w:spacing w:line="360" w:lineRule="auto"/>
        <w:jc w:val="both"/>
        <w:rPr>
          <w:rFonts w:ascii="Times New Roman" w:hAnsi="Times New Roman"/>
          <w:sz w:val="26"/>
          <w:szCs w:val="26"/>
        </w:rPr>
      </w:pPr>
      <w:r w:rsidRPr="00B72C18">
        <w:rPr>
          <w:rFonts w:ascii="Times New Roman" w:hAnsi="Times New Roman"/>
          <w:sz w:val="26"/>
          <w:szCs w:val="26"/>
        </w:rPr>
        <w:tab/>
        <w:t xml:space="preserve">First and foremost </w:t>
      </w:r>
      <w:r>
        <w:rPr>
          <w:rFonts w:ascii="Times New Roman" w:hAnsi="Times New Roman"/>
          <w:sz w:val="26"/>
          <w:szCs w:val="26"/>
        </w:rPr>
        <w:t xml:space="preserve">my sincerity goes to my Supervisor </w:t>
      </w:r>
      <w:r>
        <w:rPr>
          <w:rFonts w:ascii="Times New Roman" w:hAnsi="Times New Roman"/>
          <w:b/>
          <w:sz w:val="26"/>
          <w:szCs w:val="26"/>
        </w:rPr>
        <w:t>MR. ELELU M.O</w:t>
      </w:r>
      <w:r w:rsidRPr="00B72C18">
        <w:rPr>
          <w:rFonts w:ascii="Times New Roman" w:hAnsi="Times New Roman"/>
          <w:b/>
          <w:sz w:val="26"/>
          <w:szCs w:val="26"/>
        </w:rPr>
        <w:t xml:space="preserve"> </w:t>
      </w:r>
      <w:r w:rsidRPr="00B72C18">
        <w:rPr>
          <w:rFonts w:ascii="Times New Roman" w:hAnsi="Times New Roman"/>
          <w:sz w:val="26"/>
          <w:szCs w:val="26"/>
        </w:rPr>
        <w:t>and the head department (HOD) of Accounting in Kwara State Polytechnic Ilorin. Not only for the support in writing this project but also for my National Diploma (ND) studies at Kwara State Polytechnic.</w:t>
      </w:r>
    </w:p>
    <w:p w:rsidR="00880505" w:rsidRPr="00B72C18" w:rsidRDefault="00880505" w:rsidP="00880505">
      <w:pPr>
        <w:spacing w:line="360" w:lineRule="auto"/>
        <w:jc w:val="both"/>
        <w:rPr>
          <w:rFonts w:ascii="Times New Roman" w:hAnsi="Times New Roman"/>
          <w:sz w:val="26"/>
          <w:szCs w:val="26"/>
        </w:rPr>
      </w:pPr>
      <w:r>
        <w:rPr>
          <w:rFonts w:ascii="Times New Roman" w:hAnsi="Times New Roman"/>
          <w:sz w:val="26"/>
          <w:szCs w:val="26"/>
        </w:rPr>
        <w:tab/>
        <w:t xml:space="preserve">My special appreciation also goes to my lovely parent </w:t>
      </w:r>
      <w:r w:rsidRPr="00B9043F">
        <w:rPr>
          <w:rFonts w:ascii="Times New Roman" w:hAnsi="Times New Roman"/>
          <w:b/>
          <w:sz w:val="26"/>
          <w:szCs w:val="26"/>
        </w:rPr>
        <w:t>MR</w:t>
      </w:r>
      <w:r>
        <w:rPr>
          <w:rFonts w:ascii="Times New Roman" w:hAnsi="Times New Roman"/>
          <w:sz w:val="26"/>
          <w:szCs w:val="26"/>
        </w:rPr>
        <w:t xml:space="preserve">. </w:t>
      </w:r>
      <w:r w:rsidRPr="00B9043F">
        <w:rPr>
          <w:rFonts w:ascii="Times New Roman" w:hAnsi="Times New Roman"/>
          <w:b/>
          <w:sz w:val="26"/>
          <w:szCs w:val="26"/>
        </w:rPr>
        <w:t>AND</w:t>
      </w:r>
      <w:r>
        <w:rPr>
          <w:rFonts w:ascii="Times New Roman" w:hAnsi="Times New Roman"/>
          <w:sz w:val="26"/>
          <w:szCs w:val="26"/>
        </w:rPr>
        <w:t xml:space="preserve"> </w:t>
      </w:r>
      <w:r w:rsidRPr="00B9043F">
        <w:rPr>
          <w:rFonts w:ascii="Times New Roman" w:hAnsi="Times New Roman"/>
          <w:b/>
          <w:sz w:val="26"/>
          <w:szCs w:val="26"/>
        </w:rPr>
        <w:t>MRS</w:t>
      </w:r>
      <w:r>
        <w:rPr>
          <w:rFonts w:ascii="Times New Roman" w:hAnsi="Times New Roman"/>
          <w:sz w:val="26"/>
          <w:szCs w:val="26"/>
        </w:rPr>
        <w:t xml:space="preserve">. </w:t>
      </w:r>
      <w:r w:rsidRPr="00B9043F">
        <w:rPr>
          <w:rFonts w:ascii="Times New Roman" w:hAnsi="Times New Roman"/>
          <w:b/>
          <w:sz w:val="26"/>
          <w:szCs w:val="26"/>
        </w:rPr>
        <w:t>YUSUF</w:t>
      </w:r>
      <w:r>
        <w:rPr>
          <w:rFonts w:ascii="Times New Roman" w:hAnsi="Times New Roman"/>
          <w:sz w:val="26"/>
          <w:szCs w:val="26"/>
        </w:rPr>
        <w:t xml:space="preserve"> for their financial support</w:t>
      </w:r>
    </w:p>
    <w:p w:rsidR="00880505" w:rsidRPr="00B72C18" w:rsidRDefault="00880505" w:rsidP="00880505">
      <w:pPr>
        <w:spacing w:line="360" w:lineRule="auto"/>
        <w:jc w:val="both"/>
        <w:rPr>
          <w:rFonts w:ascii="Times New Roman" w:hAnsi="Times New Roman"/>
          <w:sz w:val="26"/>
          <w:szCs w:val="26"/>
        </w:rPr>
      </w:pPr>
      <w:r w:rsidRPr="00B72C18">
        <w:rPr>
          <w:rFonts w:ascii="Times New Roman" w:hAnsi="Times New Roman"/>
          <w:sz w:val="26"/>
          <w:szCs w:val="26"/>
        </w:rPr>
        <w:tab/>
        <w:t>Also present to give support were prominent academics like Head of Department in Kwara State Polytechnic and all my colleagues in the department of accounting.</w:t>
      </w:r>
    </w:p>
    <w:p w:rsidR="00880505" w:rsidRPr="00B72C18" w:rsidRDefault="00880505" w:rsidP="00880505">
      <w:pPr>
        <w:spacing w:line="360" w:lineRule="auto"/>
        <w:jc w:val="both"/>
        <w:rPr>
          <w:rFonts w:ascii="Times New Roman" w:hAnsi="Times New Roman"/>
          <w:sz w:val="26"/>
          <w:szCs w:val="26"/>
        </w:rPr>
      </w:pPr>
      <w:r w:rsidRPr="00B72C18">
        <w:rPr>
          <w:rFonts w:ascii="Times New Roman" w:hAnsi="Times New Roman"/>
          <w:sz w:val="26"/>
          <w:szCs w:val="26"/>
        </w:rPr>
        <w:tab/>
        <w:t>I wish to give thank to the following professional bodies such as Institute of Chartered Accountant of Nigeria (</w:t>
      </w:r>
      <w:r w:rsidRPr="00671AE8">
        <w:rPr>
          <w:rFonts w:ascii="Times New Roman" w:hAnsi="Times New Roman"/>
          <w:b/>
          <w:sz w:val="26"/>
          <w:szCs w:val="26"/>
        </w:rPr>
        <w:t>ICAN)</w:t>
      </w:r>
      <w:r w:rsidRPr="00B72C18">
        <w:rPr>
          <w:rFonts w:ascii="Times New Roman" w:hAnsi="Times New Roman"/>
          <w:sz w:val="26"/>
          <w:szCs w:val="26"/>
        </w:rPr>
        <w:t xml:space="preserve"> Chartered Institute of Management accountancy (</w:t>
      </w:r>
      <w:r w:rsidRPr="00671AE8">
        <w:rPr>
          <w:rFonts w:ascii="Times New Roman" w:hAnsi="Times New Roman"/>
          <w:b/>
          <w:sz w:val="26"/>
          <w:szCs w:val="26"/>
        </w:rPr>
        <w:t>CIMA)</w:t>
      </w:r>
      <w:r w:rsidRPr="00B72C18">
        <w:rPr>
          <w:rFonts w:ascii="Times New Roman" w:hAnsi="Times New Roman"/>
          <w:sz w:val="26"/>
          <w:szCs w:val="26"/>
        </w:rPr>
        <w:t xml:space="preserve"> and Association of Certified and Corporate Accounting (</w:t>
      </w:r>
      <w:r w:rsidRPr="00671AE8">
        <w:rPr>
          <w:rFonts w:ascii="Times New Roman" w:hAnsi="Times New Roman"/>
          <w:b/>
          <w:sz w:val="26"/>
          <w:szCs w:val="26"/>
        </w:rPr>
        <w:t>ACCA)</w:t>
      </w:r>
      <w:r w:rsidRPr="00B72C18">
        <w:rPr>
          <w:rFonts w:ascii="Times New Roman" w:hAnsi="Times New Roman"/>
          <w:sz w:val="26"/>
          <w:szCs w:val="26"/>
        </w:rPr>
        <w:t>.</w:t>
      </w:r>
    </w:p>
    <w:p w:rsidR="00880505" w:rsidRDefault="00880505" w:rsidP="00880505">
      <w:pPr>
        <w:spacing w:line="360" w:lineRule="auto"/>
        <w:jc w:val="both"/>
        <w:rPr>
          <w:rFonts w:ascii="Times New Roman" w:hAnsi="Times New Roman"/>
          <w:sz w:val="26"/>
          <w:szCs w:val="26"/>
        </w:rPr>
      </w:pPr>
      <w:r w:rsidRPr="00B72C18">
        <w:rPr>
          <w:rFonts w:ascii="Times New Roman" w:hAnsi="Times New Roman"/>
          <w:sz w:val="26"/>
          <w:szCs w:val="26"/>
        </w:rPr>
        <w:tab/>
        <w:t>Finally, I wish to thank my family for their usual</w:t>
      </w:r>
      <w:r>
        <w:rPr>
          <w:rFonts w:ascii="Times New Roman" w:hAnsi="Times New Roman"/>
          <w:sz w:val="26"/>
          <w:szCs w:val="26"/>
        </w:rPr>
        <w:t>.</w:t>
      </w:r>
    </w:p>
    <w:p w:rsidR="00880505" w:rsidRDefault="00880505" w:rsidP="00880505">
      <w:pPr>
        <w:spacing w:line="360" w:lineRule="auto"/>
        <w:jc w:val="center"/>
        <w:rPr>
          <w:rFonts w:ascii="Times New Roman" w:hAnsi="Times New Roman"/>
          <w:b/>
          <w:sz w:val="26"/>
          <w:szCs w:val="26"/>
        </w:rPr>
      </w:pPr>
    </w:p>
    <w:p w:rsidR="0077619D" w:rsidRDefault="0077619D" w:rsidP="0077619D">
      <w:pPr>
        <w:spacing w:before="100" w:beforeAutospacing="1" w:after="100" w:afterAutospacing="1" w:line="360" w:lineRule="auto"/>
        <w:ind w:left="2880" w:firstLine="720"/>
        <w:jc w:val="both"/>
        <w:outlineLvl w:val="0"/>
        <w:rPr>
          <w:rFonts w:ascii="Times New Roman" w:eastAsia="Times New Roman" w:hAnsi="Times New Roman" w:cs="Times New Roman"/>
          <w:b/>
          <w:bCs/>
          <w:kern w:val="36"/>
          <w:sz w:val="30"/>
          <w:szCs w:val="24"/>
        </w:rPr>
      </w:pPr>
    </w:p>
    <w:p w:rsidR="0077619D" w:rsidRDefault="0077619D" w:rsidP="0077619D">
      <w:pPr>
        <w:spacing w:before="100" w:beforeAutospacing="1" w:after="100" w:afterAutospacing="1" w:line="360" w:lineRule="auto"/>
        <w:ind w:left="2880" w:firstLine="720"/>
        <w:jc w:val="both"/>
        <w:outlineLvl w:val="0"/>
        <w:rPr>
          <w:rFonts w:ascii="Times New Roman" w:eastAsia="Times New Roman" w:hAnsi="Times New Roman" w:cs="Times New Roman"/>
          <w:b/>
          <w:bCs/>
          <w:kern w:val="36"/>
          <w:sz w:val="30"/>
          <w:szCs w:val="24"/>
        </w:rPr>
      </w:pPr>
    </w:p>
    <w:p w:rsidR="0001671E" w:rsidRDefault="0001671E" w:rsidP="0077619D">
      <w:pPr>
        <w:spacing w:before="100" w:beforeAutospacing="1" w:after="100" w:afterAutospacing="1" w:line="360" w:lineRule="auto"/>
        <w:ind w:left="2880" w:firstLine="720"/>
        <w:jc w:val="both"/>
        <w:outlineLvl w:val="0"/>
        <w:rPr>
          <w:rFonts w:ascii="Times New Roman" w:eastAsia="Times New Roman" w:hAnsi="Times New Roman" w:cs="Times New Roman"/>
          <w:b/>
          <w:bCs/>
          <w:kern w:val="36"/>
          <w:sz w:val="30"/>
          <w:szCs w:val="24"/>
        </w:rPr>
      </w:pPr>
    </w:p>
    <w:p w:rsidR="0001671E" w:rsidRPr="00CD7B20" w:rsidRDefault="0001671E" w:rsidP="0001671E">
      <w:pPr>
        <w:pStyle w:val="Default"/>
        <w:spacing w:line="360" w:lineRule="auto"/>
        <w:jc w:val="center"/>
        <w:rPr>
          <w:b/>
          <w:bCs/>
        </w:rPr>
      </w:pPr>
      <w:r w:rsidRPr="00CD7B20">
        <w:rPr>
          <w:b/>
          <w:bCs/>
        </w:rPr>
        <w:lastRenderedPageBreak/>
        <w:t>TABLE OF CONTENTS</w:t>
      </w:r>
    </w:p>
    <w:p w:rsidR="0001671E" w:rsidRPr="00CD7B20" w:rsidRDefault="0001671E" w:rsidP="0001671E">
      <w:pPr>
        <w:pStyle w:val="Default"/>
        <w:spacing w:line="360" w:lineRule="auto"/>
        <w:rPr>
          <w:bCs/>
        </w:rPr>
      </w:pPr>
      <w:r w:rsidRPr="00CD7B20">
        <w:rPr>
          <w:bCs/>
        </w:rPr>
        <w:t>Title page</w:t>
      </w:r>
      <w:r w:rsidRPr="00CD7B20">
        <w:rPr>
          <w:bCs/>
        </w:rPr>
        <w:tab/>
      </w:r>
      <w:r w:rsidRPr="00CD7B20">
        <w:rPr>
          <w:bCs/>
        </w:rPr>
        <w:tab/>
      </w:r>
      <w:r w:rsidRPr="00CD7B20">
        <w:rPr>
          <w:bCs/>
        </w:rPr>
        <w:tab/>
      </w:r>
      <w:r w:rsidRPr="00CD7B20">
        <w:rPr>
          <w:bCs/>
        </w:rPr>
        <w:tab/>
      </w:r>
      <w:r w:rsidRPr="00CD7B20">
        <w:rPr>
          <w:bCs/>
        </w:rPr>
        <w:tab/>
      </w:r>
      <w:r w:rsidRPr="00CD7B20">
        <w:rPr>
          <w:bCs/>
        </w:rPr>
        <w:tab/>
      </w:r>
      <w:r w:rsidRPr="00CD7B20">
        <w:rPr>
          <w:bCs/>
        </w:rPr>
        <w:tab/>
      </w:r>
      <w:r w:rsidRPr="00CD7B20">
        <w:rPr>
          <w:bCs/>
        </w:rPr>
        <w:tab/>
      </w:r>
      <w:r w:rsidRPr="00CD7B20">
        <w:rPr>
          <w:bCs/>
        </w:rPr>
        <w:tab/>
      </w:r>
      <w:r w:rsidRPr="00CD7B20">
        <w:rPr>
          <w:bCs/>
        </w:rPr>
        <w:tab/>
        <w:t>i</w:t>
      </w:r>
    </w:p>
    <w:p w:rsidR="0001671E" w:rsidRPr="00CD7B20" w:rsidRDefault="0001671E" w:rsidP="0001671E">
      <w:pPr>
        <w:pStyle w:val="Default"/>
        <w:spacing w:line="360" w:lineRule="auto"/>
        <w:rPr>
          <w:bCs/>
        </w:rPr>
      </w:pPr>
      <w:r w:rsidRPr="00CD7B20">
        <w:rPr>
          <w:bCs/>
        </w:rPr>
        <w:t>Certification</w:t>
      </w:r>
      <w:r w:rsidRPr="00CD7B20">
        <w:rPr>
          <w:bCs/>
        </w:rPr>
        <w:tab/>
      </w:r>
      <w:r w:rsidRPr="00CD7B20">
        <w:rPr>
          <w:bCs/>
        </w:rPr>
        <w:tab/>
      </w:r>
      <w:r w:rsidRPr="00CD7B20">
        <w:rPr>
          <w:bCs/>
        </w:rPr>
        <w:tab/>
      </w:r>
      <w:r w:rsidRPr="00CD7B20">
        <w:rPr>
          <w:bCs/>
        </w:rPr>
        <w:tab/>
      </w:r>
      <w:r w:rsidRPr="00CD7B20">
        <w:rPr>
          <w:bCs/>
        </w:rPr>
        <w:tab/>
      </w:r>
      <w:r w:rsidRPr="00CD7B20">
        <w:rPr>
          <w:bCs/>
        </w:rPr>
        <w:tab/>
      </w:r>
      <w:r w:rsidRPr="00CD7B20">
        <w:rPr>
          <w:bCs/>
        </w:rPr>
        <w:tab/>
      </w:r>
      <w:r w:rsidRPr="00CD7B20">
        <w:rPr>
          <w:bCs/>
        </w:rPr>
        <w:tab/>
      </w:r>
      <w:r w:rsidRPr="00CD7B20">
        <w:rPr>
          <w:bCs/>
        </w:rPr>
        <w:tab/>
      </w:r>
      <w:r w:rsidRPr="00CD7B20">
        <w:rPr>
          <w:bCs/>
        </w:rPr>
        <w:tab/>
        <w:t>ii</w:t>
      </w:r>
    </w:p>
    <w:p w:rsidR="0001671E" w:rsidRPr="00CD7B20" w:rsidRDefault="0001671E" w:rsidP="0001671E">
      <w:pPr>
        <w:pStyle w:val="Default"/>
        <w:spacing w:line="360" w:lineRule="auto"/>
        <w:rPr>
          <w:bCs/>
        </w:rPr>
      </w:pPr>
      <w:r w:rsidRPr="00CD7B20">
        <w:rPr>
          <w:bCs/>
        </w:rPr>
        <w:t>Dedication</w:t>
      </w:r>
      <w:r w:rsidRPr="00CD7B20">
        <w:rPr>
          <w:bCs/>
        </w:rPr>
        <w:tab/>
      </w:r>
      <w:r w:rsidRPr="00CD7B20">
        <w:rPr>
          <w:bCs/>
        </w:rPr>
        <w:tab/>
      </w:r>
      <w:r w:rsidRPr="00CD7B20">
        <w:rPr>
          <w:bCs/>
        </w:rPr>
        <w:tab/>
      </w:r>
      <w:r w:rsidRPr="00CD7B20">
        <w:rPr>
          <w:bCs/>
        </w:rPr>
        <w:tab/>
      </w:r>
      <w:r w:rsidRPr="00CD7B20">
        <w:rPr>
          <w:bCs/>
        </w:rPr>
        <w:tab/>
      </w:r>
      <w:r w:rsidRPr="00CD7B20">
        <w:rPr>
          <w:bCs/>
        </w:rPr>
        <w:tab/>
      </w:r>
      <w:r w:rsidRPr="00CD7B20">
        <w:rPr>
          <w:bCs/>
        </w:rPr>
        <w:tab/>
      </w:r>
      <w:r w:rsidRPr="00CD7B20">
        <w:rPr>
          <w:bCs/>
        </w:rPr>
        <w:tab/>
      </w:r>
      <w:r w:rsidRPr="00CD7B20">
        <w:rPr>
          <w:bCs/>
        </w:rPr>
        <w:tab/>
      </w:r>
      <w:r w:rsidRPr="00CD7B20">
        <w:rPr>
          <w:bCs/>
        </w:rPr>
        <w:tab/>
        <w:t>iii</w:t>
      </w:r>
    </w:p>
    <w:p w:rsidR="0001671E" w:rsidRPr="00CD7B20" w:rsidRDefault="0001671E" w:rsidP="0001671E">
      <w:pPr>
        <w:pStyle w:val="Default"/>
        <w:spacing w:line="360" w:lineRule="auto"/>
        <w:rPr>
          <w:bCs/>
        </w:rPr>
      </w:pPr>
      <w:r w:rsidRPr="00CD7B20">
        <w:rPr>
          <w:bCs/>
        </w:rPr>
        <w:t>Acknowledgements</w:t>
      </w:r>
      <w:r w:rsidRPr="00CD7B20">
        <w:rPr>
          <w:bCs/>
        </w:rPr>
        <w:tab/>
      </w:r>
      <w:r w:rsidRPr="00CD7B20">
        <w:rPr>
          <w:bCs/>
        </w:rPr>
        <w:tab/>
      </w:r>
      <w:r w:rsidRPr="00CD7B20">
        <w:rPr>
          <w:bCs/>
        </w:rPr>
        <w:tab/>
      </w:r>
      <w:r w:rsidRPr="00CD7B20">
        <w:rPr>
          <w:bCs/>
        </w:rPr>
        <w:tab/>
      </w:r>
      <w:r w:rsidRPr="00CD7B20">
        <w:rPr>
          <w:bCs/>
        </w:rPr>
        <w:tab/>
      </w:r>
      <w:r w:rsidRPr="00CD7B20">
        <w:rPr>
          <w:bCs/>
        </w:rPr>
        <w:tab/>
      </w:r>
      <w:r w:rsidRPr="00CD7B20">
        <w:rPr>
          <w:bCs/>
        </w:rPr>
        <w:tab/>
      </w:r>
      <w:r w:rsidRPr="00CD7B20">
        <w:rPr>
          <w:bCs/>
        </w:rPr>
        <w:tab/>
      </w:r>
      <w:r w:rsidRPr="00CD7B20">
        <w:rPr>
          <w:bCs/>
        </w:rPr>
        <w:tab/>
        <w:t>iv</w:t>
      </w:r>
    </w:p>
    <w:p w:rsidR="0001671E" w:rsidRPr="00CD7B20" w:rsidRDefault="0001671E" w:rsidP="0001671E">
      <w:pPr>
        <w:pStyle w:val="Default"/>
        <w:spacing w:line="360" w:lineRule="auto"/>
        <w:rPr>
          <w:bCs/>
        </w:rPr>
      </w:pPr>
      <w:r w:rsidRPr="00CD7B20">
        <w:rPr>
          <w:bCs/>
        </w:rPr>
        <w:t>Abstract</w:t>
      </w:r>
      <w:r w:rsidRPr="00CD7B20">
        <w:rPr>
          <w:bCs/>
        </w:rPr>
        <w:tab/>
      </w:r>
      <w:r w:rsidRPr="00CD7B20">
        <w:rPr>
          <w:bCs/>
        </w:rPr>
        <w:tab/>
      </w:r>
      <w:r w:rsidRPr="00CD7B20">
        <w:rPr>
          <w:bCs/>
        </w:rPr>
        <w:tab/>
      </w:r>
      <w:r w:rsidRPr="00CD7B20">
        <w:rPr>
          <w:bCs/>
        </w:rPr>
        <w:tab/>
      </w:r>
      <w:r w:rsidRPr="00CD7B20">
        <w:rPr>
          <w:bCs/>
        </w:rPr>
        <w:tab/>
      </w:r>
      <w:r w:rsidRPr="00CD7B20">
        <w:rPr>
          <w:bCs/>
        </w:rPr>
        <w:tab/>
      </w:r>
      <w:r w:rsidRPr="00CD7B20">
        <w:rPr>
          <w:bCs/>
        </w:rPr>
        <w:tab/>
      </w:r>
      <w:r w:rsidRPr="00CD7B20">
        <w:rPr>
          <w:bCs/>
        </w:rPr>
        <w:tab/>
      </w:r>
      <w:r w:rsidRPr="00CD7B20">
        <w:rPr>
          <w:bCs/>
        </w:rPr>
        <w:tab/>
      </w:r>
      <w:r w:rsidRPr="00CD7B20">
        <w:rPr>
          <w:bCs/>
        </w:rPr>
        <w:tab/>
        <w:t>v</w:t>
      </w:r>
    </w:p>
    <w:p w:rsidR="0001671E" w:rsidRPr="00CD7B20" w:rsidRDefault="0001671E" w:rsidP="0001671E">
      <w:pPr>
        <w:pStyle w:val="Default"/>
        <w:spacing w:line="360" w:lineRule="auto"/>
        <w:rPr>
          <w:bCs/>
        </w:rPr>
      </w:pPr>
      <w:r w:rsidRPr="00CD7B20">
        <w:rPr>
          <w:bCs/>
        </w:rPr>
        <w:t xml:space="preserve">Table of Contents </w:t>
      </w:r>
      <w:r w:rsidRPr="00CD7B20">
        <w:rPr>
          <w:bCs/>
        </w:rPr>
        <w:tab/>
      </w:r>
      <w:r w:rsidRPr="00CD7B20">
        <w:rPr>
          <w:bCs/>
        </w:rPr>
        <w:tab/>
      </w:r>
      <w:r w:rsidRPr="00CD7B20">
        <w:rPr>
          <w:bCs/>
        </w:rPr>
        <w:tab/>
      </w:r>
      <w:r w:rsidRPr="00CD7B20">
        <w:rPr>
          <w:bCs/>
        </w:rPr>
        <w:tab/>
      </w:r>
      <w:r w:rsidRPr="00CD7B20">
        <w:rPr>
          <w:bCs/>
        </w:rPr>
        <w:tab/>
      </w:r>
      <w:r w:rsidRPr="00CD7B20">
        <w:rPr>
          <w:bCs/>
        </w:rPr>
        <w:tab/>
      </w:r>
      <w:r w:rsidRPr="00CD7B20">
        <w:rPr>
          <w:bCs/>
        </w:rPr>
        <w:tab/>
      </w:r>
      <w:r w:rsidRPr="00CD7B20">
        <w:rPr>
          <w:bCs/>
        </w:rPr>
        <w:tab/>
      </w:r>
      <w:r w:rsidRPr="00CD7B20">
        <w:rPr>
          <w:bCs/>
        </w:rPr>
        <w:tab/>
        <w:t>vi</w:t>
      </w:r>
    </w:p>
    <w:p w:rsidR="0001671E" w:rsidRPr="00CD7B20" w:rsidRDefault="0001671E" w:rsidP="0001671E">
      <w:pPr>
        <w:pStyle w:val="Default"/>
        <w:spacing w:line="360" w:lineRule="auto"/>
      </w:pPr>
      <w:r w:rsidRPr="00CD7B20">
        <w:rPr>
          <w:b/>
          <w:bCs/>
        </w:rPr>
        <w:t xml:space="preserve">CHAPTER ONE INTRODUCTION </w:t>
      </w:r>
    </w:p>
    <w:p w:rsidR="0001671E" w:rsidRPr="00CD7B20" w:rsidRDefault="0001671E" w:rsidP="0001671E">
      <w:pPr>
        <w:pStyle w:val="Default"/>
        <w:spacing w:line="360" w:lineRule="auto"/>
      </w:pPr>
      <w:r w:rsidRPr="00CD7B20">
        <w:t xml:space="preserve">1.1 </w:t>
      </w:r>
      <w:r w:rsidRPr="00CD7B20">
        <w:tab/>
      </w:r>
      <w:r>
        <w:t xml:space="preserve">Background of the study </w:t>
      </w:r>
      <w:r>
        <w:tab/>
      </w:r>
      <w:r>
        <w:tab/>
      </w:r>
      <w:r>
        <w:tab/>
      </w:r>
      <w:r>
        <w:tab/>
      </w:r>
      <w:r>
        <w:tab/>
      </w:r>
      <w:r>
        <w:tab/>
      </w:r>
      <w:r>
        <w:tab/>
        <w:t>5</w:t>
      </w:r>
      <w:r w:rsidRPr="00CD7B20">
        <w:t xml:space="preserve"> </w:t>
      </w:r>
    </w:p>
    <w:p w:rsidR="0001671E" w:rsidRPr="00CD7B20" w:rsidRDefault="0001671E" w:rsidP="0001671E">
      <w:pPr>
        <w:pStyle w:val="Default"/>
        <w:spacing w:line="360" w:lineRule="auto"/>
      </w:pPr>
      <w:r w:rsidRPr="00CD7B20">
        <w:t xml:space="preserve">1.2 </w:t>
      </w:r>
      <w:r w:rsidRPr="00CD7B20">
        <w:tab/>
        <w:t>S</w:t>
      </w:r>
      <w:r>
        <w:t xml:space="preserve">tatement of the problem </w:t>
      </w:r>
      <w:r>
        <w:tab/>
      </w:r>
      <w:r>
        <w:tab/>
      </w:r>
      <w:r>
        <w:tab/>
      </w:r>
      <w:r>
        <w:tab/>
      </w:r>
      <w:r>
        <w:tab/>
      </w:r>
      <w:r>
        <w:tab/>
      </w:r>
      <w:r>
        <w:tab/>
        <w:t>7</w:t>
      </w:r>
    </w:p>
    <w:p w:rsidR="0001671E" w:rsidRPr="00CD7B20" w:rsidRDefault="0001671E" w:rsidP="0001671E">
      <w:pPr>
        <w:pStyle w:val="Default"/>
        <w:spacing w:line="360" w:lineRule="auto"/>
      </w:pPr>
      <w:r>
        <w:t>1.3</w:t>
      </w:r>
      <w:r>
        <w:tab/>
        <w:t>Objectives of the study</w:t>
      </w:r>
      <w:r>
        <w:tab/>
      </w:r>
      <w:r>
        <w:tab/>
      </w:r>
      <w:r>
        <w:tab/>
      </w:r>
      <w:r>
        <w:tab/>
      </w:r>
      <w:r>
        <w:tab/>
      </w:r>
      <w:r>
        <w:tab/>
      </w:r>
      <w:r>
        <w:tab/>
        <w:t>7</w:t>
      </w:r>
    </w:p>
    <w:p w:rsidR="0001671E" w:rsidRPr="00CD7B20" w:rsidRDefault="0001671E" w:rsidP="0001671E">
      <w:pPr>
        <w:pStyle w:val="Default"/>
        <w:spacing w:line="360" w:lineRule="auto"/>
      </w:pPr>
      <w:r w:rsidRPr="00CD7B20">
        <w:t>1.4</w:t>
      </w:r>
      <w:r w:rsidRPr="00CD7B20">
        <w:tab/>
      </w:r>
      <w:r>
        <w:t xml:space="preserve"> Research Question</w:t>
      </w:r>
      <w:r>
        <w:tab/>
      </w:r>
      <w:r>
        <w:tab/>
      </w:r>
      <w:r>
        <w:tab/>
      </w:r>
      <w:r>
        <w:tab/>
      </w:r>
      <w:r>
        <w:tab/>
      </w:r>
      <w:r>
        <w:tab/>
      </w:r>
      <w:r>
        <w:tab/>
      </w:r>
      <w:r>
        <w:tab/>
        <w:t>7</w:t>
      </w:r>
    </w:p>
    <w:p w:rsidR="0001671E" w:rsidRPr="00CD7B20" w:rsidRDefault="0001671E" w:rsidP="0001671E">
      <w:pPr>
        <w:pStyle w:val="Default"/>
        <w:spacing w:line="360" w:lineRule="auto"/>
      </w:pPr>
      <w:r w:rsidRPr="00CD7B20">
        <w:t xml:space="preserve">1.5 </w:t>
      </w:r>
      <w:r w:rsidRPr="00CD7B20">
        <w:tab/>
        <w:t>Research Hypotheses</w:t>
      </w:r>
      <w:r w:rsidRPr="00CD7B20">
        <w:tab/>
      </w:r>
      <w:r w:rsidRPr="00CD7B20">
        <w:tab/>
      </w:r>
      <w:r>
        <w:tab/>
      </w:r>
      <w:r>
        <w:tab/>
      </w:r>
      <w:r>
        <w:tab/>
      </w:r>
      <w:r>
        <w:tab/>
      </w:r>
      <w:r>
        <w:tab/>
      </w:r>
      <w:r>
        <w:tab/>
        <w:t>10</w:t>
      </w:r>
      <w:r w:rsidRPr="00CD7B20">
        <w:t xml:space="preserve"> </w:t>
      </w:r>
    </w:p>
    <w:p w:rsidR="0001671E" w:rsidRPr="00CD7B20" w:rsidRDefault="0001671E" w:rsidP="0001671E">
      <w:pPr>
        <w:pStyle w:val="Default"/>
        <w:spacing w:line="360" w:lineRule="auto"/>
      </w:pPr>
      <w:r w:rsidRPr="00CD7B20">
        <w:t>1.6</w:t>
      </w:r>
      <w:r w:rsidRPr="00CD7B20">
        <w:tab/>
        <w:t>Si</w:t>
      </w:r>
      <w:r>
        <w:t>gnificance of the study</w:t>
      </w:r>
      <w:r>
        <w:tab/>
      </w:r>
      <w:r>
        <w:tab/>
      </w:r>
      <w:r>
        <w:tab/>
      </w:r>
      <w:r>
        <w:tab/>
      </w:r>
      <w:r>
        <w:tab/>
      </w:r>
      <w:r>
        <w:tab/>
      </w:r>
      <w:r>
        <w:tab/>
        <w:t xml:space="preserve"> 11</w:t>
      </w:r>
    </w:p>
    <w:p w:rsidR="0001671E" w:rsidRDefault="0001671E" w:rsidP="0001671E">
      <w:pPr>
        <w:pStyle w:val="Default"/>
        <w:spacing w:line="360" w:lineRule="auto"/>
      </w:pPr>
      <w:r>
        <w:t>1.7</w:t>
      </w:r>
      <w:r>
        <w:tab/>
        <w:t>Scope of the study</w:t>
      </w:r>
      <w:r>
        <w:tab/>
      </w:r>
      <w:r>
        <w:tab/>
      </w:r>
      <w:r>
        <w:tab/>
      </w:r>
      <w:r>
        <w:tab/>
      </w:r>
      <w:r>
        <w:tab/>
      </w:r>
      <w:r>
        <w:tab/>
      </w:r>
      <w:r>
        <w:tab/>
      </w:r>
      <w:r>
        <w:tab/>
        <w:t>12</w:t>
      </w:r>
    </w:p>
    <w:p w:rsidR="0001671E" w:rsidRPr="00CD7B20" w:rsidRDefault="0001671E" w:rsidP="0001671E">
      <w:pPr>
        <w:pStyle w:val="Default"/>
        <w:tabs>
          <w:tab w:val="left" w:pos="720"/>
          <w:tab w:val="left" w:pos="1440"/>
          <w:tab w:val="left" w:pos="2160"/>
          <w:tab w:val="left" w:pos="2880"/>
          <w:tab w:val="left" w:pos="7967"/>
        </w:tabs>
        <w:spacing w:line="360" w:lineRule="auto"/>
      </w:pPr>
      <w:r>
        <w:t>1.8</w:t>
      </w:r>
      <w:r>
        <w:tab/>
        <w:t>Limitation of The Study</w:t>
      </w:r>
      <w:r>
        <w:tab/>
        <w:t>13</w:t>
      </w:r>
    </w:p>
    <w:p w:rsidR="0001671E" w:rsidRPr="00CD7B20" w:rsidRDefault="0001671E" w:rsidP="0001671E">
      <w:pPr>
        <w:pStyle w:val="Default"/>
        <w:spacing w:line="360" w:lineRule="auto"/>
      </w:pPr>
      <w:r>
        <w:t>1.9</w:t>
      </w:r>
      <w:r>
        <w:tab/>
        <w:t>Definition of terms</w:t>
      </w:r>
      <w:r>
        <w:tab/>
      </w:r>
      <w:r>
        <w:tab/>
      </w:r>
      <w:r>
        <w:tab/>
      </w:r>
      <w:r>
        <w:tab/>
      </w:r>
      <w:r>
        <w:tab/>
      </w:r>
      <w:r>
        <w:tab/>
      </w:r>
      <w:r>
        <w:tab/>
      </w:r>
      <w:r>
        <w:tab/>
        <w:t>14</w:t>
      </w:r>
    </w:p>
    <w:p w:rsidR="0001671E" w:rsidRPr="006A3F56" w:rsidRDefault="0001671E" w:rsidP="0001671E">
      <w:pPr>
        <w:spacing w:after="0" w:line="360" w:lineRule="auto"/>
        <w:rPr>
          <w:rFonts w:ascii="Times New Roman" w:hAnsi="Times New Roman"/>
          <w:b/>
          <w:sz w:val="24"/>
          <w:szCs w:val="24"/>
        </w:rPr>
      </w:pPr>
      <w:r w:rsidRPr="00CD7B20">
        <w:rPr>
          <w:rFonts w:ascii="Times New Roman" w:hAnsi="Times New Roman"/>
          <w:b/>
          <w:sz w:val="24"/>
          <w:szCs w:val="24"/>
        </w:rPr>
        <w:t>CHAPTER TWO: LITERATURE REVIEW</w:t>
      </w:r>
      <w:r w:rsidRPr="00CD7B20">
        <w:rPr>
          <w:rFonts w:ascii="Times New Roman" w:hAnsi="Times New Roman"/>
          <w:sz w:val="24"/>
          <w:szCs w:val="24"/>
        </w:rPr>
        <w:tab/>
      </w:r>
      <w:r w:rsidRPr="00CD7B20">
        <w:rPr>
          <w:rFonts w:ascii="Times New Roman" w:hAnsi="Times New Roman"/>
          <w:sz w:val="24"/>
          <w:szCs w:val="24"/>
        </w:rPr>
        <w:tab/>
      </w:r>
      <w:r w:rsidRPr="00CD7B20">
        <w:rPr>
          <w:rFonts w:ascii="Times New Roman" w:hAnsi="Times New Roman"/>
          <w:sz w:val="24"/>
          <w:szCs w:val="24"/>
        </w:rPr>
        <w:tab/>
      </w:r>
      <w:r w:rsidRPr="00CD7B20">
        <w:rPr>
          <w:rFonts w:ascii="Times New Roman" w:hAnsi="Times New Roman"/>
          <w:sz w:val="24"/>
          <w:szCs w:val="24"/>
        </w:rPr>
        <w:tab/>
      </w:r>
      <w:r w:rsidRPr="00CD7B20">
        <w:rPr>
          <w:rFonts w:ascii="Times New Roman" w:hAnsi="Times New Roman"/>
          <w:sz w:val="24"/>
          <w:szCs w:val="24"/>
        </w:rPr>
        <w:tab/>
      </w:r>
      <w:r w:rsidRPr="00CD7B20">
        <w:rPr>
          <w:rFonts w:ascii="Times New Roman" w:hAnsi="Times New Roman"/>
          <w:sz w:val="24"/>
          <w:szCs w:val="24"/>
        </w:rPr>
        <w:tab/>
      </w:r>
    </w:p>
    <w:p w:rsidR="0001671E" w:rsidRPr="00CD7B20" w:rsidRDefault="0001671E" w:rsidP="0001671E">
      <w:pPr>
        <w:spacing w:after="0" w:line="360" w:lineRule="auto"/>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01671E" w:rsidRPr="00CD7B20" w:rsidRDefault="0001671E" w:rsidP="0001671E">
      <w:pPr>
        <w:spacing w:after="0" w:line="360" w:lineRule="auto"/>
        <w:rPr>
          <w:rFonts w:ascii="Times New Roman" w:hAnsi="Times New Roman"/>
          <w:sz w:val="24"/>
          <w:szCs w:val="24"/>
        </w:rPr>
      </w:pPr>
      <w:r w:rsidRPr="00CD7B20">
        <w:rPr>
          <w:rFonts w:ascii="Times New Roman" w:hAnsi="Times New Roman"/>
          <w:sz w:val="24"/>
          <w:szCs w:val="24"/>
        </w:rPr>
        <w:t>2.</w:t>
      </w:r>
      <w:r>
        <w:rPr>
          <w:rFonts w:ascii="Times New Roman" w:hAnsi="Times New Roman"/>
          <w:sz w:val="24"/>
          <w:szCs w:val="24"/>
        </w:rPr>
        <w:t>3</w:t>
      </w:r>
      <w:r>
        <w:rPr>
          <w:rFonts w:ascii="Times New Roman" w:hAnsi="Times New Roman"/>
          <w:sz w:val="24"/>
          <w:szCs w:val="24"/>
        </w:rPr>
        <w:tab/>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01671E" w:rsidRDefault="0001671E" w:rsidP="0001671E">
      <w:pPr>
        <w:spacing w:after="0" w:line="360"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01671E" w:rsidRDefault="0001671E" w:rsidP="0001671E">
      <w:pPr>
        <w:spacing w:after="0" w:line="360" w:lineRule="auto"/>
        <w:rPr>
          <w:rFonts w:ascii="Times New Roman" w:hAnsi="Times New Roman"/>
          <w:sz w:val="24"/>
          <w:szCs w:val="24"/>
        </w:rPr>
      </w:pPr>
    </w:p>
    <w:p w:rsidR="0001671E" w:rsidRDefault="0001671E" w:rsidP="0001671E">
      <w:pPr>
        <w:spacing w:after="0" w:line="360" w:lineRule="auto"/>
        <w:rPr>
          <w:rFonts w:ascii="Times New Roman" w:hAnsi="Times New Roman"/>
          <w:sz w:val="24"/>
          <w:szCs w:val="24"/>
        </w:rPr>
      </w:pPr>
    </w:p>
    <w:p w:rsidR="0001671E" w:rsidRDefault="0001671E" w:rsidP="0001671E">
      <w:pPr>
        <w:spacing w:after="0" w:line="360" w:lineRule="auto"/>
        <w:rPr>
          <w:rFonts w:ascii="Times New Roman" w:hAnsi="Times New Roman"/>
          <w:sz w:val="24"/>
          <w:szCs w:val="24"/>
        </w:rPr>
      </w:pPr>
    </w:p>
    <w:p w:rsidR="0001671E" w:rsidRDefault="0001671E" w:rsidP="0001671E">
      <w:pPr>
        <w:spacing w:after="0" w:line="360" w:lineRule="auto"/>
        <w:rPr>
          <w:rFonts w:ascii="Times New Roman" w:hAnsi="Times New Roman"/>
          <w:sz w:val="24"/>
          <w:szCs w:val="24"/>
        </w:rPr>
      </w:pPr>
    </w:p>
    <w:p w:rsidR="0001671E" w:rsidRDefault="0001671E" w:rsidP="0001671E">
      <w:pPr>
        <w:spacing w:after="0" w:line="360" w:lineRule="auto"/>
        <w:rPr>
          <w:rFonts w:ascii="Times New Roman" w:hAnsi="Times New Roman"/>
          <w:sz w:val="24"/>
          <w:szCs w:val="24"/>
        </w:rPr>
      </w:pPr>
    </w:p>
    <w:p w:rsidR="0001671E" w:rsidRDefault="0001671E" w:rsidP="0001671E">
      <w:pPr>
        <w:spacing w:after="0" w:line="360" w:lineRule="auto"/>
        <w:rPr>
          <w:rFonts w:ascii="Times New Roman" w:hAnsi="Times New Roman"/>
          <w:sz w:val="24"/>
          <w:szCs w:val="24"/>
        </w:rPr>
      </w:pPr>
    </w:p>
    <w:p w:rsidR="0001671E" w:rsidRPr="00CD7B20" w:rsidRDefault="0001671E" w:rsidP="0001671E">
      <w:pPr>
        <w:spacing w:after="0" w:line="360" w:lineRule="auto"/>
        <w:rPr>
          <w:rFonts w:ascii="Times New Roman" w:hAnsi="Times New Roman"/>
          <w:sz w:val="24"/>
          <w:szCs w:val="24"/>
        </w:rPr>
      </w:pPr>
    </w:p>
    <w:p w:rsidR="0001671E" w:rsidRPr="004D2F43" w:rsidRDefault="0001671E" w:rsidP="0001671E">
      <w:pPr>
        <w:spacing w:after="0" w:line="360" w:lineRule="auto"/>
        <w:rPr>
          <w:rFonts w:ascii="Times New Roman" w:hAnsi="Times New Roman"/>
          <w:b/>
          <w:sz w:val="24"/>
          <w:szCs w:val="24"/>
        </w:rPr>
      </w:pPr>
      <w:r w:rsidRPr="00CD7B20">
        <w:rPr>
          <w:rFonts w:ascii="Times New Roman" w:hAnsi="Times New Roman"/>
          <w:b/>
          <w:sz w:val="24"/>
          <w:szCs w:val="24"/>
        </w:rPr>
        <w:lastRenderedPageBreak/>
        <w:t>CHAPTER THREE: RESEARCH METHODOLOGY</w:t>
      </w:r>
    </w:p>
    <w:p w:rsidR="0001671E" w:rsidRPr="00CD7B20" w:rsidRDefault="0001671E" w:rsidP="0001671E">
      <w:pPr>
        <w:spacing w:after="0" w:line="36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01671E" w:rsidRPr="00CD7B20" w:rsidRDefault="0001671E" w:rsidP="0001671E">
      <w:pPr>
        <w:spacing w:after="0" w:line="36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CD7B20">
        <w:rPr>
          <w:rFonts w:ascii="Times New Roman" w:hAnsi="Times New Roman"/>
          <w:sz w:val="24"/>
          <w:szCs w:val="24"/>
        </w:rPr>
        <w:t>P</w:t>
      </w:r>
      <w:r>
        <w:rPr>
          <w:rFonts w:ascii="Times New Roman" w:hAnsi="Times New Roman"/>
          <w:sz w:val="24"/>
          <w:szCs w:val="24"/>
        </w:rPr>
        <w:t>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01671E" w:rsidRPr="00CD7B20" w:rsidRDefault="0001671E" w:rsidP="0001671E">
      <w:pPr>
        <w:spacing w:after="0" w:line="36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CD7B20">
        <w:rPr>
          <w:rFonts w:ascii="Times New Roman" w:hAnsi="Times New Roman"/>
          <w:sz w:val="24"/>
          <w:szCs w:val="24"/>
        </w:rPr>
        <w:t xml:space="preserve"> Met</w:t>
      </w:r>
      <w:r>
        <w:rPr>
          <w:rFonts w:ascii="Times New Roman" w:hAnsi="Times New Roman"/>
          <w:sz w:val="24"/>
          <w:szCs w:val="24"/>
        </w:rPr>
        <w:t>hods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01671E" w:rsidRDefault="0001671E" w:rsidP="0001671E">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Pr="00CD7B20">
        <w:rPr>
          <w:rFonts w:ascii="Times New Roman" w:hAnsi="Times New Roman"/>
          <w:sz w:val="24"/>
          <w:szCs w:val="24"/>
        </w:rPr>
        <w:t>Me</w:t>
      </w:r>
      <w:r>
        <w:rPr>
          <w:rFonts w:ascii="Times New Roman" w:hAnsi="Times New Roman"/>
          <w:sz w:val="24"/>
          <w:szCs w:val="24"/>
        </w:rPr>
        <w:t>thods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01671E" w:rsidRDefault="0001671E" w:rsidP="0001671E">
      <w:pPr>
        <w:spacing w:after="0" w:line="36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Model Specification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01671E" w:rsidRDefault="0001671E" w:rsidP="0001671E">
      <w:pPr>
        <w:spacing w:after="0" w:line="360" w:lineRule="auto"/>
        <w:rPr>
          <w:rFonts w:ascii="Times New Roman" w:hAnsi="Times New Roman"/>
          <w:sz w:val="24"/>
          <w:szCs w:val="24"/>
        </w:rPr>
      </w:pPr>
      <w:r>
        <w:rPr>
          <w:rFonts w:ascii="Times New Roman" w:hAnsi="Times New Roman"/>
          <w:sz w:val="24"/>
          <w:szCs w:val="24"/>
        </w:rPr>
        <w:t xml:space="preserve">3.6 </w:t>
      </w:r>
      <w:r>
        <w:rPr>
          <w:rFonts w:ascii="Times New Roman" w:hAnsi="Times New Roman"/>
          <w:sz w:val="24"/>
          <w:szCs w:val="24"/>
        </w:rPr>
        <w:tab/>
        <w:t>Validity and Reliability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01671E" w:rsidRDefault="0001671E" w:rsidP="0001671E">
      <w:pPr>
        <w:spacing w:after="0" w:line="36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 xml:space="preserve">Ethnical Consideration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01671E" w:rsidRPr="00FF4EA8" w:rsidRDefault="0001671E" w:rsidP="0001671E">
      <w:pPr>
        <w:spacing w:after="0" w:line="360" w:lineRule="auto"/>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29 </w:t>
      </w:r>
    </w:p>
    <w:p w:rsidR="0001671E" w:rsidRPr="00CD7B20" w:rsidRDefault="0001671E" w:rsidP="0001671E">
      <w:pPr>
        <w:spacing w:after="0" w:line="360" w:lineRule="auto"/>
        <w:rPr>
          <w:rFonts w:ascii="Times New Roman" w:hAnsi="Times New Roman"/>
          <w:b/>
          <w:sz w:val="24"/>
          <w:szCs w:val="24"/>
        </w:rPr>
      </w:pPr>
      <w:r w:rsidRPr="00CD7B20">
        <w:rPr>
          <w:rFonts w:ascii="Times New Roman" w:hAnsi="Times New Roman"/>
          <w:b/>
          <w:sz w:val="24"/>
          <w:szCs w:val="24"/>
        </w:rPr>
        <w:t>CHAPTER FOUR: DATA PRESENTATION ANALYSIS AND INTERPRETATION</w:t>
      </w:r>
    </w:p>
    <w:p w:rsidR="0001671E" w:rsidRDefault="0001671E" w:rsidP="0001671E">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01671E" w:rsidRDefault="0001671E" w:rsidP="0001671E">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Hypothesis Testing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01671E" w:rsidRPr="00CD7B20" w:rsidRDefault="0001671E" w:rsidP="0001671E">
      <w:pPr>
        <w:spacing w:after="0"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01671E" w:rsidRPr="00CD7B20" w:rsidRDefault="0001671E" w:rsidP="0001671E">
      <w:pPr>
        <w:spacing w:after="0" w:line="360" w:lineRule="auto"/>
        <w:rPr>
          <w:rFonts w:ascii="Times New Roman" w:hAnsi="Times New Roman"/>
          <w:b/>
          <w:sz w:val="24"/>
          <w:szCs w:val="24"/>
        </w:rPr>
      </w:pPr>
      <w:r w:rsidRPr="00CD7B20">
        <w:rPr>
          <w:rFonts w:ascii="Times New Roman" w:hAnsi="Times New Roman"/>
          <w:b/>
          <w:sz w:val="24"/>
          <w:szCs w:val="24"/>
        </w:rPr>
        <w:t>CHAPTER FIVE: SUMMARY, CONCLUSION AND RECOMMENDATION</w:t>
      </w:r>
    </w:p>
    <w:p w:rsidR="0001671E" w:rsidRPr="00CD7B20" w:rsidRDefault="0001671E" w:rsidP="0001671E">
      <w:pPr>
        <w:spacing w:after="0" w:line="360" w:lineRule="auto"/>
        <w:rPr>
          <w:rFonts w:ascii="Times New Roman" w:hAnsi="Times New Roman"/>
          <w:sz w:val="24"/>
          <w:szCs w:val="24"/>
        </w:rPr>
      </w:pPr>
      <w:r w:rsidRPr="00CD7B20">
        <w:rPr>
          <w:rFonts w:ascii="Times New Roman" w:hAnsi="Times New Roman"/>
          <w:sz w:val="24"/>
          <w:szCs w:val="24"/>
        </w:rPr>
        <w:t>5</w:t>
      </w:r>
      <w:r>
        <w:rPr>
          <w:rFonts w:ascii="Times New Roman" w:hAnsi="Times New Roman"/>
          <w:sz w:val="24"/>
          <w:szCs w:val="24"/>
        </w:rPr>
        <w:t>.1</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01671E" w:rsidRPr="00CD7B20" w:rsidRDefault="0001671E" w:rsidP="0001671E">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01671E" w:rsidRPr="00CD7B20" w:rsidRDefault="0001671E" w:rsidP="0001671E">
      <w:pPr>
        <w:spacing w:after="0" w:line="36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01671E" w:rsidRPr="00CD7B20" w:rsidRDefault="00C02E78" w:rsidP="0001671E">
      <w:pPr>
        <w:spacing w:after="0" w:line="360" w:lineRule="auto"/>
        <w:rPr>
          <w:rFonts w:ascii="Times New Roman" w:hAnsi="Times New Roman"/>
          <w:sz w:val="24"/>
          <w:szCs w:val="24"/>
        </w:rPr>
      </w:pPr>
      <w:r>
        <w:rPr>
          <w:rFonts w:ascii="Times New Roman" w:hAnsi="Times New Roman"/>
          <w:sz w:val="24"/>
          <w:szCs w:val="24"/>
        </w:rPr>
        <w:tab/>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01671E" w:rsidRDefault="0001671E" w:rsidP="0077619D">
      <w:pPr>
        <w:spacing w:before="100" w:beforeAutospacing="1" w:after="100" w:afterAutospacing="1" w:line="360" w:lineRule="auto"/>
        <w:ind w:left="2880" w:firstLine="720"/>
        <w:jc w:val="both"/>
        <w:outlineLvl w:val="0"/>
        <w:rPr>
          <w:rFonts w:ascii="Times New Roman" w:eastAsia="Times New Roman" w:hAnsi="Times New Roman" w:cs="Times New Roman"/>
          <w:b/>
          <w:bCs/>
          <w:kern w:val="36"/>
          <w:sz w:val="30"/>
          <w:szCs w:val="24"/>
        </w:rPr>
      </w:pPr>
    </w:p>
    <w:p w:rsidR="0001671E" w:rsidRDefault="0001671E" w:rsidP="0077619D">
      <w:pPr>
        <w:spacing w:before="100" w:beforeAutospacing="1" w:after="100" w:afterAutospacing="1" w:line="360" w:lineRule="auto"/>
        <w:ind w:left="2880" w:firstLine="720"/>
        <w:jc w:val="both"/>
        <w:outlineLvl w:val="0"/>
        <w:rPr>
          <w:rFonts w:ascii="Times New Roman" w:eastAsia="Times New Roman" w:hAnsi="Times New Roman" w:cs="Times New Roman"/>
          <w:b/>
          <w:bCs/>
          <w:kern w:val="36"/>
          <w:sz w:val="30"/>
          <w:szCs w:val="24"/>
        </w:rPr>
      </w:pPr>
    </w:p>
    <w:p w:rsidR="0001671E" w:rsidRDefault="0001671E" w:rsidP="0077619D">
      <w:pPr>
        <w:spacing w:before="100" w:beforeAutospacing="1" w:after="100" w:afterAutospacing="1" w:line="360" w:lineRule="auto"/>
        <w:ind w:left="2880" w:firstLine="720"/>
        <w:jc w:val="both"/>
        <w:outlineLvl w:val="0"/>
        <w:rPr>
          <w:rFonts w:ascii="Times New Roman" w:eastAsia="Times New Roman" w:hAnsi="Times New Roman" w:cs="Times New Roman"/>
          <w:b/>
          <w:bCs/>
          <w:kern w:val="36"/>
          <w:sz w:val="30"/>
          <w:szCs w:val="24"/>
        </w:rPr>
      </w:pPr>
    </w:p>
    <w:p w:rsidR="00036332" w:rsidRDefault="00036332" w:rsidP="00036332">
      <w:pPr>
        <w:spacing w:before="100" w:beforeAutospacing="1" w:after="100" w:afterAutospacing="1" w:line="360" w:lineRule="auto"/>
        <w:jc w:val="both"/>
        <w:outlineLvl w:val="0"/>
        <w:rPr>
          <w:rFonts w:ascii="Times New Roman" w:eastAsia="Times New Roman" w:hAnsi="Times New Roman" w:cs="Times New Roman"/>
          <w:b/>
          <w:bCs/>
          <w:kern w:val="36"/>
          <w:sz w:val="30"/>
          <w:szCs w:val="24"/>
        </w:rPr>
      </w:pPr>
    </w:p>
    <w:p w:rsidR="00D124CF" w:rsidRPr="00987C5C" w:rsidRDefault="00987C5C" w:rsidP="00036332">
      <w:pPr>
        <w:spacing w:before="100" w:beforeAutospacing="1" w:after="100" w:afterAutospacing="1" w:line="360" w:lineRule="auto"/>
        <w:ind w:left="2880" w:firstLine="720"/>
        <w:jc w:val="both"/>
        <w:outlineLvl w:val="0"/>
        <w:rPr>
          <w:rFonts w:ascii="Times New Roman" w:eastAsia="Times New Roman" w:hAnsi="Times New Roman" w:cs="Times New Roman"/>
          <w:b/>
          <w:bCs/>
          <w:kern w:val="36"/>
          <w:sz w:val="30"/>
          <w:szCs w:val="24"/>
        </w:rPr>
      </w:pPr>
      <w:r w:rsidRPr="00987C5C">
        <w:rPr>
          <w:rFonts w:ascii="Times New Roman" w:eastAsia="Times New Roman" w:hAnsi="Times New Roman" w:cs="Times New Roman"/>
          <w:b/>
          <w:bCs/>
          <w:kern w:val="36"/>
          <w:sz w:val="30"/>
          <w:szCs w:val="24"/>
        </w:rPr>
        <w:lastRenderedPageBreak/>
        <w:t>CHAPTER ONE</w:t>
      </w:r>
    </w:p>
    <w:p w:rsidR="00987C5C" w:rsidRPr="00987C5C" w:rsidRDefault="00987C5C" w:rsidP="00B935B5">
      <w:pPr>
        <w:spacing w:before="100" w:beforeAutospacing="1" w:after="100" w:afterAutospacing="1" w:line="360" w:lineRule="auto"/>
        <w:ind w:left="2160" w:firstLine="720"/>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b/>
        <w:t>INTRODUCTION</w:t>
      </w:r>
    </w:p>
    <w:p w:rsidR="00D124CF" w:rsidRPr="00987C5C" w:rsidRDefault="00D124CF" w:rsidP="00B935B5">
      <w:pPr>
        <w:spacing w:before="100" w:beforeAutospacing="1" w:after="100" w:afterAutospacing="1" w:line="360" w:lineRule="auto"/>
        <w:jc w:val="both"/>
        <w:outlineLvl w:val="1"/>
        <w:rPr>
          <w:rFonts w:ascii="Times New Roman" w:eastAsia="Times New Roman" w:hAnsi="Times New Roman" w:cs="Times New Roman"/>
          <w:b/>
          <w:bCs/>
          <w:sz w:val="30"/>
          <w:szCs w:val="24"/>
        </w:rPr>
      </w:pPr>
      <w:r w:rsidRPr="00987C5C">
        <w:rPr>
          <w:rFonts w:ascii="Times New Roman" w:eastAsia="Times New Roman" w:hAnsi="Times New Roman" w:cs="Times New Roman"/>
          <w:b/>
          <w:bCs/>
          <w:sz w:val="30"/>
          <w:szCs w:val="24"/>
        </w:rPr>
        <w:t xml:space="preserve">1.1 </w:t>
      </w:r>
      <w:r w:rsidR="00987C5C" w:rsidRPr="00987C5C">
        <w:rPr>
          <w:rFonts w:ascii="Times New Roman" w:eastAsia="Times New Roman" w:hAnsi="Times New Roman" w:cs="Times New Roman"/>
          <w:b/>
          <w:bCs/>
          <w:sz w:val="30"/>
          <w:szCs w:val="24"/>
        </w:rPr>
        <w:t>BACKGROUND TO THE STUDY</w:t>
      </w:r>
    </w:p>
    <w:p w:rsidR="00D124CF" w:rsidRPr="00987C5C" w:rsidRDefault="00D124CF" w:rsidP="008F0600">
      <w:pPr>
        <w:spacing w:before="100" w:beforeAutospacing="1" w:after="100" w:afterAutospacing="1" w:line="360" w:lineRule="auto"/>
        <w:ind w:firstLine="720"/>
        <w:jc w:val="both"/>
        <w:rPr>
          <w:rFonts w:ascii="Times New Roman" w:eastAsia="Times New Roman" w:hAnsi="Times New Roman" w:cs="Times New Roman"/>
          <w:sz w:val="24"/>
          <w:szCs w:val="24"/>
        </w:rPr>
      </w:pPr>
      <w:r w:rsidRPr="00987C5C">
        <w:rPr>
          <w:rFonts w:ascii="Times New Roman" w:eastAsia="Times New Roman" w:hAnsi="Times New Roman" w:cs="Times New Roman"/>
          <w:sz w:val="24"/>
          <w:szCs w:val="24"/>
        </w:rPr>
        <w:t>Financial ratios are indispensable tools for evaluating the performance and financial health of companies, particularly in the manufacturing sector, where operational efficiency, liquidity, and profitability are critical for sustained success. These ratios, derived from financial statements such as balance sheets, income statements, and cash flow statements, provide stakeholders with a quantitative framework to assess various dimensions of a company’s operations. By offering insights into liquidity, solvency, efficiency, and profitability, financial ratios enable investors, creditors, management, and policymakers to make informed decisions about resource allocation, investment opportunities, and strategic planning. In the context of the manufacturing industry, where companies face challenges such as volatile raw material costs, intense competition, and economic uncertainties, financial ratios serve as standardized metrics to benchmark performance against industry peers and historical trends.</w:t>
      </w:r>
    </w:p>
    <w:p w:rsidR="00D124CF" w:rsidRPr="00987C5C" w:rsidRDefault="00D124CF" w:rsidP="008F0600">
      <w:pPr>
        <w:spacing w:before="100" w:beforeAutospacing="1" w:after="100" w:afterAutospacing="1" w:line="360" w:lineRule="auto"/>
        <w:ind w:firstLine="720"/>
        <w:jc w:val="both"/>
        <w:rPr>
          <w:rFonts w:ascii="Times New Roman" w:eastAsia="Times New Roman" w:hAnsi="Times New Roman" w:cs="Times New Roman"/>
          <w:sz w:val="24"/>
          <w:szCs w:val="24"/>
        </w:rPr>
      </w:pPr>
      <w:r w:rsidRPr="00987C5C">
        <w:rPr>
          <w:rFonts w:ascii="Times New Roman" w:eastAsia="Times New Roman" w:hAnsi="Times New Roman" w:cs="Times New Roman"/>
          <w:sz w:val="24"/>
          <w:szCs w:val="24"/>
        </w:rPr>
        <w:t xml:space="preserve">Berger Paints PLC, a leading paint manufacturing company based in Nigeria, provides an ideal case study for this analysis due to its prominent position in the Nigerian manufacturing landscape and its reputation for financial resilience. Established in 1959, Berger Paints has grown to become one of Nigeria’s foremost paint manufacturers, with a diverse portfolio of decorative, industrial, and marine coatings. The company’s consistent performance has been recognized through accolades such as the Corporate Award from The Institute of Cost and Management Accountants of Bangladesh in 2014, underscoring its financial strength and operational excellence. This study focuses on Berger Paints PLC’s financial performance over the five-year period from 2017 to 2021, a timeframe </w:t>
      </w:r>
      <w:r w:rsidRPr="00987C5C">
        <w:rPr>
          <w:rFonts w:ascii="Times New Roman" w:eastAsia="Times New Roman" w:hAnsi="Times New Roman" w:cs="Times New Roman"/>
          <w:sz w:val="24"/>
          <w:szCs w:val="24"/>
        </w:rPr>
        <w:lastRenderedPageBreak/>
        <w:t>marked by significant economic challenges in Nigeria, including currency fluctuations, inflation, and regulatory changes. By analyzing key financial ratios during this period, the study aims to provide a comprehensive evaluation of Berger Paints PLC’s operational and financial strategies, shedding light on its ability to navigate the competitive and dynamic manufacturing landscape.</w:t>
      </w:r>
    </w:p>
    <w:p w:rsidR="00D124CF" w:rsidRPr="00987C5C" w:rsidRDefault="00D124CF" w:rsidP="008F0600">
      <w:pPr>
        <w:spacing w:before="100" w:beforeAutospacing="1" w:after="100" w:afterAutospacing="1" w:line="360" w:lineRule="auto"/>
        <w:ind w:firstLine="720"/>
        <w:jc w:val="both"/>
        <w:rPr>
          <w:rFonts w:ascii="Times New Roman" w:eastAsia="Times New Roman" w:hAnsi="Times New Roman" w:cs="Times New Roman"/>
          <w:sz w:val="24"/>
          <w:szCs w:val="24"/>
        </w:rPr>
      </w:pPr>
      <w:r w:rsidRPr="00987C5C">
        <w:rPr>
          <w:rFonts w:ascii="Times New Roman" w:eastAsia="Times New Roman" w:hAnsi="Times New Roman" w:cs="Times New Roman"/>
          <w:sz w:val="24"/>
          <w:szCs w:val="24"/>
        </w:rPr>
        <w:t>The manufacturing sector in Nigeria is a critical component of the national economy, contributing to employment, industrial output, and gross domestic product (GDP). However, it faces unique challenges, including high production costs, reliance on imported raw materials, and infrastructural deficiencies. For companies like Berger Paints PLC, maintaining financial stability and operational efficiency is paramount to sustaining market leadership and achieving long-term growth. Financial ratios offer a systematic approach to dissecting a company’s financial statements, enabling stakeholders to identify trends, assess risks, and uncover opportunities for improvement. For instance, liquidity ratios reveal a company’s ability to meet short-term obligations, while profitability ratios highlight its capacity to generate returns on investments. Efficiency ratios measure how effectively a company utilizes its assets, and solvency ratios assess its long-term financial viability. By applying these metrics to Berger Paints PLC, this study seeks to provide a holistic assessment of its corporate performance, offering insights that are relevant to both the company and the broader manufacturing industry.</w:t>
      </w:r>
    </w:p>
    <w:p w:rsidR="00D124CF" w:rsidRPr="00987C5C" w:rsidRDefault="00D124CF" w:rsidP="008F0600">
      <w:pPr>
        <w:spacing w:before="100" w:beforeAutospacing="1" w:after="100" w:afterAutospacing="1" w:line="360" w:lineRule="auto"/>
        <w:ind w:firstLine="720"/>
        <w:jc w:val="both"/>
        <w:rPr>
          <w:rFonts w:ascii="Times New Roman" w:eastAsia="Times New Roman" w:hAnsi="Times New Roman" w:cs="Times New Roman"/>
          <w:sz w:val="24"/>
          <w:szCs w:val="24"/>
        </w:rPr>
      </w:pPr>
      <w:r w:rsidRPr="00987C5C">
        <w:rPr>
          <w:rFonts w:ascii="Times New Roman" w:eastAsia="Times New Roman" w:hAnsi="Times New Roman" w:cs="Times New Roman"/>
          <w:sz w:val="24"/>
          <w:szCs w:val="24"/>
        </w:rPr>
        <w:t xml:space="preserve">The choice of the 2017–2021 period is deliberate, as it captures a range of economic conditions in Nigeria, from relative stability to periods of economic downturn and recovery. During this time, Berger Paints PLC faced challenges such as rising input costs due to exchange rate volatility, supply chain disruptions, and shifting consumer demand. Despite these challenges, the company maintained its market presence through strategic initiatives such as product diversification, cost optimization, and investments in technology. By examining financial ratios over this period, this study aims to uncover </w:t>
      </w:r>
      <w:r w:rsidRPr="00987C5C">
        <w:rPr>
          <w:rFonts w:ascii="Times New Roman" w:eastAsia="Times New Roman" w:hAnsi="Times New Roman" w:cs="Times New Roman"/>
          <w:sz w:val="24"/>
          <w:szCs w:val="24"/>
        </w:rPr>
        <w:lastRenderedPageBreak/>
        <w:t>how Berger Paints PLC adapted to these challenges and positioned itself for sustainable growth. Furthermore, the study will compare Berger Paints PLC’s performance with industry benchmarks to contextualize its financial health and competitive standing.</w:t>
      </w:r>
    </w:p>
    <w:p w:rsidR="00D124CF" w:rsidRPr="00BC1C87" w:rsidRDefault="00D124CF" w:rsidP="00B935B5">
      <w:pPr>
        <w:spacing w:before="100" w:beforeAutospacing="1" w:after="100" w:afterAutospacing="1" w:line="360" w:lineRule="auto"/>
        <w:jc w:val="both"/>
        <w:outlineLvl w:val="1"/>
        <w:rPr>
          <w:rFonts w:ascii="Times New Roman" w:eastAsia="Times New Roman" w:hAnsi="Times New Roman" w:cs="Times New Roman"/>
          <w:b/>
          <w:bCs/>
          <w:sz w:val="28"/>
          <w:szCs w:val="24"/>
        </w:rPr>
      </w:pPr>
      <w:r w:rsidRPr="00BC1C87">
        <w:rPr>
          <w:rFonts w:ascii="Times New Roman" w:eastAsia="Times New Roman" w:hAnsi="Times New Roman" w:cs="Times New Roman"/>
          <w:b/>
          <w:bCs/>
          <w:sz w:val="28"/>
          <w:szCs w:val="24"/>
        </w:rPr>
        <w:t xml:space="preserve">1.2 </w:t>
      </w:r>
      <w:r w:rsidR="00920B0C" w:rsidRPr="00BC1C87">
        <w:rPr>
          <w:rFonts w:ascii="Times New Roman" w:eastAsia="Times New Roman" w:hAnsi="Times New Roman" w:cs="Times New Roman"/>
          <w:b/>
          <w:bCs/>
          <w:sz w:val="28"/>
          <w:szCs w:val="24"/>
        </w:rPr>
        <w:t>STATEMENT OF THE PROBLEM</w:t>
      </w:r>
    </w:p>
    <w:p w:rsidR="00D124CF" w:rsidRPr="00987C5C" w:rsidRDefault="00D124CF" w:rsidP="009918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987C5C">
        <w:rPr>
          <w:rFonts w:ascii="Times New Roman" w:eastAsia="Times New Roman" w:hAnsi="Times New Roman" w:cs="Times New Roman"/>
          <w:sz w:val="24"/>
          <w:szCs w:val="24"/>
        </w:rPr>
        <w:t>The manufacturing industry in Nigeria operates in a complex and dynamic environment characterized by fluctuating raw material costs, intense competition, and macroeconomic uncertainties. These factors pose significant challenges to companies striving to maintain financial stability and operational efficiency. For Berger Paints PLC, a capital-intensive business reliant on imported raw materials and advanced production processes, effective resource utilization and financial management are critical to sustaining its competitive edge. While raw financial data from balance sheets and income statements provide a snapshot of a company’s performance, they can be misleading without the context provided by standardized metrics such as financial ratios. Ratios distill complex financial information into meaningful indicators, enabling stakeholders to assess performance in a consistent and comparable manner.</w:t>
      </w:r>
    </w:p>
    <w:p w:rsidR="00D124CF" w:rsidRPr="00BC1C87" w:rsidRDefault="00D124CF" w:rsidP="00B935B5">
      <w:pPr>
        <w:spacing w:before="100" w:beforeAutospacing="1" w:after="100" w:afterAutospacing="1" w:line="360" w:lineRule="auto"/>
        <w:jc w:val="both"/>
        <w:outlineLvl w:val="1"/>
        <w:rPr>
          <w:rFonts w:ascii="Times New Roman" w:eastAsia="Times New Roman" w:hAnsi="Times New Roman" w:cs="Times New Roman"/>
          <w:b/>
          <w:bCs/>
          <w:sz w:val="28"/>
          <w:szCs w:val="24"/>
        </w:rPr>
      </w:pPr>
      <w:r w:rsidRPr="00BC1C87">
        <w:rPr>
          <w:rFonts w:ascii="Times New Roman" w:eastAsia="Times New Roman" w:hAnsi="Times New Roman" w:cs="Times New Roman"/>
          <w:b/>
          <w:bCs/>
          <w:sz w:val="28"/>
          <w:szCs w:val="24"/>
        </w:rPr>
        <w:t xml:space="preserve">1.3 </w:t>
      </w:r>
      <w:r w:rsidR="00920B0C" w:rsidRPr="00BC1C87">
        <w:rPr>
          <w:rFonts w:ascii="Times New Roman" w:eastAsia="Times New Roman" w:hAnsi="Times New Roman" w:cs="Times New Roman"/>
          <w:b/>
          <w:bCs/>
          <w:sz w:val="28"/>
          <w:szCs w:val="24"/>
        </w:rPr>
        <w:t>OBJECTIVES OF THE STUDY</w:t>
      </w:r>
    </w:p>
    <w:p w:rsidR="00D124CF" w:rsidRPr="00987C5C" w:rsidRDefault="00D124CF" w:rsidP="009918CD">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sz w:val="24"/>
          <w:szCs w:val="24"/>
        </w:rPr>
        <w:t>The primary objective of this study is to evaluate Berger Paints PLC’s corporate performance using financial ratios as a key analytical tool. By focusing on the period from 2017 to 2021, the study aims to provide a comprehensive assessment of the company’s financial health and operational efficiency. The specific objectives are as follows:</w:t>
      </w:r>
    </w:p>
    <w:p w:rsidR="00D124CF" w:rsidRPr="00987C5C" w:rsidRDefault="00D124CF" w:rsidP="00AE5D84">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To analyze Berger Paints PLC’s liquidity position</w:t>
      </w:r>
      <w:r w:rsidRPr="00987C5C">
        <w:rPr>
          <w:rFonts w:ascii="Times New Roman" w:eastAsia="Times New Roman" w:hAnsi="Times New Roman" w:cs="Times New Roman"/>
          <w:sz w:val="24"/>
          <w:szCs w:val="24"/>
        </w:rPr>
        <w:t xml:space="preserve">: This involves calculating and interpreting liquidity ratios such as the current ratio and quick ratio to assess the company’s ability to meet its short-term obligations. Liquidity is critical in the </w:t>
      </w:r>
      <w:r w:rsidRPr="00987C5C">
        <w:rPr>
          <w:rFonts w:ascii="Times New Roman" w:eastAsia="Times New Roman" w:hAnsi="Times New Roman" w:cs="Times New Roman"/>
          <w:sz w:val="24"/>
          <w:szCs w:val="24"/>
        </w:rPr>
        <w:lastRenderedPageBreak/>
        <w:t>manufacturing sector, where companies must manage working capital effectively to ensure operational continuity.</w:t>
      </w:r>
    </w:p>
    <w:p w:rsidR="00D124CF" w:rsidRPr="00987C5C" w:rsidRDefault="00D124CF" w:rsidP="00AE5D84">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To assess the company’s profitability</w:t>
      </w:r>
      <w:r w:rsidRPr="00987C5C">
        <w:rPr>
          <w:rFonts w:ascii="Times New Roman" w:eastAsia="Times New Roman" w:hAnsi="Times New Roman" w:cs="Times New Roman"/>
          <w:sz w:val="24"/>
          <w:szCs w:val="24"/>
        </w:rPr>
        <w:t>: By analyzing profitability ratios such as gross profit margin, net profit margin, and return on equity (ROE), the study will evaluate Berger Paints PLC’s ability to generate earnings relative to its revenue, assets, and equity. This objective will provide insights into the company’s financial success and its capacity to deliver value to shareholders.</w:t>
      </w:r>
    </w:p>
    <w:p w:rsidR="00D124CF" w:rsidRPr="00987C5C" w:rsidRDefault="00D124CF" w:rsidP="00AE5D84">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To evaluate operational efficiency</w:t>
      </w:r>
      <w:r w:rsidRPr="00987C5C">
        <w:rPr>
          <w:rFonts w:ascii="Times New Roman" w:eastAsia="Times New Roman" w:hAnsi="Times New Roman" w:cs="Times New Roman"/>
          <w:sz w:val="24"/>
          <w:szCs w:val="24"/>
        </w:rPr>
        <w:t>: This objective focuses on activity ratios, including inventory turnover and receivables turnover, to assess how efficiently Berger Paints PLC utilizes its assets and manages its operations. High efficiency ratios indicate effective resource management, which is essential in a capital-intensive industry.</w:t>
      </w:r>
    </w:p>
    <w:p w:rsidR="00D124CF" w:rsidRPr="00987C5C" w:rsidRDefault="00D124CF" w:rsidP="007B0D49">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To examine the company’s solvency and leverage</w:t>
      </w:r>
      <w:r w:rsidRPr="00987C5C">
        <w:rPr>
          <w:rFonts w:ascii="Times New Roman" w:eastAsia="Times New Roman" w:hAnsi="Times New Roman" w:cs="Times New Roman"/>
          <w:sz w:val="24"/>
          <w:szCs w:val="24"/>
        </w:rPr>
        <w:t>: By analyzing solvency ratios such as the debt-to-equity ratio and interest coverage ratio, the study will evaluate Berger Paints PLC’s long-term financial stability and its ability to manage debt obligations. This is particularly relevant given the company’s exposure to borrowing costs and economic fluctuations.</w:t>
      </w:r>
    </w:p>
    <w:p w:rsidR="00D124CF" w:rsidRDefault="00D124CF" w:rsidP="007B0D49">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To compare Berger Paints PLC’s performance with industry averages</w:t>
      </w:r>
      <w:r w:rsidRPr="00987C5C">
        <w:rPr>
          <w:rFonts w:ascii="Times New Roman" w:eastAsia="Times New Roman" w:hAnsi="Times New Roman" w:cs="Times New Roman"/>
          <w:sz w:val="24"/>
          <w:szCs w:val="24"/>
        </w:rPr>
        <w:t>: This objective involves benchmarking the company’s financial ratios against industry standards to identify its competitive strengths and weaknesses. By contextualizing Berger Paints PLC’s performance, the study will highlight areas where the company excels or lags behind its peers.</w:t>
      </w:r>
    </w:p>
    <w:p w:rsidR="008352E8" w:rsidRDefault="008352E8" w:rsidP="007B0D49">
      <w:pPr>
        <w:spacing w:before="100" w:beforeAutospacing="1" w:after="100" w:afterAutospacing="1" w:line="360" w:lineRule="auto"/>
        <w:ind w:firstLine="360"/>
        <w:jc w:val="both"/>
        <w:rPr>
          <w:rFonts w:ascii="Times New Roman" w:eastAsia="Times New Roman" w:hAnsi="Times New Roman" w:cs="Times New Roman"/>
          <w:sz w:val="24"/>
          <w:szCs w:val="24"/>
        </w:rPr>
      </w:pPr>
    </w:p>
    <w:p w:rsidR="008352E8" w:rsidRPr="00987C5C" w:rsidRDefault="008352E8" w:rsidP="007B0D49">
      <w:pPr>
        <w:spacing w:before="100" w:beforeAutospacing="1" w:after="100" w:afterAutospacing="1" w:line="360" w:lineRule="auto"/>
        <w:ind w:firstLine="360"/>
        <w:jc w:val="both"/>
        <w:rPr>
          <w:rFonts w:ascii="Times New Roman" w:eastAsia="Times New Roman" w:hAnsi="Times New Roman" w:cs="Times New Roman"/>
          <w:sz w:val="24"/>
          <w:szCs w:val="24"/>
        </w:rPr>
      </w:pPr>
    </w:p>
    <w:p w:rsidR="00D124CF" w:rsidRPr="00BC1C87" w:rsidRDefault="00D124CF" w:rsidP="00B935B5">
      <w:pPr>
        <w:spacing w:before="100" w:beforeAutospacing="1" w:after="100" w:afterAutospacing="1" w:line="360" w:lineRule="auto"/>
        <w:jc w:val="both"/>
        <w:outlineLvl w:val="1"/>
        <w:rPr>
          <w:rFonts w:ascii="Times New Roman" w:eastAsia="Times New Roman" w:hAnsi="Times New Roman" w:cs="Times New Roman"/>
          <w:b/>
          <w:bCs/>
          <w:sz w:val="28"/>
          <w:szCs w:val="24"/>
        </w:rPr>
      </w:pPr>
      <w:r w:rsidRPr="00BC1C87">
        <w:rPr>
          <w:rFonts w:ascii="Times New Roman" w:eastAsia="Times New Roman" w:hAnsi="Times New Roman" w:cs="Times New Roman"/>
          <w:b/>
          <w:bCs/>
          <w:sz w:val="28"/>
          <w:szCs w:val="24"/>
        </w:rPr>
        <w:lastRenderedPageBreak/>
        <w:t xml:space="preserve">1.4 </w:t>
      </w:r>
      <w:r w:rsidR="00987C5C" w:rsidRPr="00BC1C87">
        <w:rPr>
          <w:rFonts w:ascii="Times New Roman" w:eastAsia="Times New Roman" w:hAnsi="Times New Roman" w:cs="Times New Roman"/>
          <w:b/>
          <w:bCs/>
          <w:sz w:val="28"/>
          <w:szCs w:val="24"/>
        </w:rPr>
        <w:t>RESEARCH QUESTIONS</w:t>
      </w:r>
    </w:p>
    <w:p w:rsidR="00D124CF" w:rsidRPr="00987C5C" w:rsidRDefault="00D124CF" w:rsidP="007B0D49">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sz w:val="24"/>
          <w:szCs w:val="24"/>
        </w:rPr>
        <w:t>To guide the analysis and address the objectives, the study poses the following research questions:</w:t>
      </w:r>
    </w:p>
    <w:p w:rsidR="00D124CF" w:rsidRPr="00987C5C" w:rsidRDefault="00D124CF" w:rsidP="007B0D49">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How effective is Berger Paints PLC in managing its liquidity to meet short-term obligations?</w:t>
      </w:r>
      <w:r w:rsidRPr="00987C5C">
        <w:rPr>
          <w:rFonts w:ascii="Times New Roman" w:eastAsia="Times New Roman" w:hAnsi="Times New Roman" w:cs="Times New Roman"/>
          <w:sz w:val="24"/>
          <w:szCs w:val="24"/>
        </w:rPr>
        <w:t xml:space="preserve"> This question seeks to understand whether the company maintains adequate liquidity to cover its current liabilities, a critical factor in ensuring operational stability.</w:t>
      </w:r>
    </w:p>
    <w:p w:rsidR="00D124CF" w:rsidRPr="00987C5C" w:rsidRDefault="00D124CF" w:rsidP="007B0D49">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What is the profitability trend of Berger Paints PLC from 2017 to 2021?</w:t>
      </w:r>
      <w:r w:rsidRPr="00987C5C">
        <w:rPr>
          <w:rFonts w:ascii="Times New Roman" w:eastAsia="Times New Roman" w:hAnsi="Times New Roman" w:cs="Times New Roman"/>
          <w:sz w:val="24"/>
          <w:szCs w:val="24"/>
        </w:rPr>
        <w:t xml:space="preserve"> This question examines the company’s ability to generate consistent profits over the study period, highlighting trends in revenue generation and cost management.</w:t>
      </w:r>
    </w:p>
    <w:p w:rsidR="00D124CF" w:rsidRPr="00987C5C" w:rsidRDefault="00D124CF" w:rsidP="00251E67">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How efficiently does Berger Paints PLC utilize its assets and manage its operations?</w:t>
      </w:r>
      <w:r w:rsidRPr="00987C5C">
        <w:rPr>
          <w:rFonts w:ascii="Times New Roman" w:eastAsia="Times New Roman" w:hAnsi="Times New Roman" w:cs="Times New Roman"/>
          <w:sz w:val="24"/>
          <w:szCs w:val="24"/>
        </w:rPr>
        <w:t xml:space="preserve"> This question focuses on the company’s operational efficiency, assessing how effectively it converts its assets into revenue and manages its inventory and receivables.</w:t>
      </w:r>
    </w:p>
    <w:p w:rsidR="00D124CF" w:rsidRPr="00987C5C" w:rsidRDefault="00D124CF" w:rsidP="00251E67">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What is the impact of financial leverage on Berger Paints PLC’s performance?</w:t>
      </w:r>
      <w:r w:rsidRPr="00987C5C">
        <w:rPr>
          <w:rFonts w:ascii="Times New Roman" w:eastAsia="Times New Roman" w:hAnsi="Times New Roman" w:cs="Times New Roman"/>
          <w:sz w:val="24"/>
          <w:szCs w:val="24"/>
        </w:rPr>
        <w:t xml:space="preserve"> This question explores the role of debt in the company’s capital structure and its implications for financial risk and return on equity.</w:t>
      </w:r>
    </w:p>
    <w:p w:rsidR="00D124CF" w:rsidRPr="00987C5C" w:rsidRDefault="00D124CF" w:rsidP="00251E67">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How does Berger Paints PLC’s financial performance compare to industry standards?</w:t>
      </w:r>
      <w:r w:rsidRPr="00987C5C">
        <w:rPr>
          <w:rFonts w:ascii="Times New Roman" w:eastAsia="Times New Roman" w:hAnsi="Times New Roman" w:cs="Times New Roman"/>
          <w:sz w:val="24"/>
          <w:szCs w:val="24"/>
        </w:rPr>
        <w:t xml:space="preserve"> This question aims to contextualize the company’s performance by comparing its financial ratios to industry benchmarks, providing insights into its competitive positioning.</w:t>
      </w:r>
    </w:p>
    <w:p w:rsidR="00D124CF" w:rsidRPr="00987C5C" w:rsidRDefault="00D124CF" w:rsidP="00251E67">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sz w:val="24"/>
          <w:szCs w:val="24"/>
        </w:rPr>
        <w:t>These research questions provide a structured framework for the study, ensuring that the analysis is focused and aligned with the objectives.</w:t>
      </w:r>
    </w:p>
    <w:p w:rsidR="00D124CF" w:rsidRPr="00BC1C87" w:rsidRDefault="00D124CF" w:rsidP="00B935B5">
      <w:pPr>
        <w:spacing w:before="100" w:beforeAutospacing="1" w:after="100" w:afterAutospacing="1" w:line="360" w:lineRule="auto"/>
        <w:jc w:val="both"/>
        <w:outlineLvl w:val="1"/>
        <w:rPr>
          <w:rFonts w:ascii="Times New Roman" w:eastAsia="Times New Roman" w:hAnsi="Times New Roman" w:cs="Times New Roman"/>
          <w:b/>
          <w:bCs/>
          <w:sz w:val="28"/>
          <w:szCs w:val="24"/>
        </w:rPr>
      </w:pPr>
      <w:r w:rsidRPr="00BC1C87">
        <w:rPr>
          <w:rFonts w:ascii="Times New Roman" w:eastAsia="Times New Roman" w:hAnsi="Times New Roman" w:cs="Times New Roman"/>
          <w:b/>
          <w:bCs/>
          <w:sz w:val="28"/>
          <w:szCs w:val="24"/>
        </w:rPr>
        <w:lastRenderedPageBreak/>
        <w:t xml:space="preserve">1.5 </w:t>
      </w:r>
      <w:r w:rsidR="00515A3A" w:rsidRPr="00BC1C87">
        <w:rPr>
          <w:rFonts w:ascii="Times New Roman" w:eastAsia="Times New Roman" w:hAnsi="Times New Roman" w:cs="Times New Roman"/>
          <w:b/>
          <w:bCs/>
          <w:sz w:val="28"/>
          <w:szCs w:val="24"/>
        </w:rPr>
        <w:t>RESEARCH HYPOTHESES</w:t>
      </w:r>
    </w:p>
    <w:p w:rsidR="00D124CF" w:rsidRPr="00987C5C" w:rsidRDefault="00D124CF" w:rsidP="008352E8">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sz w:val="24"/>
          <w:szCs w:val="24"/>
        </w:rPr>
        <w:t>To test the relationships between financial ratios and Berger Paints PLC’s performance, the study proposes the following null hypotheses:</w:t>
      </w:r>
    </w:p>
    <w:p w:rsidR="00D124CF" w:rsidRPr="00987C5C" w:rsidRDefault="00D124CF" w:rsidP="00251E67">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H0</w:t>
      </w:r>
      <w:r w:rsidRPr="00987C5C">
        <w:rPr>
          <w:rFonts w:ascii="Times New Roman" w:eastAsia="Times New Roman" w:hAnsi="Times New Roman" w:cs="Times New Roman"/>
          <w:sz w:val="24"/>
          <w:szCs w:val="24"/>
        </w:rPr>
        <w:t>: Berger Paints PLC’s liquidity ratios do not significantly influence its ability to meet short-term obligations. This hypothesis tests whether the company’s liquidity position, as measured by ratios such as the current and quick ratios, has a meaningful impact on its financial stability.</w:t>
      </w:r>
    </w:p>
    <w:p w:rsidR="00D124CF" w:rsidRPr="00987C5C" w:rsidRDefault="00D124CF" w:rsidP="00251E67">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H0</w:t>
      </w:r>
      <w:r w:rsidRPr="00987C5C">
        <w:rPr>
          <w:rFonts w:ascii="Times New Roman" w:eastAsia="Times New Roman" w:hAnsi="Times New Roman" w:cs="Times New Roman"/>
          <w:sz w:val="24"/>
          <w:szCs w:val="24"/>
        </w:rPr>
        <w:t>: There is no significant relationship between profitability ratios and Berger Paints PLC’s financial performance. This hypothesis examines whether profitability metrics, such as gross profit margin and return on equity, are reliable indicators of the company’s overall financial health.</w:t>
      </w:r>
    </w:p>
    <w:p w:rsidR="00D124CF" w:rsidRPr="00987C5C" w:rsidRDefault="00D124CF" w:rsidP="00251E67">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H0</w:t>
      </w:r>
      <w:r w:rsidRPr="00987C5C">
        <w:rPr>
          <w:rFonts w:ascii="Times New Roman" w:eastAsia="Times New Roman" w:hAnsi="Times New Roman" w:cs="Times New Roman"/>
          <w:sz w:val="24"/>
          <w:szCs w:val="24"/>
        </w:rPr>
        <w:t>: Berger Paints PLC’s efficiency ratios do not reflect optimal asset utilization. This hypothesis tests whether the company’s activity ratios, such as inventory turnover and receivables turnover, indicate efficient use of resources.</w:t>
      </w:r>
    </w:p>
    <w:p w:rsidR="00D124CF" w:rsidRPr="00987C5C" w:rsidRDefault="00D124CF" w:rsidP="00251E67">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H0</w:t>
      </w:r>
      <w:r w:rsidRPr="00987C5C">
        <w:rPr>
          <w:rFonts w:ascii="Times New Roman" w:eastAsia="Times New Roman" w:hAnsi="Times New Roman" w:cs="Times New Roman"/>
          <w:sz w:val="24"/>
          <w:szCs w:val="24"/>
        </w:rPr>
        <w:t>: Financial leverage has no significant impact on Berger Paints PLC’s performance. This hypothesis explores whether the company’s use of debt, as measured by solvency ratios, significantly affects its financial performance and risk profile.</w:t>
      </w:r>
    </w:p>
    <w:p w:rsidR="00D124CF" w:rsidRDefault="00D124CF" w:rsidP="00251E67">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H0</w:t>
      </w:r>
      <w:r w:rsidRPr="00987C5C">
        <w:rPr>
          <w:rFonts w:ascii="Times New Roman" w:eastAsia="Times New Roman" w:hAnsi="Times New Roman" w:cs="Times New Roman"/>
          <w:sz w:val="24"/>
          <w:szCs w:val="24"/>
        </w:rPr>
        <w:t>: Berger Paints PLC’s financial ratios do not differ significantly from industry averages. This hypothesis tests whether the company’s financial performance aligns with or deviates from industry benchmarks, providing insights into its competitive standing.</w:t>
      </w:r>
    </w:p>
    <w:p w:rsidR="008352E8" w:rsidRDefault="008352E8" w:rsidP="00251E67">
      <w:pPr>
        <w:spacing w:before="100" w:beforeAutospacing="1" w:after="100" w:afterAutospacing="1" w:line="360" w:lineRule="auto"/>
        <w:ind w:firstLine="360"/>
        <w:jc w:val="both"/>
        <w:rPr>
          <w:rFonts w:ascii="Times New Roman" w:eastAsia="Times New Roman" w:hAnsi="Times New Roman" w:cs="Times New Roman"/>
          <w:sz w:val="24"/>
          <w:szCs w:val="24"/>
        </w:rPr>
      </w:pPr>
    </w:p>
    <w:p w:rsidR="008352E8" w:rsidRPr="00987C5C" w:rsidRDefault="008352E8" w:rsidP="00251E67">
      <w:pPr>
        <w:spacing w:before="100" w:beforeAutospacing="1" w:after="100" w:afterAutospacing="1" w:line="360" w:lineRule="auto"/>
        <w:ind w:firstLine="360"/>
        <w:jc w:val="both"/>
        <w:rPr>
          <w:rFonts w:ascii="Times New Roman" w:eastAsia="Times New Roman" w:hAnsi="Times New Roman" w:cs="Times New Roman"/>
          <w:sz w:val="24"/>
          <w:szCs w:val="24"/>
        </w:rPr>
      </w:pPr>
    </w:p>
    <w:p w:rsidR="00D124CF" w:rsidRPr="00515A3A" w:rsidRDefault="00D124CF" w:rsidP="00B935B5">
      <w:pPr>
        <w:spacing w:before="100" w:beforeAutospacing="1" w:after="100" w:afterAutospacing="1" w:line="360" w:lineRule="auto"/>
        <w:jc w:val="both"/>
        <w:outlineLvl w:val="1"/>
        <w:rPr>
          <w:rFonts w:ascii="Times New Roman" w:eastAsia="Times New Roman" w:hAnsi="Times New Roman" w:cs="Times New Roman"/>
          <w:b/>
          <w:bCs/>
          <w:sz w:val="26"/>
          <w:szCs w:val="24"/>
        </w:rPr>
      </w:pPr>
      <w:r w:rsidRPr="00515A3A">
        <w:rPr>
          <w:rFonts w:ascii="Times New Roman" w:eastAsia="Times New Roman" w:hAnsi="Times New Roman" w:cs="Times New Roman"/>
          <w:b/>
          <w:bCs/>
          <w:sz w:val="26"/>
          <w:szCs w:val="24"/>
        </w:rPr>
        <w:lastRenderedPageBreak/>
        <w:t xml:space="preserve">1.6 </w:t>
      </w:r>
      <w:r w:rsidR="00515A3A" w:rsidRPr="00515A3A">
        <w:rPr>
          <w:rFonts w:ascii="Times New Roman" w:eastAsia="Times New Roman" w:hAnsi="Times New Roman" w:cs="Times New Roman"/>
          <w:b/>
          <w:bCs/>
          <w:sz w:val="26"/>
          <w:szCs w:val="24"/>
        </w:rPr>
        <w:t>SIGNIFICANCE OF THE STUDY</w:t>
      </w:r>
    </w:p>
    <w:p w:rsidR="00D124CF" w:rsidRPr="00987C5C" w:rsidRDefault="00D124CF" w:rsidP="008352E8">
      <w:pPr>
        <w:spacing w:before="100" w:beforeAutospacing="1" w:after="100" w:afterAutospacing="1" w:line="360" w:lineRule="auto"/>
        <w:ind w:firstLine="720"/>
        <w:jc w:val="both"/>
        <w:rPr>
          <w:rFonts w:ascii="Times New Roman" w:eastAsia="Times New Roman" w:hAnsi="Times New Roman" w:cs="Times New Roman"/>
          <w:sz w:val="24"/>
          <w:szCs w:val="24"/>
        </w:rPr>
      </w:pPr>
      <w:r w:rsidRPr="00987C5C">
        <w:rPr>
          <w:rFonts w:ascii="Times New Roman" w:eastAsia="Times New Roman" w:hAnsi="Times New Roman" w:cs="Times New Roman"/>
          <w:sz w:val="24"/>
          <w:szCs w:val="24"/>
        </w:rPr>
        <w:t>This study holds significant value for a wide range of stakeholders, including investors, management, creditors, policymakers, and academic researchers. By demonstrating how financial ratios can be used to assess corporate performance, the study provides a practical framework for evaluating Berger Paints PLC’s financial health and operational efficiency. For investors, the findings will offer insights into the company’s profitability and risk profile, informing investment decisions. For management, the study will highlight areas of strength and weakness, guiding strategic planning and resource allocation. Creditors will benefit from a clearer understanding of the company’s liquidity and solvency, which are critical for assessing creditworthiness. Policymakers can use the study’s findings to develop regulations and policies that support the financial stability of the manufacturing sector.</w:t>
      </w:r>
    </w:p>
    <w:p w:rsidR="00D124CF" w:rsidRPr="00987C5C" w:rsidRDefault="00D124CF" w:rsidP="008352E8">
      <w:pPr>
        <w:spacing w:before="100" w:beforeAutospacing="1" w:after="100" w:afterAutospacing="1" w:line="360" w:lineRule="auto"/>
        <w:ind w:firstLine="720"/>
        <w:jc w:val="both"/>
        <w:rPr>
          <w:rFonts w:ascii="Times New Roman" w:eastAsia="Times New Roman" w:hAnsi="Times New Roman" w:cs="Times New Roman"/>
          <w:sz w:val="24"/>
          <w:szCs w:val="24"/>
        </w:rPr>
      </w:pPr>
      <w:r w:rsidRPr="00987C5C">
        <w:rPr>
          <w:rFonts w:ascii="Times New Roman" w:eastAsia="Times New Roman" w:hAnsi="Times New Roman" w:cs="Times New Roman"/>
          <w:sz w:val="24"/>
          <w:szCs w:val="24"/>
        </w:rPr>
        <w:t>For Berger Paints PLC specifically, the study will provide a detailed analysis of its financial performance from 2017 to 2021, identifying key drivers of success and areas for improvement. By benchmarking its performance against industry averages, the company can better understand its competitive positioning and develop strategies to enhance its market leadership. The study also contributes to the academic literature by adding to the body of knowledge on financial ratio analysis in the context of emerging markets. In the Nigerian manufacturing sector, where comprehensive financial analysis is often limited, this study offers a replicable framework for evaluating corporate performance, with potential applications for other companies and industries.</w:t>
      </w:r>
    </w:p>
    <w:p w:rsidR="00D124CF" w:rsidRPr="00987C5C" w:rsidRDefault="00D124CF" w:rsidP="00B935B5">
      <w:pPr>
        <w:spacing w:before="100" w:beforeAutospacing="1" w:after="100" w:afterAutospacing="1" w:line="360" w:lineRule="auto"/>
        <w:jc w:val="both"/>
        <w:rPr>
          <w:rFonts w:ascii="Times New Roman" w:eastAsia="Times New Roman" w:hAnsi="Times New Roman" w:cs="Times New Roman"/>
          <w:sz w:val="24"/>
          <w:szCs w:val="24"/>
        </w:rPr>
      </w:pPr>
      <w:r w:rsidRPr="00987C5C">
        <w:rPr>
          <w:rFonts w:ascii="Times New Roman" w:eastAsia="Times New Roman" w:hAnsi="Times New Roman" w:cs="Times New Roman"/>
          <w:sz w:val="24"/>
          <w:szCs w:val="24"/>
        </w:rPr>
        <w:t xml:space="preserve">Furthermore, the study’s focus on the 2017–2021 period provides a timely analysis of Berger Paints PLC’s performance during a period of economic volatility. By examining how the company navigated challenges such as inflation, currency devaluation, and the COVID-19 pandemic, the study offers valuable lessons for other manufacturing firms operating in similar environments. Ultimately, the findings will contribute to both </w:t>
      </w:r>
      <w:r w:rsidRPr="00987C5C">
        <w:rPr>
          <w:rFonts w:ascii="Times New Roman" w:eastAsia="Times New Roman" w:hAnsi="Times New Roman" w:cs="Times New Roman"/>
          <w:sz w:val="24"/>
          <w:szCs w:val="24"/>
        </w:rPr>
        <w:lastRenderedPageBreak/>
        <w:t>practical and academic discussions on financial management, corporate performance, and industry competitiveness.</w:t>
      </w:r>
    </w:p>
    <w:p w:rsidR="00D124CF" w:rsidRPr="00515A3A" w:rsidRDefault="00D124CF" w:rsidP="00B935B5">
      <w:pPr>
        <w:spacing w:before="100" w:beforeAutospacing="1" w:after="100" w:afterAutospacing="1" w:line="360" w:lineRule="auto"/>
        <w:jc w:val="both"/>
        <w:outlineLvl w:val="1"/>
        <w:rPr>
          <w:rFonts w:ascii="Times New Roman" w:eastAsia="Times New Roman" w:hAnsi="Times New Roman" w:cs="Times New Roman"/>
          <w:b/>
          <w:bCs/>
          <w:sz w:val="28"/>
          <w:szCs w:val="24"/>
        </w:rPr>
      </w:pPr>
      <w:r w:rsidRPr="00515A3A">
        <w:rPr>
          <w:rFonts w:ascii="Times New Roman" w:eastAsia="Times New Roman" w:hAnsi="Times New Roman" w:cs="Times New Roman"/>
          <w:b/>
          <w:bCs/>
          <w:sz w:val="28"/>
          <w:szCs w:val="24"/>
        </w:rPr>
        <w:t xml:space="preserve">1.7 </w:t>
      </w:r>
      <w:r w:rsidR="00515A3A" w:rsidRPr="00515A3A">
        <w:rPr>
          <w:rFonts w:ascii="Times New Roman" w:eastAsia="Times New Roman" w:hAnsi="Times New Roman" w:cs="Times New Roman"/>
          <w:b/>
          <w:bCs/>
          <w:sz w:val="28"/>
          <w:szCs w:val="24"/>
        </w:rPr>
        <w:t>SCOPE OF THE STUDY</w:t>
      </w:r>
    </w:p>
    <w:p w:rsidR="00D124CF" w:rsidRPr="00987C5C" w:rsidRDefault="00D124CF" w:rsidP="003D504E">
      <w:pPr>
        <w:spacing w:before="100" w:beforeAutospacing="1" w:after="100" w:afterAutospacing="1" w:line="360" w:lineRule="auto"/>
        <w:ind w:firstLine="720"/>
        <w:jc w:val="both"/>
        <w:rPr>
          <w:rFonts w:ascii="Times New Roman" w:eastAsia="Times New Roman" w:hAnsi="Times New Roman" w:cs="Times New Roman"/>
          <w:sz w:val="24"/>
          <w:szCs w:val="24"/>
        </w:rPr>
      </w:pPr>
      <w:r w:rsidRPr="00987C5C">
        <w:rPr>
          <w:rFonts w:ascii="Times New Roman" w:eastAsia="Times New Roman" w:hAnsi="Times New Roman" w:cs="Times New Roman"/>
          <w:sz w:val="24"/>
          <w:szCs w:val="24"/>
        </w:rPr>
        <w:t>The study focuses exclusively on Berger Paints PLC, a leading paint manufacturing company in Nigeria, and its financial performance over the five-year period from 2017 to 2021. The analysis is based on financial data extracted from the company’s annual reports, which provide detailed information on its balance sheets, income statements, and cash flow statements. The study covers four key categories of financial ratios: liquidity (e.g., current ratio, quick ratio), profitability (e.g., gross profit margin, net profit margin, return on equity), efficiency (e.g., inventory turnover, receivables turnover), and solvency (e.g., debt-to-equity ratio, interest coverage ratio). Where possible, the study compares Berger Paints PLC’s ratios to industry averages to provide a broader context for its performance.</w:t>
      </w:r>
    </w:p>
    <w:p w:rsidR="00D124CF" w:rsidRDefault="00D124CF" w:rsidP="00681250">
      <w:pPr>
        <w:spacing w:before="100" w:beforeAutospacing="1" w:after="100" w:afterAutospacing="1" w:line="360" w:lineRule="auto"/>
        <w:ind w:firstLine="720"/>
        <w:jc w:val="both"/>
        <w:rPr>
          <w:rFonts w:ascii="Times New Roman" w:eastAsia="Times New Roman" w:hAnsi="Times New Roman" w:cs="Times New Roman"/>
          <w:sz w:val="24"/>
          <w:szCs w:val="24"/>
        </w:rPr>
      </w:pPr>
      <w:r w:rsidRPr="00987C5C">
        <w:rPr>
          <w:rFonts w:ascii="Times New Roman" w:eastAsia="Times New Roman" w:hAnsi="Times New Roman" w:cs="Times New Roman"/>
          <w:sz w:val="24"/>
          <w:szCs w:val="24"/>
        </w:rPr>
        <w:t>The scope is limited to quantitative financial data and does not include qualitative factors such as management decisions, corporate governance practices, or market dynamics. While these factors undoubtedly influence performance, they are beyond the scope of this study, which prioritizes financial ratio analysis as a standardized and objective method of evaluation. The study also focuses on publicly available data, ensuring transparency and accessibility for stakeholders.</w:t>
      </w:r>
    </w:p>
    <w:p w:rsidR="008352E8" w:rsidRDefault="008352E8" w:rsidP="00681250">
      <w:pPr>
        <w:spacing w:before="100" w:beforeAutospacing="1" w:after="100" w:afterAutospacing="1" w:line="360" w:lineRule="auto"/>
        <w:ind w:firstLine="720"/>
        <w:jc w:val="both"/>
        <w:rPr>
          <w:rFonts w:ascii="Times New Roman" w:eastAsia="Times New Roman" w:hAnsi="Times New Roman" w:cs="Times New Roman"/>
          <w:sz w:val="24"/>
          <w:szCs w:val="24"/>
        </w:rPr>
      </w:pPr>
    </w:p>
    <w:p w:rsidR="008352E8" w:rsidRDefault="008352E8" w:rsidP="00681250">
      <w:pPr>
        <w:spacing w:before="100" w:beforeAutospacing="1" w:after="100" w:afterAutospacing="1" w:line="360" w:lineRule="auto"/>
        <w:ind w:firstLine="720"/>
        <w:jc w:val="both"/>
        <w:rPr>
          <w:rFonts w:ascii="Times New Roman" w:eastAsia="Times New Roman" w:hAnsi="Times New Roman" w:cs="Times New Roman"/>
          <w:sz w:val="24"/>
          <w:szCs w:val="24"/>
        </w:rPr>
      </w:pPr>
    </w:p>
    <w:p w:rsidR="008352E8" w:rsidRDefault="008352E8" w:rsidP="00681250">
      <w:pPr>
        <w:spacing w:before="100" w:beforeAutospacing="1" w:after="100" w:afterAutospacing="1" w:line="360" w:lineRule="auto"/>
        <w:ind w:firstLine="720"/>
        <w:jc w:val="both"/>
        <w:rPr>
          <w:rFonts w:ascii="Times New Roman" w:eastAsia="Times New Roman" w:hAnsi="Times New Roman" w:cs="Times New Roman"/>
          <w:sz w:val="24"/>
          <w:szCs w:val="24"/>
        </w:rPr>
      </w:pPr>
    </w:p>
    <w:p w:rsidR="008352E8" w:rsidRPr="00987C5C" w:rsidRDefault="008352E8" w:rsidP="00681250">
      <w:pPr>
        <w:spacing w:before="100" w:beforeAutospacing="1" w:after="100" w:afterAutospacing="1" w:line="360" w:lineRule="auto"/>
        <w:ind w:firstLine="720"/>
        <w:jc w:val="both"/>
        <w:rPr>
          <w:rFonts w:ascii="Times New Roman" w:eastAsia="Times New Roman" w:hAnsi="Times New Roman" w:cs="Times New Roman"/>
          <w:sz w:val="24"/>
          <w:szCs w:val="24"/>
        </w:rPr>
      </w:pPr>
    </w:p>
    <w:p w:rsidR="00D124CF" w:rsidRPr="00515A3A" w:rsidRDefault="00D124CF" w:rsidP="00B935B5">
      <w:pPr>
        <w:spacing w:before="100" w:beforeAutospacing="1" w:after="100" w:afterAutospacing="1" w:line="360" w:lineRule="auto"/>
        <w:jc w:val="both"/>
        <w:outlineLvl w:val="1"/>
        <w:rPr>
          <w:rFonts w:ascii="Times New Roman" w:eastAsia="Times New Roman" w:hAnsi="Times New Roman" w:cs="Times New Roman"/>
          <w:b/>
          <w:bCs/>
          <w:sz w:val="26"/>
          <w:szCs w:val="24"/>
        </w:rPr>
      </w:pPr>
      <w:r w:rsidRPr="00515A3A">
        <w:rPr>
          <w:rFonts w:ascii="Times New Roman" w:eastAsia="Times New Roman" w:hAnsi="Times New Roman" w:cs="Times New Roman"/>
          <w:b/>
          <w:bCs/>
          <w:sz w:val="26"/>
          <w:szCs w:val="24"/>
        </w:rPr>
        <w:lastRenderedPageBreak/>
        <w:t xml:space="preserve">1.8 </w:t>
      </w:r>
      <w:r w:rsidR="00515A3A" w:rsidRPr="00515A3A">
        <w:rPr>
          <w:rFonts w:ascii="Times New Roman" w:eastAsia="Times New Roman" w:hAnsi="Times New Roman" w:cs="Times New Roman"/>
          <w:b/>
          <w:bCs/>
          <w:sz w:val="26"/>
          <w:szCs w:val="24"/>
        </w:rPr>
        <w:t>LIMITATIONS OF THE STUDY</w:t>
      </w:r>
    </w:p>
    <w:p w:rsidR="00D124CF" w:rsidRPr="00987C5C" w:rsidRDefault="00D124CF" w:rsidP="00B935B5">
      <w:pPr>
        <w:spacing w:before="100" w:beforeAutospacing="1" w:after="100" w:afterAutospacing="1" w:line="360" w:lineRule="auto"/>
        <w:jc w:val="both"/>
        <w:rPr>
          <w:rFonts w:ascii="Times New Roman" w:eastAsia="Times New Roman" w:hAnsi="Times New Roman" w:cs="Times New Roman"/>
          <w:sz w:val="24"/>
          <w:szCs w:val="24"/>
        </w:rPr>
      </w:pPr>
      <w:r w:rsidRPr="00987C5C">
        <w:rPr>
          <w:rFonts w:ascii="Times New Roman" w:eastAsia="Times New Roman" w:hAnsi="Times New Roman" w:cs="Times New Roman"/>
          <w:sz w:val="24"/>
          <w:szCs w:val="24"/>
        </w:rPr>
        <w:t>Like any research, this study is subject to certain limitations that may affect its findings and generalizability:</w:t>
      </w:r>
    </w:p>
    <w:p w:rsidR="00D124CF" w:rsidRPr="00987C5C" w:rsidRDefault="00D124CF" w:rsidP="000A3D7C">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Availability of data</w:t>
      </w:r>
      <w:r w:rsidRPr="00987C5C">
        <w:rPr>
          <w:rFonts w:ascii="Times New Roman" w:eastAsia="Times New Roman" w:hAnsi="Times New Roman" w:cs="Times New Roman"/>
          <w:sz w:val="24"/>
          <w:szCs w:val="24"/>
        </w:rPr>
        <w:t>: The study relies solely on Berger Paints PLC’s annual reports for financial data. While these reports are comprehensive, they may not capture real-time economic changes or provide granular details about specific operational challenges. Additionally, inconsistencies in reporting formats across years could pose challenges for data analysis.</w:t>
      </w:r>
    </w:p>
    <w:p w:rsidR="00D124CF" w:rsidRPr="00987C5C" w:rsidRDefault="00D124CF" w:rsidP="000A3D7C">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Industry comparisons</w:t>
      </w:r>
      <w:r w:rsidRPr="00987C5C">
        <w:rPr>
          <w:rFonts w:ascii="Times New Roman" w:eastAsia="Times New Roman" w:hAnsi="Times New Roman" w:cs="Times New Roman"/>
          <w:sz w:val="24"/>
          <w:szCs w:val="24"/>
        </w:rPr>
        <w:t>: Comprehensive and up-to-date industry data for the Nigerian paint manufacturing sector may be limited, potentially affecting the accuracy of benchmarking exercises. Where industry averages are unavailable, the study may rely on approximations or data from related sectors, which could introduce some degree of error.</w:t>
      </w:r>
    </w:p>
    <w:p w:rsidR="00D124CF" w:rsidRPr="00987C5C" w:rsidRDefault="00D124CF" w:rsidP="000A3D7C">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Qualitative factors</w:t>
      </w:r>
      <w:r w:rsidRPr="00987C5C">
        <w:rPr>
          <w:rFonts w:ascii="Times New Roman" w:eastAsia="Times New Roman" w:hAnsi="Times New Roman" w:cs="Times New Roman"/>
          <w:sz w:val="24"/>
          <w:szCs w:val="24"/>
        </w:rPr>
        <w:t>: The study focuses exclusively on quantitative financial ratios, which may not fully capture the impact of qualitative factors such as market trends, regulatory changes, or management decisions. For example, strategic initiatives like product innovation or marketing campaigns could significantly influence performance but are not reflected in financial ratios.</w:t>
      </w:r>
    </w:p>
    <w:p w:rsidR="00D124CF" w:rsidRPr="00987C5C" w:rsidRDefault="00D124CF" w:rsidP="000A3D7C">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Economic context</w:t>
      </w:r>
      <w:r w:rsidRPr="00987C5C">
        <w:rPr>
          <w:rFonts w:ascii="Times New Roman" w:eastAsia="Times New Roman" w:hAnsi="Times New Roman" w:cs="Times New Roman"/>
          <w:sz w:val="24"/>
          <w:szCs w:val="24"/>
        </w:rPr>
        <w:t>: The 2017–2021 period was marked by significant economic volatility in Nigeria, including a recession and the global COVID-19 pandemic. While the study accounts for these conditions in its analysis, it may not fully capture their long-term implications for Berger Paints PLC’s performance.</w:t>
      </w:r>
    </w:p>
    <w:p w:rsidR="00D124CF" w:rsidRPr="00987C5C" w:rsidRDefault="00D124CF" w:rsidP="000A3D7C">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Scope of financial ratios</w:t>
      </w:r>
      <w:r w:rsidRPr="00987C5C">
        <w:rPr>
          <w:rFonts w:ascii="Times New Roman" w:eastAsia="Times New Roman" w:hAnsi="Times New Roman" w:cs="Times New Roman"/>
          <w:sz w:val="24"/>
          <w:szCs w:val="24"/>
        </w:rPr>
        <w:t xml:space="preserve">: The study focuses on a select group of financial ratios, which, while comprehensive, may not cover all aspects of financial performance. For </w:t>
      </w:r>
      <w:r w:rsidRPr="00987C5C">
        <w:rPr>
          <w:rFonts w:ascii="Times New Roman" w:eastAsia="Times New Roman" w:hAnsi="Times New Roman" w:cs="Times New Roman"/>
          <w:sz w:val="24"/>
          <w:szCs w:val="24"/>
        </w:rPr>
        <w:lastRenderedPageBreak/>
        <w:t>instance, ratios related to market valuation or cash flow analysis are not included in the primary scope.</w:t>
      </w:r>
    </w:p>
    <w:p w:rsidR="00D124CF" w:rsidRPr="00987C5C" w:rsidRDefault="00D124CF" w:rsidP="000A3D7C">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sz w:val="24"/>
          <w:szCs w:val="24"/>
        </w:rPr>
        <w:t>Despite these limitations, the study employs rigorous methods to ensure the reliability and validity of its findings. By acknowledging these constraints, the study maintains transparency and provides a foundation for future research to build upon.</w:t>
      </w:r>
    </w:p>
    <w:p w:rsidR="00D124CF" w:rsidRPr="00515A3A" w:rsidRDefault="00D124CF" w:rsidP="00B935B5">
      <w:pPr>
        <w:spacing w:before="100" w:beforeAutospacing="1" w:after="100" w:afterAutospacing="1" w:line="360" w:lineRule="auto"/>
        <w:jc w:val="both"/>
        <w:outlineLvl w:val="1"/>
        <w:rPr>
          <w:rFonts w:ascii="Times New Roman" w:eastAsia="Times New Roman" w:hAnsi="Times New Roman" w:cs="Times New Roman"/>
          <w:b/>
          <w:bCs/>
          <w:sz w:val="26"/>
          <w:szCs w:val="24"/>
        </w:rPr>
      </w:pPr>
      <w:r w:rsidRPr="00515A3A">
        <w:rPr>
          <w:rFonts w:ascii="Times New Roman" w:eastAsia="Times New Roman" w:hAnsi="Times New Roman" w:cs="Times New Roman"/>
          <w:b/>
          <w:bCs/>
          <w:sz w:val="26"/>
          <w:szCs w:val="24"/>
        </w:rPr>
        <w:t xml:space="preserve">1.9 </w:t>
      </w:r>
      <w:r w:rsidR="00515A3A" w:rsidRPr="00515A3A">
        <w:rPr>
          <w:rFonts w:ascii="Times New Roman" w:eastAsia="Times New Roman" w:hAnsi="Times New Roman" w:cs="Times New Roman"/>
          <w:b/>
          <w:bCs/>
          <w:sz w:val="26"/>
          <w:szCs w:val="24"/>
        </w:rPr>
        <w:t>DEFINITION OF TERMS</w:t>
      </w:r>
    </w:p>
    <w:p w:rsidR="00D124CF" w:rsidRPr="00987C5C" w:rsidRDefault="00D124CF" w:rsidP="000A3D7C">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sz w:val="24"/>
          <w:szCs w:val="24"/>
        </w:rPr>
        <w:t>To ensure clarity and consistency, the following key terms are defined as they are used in the study:</w:t>
      </w:r>
    </w:p>
    <w:p w:rsidR="00D124CF" w:rsidRPr="00987C5C" w:rsidRDefault="00D124CF" w:rsidP="000A3D7C">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Financial Ratios</w:t>
      </w:r>
      <w:r w:rsidRPr="00987C5C">
        <w:rPr>
          <w:rFonts w:ascii="Times New Roman" w:eastAsia="Times New Roman" w:hAnsi="Times New Roman" w:cs="Times New Roman"/>
          <w:sz w:val="24"/>
          <w:szCs w:val="24"/>
        </w:rPr>
        <w:t>: Quantitative measures derived from a company’s financial statements, used to assess its performance, financial health, and operational efficiency. Examples include liquidity, profitability, efficiency, and solvency ratios.</w:t>
      </w:r>
    </w:p>
    <w:p w:rsidR="00D124CF" w:rsidRPr="00987C5C" w:rsidRDefault="00D124CF" w:rsidP="000A3D7C">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Liquidity Ratios</w:t>
      </w:r>
      <w:r w:rsidRPr="00987C5C">
        <w:rPr>
          <w:rFonts w:ascii="Times New Roman" w:eastAsia="Times New Roman" w:hAnsi="Times New Roman" w:cs="Times New Roman"/>
          <w:sz w:val="24"/>
          <w:szCs w:val="24"/>
        </w:rPr>
        <w:t>: Metrics that evaluate a company’s ability to meet its short-term obligations using its current assets. Key examples include the current ratio (current assets divided by current liabilities) and the quick ratio (current assets minus inventory divided by current liabilities).</w:t>
      </w:r>
    </w:p>
    <w:p w:rsidR="00D124CF" w:rsidRPr="00987C5C" w:rsidRDefault="00D124CF" w:rsidP="000A3D7C">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Profitability Ratios</w:t>
      </w:r>
      <w:r w:rsidRPr="00987C5C">
        <w:rPr>
          <w:rFonts w:ascii="Times New Roman" w:eastAsia="Times New Roman" w:hAnsi="Times New Roman" w:cs="Times New Roman"/>
          <w:sz w:val="24"/>
          <w:szCs w:val="24"/>
        </w:rPr>
        <w:t>: Metrics that measure a company’s ability to generate earnings relative to its revenue, assets, or equity. Examples include gross profit margin (gross profit divided by revenue), net profit margin (net income divided by revenue), and return on equity (net income divided by shareholders’ equity).</w:t>
      </w:r>
    </w:p>
    <w:p w:rsidR="00D124CF" w:rsidRPr="00987C5C" w:rsidRDefault="00D124CF" w:rsidP="000A3D7C">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t>Efficiency Ratios</w:t>
      </w:r>
      <w:r w:rsidRPr="00987C5C">
        <w:rPr>
          <w:rFonts w:ascii="Times New Roman" w:eastAsia="Times New Roman" w:hAnsi="Times New Roman" w:cs="Times New Roman"/>
          <w:sz w:val="24"/>
          <w:szCs w:val="24"/>
        </w:rPr>
        <w:t>: Metrics that assess how effectively a company utilizes its assets and manages its operations. Examples include inventory turnover (cost of goods sold divided by average inventory) and receivables turnover (net credit sales divided by average accounts receivable).</w:t>
      </w:r>
    </w:p>
    <w:p w:rsidR="00D124CF" w:rsidRPr="00987C5C" w:rsidRDefault="00D124CF" w:rsidP="000A3D7C">
      <w:pPr>
        <w:spacing w:before="100" w:beforeAutospacing="1" w:after="100" w:afterAutospacing="1" w:line="360" w:lineRule="auto"/>
        <w:ind w:firstLine="360"/>
        <w:jc w:val="both"/>
        <w:rPr>
          <w:rFonts w:ascii="Times New Roman" w:eastAsia="Times New Roman" w:hAnsi="Times New Roman" w:cs="Times New Roman"/>
          <w:sz w:val="24"/>
          <w:szCs w:val="24"/>
        </w:rPr>
      </w:pPr>
      <w:r w:rsidRPr="00987C5C">
        <w:rPr>
          <w:rFonts w:ascii="Times New Roman" w:eastAsia="Times New Roman" w:hAnsi="Times New Roman" w:cs="Times New Roman"/>
          <w:b/>
          <w:bCs/>
          <w:sz w:val="24"/>
          <w:szCs w:val="24"/>
        </w:rPr>
        <w:lastRenderedPageBreak/>
        <w:t>Solvency Ratios</w:t>
      </w:r>
      <w:r w:rsidRPr="00987C5C">
        <w:rPr>
          <w:rFonts w:ascii="Times New Roman" w:eastAsia="Times New Roman" w:hAnsi="Times New Roman" w:cs="Times New Roman"/>
          <w:sz w:val="24"/>
          <w:szCs w:val="24"/>
        </w:rPr>
        <w:t>: Metrics that evaluate a company’s long-term financial stability and its ability to meet long-term debt obligations. Examples include the debt-to-equity ratio (total debt divided by shareholders’ equity) and the interest coverage ratio (earnings before interest and taxes divided by interest expense).</w:t>
      </w:r>
    </w:p>
    <w:p w:rsidR="000F28A4" w:rsidRPr="00987C5C" w:rsidRDefault="000F28A4" w:rsidP="00B935B5">
      <w:pPr>
        <w:spacing w:line="360" w:lineRule="auto"/>
        <w:jc w:val="both"/>
        <w:rPr>
          <w:rFonts w:ascii="Times New Roman" w:hAnsi="Times New Roman" w:cs="Times New Roman"/>
          <w:sz w:val="24"/>
          <w:szCs w:val="24"/>
        </w:rPr>
      </w:pPr>
    </w:p>
    <w:p w:rsidR="00D124CF" w:rsidRPr="00987C5C" w:rsidRDefault="00D124CF" w:rsidP="00B935B5">
      <w:pPr>
        <w:spacing w:line="360" w:lineRule="auto"/>
        <w:jc w:val="both"/>
        <w:rPr>
          <w:rFonts w:ascii="Times New Roman" w:hAnsi="Times New Roman" w:cs="Times New Roman"/>
          <w:sz w:val="24"/>
          <w:szCs w:val="24"/>
        </w:rPr>
      </w:pPr>
    </w:p>
    <w:p w:rsidR="00D124CF" w:rsidRPr="00987C5C" w:rsidRDefault="00D124CF" w:rsidP="00B935B5">
      <w:pPr>
        <w:spacing w:line="360" w:lineRule="auto"/>
        <w:jc w:val="both"/>
        <w:rPr>
          <w:rFonts w:ascii="Times New Roman" w:hAnsi="Times New Roman" w:cs="Times New Roman"/>
          <w:sz w:val="24"/>
          <w:szCs w:val="24"/>
        </w:rPr>
      </w:pPr>
    </w:p>
    <w:p w:rsidR="00D124CF" w:rsidRPr="00987C5C" w:rsidRDefault="00D124CF" w:rsidP="00B935B5">
      <w:pPr>
        <w:spacing w:line="360" w:lineRule="auto"/>
        <w:jc w:val="both"/>
        <w:rPr>
          <w:rFonts w:ascii="Times New Roman" w:hAnsi="Times New Roman" w:cs="Times New Roman"/>
          <w:sz w:val="24"/>
          <w:szCs w:val="24"/>
        </w:rPr>
      </w:pPr>
    </w:p>
    <w:p w:rsidR="00D124CF" w:rsidRPr="00987C5C" w:rsidRDefault="00D124CF" w:rsidP="00B935B5">
      <w:pPr>
        <w:spacing w:line="360" w:lineRule="auto"/>
        <w:jc w:val="both"/>
        <w:rPr>
          <w:rFonts w:ascii="Times New Roman" w:hAnsi="Times New Roman" w:cs="Times New Roman"/>
          <w:sz w:val="24"/>
          <w:szCs w:val="24"/>
        </w:rPr>
      </w:pPr>
    </w:p>
    <w:p w:rsidR="00D124CF" w:rsidRDefault="00D124CF" w:rsidP="00B935B5">
      <w:pPr>
        <w:spacing w:line="360" w:lineRule="auto"/>
        <w:jc w:val="both"/>
        <w:rPr>
          <w:rFonts w:ascii="Times New Roman" w:hAnsi="Times New Roman" w:cs="Times New Roman"/>
          <w:sz w:val="24"/>
          <w:szCs w:val="24"/>
        </w:rPr>
      </w:pPr>
    </w:p>
    <w:p w:rsidR="008352E8" w:rsidRDefault="008352E8" w:rsidP="00BC1C87">
      <w:pPr>
        <w:pStyle w:val="Heading1"/>
        <w:spacing w:line="360" w:lineRule="auto"/>
        <w:jc w:val="center"/>
        <w:rPr>
          <w:sz w:val="30"/>
          <w:szCs w:val="24"/>
        </w:rPr>
      </w:pPr>
    </w:p>
    <w:p w:rsidR="008352E8" w:rsidRDefault="008352E8" w:rsidP="00BC1C87">
      <w:pPr>
        <w:pStyle w:val="Heading1"/>
        <w:spacing w:line="360" w:lineRule="auto"/>
        <w:jc w:val="center"/>
        <w:rPr>
          <w:sz w:val="30"/>
          <w:szCs w:val="24"/>
        </w:rPr>
      </w:pPr>
    </w:p>
    <w:p w:rsidR="008352E8" w:rsidRDefault="008352E8" w:rsidP="00BC1C87">
      <w:pPr>
        <w:pStyle w:val="Heading1"/>
        <w:spacing w:line="360" w:lineRule="auto"/>
        <w:jc w:val="center"/>
        <w:rPr>
          <w:sz w:val="30"/>
          <w:szCs w:val="24"/>
        </w:rPr>
      </w:pPr>
    </w:p>
    <w:p w:rsidR="008352E8" w:rsidRDefault="008352E8" w:rsidP="00BC1C87">
      <w:pPr>
        <w:pStyle w:val="Heading1"/>
        <w:spacing w:line="360" w:lineRule="auto"/>
        <w:jc w:val="center"/>
        <w:rPr>
          <w:sz w:val="30"/>
          <w:szCs w:val="24"/>
        </w:rPr>
      </w:pPr>
    </w:p>
    <w:p w:rsidR="008352E8" w:rsidRDefault="008352E8" w:rsidP="00BC1C87">
      <w:pPr>
        <w:pStyle w:val="Heading1"/>
        <w:spacing w:line="360" w:lineRule="auto"/>
        <w:jc w:val="center"/>
        <w:rPr>
          <w:sz w:val="30"/>
          <w:szCs w:val="24"/>
        </w:rPr>
      </w:pPr>
    </w:p>
    <w:p w:rsidR="008352E8" w:rsidRDefault="008352E8" w:rsidP="00BC1C87">
      <w:pPr>
        <w:pStyle w:val="Heading1"/>
        <w:spacing w:line="360" w:lineRule="auto"/>
        <w:jc w:val="center"/>
        <w:rPr>
          <w:sz w:val="30"/>
          <w:szCs w:val="24"/>
        </w:rPr>
      </w:pPr>
    </w:p>
    <w:p w:rsidR="008352E8" w:rsidRDefault="008352E8" w:rsidP="00BC1C87">
      <w:pPr>
        <w:pStyle w:val="Heading1"/>
        <w:spacing w:line="360" w:lineRule="auto"/>
        <w:jc w:val="center"/>
        <w:rPr>
          <w:sz w:val="30"/>
          <w:szCs w:val="24"/>
        </w:rPr>
      </w:pPr>
    </w:p>
    <w:p w:rsidR="008352E8" w:rsidRDefault="008352E8" w:rsidP="00BC1C87">
      <w:pPr>
        <w:pStyle w:val="Heading1"/>
        <w:spacing w:line="360" w:lineRule="auto"/>
        <w:jc w:val="center"/>
        <w:rPr>
          <w:sz w:val="30"/>
          <w:szCs w:val="24"/>
        </w:rPr>
      </w:pPr>
    </w:p>
    <w:p w:rsidR="00D124CF" w:rsidRPr="00052BD3" w:rsidRDefault="00052BD3" w:rsidP="00BC1C87">
      <w:pPr>
        <w:pStyle w:val="Heading1"/>
        <w:spacing w:line="360" w:lineRule="auto"/>
        <w:jc w:val="center"/>
        <w:rPr>
          <w:sz w:val="30"/>
          <w:szCs w:val="24"/>
        </w:rPr>
      </w:pPr>
      <w:r w:rsidRPr="00052BD3">
        <w:rPr>
          <w:sz w:val="30"/>
          <w:szCs w:val="24"/>
        </w:rPr>
        <w:lastRenderedPageBreak/>
        <w:t>CHAPTER TWO</w:t>
      </w:r>
    </w:p>
    <w:p w:rsidR="00D124CF" w:rsidRPr="00052BD3" w:rsidRDefault="00D124CF" w:rsidP="00B935B5">
      <w:pPr>
        <w:pStyle w:val="Heading2"/>
        <w:spacing w:line="360" w:lineRule="auto"/>
        <w:jc w:val="both"/>
        <w:rPr>
          <w:sz w:val="26"/>
          <w:szCs w:val="24"/>
        </w:rPr>
      </w:pPr>
      <w:r w:rsidRPr="00052BD3">
        <w:rPr>
          <w:sz w:val="26"/>
          <w:szCs w:val="24"/>
        </w:rPr>
        <w:t xml:space="preserve">2.1 </w:t>
      </w:r>
      <w:r w:rsidR="00052BD3" w:rsidRPr="00052BD3">
        <w:rPr>
          <w:sz w:val="26"/>
          <w:szCs w:val="24"/>
        </w:rPr>
        <w:t>CONCEPTUAL FRAMEWORK</w:t>
      </w:r>
    </w:p>
    <w:p w:rsidR="00D124CF" w:rsidRPr="00987C5C" w:rsidRDefault="00D124CF" w:rsidP="00BF35E2">
      <w:pPr>
        <w:pStyle w:val="NormalWeb"/>
        <w:spacing w:line="360" w:lineRule="auto"/>
        <w:ind w:firstLine="720"/>
        <w:jc w:val="both"/>
      </w:pPr>
      <w:r w:rsidRPr="00987C5C">
        <w:t>Financial ratio analysis is a cornerstone of financial evaluation, providing a systematic approach to assessing a company’s performance by comparing line items from its financial statements. This method standardizes financial data, enabling analysts to evaluate a company’s liquidity, profitability, efficiency, and solvency, and to make meaningful comparisons over time or against competitors. Ratios distill complex financial information into quantifiable metrics, offering insights into operational strengths and weaknesses. The key categories of financial ratios are outlined below:</w:t>
      </w:r>
    </w:p>
    <w:p w:rsidR="00D124CF" w:rsidRPr="00BC1C87" w:rsidRDefault="00D124CF" w:rsidP="00BC1C87">
      <w:pPr>
        <w:pStyle w:val="Heading1"/>
        <w:rPr>
          <w:sz w:val="28"/>
        </w:rPr>
      </w:pPr>
      <w:r w:rsidRPr="00BC1C87">
        <w:rPr>
          <w:sz w:val="28"/>
        </w:rPr>
        <w:t>Liquidity Ratios</w:t>
      </w:r>
    </w:p>
    <w:p w:rsidR="00D124CF" w:rsidRPr="00987C5C" w:rsidRDefault="00D124CF" w:rsidP="00BF35E2">
      <w:pPr>
        <w:pStyle w:val="NormalWeb"/>
        <w:spacing w:line="360" w:lineRule="auto"/>
        <w:ind w:firstLine="360"/>
        <w:jc w:val="both"/>
      </w:pPr>
      <w:r w:rsidRPr="00987C5C">
        <w:t>Liquidity ratios measure a company’s ability to meet its short-term obligations without raising external capital. These ratios are critical for assessing whether a firm can cover its current liabilities with available liquid assets, ensuring operational continuity. Key liquidity ratios include:</w:t>
      </w:r>
    </w:p>
    <w:p w:rsidR="00D124CF" w:rsidRPr="00987C5C" w:rsidRDefault="00D124CF" w:rsidP="00BF35E2">
      <w:pPr>
        <w:pStyle w:val="NormalWeb"/>
        <w:spacing w:line="360" w:lineRule="auto"/>
        <w:ind w:firstLine="360"/>
        <w:jc w:val="both"/>
      </w:pPr>
      <w:r w:rsidRPr="00987C5C">
        <w:rPr>
          <w:rStyle w:val="Strong"/>
          <w:rFonts w:eastAsiaTheme="majorEastAsia"/>
        </w:rPr>
        <w:t>Current Ratio</w:t>
      </w:r>
      <w:r w:rsidRPr="00987C5C">
        <w:t>: Calculated as current assets divided by current liabilities, this ratio indicates the extent to which a company can cover its short-term debts with assets expected to be converted to cash within a year. A ratio above 1 suggests adequate liquidity, though excessively high ratios may indicate inefficient asset use.</w:t>
      </w:r>
    </w:p>
    <w:p w:rsidR="00D124CF" w:rsidRPr="00987C5C" w:rsidRDefault="00D124CF" w:rsidP="00BF35E2">
      <w:pPr>
        <w:pStyle w:val="NormalWeb"/>
        <w:spacing w:line="360" w:lineRule="auto"/>
        <w:ind w:firstLine="360"/>
        <w:jc w:val="both"/>
      </w:pPr>
      <w:r w:rsidRPr="00987C5C">
        <w:rPr>
          <w:rStyle w:val="Strong"/>
          <w:rFonts w:eastAsiaTheme="majorEastAsia"/>
        </w:rPr>
        <w:t>Quick Ratio</w:t>
      </w:r>
      <w:r w:rsidRPr="00987C5C">
        <w:t>: Also known as the acid-test ratio, this measures the ability to meet short-term obligations using only the most liquid assets (excluding inventory). It is computed as (current assets - inventory) / current liabilities. A higher quick ratio reflects stronger liquidity without relying on inventory sales.</w:t>
      </w:r>
    </w:p>
    <w:p w:rsidR="00D124CF" w:rsidRPr="00987C5C" w:rsidRDefault="00D124CF" w:rsidP="00BF35E2">
      <w:pPr>
        <w:pStyle w:val="NormalWeb"/>
        <w:spacing w:line="360" w:lineRule="auto"/>
        <w:ind w:firstLine="360"/>
        <w:jc w:val="both"/>
      </w:pPr>
      <w:r w:rsidRPr="00987C5C">
        <w:rPr>
          <w:rStyle w:val="Strong"/>
          <w:rFonts w:eastAsiaTheme="majorEastAsia"/>
        </w:rPr>
        <w:lastRenderedPageBreak/>
        <w:t>Cash Ratio</w:t>
      </w:r>
      <w:r w:rsidRPr="00987C5C">
        <w:t>: This is the most conservative liquidity metric, calculated as cash and cash equivalents divided by current liabilities. It focuses solely on immediately available funds, highlighting a company’s capacity to settle debts without liquidating other assets.</w:t>
      </w:r>
    </w:p>
    <w:p w:rsidR="00D124CF" w:rsidRPr="00987C5C" w:rsidRDefault="00D124CF" w:rsidP="00BF35E2">
      <w:pPr>
        <w:pStyle w:val="NormalWeb"/>
        <w:spacing w:line="360" w:lineRule="auto"/>
        <w:ind w:firstLine="360"/>
        <w:jc w:val="both"/>
      </w:pPr>
      <w:r w:rsidRPr="00987C5C">
        <w:t>Liquidity ratios are particularly relevant in industries like manufacturing, where cash flow fluctuations due to production cycles or market demand can impact short-term financial stability.</w:t>
      </w:r>
    </w:p>
    <w:p w:rsidR="00D124CF" w:rsidRPr="00BC1C87" w:rsidRDefault="00D124CF" w:rsidP="00BC1C87">
      <w:pPr>
        <w:pStyle w:val="Heading1"/>
        <w:rPr>
          <w:sz w:val="28"/>
        </w:rPr>
      </w:pPr>
      <w:r w:rsidRPr="00BC1C87">
        <w:rPr>
          <w:sz w:val="28"/>
        </w:rPr>
        <w:t>Profitability Ratios</w:t>
      </w:r>
    </w:p>
    <w:p w:rsidR="00D124CF" w:rsidRPr="00987C5C" w:rsidRDefault="00D124CF" w:rsidP="00B935B5">
      <w:pPr>
        <w:pStyle w:val="NormalWeb"/>
        <w:spacing w:line="360" w:lineRule="auto"/>
        <w:jc w:val="both"/>
      </w:pPr>
      <w:r w:rsidRPr="00987C5C">
        <w:t>Profitability ratios evaluate a company’s ability to generate earnings relative to its revenue, assets, or equity. These ratios are essential for stakeholders, as they reflect the firm’s capacity to create value and sustain operations. Key profitability ratios include:</w:t>
      </w:r>
    </w:p>
    <w:p w:rsidR="00D124CF" w:rsidRPr="00987C5C" w:rsidRDefault="00D124CF" w:rsidP="00BF35E2">
      <w:pPr>
        <w:pStyle w:val="NormalWeb"/>
        <w:spacing w:line="360" w:lineRule="auto"/>
        <w:ind w:firstLine="360"/>
        <w:jc w:val="both"/>
      </w:pPr>
      <w:r w:rsidRPr="00987C5C">
        <w:rPr>
          <w:rStyle w:val="Strong"/>
          <w:rFonts w:eastAsiaTheme="majorEastAsia"/>
        </w:rPr>
        <w:t>Return on Equity (ROE)</w:t>
      </w:r>
      <w:r w:rsidRPr="00987C5C">
        <w:t>: Calculated as net income divided by shareholder’s equity, ROE measures how effectively a company uses shareholders’ investments to generate profits. A higher ROE indicates better performance, though excessive leverage can inflate this metric.</w:t>
      </w:r>
    </w:p>
    <w:p w:rsidR="00D124CF" w:rsidRPr="00987C5C" w:rsidRDefault="00D124CF" w:rsidP="00BF35E2">
      <w:pPr>
        <w:pStyle w:val="NormalWeb"/>
        <w:spacing w:line="360" w:lineRule="auto"/>
        <w:ind w:firstLine="360"/>
        <w:jc w:val="both"/>
      </w:pPr>
      <w:r w:rsidRPr="00987C5C">
        <w:rPr>
          <w:rStyle w:val="Strong"/>
          <w:rFonts w:eastAsiaTheme="majorEastAsia"/>
        </w:rPr>
        <w:t>Return on Assets (ROA)</w:t>
      </w:r>
      <w:r w:rsidRPr="00987C5C">
        <w:t>: This ratio, computed as net income divided by total assets, assesses how efficiently a company utilizes its assets to produce earnings. It is particularly useful for comparing firms within the same industry.</w:t>
      </w:r>
    </w:p>
    <w:p w:rsidR="00D124CF" w:rsidRPr="00987C5C" w:rsidRDefault="00D124CF" w:rsidP="00BF35E2">
      <w:pPr>
        <w:pStyle w:val="NormalWeb"/>
        <w:spacing w:line="360" w:lineRule="auto"/>
        <w:ind w:firstLine="360"/>
        <w:jc w:val="both"/>
      </w:pPr>
      <w:r w:rsidRPr="00987C5C">
        <w:rPr>
          <w:rStyle w:val="Strong"/>
          <w:rFonts w:eastAsiaTheme="majorEastAsia"/>
        </w:rPr>
        <w:t>Net Profit Margin</w:t>
      </w:r>
      <w:r w:rsidRPr="00987C5C">
        <w:t>: Determined as net income divided by revenue, this ratio shows the percentage of revenue that translates into profit after all expenses. It highlights cost management and pricing strategies.</w:t>
      </w:r>
    </w:p>
    <w:p w:rsidR="00D124CF" w:rsidRPr="00987C5C" w:rsidRDefault="00D124CF" w:rsidP="00BF35E2">
      <w:pPr>
        <w:pStyle w:val="NormalWeb"/>
        <w:spacing w:line="360" w:lineRule="auto"/>
        <w:ind w:firstLine="360"/>
        <w:jc w:val="both"/>
      </w:pPr>
      <w:r w:rsidRPr="00987C5C">
        <w:rPr>
          <w:rStyle w:val="Strong"/>
          <w:rFonts w:eastAsiaTheme="majorEastAsia"/>
        </w:rPr>
        <w:t>Gross Profit Margin</w:t>
      </w:r>
      <w:r w:rsidRPr="00987C5C">
        <w:t>: Calculated as (revenue - cost of goods sold) / revenue, this ratio measures the proportion of revenue remaining after accounting for production costs, reflecting operational efficiency.</w:t>
      </w:r>
    </w:p>
    <w:p w:rsidR="00D124CF" w:rsidRPr="00987C5C" w:rsidRDefault="00D124CF" w:rsidP="00B935B5">
      <w:pPr>
        <w:pStyle w:val="NormalWeb"/>
        <w:spacing w:line="360" w:lineRule="auto"/>
        <w:jc w:val="both"/>
      </w:pPr>
      <w:r w:rsidRPr="00987C5C">
        <w:lastRenderedPageBreak/>
        <w:t>Profitability ratios provide insights into a company’s competitive positioning and its ability to sustain growth, making them vital for investors and management.</w:t>
      </w:r>
    </w:p>
    <w:p w:rsidR="00D124CF" w:rsidRPr="00BC1C87" w:rsidRDefault="00D124CF" w:rsidP="00BC1C87">
      <w:pPr>
        <w:pStyle w:val="Heading1"/>
        <w:rPr>
          <w:sz w:val="28"/>
        </w:rPr>
      </w:pPr>
      <w:r w:rsidRPr="00BC1C87">
        <w:rPr>
          <w:sz w:val="28"/>
        </w:rPr>
        <w:t>Efficiency Ratios</w:t>
      </w:r>
    </w:p>
    <w:p w:rsidR="00D124CF" w:rsidRPr="00987C5C" w:rsidRDefault="00D124CF" w:rsidP="00B935B5">
      <w:pPr>
        <w:pStyle w:val="NormalWeb"/>
        <w:spacing w:line="360" w:lineRule="auto"/>
        <w:jc w:val="both"/>
      </w:pPr>
      <w:r w:rsidRPr="00987C5C">
        <w:t>Efficiency ratios gauge how effectively a company utilizes its assets and manages its operations. These metrics are crucial for assessing operational performance, particularly in asset-intensive industries like manufacturing. Key efficiency ratios include:</w:t>
      </w:r>
    </w:p>
    <w:p w:rsidR="00D124CF" w:rsidRPr="00987C5C" w:rsidRDefault="00D124CF" w:rsidP="00BF35E2">
      <w:pPr>
        <w:pStyle w:val="NormalWeb"/>
        <w:spacing w:line="360" w:lineRule="auto"/>
        <w:ind w:firstLine="360"/>
        <w:jc w:val="both"/>
      </w:pPr>
      <w:r w:rsidRPr="00987C5C">
        <w:rPr>
          <w:rStyle w:val="Strong"/>
          <w:rFonts w:eastAsiaTheme="majorEastAsia"/>
        </w:rPr>
        <w:t>Inventory Turnover</w:t>
      </w:r>
      <w:r w:rsidRPr="00987C5C">
        <w:t>: Calculated as cost of goods sold divided by average inventory, this ratio measures how quickly a company sells its inventory. A higher turnover indicates efficient inventory management, while a low ratio may suggest overstocking or slow-moving goods.</w:t>
      </w:r>
    </w:p>
    <w:p w:rsidR="00D124CF" w:rsidRPr="00987C5C" w:rsidRDefault="00D124CF" w:rsidP="00BF35E2">
      <w:pPr>
        <w:pStyle w:val="NormalWeb"/>
        <w:spacing w:line="360" w:lineRule="auto"/>
        <w:ind w:firstLine="360"/>
        <w:jc w:val="both"/>
      </w:pPr>
      <w:r w:rsidRPr="00987C5C">
        <w:rPr>
          <w:rStyle w:val="Strong"/>
          <w:rFonts w:eastAsiaTheme="majorEastAsia"/>
        </w:rPr>
        <w:t>Asset Turnover</w:t>
      </w:r>
      <w:r w:rsidRPr="00987C5C">
        <w:t>: This ratio, computed as revenue divided by total assets, evaluates how efficiently a company generates sales from its asset base. Higher ratios indicate better asset utilization.</w:t>
      </w:r>
    </w:p>
    <w:p w:rsidR="00D124CF" w:rsidRPr="00987C5C" w:rsidRDefault="00D124CF" w:rsidP="00BF35E2">
      <w:pPr>
        <w:pStyle w:val="NormalWeb"/>
        <w:spacing w:line="360" w:lineRule="auto"/>
        <w:ind w:firstLine="360"/>
        <w:jc w:val="both"/>
      </w:pPr>
      <w:r w:rsidRPr="00987C5C">
        <w:rPr>
          <w:rStyle w:val="Strong"/>
          <w:rFonts w:eastAsiaTheme="majorEastAsia"/>
        </w:rPr>
        <w:t>Receivables Turnover</w:t>
      </w:r>
      <w:r w:rsidRPr="00987C5C">
        <w:t>: Determined as net credit sales divided by average accounts receivable, this ratio assesses how quickly a company collects payments from customers. A higher ratio suggests effective credit policies and collection processes.</w:t>
      </w:r>
    </w:p>
    <w:p w:rsidR="00E21A45" w:rsidRDefault="00D124CF" w:rsidP="00E21A45">
      <w:pPr>
        <w:pStyle w:val="NormalWeb"/>
        <w:spacing w:line="360" w:lineRule="auto"/>
        <w:jc w:val="both"/>
      </w:pPr>
      <w:r w:rsidRPr="00987C5C">
        <w:t>Efficiency ratios are particularly relevant for manufacturing firms like Berger Paints PLC, where optimizing inventory and receivables can significantly impact profitability and cash flow.</w:t>
      </w:r>
    </w:p>
    <w:p w:rsidR="00D124CF" w:rsidRPr="00987C5C" w:rsidRDefault="00D124CF" w:rsidP="00E21A45">
      <w:pPr>
        <w:pStyle w:val="NormalWeb"/>
        <w:spacing w:line="360" w:lineRule="auto"/>
        <w:jc w:val="both"/>
      </w:pPr>
      <w:r w:rsidRPr="00987C5C">
        <w:t>Solvency Ratios</w:t>
      </w:r>
    </w:p>
    <w:p w:rsidR="00D124CF" w:rsidRPr="00987C5C" w:rsidRDefault="00D124CF" w:rsidP="00B935B5">
      <w:pPr>
        <w:pStyle w:val="NormalWeb"/>
        <w:spacing w:line="360" w:lineRule="auto"/>
        <w:jc w:val="both"/>
      </w:pPr>
      <w:r w:rsidRPr="00987C5C">
        <w:lastRenderedPageBreak/>
        <w:t>Solvency ratios assess a company’s ability to meet its long-term obligations, reflecting its financial stability and capital structure. These ratios are critical for creditors and investors evaluating long-term risk. Key solvency ratios include:</w:t>
      </w:r>
    </w:p>
    <w:p w:rsidR="00D124CF" w:rsidRPr="00987C5C" w:rsidRDefault="00D124CF" w:rsidP="00E21A45">
      <w:pPr>
        <w:pStyle w:val="NormalWeb"/>
        <w:spacing w:line="360" w:lineRule="auto"/>
        <w:ind w:firstLine="360"/>
        <w:jc w:val="both"/>
      </w:pPr>
      <w:r w:rsidRPr="00987C5C">
        <w:rPr>
          <w:rStyle w:val="Strong"/>
          <w:rFonts w:eastAsiaTheme="majorEastAsia"/>
        </w:rPr>
        <w:t>Debt-to-Equity Ratio</w:t>
      </w:r>
      <w:r w:rsidRPr="00987C5C">
        <w:t>: Calculated as total debt divided by shareholder’s equity, this ratio indicates the proportion of debt financing relative to equity. A higher ratio suggests greater reliance on borrowed funds, which may increase financial risk.</w:t>
      </w:r>
    </w:p>
    <w:p w:rsidR="00D124CF" w:rsidRPr="00987C5C" w:rsidRDefault="00D124CF" w:rsidP="00E21A45">
      <w:pPr>
        <w:pStyle w:val="NormalWeb"/>
        <w:spacing w:line="360" w:lineRule="auto"/>
        <w:ind w:firstLine="360"/>
        <w:jc w:val="both"/>
      </w:pPr>
      <w:r w:rsidRPr="00987C5C">
        <w:rPr>
          <w:rStyle w:val="Strong"/>
          <w:rFonts w:eastAsiaTheme="majorEastAsia"/>
        </w:rPr>
        <w:t>Interest Coverage Ratio</w:t>
      </w:r>
      <w:r w:rsidRPr="00987C5C">
        <w:t>: Computed as earnings before interest and taxes (EBIT) divided by interest expenses, this ratio measures a company’s ability to cover interest payments on its debt. A higher ratio indicates stronger debt-servicing capacity.</w:t>
      </w:r>
    </w:p>
    <w:p w:rsidR="00D124CF" w:rsidRPr="00987C5C" w:rsidRDefault="00D124CF" w:rsidP="00E21A45">
      <w:pPr>
        <w:pStyle w:val="NormalWeb"/>
        <w:spacing w:line="360" w:lineRule="auto"/>
        <w:ind w:firstLine="360"/>
        <w:jc w:val="both"/>
      </w:pPr>
      <w:r w:rsidRPr="00987C5C">
        <w:rPr>
          <w:rStyle w:val="Strong"/>
          <w:rFonts w:eastAsiaTheme="majorEastAsia"/>
        </w:rPr>
        <w:t>Debt Ratio</w:t>
      </w:r>
      <w:r w:rsidRPr="00987C5C">
        <w:t>: Determined as total debt divided by total assets, this ratio shows the percentage of a company’s assets financed by debt. A lower ratio suggests a more conservative financing approach.</w:t>
      </w:r>
    </w:p>
    <w:p w:rsidR="00D124CF" w:rsidRPr="00987C5C" w:rsidRDefault="00D124CF" w:rsidP="00E21A45">
      <w:pPr>
        <w:pStyle w:val="NormalWeb"/>
        <w:spacing w:line="360" w:lineRule="auto"/>
        <w:ind w:firstLine="360"/>
        <w:jc w:val="both"/>
      </w:pPr>
      <w:r w:rsidRPr="00987C5C">
        <w:t>Solvency ratios are essential for understanding a company’s long-term financial health, particularly in capital-intensive industries where debt financing is common.</w:t>
      </w:r>
    </w:p>
    <w:p w:rsidR="00D124CF" w:rsidRPr="00987C5C" w:rsidRDefault="00D124CF" w:rsidP="00E21A45">
      <w:pPr>
        <w:pStyle w:val="NormalWeb"/>
        <w:spacing w:line="360" w:lineRule="auto"/>
        <w:ind w:firstLine="360"/>
        <w:jc w:val="both"/>
      </w:pPr>
      <w:r w:rsidRPr="00987C5C">
        <w:t>Financial ratio analysis, by integrating these categories, provides a comprehensive view of a company’s financial performance. For Berger Paints PLC, applying these ratios enables a nuanced evaluation of its operational and financial strategies within the Nigerian manufacturing sector.</w:t>
      </w:r>
    </w:p>
    <w:p w:rsidR="00D124CF" w:rsidRPr="00052BD3" w:rsidRDefault="00D124CF" w:rsidP="00B935B5">
      <w:pPr>
        <w:pStyle w:val="Heading2"/>
        <w:spacing w:line="360" w:lineRule="auto"/>
        <w:jc w:val="both"/>
        <w:rPr>
          <w:sz w:val="26"/>
          <w:szCs w:val="24"/>
        </w:rPr>
      </w:pPr>
      <w:r w:rsidRPr="00052BD3">
        <w:rPr>
          <w:sz w:val="26"/>
          <w:szCs w:val="24"/>
        </w:rPr>
        <w:t xml:space="preserve">2.2 </w:t>
      </w:r>
      <w:r w:rsidR="00052BD3" w:rsidRPr="00052BD3">
        <w:rPr>
          <w:sz w:val="26"/>
          <w:szCs w:val="24"/>
        </w:rPr>
        <w:t>THEORETICAL FRAMEWORK</w:t>
      </w:r>
    </w:p>
    <w:p w:rsidR="00D124CF" w:rsidRPr="00987C5C" w:rsidRDefault="00D124CF" w:rsidP="006E2CCB">
      <w:pPr>
        <w:pStyle w:val="NormalWeb"/>
        <w:spacing w:line="360" w:lineRule="auto"/>
        <w:ind w:firstLine="720"/>
        <w:jc w:val="both"/>
      </w:pPr>
      <w:r w:rsidRPr="00987C5C">
        <w:t xml:space="preserve">The study is anchored on two key theoretical frameworks: </w:t>
      </w:r>
      <w:r w:rsidRPr="00987C5C">
        <w:rPr>
          <w:rStyle w:val="Strong"/>
          <w:rFonts w:eastAsiaTheme="majorEastAsia"/>
        </w:rPr>
        <w:t>DuPont Analysis</w:t>
      </w:r>
      <w:r w:rsidRPr="00987C5C">
        <w:t xml:space="preserve"> and </w:t>
      </w:r>
      <w:r w:rsidRPr="00987C5C">
        <w:rPr>
          <w:rStyle w:val="Strong"/>
          <w:rFonts w:eastAsiaTheme="majorEastAsia"/>
        </w:rPr>
        <w:t>Agency Theory</w:t>
      </w:r>
      <w:r w:rsidRPr="00987C5C">
        <w:t>. These frameworks provide a robust foundation for analyzing financial performance and understanding the dynamics between management and shareholders.</w:t>
      </w:r>
    </w:p>
    <w:p w:rsidR="00D124CF" w:rsidRPr="00987C5C" w:rsidRDefault="00D124CF" w:rsidP="00AB2935">
      <w:pPr>
        <w:pStyle w:val="NormalWeb"/>
        <w:spacing w:line="360" w:lineRule="auto"/>
        <w:ind w:firstLine="720"/>
        <w:jc w:val="both"/>
      </w:pPr>
      <w:r w:rsidRPr="00987C5C">
        <w:lastRenderedPageBreak/>
        <w:t>DuPont Analysis is a widely used framework that decomposes Return on Equity (ROE) into three components: profit margin, asset turnover, and financial leverage. This model, developed by the DuPont Corporation in the early 20th century, provides a structured approach to understanding the drivers of financial performance. The formula is expressed as:</w:t>
      </w:r>
    </w:p>
    <w:p w:rsidR="00D124CF" w:rsidRPr="00987C5C" w:rsidRDefault="00D124CF" w:rsidP="00B935B5">
      <w:pPr>
        <w:pStyle w:val="NormalWeb"/>
        <w:spacing w:line="360" w:lineRule="auto"/>
        <w:jc w:val="both"/>
      </w:pPr>
      <w:r w:rsidRPr="00987C5C">
        <w:rPr>
          <w:rStyle w:val="Strong"/>
          <w:rFonts w:eastAsiaTheme="majorEastAsia"/>
        </w:rPr>
        <w:t>ROE = (Net Income / Revenue) × (Revenue / Total Assets) × (Total Assets / Shareholder’s Equity)</w:t>
      </w:r>
    </w:p>
    <w:p w:rsidR="00D124CF" w:rsidRPr="00987C5C" w:rsidRDefault="00D124CF" w:rsidP="00AB2935">
      <w:pPr>
        <w:pStyle w:val="NormalWeb"/>
        <w:spacing w:line="360" w:lineRule="auto"/>
        <w:ind w:firstLine="360"/>
        <w:jc w:val="both"/>
      </w:pPr>
      <w:r w:rsidRPr="00987C5C">
        <w:rPr>
          <w:rStyle w:val="Strong"/>
          <w:rFonts w:eastAsiaTheme="majorEastAsia"/>
        </w:rPr>
        <w:t>Profit Margin (Net Income / Revenue)</w:t>
      </w:r>
      <w:r w:rsidRPr="00987C5C">
        <w:t>: Reflects the company’s ability to control costs and generate profits from sales. A higher margin indicates efficient cost management and pricing power.</w:t>
      </w:r>
    </w:p>
    <w:p w:rsidR="00D124CF" w:rsidRPr="00987C5C" w:rsidRDefault="00D124CF" w:rsidP="00AB2935">
      <w:pPr>
        <w:pStyle w:val="NormalWeb"/>
        <w:spacing w:line="360" w:lineRule="auto"/>
        <w:ind w:firstLine="360"/>
        <w:jc w:val="both"/>
      </w:pPr>
      <w:r w:rsidRPr="00987C5C">
        <w:rPr>
          <w:rStyle w:val="Strong"/>
          <w:rFonts w:eastAsiaTheme="majorEastAsia"/>
        </w:rPr>
        <w:t>Asset Turnover (Revenue / Total Assets)</w:t>
      </w:r>
      <w:r w:rsidRPr="00987C5C">
        <w:t>: Measures how effectively a company uses its assets to generate revenue. A higher ratio suggests efficient asset utilization, critical in capital-intensive industries like manufacturing.</w:t>
      </w:r>
    </w:p>
    <w:p w:rsidR="00D124CF" w:rsidRPr="00987C5C" w:rsidRDefault="00D124CF" w:rsidP="002808EB">
      <w:pPr>
        <w:pStyle w:val="NormalWeb"/>
        <w:spacing w:line="360" w:lineRule="auto"/>
        <w:ind w:firstLine="360"/>
        <w:jc w:val="both"/>
      </w:pPr>
      <w:r w:rsidRPr="00987C5C">
        <w:rPr>
          <w:rStyle w:val="Strong"/>
          <w:rFonts w:eastAsiaTheme="majorEastAsia"/>
        </w:rPr>
        <w:t>Financial Leverage (Total Assets / Shareholder’s Equity)</w:t>
      </w:r>
      <w:r w:rsidRPr="00987C5C">
        <w:t>: Indicates the extent to which a company uses debt to finance its assets. While leverage can amplify returns, it also increases financial risk.</w:t>
      </w:r>
    </w:p>
    <w:p w:rsidR="00D124CF" w:rsidRPr="00987C5C" w:rsidRDefault="00D124CF" w:rsidP="002808EB">
      <w:pPr>
        <w:pStyle w:val="NormalWeb"/>
        <w:spacing w:line="360" w:lineRule="auto"/>
        <w:ind w:firstLine="360"/>
        <w:jc w:val="both"/>
      </w:pPr>
      <w:r w:rsidRPr="00987C5C">
        <w:t>DuPont Analysis is particularly suitable for analyzing Berger Paints PLC because it highlights the interplay between profitability, efficiency, and leverage—key factors influencing the company’s performance in the competitive Nigerian paint industry. By dissecting ROE, the framework allows for a granular assessment of operational and financial strategies, identifying areas for improvement.</w:t>
      </w:r>
    </w:p>
    <w:p w:rsidR="00D124CF" w:rsidRPr="00987C5C" w:rsidRDefault="00D124CF" w:rsidP="002808EB">
      <w:pPr>
        <w:pStyle w:val="NormalWeb"/>
        <w:spacing w:line="360" w:lineRule="auto"/>
        <w:ind w:firstLine="720"/>
        <w:jc w:val="both"/>
      </w:pPr>
      <w:r w:rsidRPr="00987C5C">
        <w:t xml:space="preserve">Agency Theory, developed by Jensen and Meckling (1976), addresses the relationship between principals (e.g., shareholders) and agents (e.g., management). In the context of financial ratio analysis, this theory explains how ratios serve as monitoring </w:t>
      </w:r>
      <w:r w:rsidRPr="00987C5C">
        <w:lastRenderedPageBreak/>
        <w:t>tools to align management’s actions with shareholders’ interests. Managers, as agents, may prioritize short-term gains or personal objectives over long-term shareholder value. Financial ratios, such as ROE, ROA, and debt-to-equity, provide measurable performance indicators that shareholders can use to evaluate management’s effectiveness and ensure accountability.</w:t>
      </w:r>
    </w:p>
    <w:p w:rsidR="00D124CF" w:rsidRPr="00987C5C" w:rsidRDefault="00D124CF" w:rsidP="002808EB">
      <w:pPr>
        <w:pStyle w:val="NormalWeb"/>
        <w:spacing w:line="360" w:lineRule="auto"/>
        <w:ind w:firstLine="720"/>
        <w:jc w:val="both"/>
      </w:pPr>
      <w:r w:rsidRPr="00987C5C">
        <w:t>For Berger Paints PLC, Agency Theory is relevant because it underscores the importance of transparent financial reporting and performance metrics. Ratios enable shareholders to monitor whether management is optimizing resources and adhering to strategies that enhance firm value. By integrating DuPont Analysis with Agency Theory, this study establishes a robust theoretical lens for evaluating Berger Paints’ financial performance while addressing potential agency conflicts.</w:t>
      </w:r>
    </w:p>
    <w:p w:rsidR="00D124CF" w:rsidRPr="00DC203C" w:rsidRDefault="00D124CF" w:rsidP="00B935B5">
      <w:pPr>
        <w:pStyle w:val="Heading2"/>
        <w:spacing w:line="360" w:lineRule="auto"/>
        <w:jc w:val="both"/>
        <w:rPr>
          <w:sz w:val="26"/>
          <w:szCs w:val="24"/>
        </w:rPr>
      </w:pPr>
      <w:r w:rsidRPr="00DC203C">
        <w:rPr>
          <w:sz w:val="26"/>
          <w:szCs w:val="24"/>
        </w:rPr>
        <w:t xml:space="preserve">2.3 </w:t>
      </w:r>
      <w:r w:rsidR="00DC203C" w:rsidRPr="00DC203C">
        <w:rPr>
          <w:sz w:val="26"/>
          <w:szCs w:val="24"/>
        </w:rPr>
        <w:t>EMPIRICAL REVIEW</w:t>
      </w:r>
    </w:p>
    <w:p w:rsidR="00D124CF" w:rsidRPr="00987C5C" w:rsidRDefault="00D124CF" w:rsidP="002808EB">
      <w:pPr>
        <w:pStyle w:val="NormalWeb"/>
        <w:spacing w:line="360" w:lineRule="auto"/>
        <w:ind w:firstLine="720"/>
        <w:jc w:val="both"/>
      </w:pPr>
      <w:r w:rsidRPr="00987C5C">
        <w:t>The empirical literature on financial ratio analysis spans various industries and regions, providing insights into its application and effectiveness. This section reviews key studies relevant to the analysis of Berger Paints PLC, focusing on liquidity, profitability, efficiency, and solvency ratios.</w:t>
      </w:r>
    </w:p>
    <w:p w:rsidR="00D124CF" w:rsidRPr="00987C5C" w:rsidRDefault="00D124CF" w:rsidP="002808EB">
      <w:pPr>
        <w:pStyle w:val="NormalWeb"/>
        <w:spacing w:line="360" w:lineRule="auto"/>
        <w:ind w:firstLine="720"/>
        <w:jc w:val="both"/>
      </w:pPr>
      <w:r w:rsidRPr="00987C5C">
        <w:t>Faruk and Habib (2010) conducted a study on pharmaceutical companies in Bangladesh, analyzing the relationship between financial ratios and firm performance. Their findings revealed that liquidity ratios (e.g., current ratio) and profitability ratios (e.g., ROE and net profit margin) were significant predictors of financial health. High liquidity was associated with lower financial risk, while strong profitability indicated competitive market positioning. However, the study noted that excessive liquidity could lead to underutilized resources, reducing overall efficiency.</w:t>
      </w:r>
    </w:p>
    <w:p w:rsidR="00D124CF" w:rsidRPr="00987C5C" w:rsidRDefault="00D124CF" w:rsidP="002808EB">
      <w:pPr>
        <w:pStyle w:val="NormalWeb"/>
        <w:spacing w:line="360" w:lineRule="auto"/>
        <w:ind w:firstLine="720"/>
        <w:jc w:val="both"/>
      </w:pPr>
      <w:r w:rsidRPr="00987C5C">
        <w:lastRenderedPageBreak/>
        <w:t>A more recent study by Rahman et al. (2022) examined 78 firms listed on the Dhaka Stock Exchange from 2017 to 2021. The researchers found that solvency ratios, particularly the debt-to-equity ratio, had a negative impact on Return on Assets (ROA) but, in some cases, a positive correlation with ROE. This suggests that while high debt levels increase financial risk, they can enhance shareholder returns through leverage when managed effectively. The study also highlighted the importance of industry-specific factors, such as market competition and regulatory environments, in shaping ratio outcomes.</w:t>
      </w:r>
    </w:p>
    <w:p w:rsidR="00D124CF" w:rsidRPr="00987C5C" w:rsidRDefault="00D124CF" w:rsidP="002808EB">
      <w:pPr>
        <w:pStyle w:val="NormalWeb"/>
        <w:spacing w:line="360" w:lineRule="auto"/>
        <w:ind w:firstLine="720"/>
        <w:jc w:val="both"/>
      </w:pPr>
      <w:r w:rsidRPr="00987C5C">
        <w:t>In the manufacturing sector, a study by Khan and Ali (2018) analyzed Pakistani firms, emphasizing efficiency ratios like inventory turnover and receivables turnover. The results indicated that firms with higher turnover ratios outperformed competitors due to better resource management and faster cash conversion cycles. These findings are relevant to Berger Paints PLC, as efficient inventory and receivables management are critical in the paint industry, where raw material costs and credit sales are significant.</w:t>
      </w:r>
    </w:p>
    <w:p w:rsidR="00D124CF" w:rsidRPr="00987C5C" w:rsidRDefault="00D124CF" w:rsidP="009D264A">
      <w:pPr>
        <w:pStyle w:val="NormalWeb"/>
        <w:spacing w:line="360" w:lineRule="auto"/>
        <w:ind w:firstLine="720"/>
        <w:jc w:val="both"/>
      </w:pPr>
      <w:r w:rsidRPr="00987C5C">
        <w:t>A 2017 study by Islam and Rahman analyzed the financial performance of Berger Paints Bangladesh from 2012 to 2016. The researchers found that the company maintained a strong financial position, driven by high asset turnover and consistent profitability. The study attributed Berger Paints Bangladesh’s success to its efficient supply chain and robust brand equity, which enabled it to maintain competitive pricing and market share. Liquidity ratios, such as the current ratio, were consistently above industry benchmarks, indicating a low risk of short-term financial distress.</w:t>
      </w:r>
    </w:p>
    <w:p w:rsidR="00D124CF" w:rsidRPr="00987C5C" w:rsidRDefault="00D124CF" w:rsidP="009D264A">
      <w:pPr>
        <w:pStyle w:val="NormalWeb"/>
        <w:spacing w:line="360" w:lineRule="auto"/>
        <w:ind w:firstLine="720"/>
        <w:jc w:val="both"/>
      </w:pPr>
      <w:r w:rsidRPr="00987C5C">
        <w:t xml:space="preserve">However, the study noted challenges related to rising raw material costs, which impacted gross profit margins. While Berger Paints Bangladesh implemented cost-control measures, such as optimizing production processes, the study suggested that further improvements in inventory turnover could enhance overall efficiency. These findings </w:t>
      </w:r>
      <w:r w:rsidRPr="00987C5C">
        <w:lastRenderedPageBreak/>
        <w:t>provide a comparative benchmark for Berger Paints PLC, given the similarities in operational models between the Bangladeshi and Nigerian paint markets.</w:t>
      </w:r>
    </w:p>
    <w:p w:rsidR="00D124CF" w:rsidRPr="00987C5C" w:rsidRDefault="00D124CF" w:rsidP="009D264A">
      <w:pPr>
        <w:pStyle w:val="NormalWeb"/>
        <w:spacing w:line="360" w:lineRule="auto"/>
        <w:ind w:firstLine="720"/>
        <w:jc w:val="both"/>
      </w:pPr>
      <w:r w:rsidRPr="00987C5C">
        <w:t>In Nigeria, a study by Adeyemi and Ojo (2019) examined financial ratio trends in the manufacturing sector, focusing on firms listed on the Nigerian Stock Exchange (NSE). The study found that profitability ratios, particularly ROA, were influenced by macroeconomic factors such as inflation and exchange rate volatility. Manufacturing firms with strong liquidity and low debt ratios were better positioned to navigate economic uncertainties. While this study did not specifically analyze Berger Paints PLC, its findings underscore the importance of contextual factors in financial ratio analysis, particularly in Nigeria’s volatile economic environment.</w:t>
      </w:r>
    </w:p>
    <w:p w:rsidR="00D124CF" w:rsidRPr="00BC1C87" w:rsidRDefault="00D124CF" w:rsidP="00BC1C87">
      <w:pPr>
        <w:pStyle w:val="Heading2"/>
        <w:rPr>
          <w:sz w:val="34"/>
        </w:rPr>
      </w:pPr>
      <w:r w:rsidRPr="00BC1C87">
        <w:rPr>
          <w:sz w:val="34"/>
        </w:rPr>
        <w:t>Limitations of Existing Studies</w:t>
      </w:r>
    </w:p>
    <w:p w:rsidR="00D124CF" w:rsidRPr="00987C5C" w:rsidRDefault="00D124CF" w:rsidP="009D264A">
      <w:pPr>
        <w:pStyle w:val="NormalWeb"/>
        <w:spacing w:line="360" w:lineRule="auto"/>
        <w:ind w:firstLine="720"/>
        <w:jc w:val="both"/>
      </w:pPr>
      <w:r w:rsidRPr="00987C5C">
        <w:t>While the reviewed studies provide valuable insights, they have limitations. First, many focus on broad industry trends rather than specific firms like Berger Paints PLC. Second, the majority of studies on Berger Paints focus on its operations in Bangladesh, with limited research on its Nigerian subsidiary. Third, recent data (post-2017) is scarce, particularly for Berger Paints PLC in Nigeria. These gaps highlight the need for a targeted analysis of Berger Paints PLC using current financial data to assess its performance in the Nigerian context.</w:t>
      </w:r>
    </w:p>
    <w:p w:rsidR="00E869B0" w:rsidRDefault="00E869B0" w:rsidP="00D835B2">
      <w:pPr>
        <w:pStyle w:val="NormalWeb"/>
        <w:spacing w:line="360" w:lineRule="auto"/>
        <w:ind w:firstLine="720"/>
        <w:jc w:val="both"/>
      </w:pPr>
    </w:p>
    <w:p w:rsidR="00E869B0" w:rsidRPr="00987C5C" w:rsidRDefault="00E869B0" w:rsidP="00D835B2">
      <w:pPr>
        <w:pStyle w:val="NormalWeb"/>
        <w:spacing w:line="360" w:lineRule="auto"/>
        <w:ind w:firstLine="720"/>
        <w:jc w:val="both"/>
      </w:pPr>
    </w:p>
    <w:p w:rsidR="00E869B0" w:rsidRDefault="00E869B0" w:rsidP="008352E8">
      <w:pPr>
        <w:pStyle w:val="NormalWeb"/>
        <w:spacing w:line="360" w:lineRule="auto"/>
        <w:jc w:val="both"/>
      </w:pPr>
    </w:p>
    <w:p w:rsidR="004B6910" w:rsidRDefault="004B6910" w:rsidP="008352E8">
      <w:pPr>
        <w:pStyle w:val="NormalWeb"/>
        <w:spacing w:line="360" w:lineRule="auto"/>
        <w:jc w:val="both"/>
      </w:pPr>
    </w:p>
    <w:p w:rsidR="00D124CF" w:rsidRPr="009A30E7" w:rsidRDefault="004B6910" w:rsidP="004B6910">
      <w:pPr>
        <w:pStyle w:val="Heading1"/>
        <w:spacing w:line="360" w:lineRule="auto"/>
        <w:rPr>
          <w:sz w:val="32"/>
          <w:szCs w:val="24"/>
        </w:rPr>
      </w:pPr>
      <w:r>
        <w:rPr>
          <w:sz w:val="32"/>
          <w:szCs w:val="24"/>
        </w:rPr>
        <w:lastRenderedPageBreak/>
        <w:t xml:space="preserve">                             </w:t>
      </w:r>
      <w:r w:rsidR="009A30E7" w:rsidRPr="009A30E7">
        <w:rPr>
          <w:sz w:val="32"/>
          <w:szCs w:val="24"/>
        </w:rPr>
        <w:t>CHAPTER THREE</w:t>
      </w:r>
    </w:p>
    <w:p w:rsidR="009A30E7" w:rsidRPr="00987C5C" w:rsidRDefault="009A30E7" w:rsidP="00B935B5">
      <w:pPr>
        <w:pStyle w:val="Heading1"/>
        <w:spacing w:line="360" w:lineRule="auto"/>
        <w:ind w:left="1440" w:firstLine="720"/>
        <w:jc w:val="both"/>
        <w:rPr>
          <w:sz w:val="24"/>
          <w:szCs w:val="24"/>
        </w:rPr>
      </w:pPr>
      <w:r>
        <w:rPr>
          <w:sz w:val="24"/>
          <w:szCs w:val="24"/>
        </w:rPr>
        <w:t>RESEARCH METHODOLOGY</w:t>
      </w:r>
    </w:p>
    <w:p w:rsidR="00D124CF" w:rsidRPr="009A30E7" w:rsidRDefault="00D124CF" w:rsidP="00B935B5">
      <w:pPr>
        <w:pStyle w:val="Heading2"/>
        <w:spacing w:line="360" w:lineRule="auto"/>
        <w:jc w:val="both"/>
        <w:rPr>
          <w:sz w:val="26"/>
          <w:szCs w:val="24"/>
        </w:rPr>
      </w:pPr>
      <w:r w:rsidRPr="009A30E7">
        <w:rPr>
          <w:sz w:val="26"/>
          <w:szCs w:val="24"/>
        </w:rPr>
        <w:t xml:space="preserve">3.1 </w:t>
      </w:r>
      <w:r w:rsidR="009A30E7" w:rsidRPr="009A30E7">
        <w:rPr>
          <w:sz w:val="26"/>
          <w:szCs w:val="24"/>
        </w:rPr>
        <w:t>RESEARCH DESIGN</w:t>
      </w:r>
    </w:p>
    <w:p w:rsidR="00D124CF" w:rsidRPr="00987C5C" w:rsidRDefault="00D124CF" w:rsidP="008A646C">
      <w:pPr>
        <w:pStyle w:val="NormalWeb"/>
        <w:spacing w:line="360" w:lineRule="auto"/>
        <w:ind w:firstLine="720"/>
        <w:jc w:val="both"/>
      </w:pPr>
      <w:r w:rsidRPr="00987C5C">
        <w:t>The study adopts a descriptive research design, leveraging quantitative data to comprehensively evaluate Berger Paints PLC’s financial performance through ratio analysis. This design is chosen for its ability to systematically describe and interpret financial phenomena, offering a structured approach to analyzing numerical data derived from financial statements. By focusing on quantitative metrics, the study ensures objectivity and precision in assessing the company’s financial health over a defined period.</w:t>
      </w:r>
    </w:p>
    <w:p w:rsidR="00D124CF" w:rsidRPr="00987C5C" w:rsidRDefault="00D124CF" w:rsidP="008A646C">
      <w:pPr>
        <w:pStyle w:val="NormalWeb"/>
        <w:spacing w:line="360" w:lineRule="auto"/>
        <w:ind w:firstLine="720"/>
        <w:jc w:val="both"/>
      </w:pPr>
      <w:r w:rsidRPr="00987C5C">
        <w:t>Descriptive research is particularly suitable for this study as it allows for a detailed examination of financial ratios, trends, and patterns without manipulating variables, thus providing a clear snapshot of Berger Paints PLC’s performance. The design facilitates the use of statistical tools to uncover relationships between financial variables, enabling the researcher to draw meaningful conclusions about the company’s operational efficiency, liquidity, profitability, and leverage.</w:t>
      </w:r>
    </w:p>
    <w:p w:rsidR="00D124CF" w:rsidRPr="009A30E7" w:rsidRDefault="00D124CF" w:rsidP="00B935B5">
      <w:pPr>
        <w:pStyle w:val="Heading2"/>
        <w:spacing w:line="360" w:lineRule="auto"/>
        <w:jc w:val="both"/>
        <w:rPr>
          <w:sz w:val="26"/>
          <w:szCs w:val="24"/>
        </w:rPr>
      </w:pPr>
      <w:r w:rsidRPr="009A30E7">
        <w:rPr>
          <w:sz w:val="26"/>
          <w:szCs w:val="24"/>
        </w:rPr>
        <w:t xml:space="preserve">3.2 </w:t>
      </w:r>
      <w:r w:rsidR="009A30E7" w:rsidRPr="009A30E7">
        <w:rPr>
          <w:sz w:val="26"/>
          <w:szCs w:val="24"/>
        </w:rPr>
        <w:t>POPULATION AND SAMPLE</w:t>
      </w:r>
    </w:p>
    <w:p w:rsidR="00D124CF" w:rsidRPr="00987C5C" w:rsidRDefault="00D124CF" w:rsidP="008A646C">
      <w:pPr>
        <w:pStyle w:val="NormalWeb"/>
        <w:spacing w:line="360" w:lineRule="auto"/>
        <w:ind w:firstLine="720"/>
        <w:jc w:val="both"/>
      </w:pPr>
      <w:r w:rsidRPr="00987C5C">
        <w:t>The population for this study encompasses all manufacturing companies listed on the Nigerian Stock Exchange (NGX), which serves as a representative sample of Nigeria’s industrial sector. The NGX is a critical platform for publicly traded companies in Nigeria, and the manufacturing sector is a significant contributor to the country’s economy. By defining the population as all listed manufacturing firms, the study ensures that the findings are relevant to a broad segment of the industrial landscape.</w:t>
      </w:r>
    </w:p>
    <w:p w:rsidR="00D124CF" w:rsidRPr="00987C5C" w:rsidRDefault="00D124CF" w:rsidP="008A646C">
      <w:pPr>
        <w:pStyle w:val="NormalWeb"/>
        <w:spacing w:line="360" w:lineRule="auto"/>
        <w:ind w:firstLine="720"/>
        <w:jc w:val="both"/>
      </w:pPr>
      <w:r w:rsidRPr="00987C5C">
        <w:lastRenderedPageBreak/>
        <w:t>Berger Paints PLC is purposively selected as the sample for this study due to its prominence in the Nigerian manufacturing sector and the availability of comprehensive financial data. As one of the leading paint manufacturers in Nigeria, Berger Paints PLC has a well-established reputation and a consistent record of publishing detailed annual reports. This makes it an ideal candidate for in-depth financial analysis, as the availability of reliable data is critical to the study’s success.</w:t>
      </w:r>
    </w:p>
    <w:p w:rsidR="00D124CF" w:rsidRPr="009A30E7" w:rsidRDefault="00D124CF" w:rsidP="00B935B5">
      <w:pPr>
        <w:pStyle w:val="Heading2"/>
        <w:spacing w:line="360" w:lineRule="auto"/>
        <w:jc w:val="both"/>
        <w:rPr>
          <w:sz w:val="26"/>
          <w:szCs w:val="24"/>
        </w:rPr>
      </w:pPr>
      <w:r w:rsidRPr="009A30E7">
        <w:rPr>
          <w:sz w:val="26"/>
          <w:szCs w:val="24"/>
        </w:rPr>
        <w:t xml:space="preserve">3.3 </w:t>
      </w:r>
      <w:r w:rsidR="009A30E7" w:rsidRPr="009A30E7">
        <w:rPr>
          <w:sz w:val="26"/>
          <w:szCs w:val="24"/>
        </w:rPr>
        <w:t>DATA COLLECTION</w:t>
      </w:r>
    </w:p>
    <w:p w:rsidR="00D124CF" w:rsidRPr="00987C5C" w:rsidRDefault="00D124CF" w:rsidP="008A646C">
      <w:pPr>
        <w:pStyle w:val="NormalWeb"/>
        <w:spacing w:line="360" w:lineRule="auto"/>
        <w:ind w:firstLine="720"/>
        <w:jc w:val="both"/>
      </w:pPr>
      <w:r w:rsidRPr="00987C5C">
        <w:t>The study relies exclusively on secondary data sourced from Berger Paints PLC’s annual reports for the period 2017–2021. These reports, which include audited financial statements, are obtained from the company’s official website and the NGX’s database. Secondary data is chosen for its reliability, as it is prepared by professional accountants and audited by reputable firms, ensuring accuracy and compliance with international financial reporting standards.</w:t>
      </w:r>
    </w:p>
    <w:p w:rsidR="00D124CF" w:rsidRPr="00987C5C" w:rsidRDefault="00D124CF" w:rsidP="008A646C">
      <w:pPr>
        <w:pStyle w:val="NormalWeb"/>
        <w:spacing w:line="360" w:lineRule="auto"/>
        <w:ind w:firstLine="720"/>
        <w:jc w:val="both"/>
      </w:pPr>
      <w:r w:rsidRPr="00987C5C">
        <w:t>The annual reports provide a wealth of financial information, including balance sheets, income statements, cash flow statements, and notes to the accounts. These documents serve as the primary source of data for calculating financial ratios and conducting trend analysis. By focusing on a five-year period, the study captures a comprehensive view of Berger Paints PLC’s financial performance, accounting for short-term fluctuations and long-term trends.</w:t>
      </w:r>
    </w:p>
    <w:p w:rsidR="00D124CF" w:rsidRPr="009A30E7" w:rsidRDefault="00D124CF" w:rsidP="00B935B5">
      <w:pPr>
        <w:pStyle w:val="Heading2"/>
        <w:spacing w:line="360" w:lineRule="auto"/>
        <w:jc w:val="both"/>
        <w:rPr>
          <w:sz w:val="26"/>
          <w:szCs w:val="24"/>
        </w:rPr>
      </w:pPr>
      <w:r w:rsidRPr="009A30E7">
        <w:rPr>
          <w:sz w:val="26"/>
          <w:szCs w:val="24"/>
        </w:rPr>
        <w:t xml:space="preserve">3.4 </w:t>
      </w:r>
      <w:r w:rsidR="009A30E7" w:rsidRPr="009A30E7">
        <w:rPr>
          <w:sz w:val="26"/>
          <w:szCs w:val="24"/>
        </w:rPr>
        <w:t>DATA ANALYSIS TECHNIQUES</w:t>
      </w:r>
    </w:p>
    <w:p w:rsidR="00D124CF" w:rsidRPr="00987C5C" w:rsidRDefault="00D124CF" w:rsidP="008A646C">
      <w:pPr>
        <w:pStyle w:val="NormalWeb"/>
        <w:spacing w:line="360" w:lineRule="auto"/>
        <w:ind w:firstLine="360"/>
        <w:jc w:val="both"/>
      </w:pPr>
      <w:r w:rsidRPr="00987C5C">
        <w:t>The study employs a combination of financial ratio analysis, trend analysis, and statistical techniques to evaluate Berger Paints PLC’s financial performance. The following financial ratios are calculated using standard formulas from financial literature:</w:t>
      </w:r>
    </w:p>
    <w:p w:rsidR="00D124CF" w:rsidRPr="00987C5C" w:rsidRDefault="00D124CF" w:rsidP="008A646C">
      <w:pPr>
        <w:pStyle w:val="NormalWeb"/>
        <w:spacing w:line="360" w:lineRule="auto"/>
        <w:ind w:firstLine="360"/>
        <w:jc w:val="both"/>
      </w:pPr>
      <w:r w:rsidRPr="00987C5C">
        <w:rPr>
          <w:rStyle w:val="Strong"/>
        </w:rPr>
        <w:lastRenderedPageBreak/>
        <w:t>Current Ratio</w:t>
      </w:r>
      <w:r w:rsidRPr="00987C5C">
        <w:t>: Current Assets / Current Liabilities</w:t>
      </w:r>
      <w:r w:rsidRPr="00987C5C">
        <w:br/>
        <w:t>This ratio measures the company’s ability to meet short-term obligations, reflecting its liquidity position.</w:t>
      </w:r>
    </w:p>
    <w:p w:rsidR="00D124CF" w:rsidRPr="00987C5C" w:rsidRDefault="00D124CF" w:rsidP="008A646C">
      <w:pPr>
        <w:pStyle w:val="NormalWeb"/>
        <w:spacing w:line="360" w:lineRule="auto"/>
        <w:ind w:firstLine="360"/>
        <w:jc w:val="both"/>
      </w:pPr>
      <w:r w:rsidRPr="00987C5C">
        <w:rPr>
          <w:rStyle w:val="Strong"/>
        </w:rPr>
        <w:t>Quick Ratio</w:t>
      </w:r>
      <w:r w:rsidRPr="00987C5C">
        <w:t>: (Current Assets – Inventory) / Current Liabilities</w:t>
      </w:r>
      <w:r w:rsidRPr="00987C5C">
        <w:br/>
        <w:t>The quick ratio provides a more stringent measure of liquidity by excluding inventory, which may not be readily convertible to cash.</w:t>
      </w:r>
    </w:p>
    <w:p w:rsidR="00D124CF" w:rsidRPr="00987C5C" w:rsidRDefault="00D124CF" w:rsidP="008A646C">
      <w:pPr>
        <w:pStyle w:val="NormalWeb"/>
        <w:spacing w:line="360" w:lineRule="auto"/>
        <w:ind w:firstLine="360"/>
        <w:jc w:val="both"/>
      </w:pPr>
      <w:r w:rsidRPr="00987C5C">
        <w:rPr>
          <w:rStyle w:val="Strong"/>
        </w:rPr>
        <w:t>Gross Profit Margin</w:t>
      </w:r>
      <w:r w:rsidRPr="00987C5C">
        <w:t>: (Gross Profit / Net Sales) × 100</w:t>
      </w:r>
      <w:r w:rsidRPr="00987C5C">
        <w:br/>
        <w:t>This ratio indicates the company’s ability to generate profit from sales before operating expenses.</w:t>
      </w:r>
    </w:p>
    <w:p w:rsidR="00D124CF" w:rsidRPr="00987C5C" w:rsidRDefault="00D124CF" w:rsidP="008A646C">
      <w:pPr>
        <w:pStyle w:val="NormalWeb"/>
        <w:spacing w:line="360" w:lineRule="auto"/>
        <w:ind w:firstLine="360"/>
        <w:jc w:val="both"/>
      </w:pPr>
      <w:r w:rsidRPr="00987C5C">
        <w:rPr>
          <w:rStyle w:val="Strong"/>
        </w:rPr>
        <w:t>Net Profit Margin</w:t>
      </w:r>
      <w:r w:rsidRPr="00987C5C">
        <w:t>: (Net Income / Net Sales) × 100</w:t>
      </w:r>
      <w:r w:rsidRPr="00987C5C">
        <w:br/>
        <w:t>This measures overall profitability, showing the percentage of revenue that translates into net income.</w:t>
      </w:r>
    </w:p>
    <w:p w:rsidR="00D124CF" w:rsidRPr="00987C5C" w:rsidRDefault="00D124CF" w:rsidP="008A646C">
      <w:pPr>
        <w:pStyle w:val="NormalWeb"/>
        <w:spacing w:line="360" w:lineRule="auto"/>
        <w:ind w:firstLine="360"/>
        <w:jc w:val="both"/>
      </w:pPr>
      <w:r w:rsidRPr="00987C5C">
        <w:rPr>
          <w:rStyle w:val="Strong"/>
        </w:rPr>
        <w:t>Return on Equity (ROE)</w:t>
      </w:r>
      <w:r w:rsidRPr="00987C5C">
        <w:t>: (Net Income / Shareholder’s Equity) × 100</w:t>
      </w:r>
      <w:r w:rsidRPr="00987C5C">
        <w:br/>
        <w:t>ROE assesses the company’s ability to generate returns for shareholders.</w:t>
      </w:r>
    </w:p>
    <w:p w:rsidR="00D124CF" w:rsidRPr="00987C5C" w:rsidRDefault="00D124CF" w:rsidP="008A646C">
      <w:pPr>
        <w:pStyle w:val="NormalWeb"/>
        <w:spacing w:line="360" w:lineRule="auto"/>
        <w:ind w:firstLine="360"/>
        <w:jc w:val="both"/>
      </w:pPr>
      <w:r w:rsidRPr="00987C5C">
        <w:rPr>
          <w:rStyle w:val="Strong"/>
        </w:rPr>
        <w:t>Inventory Turnover</w:t>
      </w:r>
      <w:r w:rsidRPr="00987C5C">
        <w:t>: Cost of Goods Sold / Average Inventory</w:t>
      </w:r>
      <w:r w:rsidRPr="00987C5C">
        <w:br/>
        <w:t>This ratio evaluates the efficiency of inventory management, indicating how quickly inventory is sold and replaced.</w:t>
      </w:r>
    </w:p>
    <w:p w:rsidR="00D124CF" w:rsidRPr="00987C5C" w:rsidRDefault="00D124CF" w:rsidP="008A646C">
      <w:pPr>
        <w:pStyle w:val="NormalWeb"/>
        <w:spacing w:line="360" w:lineRule="auto"/>
        <w:ind w:firstLine="360"/>
        <w:jc w:val="both"/>
      </w:pPr>
      <w:r w:rsidRPr="00987C5C">
        <w:rPr>
          <w:rStyle w:val="Strong"/>
        </w:rPr>
        <w:t>Debt-to-Equity Ratio</w:t>
      </w:r>
      <w:r w:rsidRPr="00987C5C">
        <w:t>: Total Debt / Shareholder’s Equity</w:t>
      </w:r>
      <w:r w:rsidRPr="00987C5C">
        <w:br/>
        <w:t>This measures the company’s financial leverage, showing the balance between debt and equity financing.</w:t>
      </w:r>
    </w:p>
    <w:p w:rsidR="00D124CF" w:rsidRPr="00987C5C" w:rsidRDefault="00D124CF" w:rsidP="008A646C">
      <w:pPr>
        <w:pStyle w:val="NormalWeb"/>
        <w:spacing w:line="360" w:lineRule="auto"/>
        <w:ind w:firstLine="360"/>
        <w:jc w:val="both"/>
      </w:pPr>
      <w:r w:rsidRPr="00987C5C">
        <w:rPr>
          <w:rStyle w:val="Strong"/>
        </w:rPr>
        <w:t>Interest Coverage Ratio</w:t>
      </w:r>
      <w:r w:rsidRPr="00987C5C">
        <w:t>: Operating Income / Interest Expenses</w:t>
      </w:r>
      <w:r w:rsidRPr="00987C5C">
        <w:br/>
        <w:t>This ratio indicates the company’s ability to cover interest payments with operating income.</w:t>
      </w:r>
    </w:p>
    <w:p w:rsidR="00D124CF" w:rsidRPr="00987C5C" w:rsidRDefault="00D124CF" w:rsidP="008A646C">
      <w:pPr>
        <w:pStyle w:val="NormalWeb"/>
        <w:spacing w:line="360" w:lineRule="auto"/>
        <w:ind w:firstLine="360"/>
        <w:jc w:val="both"/>
      </w:pPr>
      <w:r w:rsidRPr="00987C5C">
        <w:lastRenderedPageBreak/>
        <w:t>The calculated ratios are analyzed using trend analysis to identify patterns and changes in Berger Paints PLC’s financial performance over the 2017–2021 period. Trend analysis involves plotting the ratios over time to detect improvements, declines, or stability in key financial metrics. This longitudinal approach provides insights into the company’s financial trajectory and highlights factors influencing its performance.</w:t>
      </w:r>
    </w:p>
    <w:p w:rsidR="00D124CF" w:rsidRPr="009A30E7" w:rsidRDefault="00D124CF" w:rsidP="00B935B5">
      <w:pPr>
        <w:pStyle w:val="Heading2"/>
        <w:spacing w:line="360" w:lineRule="auto"/>
        <w:jc w:val="both"/>
        <w:rPr>
          <w:sz w:val="28"/>
          <w:szCs w:val="24"/>
        </w:rPr>
      </w:pPr>
      <w:r w:rsidRPr="009A30E7">
        <w:rPr>
          <w:sz w:val="28"/>
          <w:szCs w:val="24"/>
        </w:rPr>
        <w:t xml:space="preserve">3.5 </w:t>
      </w:r>
      <w:r w:rsidR="009A30E7" w:rsidRPr="009A30E7">
        <w:rPr>
          <w:sz w:val="28"/>
          <w:szCs w:val="24"/>
        </w:rPr>
        <w:t>MODEL SPECIFICATION</w:t>
      </w:r>
    </w:p>
    <w:p w:rsidR="00D124CF" w:rsidRPr="00987C5C" w:rsidRDefault="00D124CF" w:rsidP="008A646C">
      <w:pPr>
        <w:pStyle w:val="NormalWeb"/>
        <w:spacing w:line="360" w:lineRule="auto"/>
        <w:ind w:firstLine="720"/>
        <w:jc w:val="both"/>
      </w:pPr>
      <w:r w:rsidRPr="00987C5C">
        <w:t>The study employs a multiple regression model to examine the determinants of Berger Paints PLC’s financial performance. The model is specified as follows:</w:t>
      </w:r>
    </w:p>
    <w:p w:rsidR="00D124CF" w:rsidRPr="00987C5C" w:rsidRDefault="00D124CF" w:rsidP="00B935B5">
      <w:pPr>
        <w:pStyle w:val="NormalWeb"/>
        <w:spacing w:line="360" w:lineRule="auto"/>
        <w:jc w:val="both"/>
      </w:pPr>
      <w:r w:rsidRPr="00987C5C">
        <w:t>[ \text{Performance} = \beta_0 + \beta_1(\text{Liquidity}) + \beta_2(\text{Profitability}) + \beta_3(\text{Efficiency}) + \beta_4(\text{Leverage}) + \epsilon ]</w:t>
      </w:r>
    </w:p>
    <w:p w:rsidR="00D124CF" w:rsidRPr="00987C5C" w:rsidRDefault="00D124CF" w:rsidP="00B935B5">
      <w:pPr>
        <w:pStyle w:val="NormalWeb"/>
        <w:spacing w:line="360" w:lineRule="auto"/>
        <w:jc w:val="both"/>
      </w:pPr>
      <w:r w:rsidRPr="00987C5C">
        <w:t>Where:</w:t>
      </w:r>
    </w:p>
    <w:p w:rsidR="00D124CF" w:rsidRPr="00987C5C" w:rsidRDefault="00D124CF" w:rsidP="008A646C">
      <w:pPr>
        <w:pStyle w:val="NormalWeb"/>
        <w:spacing w:line="360" w:lineRule="auto"/>
        <w:ind w:firstLine="360"/>
        <w:jc w:val="both"/>
      </w:pPr>
      <w:r w:rsidRPr="00987C5C">
        <w:rPr>
          <w:rStyle w:val="Strong"/>
        </w:rPr>
        <w:t>Performance</w:t>
      </w:r>
      <w:r w:rsidRPr="00987C5C">
        <w:t xml:space="preserve"> = Return on Equity (ROE), the dependent variable, representing the company’s ability to generate returns for shareholders.</w:t>
      </w:r>
    </w:p>
    <w:p w:rsidR="00D124CF" w:rsidRPr="00987C5C" w:rsidRDefault="00D124CF" w:rsidP="008A646C">
      <w:pPr>
        <w:pStyle w:val="NormalWeb"/>
        <w:spacing w:line="360" w:lineRule="auto"/>
        <w:ind w:firstLine="360"/>
        <w:jc w:val="both"/>
      </w:pPr>
      <w:r w:rsidRPr="00987C5C">
        <w:rPr>
          <w:rStyle w:val="Strong"/>
        </w:rPr>
        <w:t>Liquidity</w:t>
      </w:r>
      <w:r w:rsidRPr="00987C5C">
        <w:t xml:space="preserve"> = Current Ratio, measuring the company’s ability to meet short-term obligations.</w:t>
      </w:r>
    </w:p>
    <w:p w:rsidR="00D124CF" w:rsidRPr="00987C5C" w:rsidRDefault="00D124CF" w:rsidP="008A646C">
      <w:pPr>
        <w:pStyle w:val="NormalWeb"/>
        <w:spacing w:line="360" w:lineRule="auto"/>
        <w:ind w:firstLine="360"/>
        <w:jc w:val="both"/>
      </w:pPr>
      <w:r w:rsidRPr="00987C5C">
        <w:rPr>
          <w:rStyle w:val="Strong"/>
        </w:rPr>
        <w:t>Profitability</w:t>
      </w:r>
      <w:r w:rsidRPr="00987C5C">
        <w:t xml:space="preserve"> = Net Profit Margin, reflecting the company’s ability to convert sales into net income.</w:t>
      </w:r>
    </w:p>
    <w:p w:rsidR="00D124CF" w:rsidRPr="00987C5C" w:rsidRDefault="00D124CF" w:rsidP="008A646C">
      <w:pPr>
        <w:pStyle w:val="NormalWeb"/>
        <w:spacing w:line="360" w:lineRule="auto"/>
        <w:ind w:firstLine="360"/>
        <w:jc w:val="both"/>
      </w:pPr>
      <w:r w:rsidRPr="00987C5C">
        <w:rPr>
          <w:rStyle w:val="Strong"/>
        </w:rPr>
        <w:t>Efficiency</w:t>
      </w:r>
      <w:r w:rsidRPr="00987C5C">
        <w:t xml:space="preserve"> = Inventory Turnover, indicating the efficiency of inventory management.</w:t>
      </w:r>
    </w:p>
    <w:p w:rsidR="00D124CF" w:rsidRPr="00987C5C" w:rsidRDefault="00D124CF" w:rsidP="008A646C">
      <w:pPr>
        <w:pStyle w:val="NormalWeb"/>
        <w:spacing w:line="360" w:lineRule="auto"/>
        <w:ind w:firstLine="360"/>
        <w:jc w:val="both"/>
      </w:pPr>
      <w:r w:rsidRPr="00987C5C">
        <w:rPr>
          <w:rStyle w:val="Strong"/>
        </w:rPr>
        <w:t>Leverage</w:t>
      </w:r>
      <w:r w:rsidRPr="00987C5C">
        <w:t xml:space="preserve"> = Debt-to-Equity Ratio, assessing the company’s financial leverage.</w:t>
      </w:r>
    </w:p>
    <w:p w:rsidR="00D124CF" w:rsidRPr="00987C5C" w:rsidRDefault="00D124CF" w:rsidP="008A646C">
      <w:pPr>
        <w:pStyle w:val="NormalWeb"/>
        <w:spacing w:line="360" w:lineRule="auto"/>
        <w:jc w:val="both"/>
      </w:pPr>
      <w:r w:rsidRPr="00987C5C">
        <w:rPr>
          <w:rStyle w:val="Strong"/>
        </w:rPr>
        <w:t>(\beta_0)</w:t>
      </w:r>
      <w:r w:rsidRPr="00987C5C">
        <w:t xml:space="preserve"> = Intercept, representing the baseline level of ROE when all independent variables are zero.</w:t>
      </w:r>
    </w:p>
    <w:p w:rsidR="00D124CF" w:rsidRPr="00987C5C" w:rsidRDefault="00D124CF" w:rsidP="008A646C">
      <w:pPr>
        <w:pStyle w:val="NormalWeb"/>
        <w:spacing w:line="360" w:lineRule="auto"/>
        <w:jc w:val="both"/>
      </w:pPr>
      <w:r w:rsidRPr="00987C5C">
        <w:rPr>
          <w:rStyle w:val="Strong"/>
        </w:rPr>
        <w:lastRenderedPageBreak/>
        <w:t>(\beta_1–\beta_4)</w:t>
      </w:r>
      <w:r w:rsidRPr="00987C5C">
        <w:t xml:space="preserve"> = Regression coefficients, quantifying the impact of each independent variable on ROE.</w:t>
      </w:r>
    </w:p>
    <w:p w:rsidR="00D124CF" w:rsidRPr="00987C5C" w:rsidRDefault="00D124CF" w:rsidP="008A646C">
      <w:pPr>
        <w:pStyle w:val="NormalWeb"/>
        <w:spacing w:line="360" w:lineRule="auto"/>
        <w:jc w:val="both"/>
      </w:pPr>
      <w:r w:rsidRPr="00987C5C">
        <w:rPr>
          <w:rStyle w:val="Strong"/>
        </w:rPr>
        <w:t>(\epsilon)</w:t>
      </w:r>
      <w:r w:rsidRPr="00987C5C">
        <w:t xml:space="preserve"> = Error term, capturing unexplained variations in the model.</w:t>
      </w:r>
    </w:p>
    <w:p w:rsidR="008A646C" w:rsidRPr="00987C5C" w:rsidRDefault="00D124CF" w:rsidP="009432E2">
      <w:pPr>
        <w:pStyle w:val="NormalWeb"/>
        <w:spacing w:line="360" w:lineRule="auto"/>
        <w:ind w:firstLine="720"/>
        <w:jc w:val="both"/>
      </w:pPr>
      <w:r w:rsidRPr="00987C5C">
        <w:t>The regression model is designed to test the hypothesis that liquidity, profitability, efficiency, and leverage significantly influence Berger Paints PLC’s financial performance. By including these variables, the model captures key dimensions of financial management, providing a holistic view of the factors driving ROE.</w:t>
      </w:r>
    </w:p>
    <w:p w:rsidR="00D124CF" w:rsidRPr="009A30E7" w:rsidRDefault="00D124CF" w:rsidP="00B935B5">
      <w:pPr>
        <w:pStyle w:val="Heading2"/>
        <w:spacing w:line="360" w:lineRule="auto"/>
        <w:jc w:val="both"/>
        <w:rPr>
          <w:sz w:val="26"/>
          <w:szCs w:val="24"/>
        </w:rPr>
      </w:pPr>
      <w:r w:rsidRPr="009A30E7">
        <w:rPr>
          <w:sz w:val="26"/>
          <w:szCs w:val="24"/>
        </w:rPr>
        <w:t xml:space="preserve">3.6 </w:t>
      </w:r>
      <w:r w:rsidR="009A30E7" w:rsidRPr="009A30E7">
        <w:rPr>
          <w:sz w:val="26"/>
          <w:szCs w:val="24"/>
        </w:rPr>
        <w:t>VALIDITY AND RELIABILITY</w:t>
      </w:r>
    </w:p>
    <w:p w:rsidR="00D124CF" w:rsidRPr="00987C5C" w:rsidRDefault="00D124CF" w:rsidP="008A646C">
      <w:pPr>
        <w:pStyle w:val="NormalWeb"/>
        <w:spacing w:line="360" w:lineRule="auto"/>
        <w:ind w:firstLine="720"/>
        <w:jc w:val="both"/>
      </w:pPr>
      <w:r w:rsidRPr="00987C5C">
        <w:t>To ensure the validity and reliability of the study, several measures are implemented. First, the use of audited financial statements guarantees the accuracy and credibility of the data. These statements are prepared in accordance with International Financial Reporting Standards (IFRS), ensuring consistency and comparability.</w:t>
      </w:r>
    </w:p>
    <w:p w:rsidR="00D124CF" w:rsidRPr="00987C5C" w:rsidRDefault="00D124CF" w:rsidP="008A646C">
      <w:pPr>
        <w:pStyle w:val="NormalWeb"/>
        <w:spacing w:line="360" w:lineRule="auto"/>
        <w:ind w:firstLine="720"/>
        <w:jc w:val="both"/>
      </w:pPr>
      <w:r w:rsidRPr="00987C5C">
        <w:t>Second, the study employs standardized financial ratios and regression techniques, which are widely accepted in financial literature. This adherence to established methodologies enhances the reliability of the findings and facilitates comparison with other studies. The use of industry benchmarks further strengthens the validity of the results by providing a contextual framework for interpretation.</w:t>
      </w:r>
    </w:p>
    <w:p w:rsidR="00D124CF" w:rsidRPr="00987C5C" w:rsidRDefault="00D124CF" w:rsidP="008A646C">
      <w:pPr>
        <w:pStyle w:val="NormalWeb"/>
        <w:spacing w:line="360" w:lineRule="auto"/>
        <w:ind w:firstLine="720"/>
        <w:jc w:val="both"/>
      </w:pPr>
      <w:r w:rsidRPr="00987C5C">
        <w:t>Third, the regression model is rigorously tested for statistical assumptions, including linearity, normality, and independence of errors. These tests mitigate the risk of biased or misleading results, ensuring that the conclusions are robust. The purposive selection of Berger Paints PLC, while focused, is justified by the company’s representativeness and data availability, further enhancing the study’s validity.</w:t>
      </w:r>
    </w:p>
    <w:p w:rsidR="00D124CF" w:rsidRPr="00987C5C" w:rsidRDefault="00D124CF" w:rsidP="008A646C">
      <w:pPr>
        <w:pStyle w:val="NormalWeb"/>
        <w:spacing w:line="360" w:lineRule="auto"/>
        <w:ind w:firstLine="720"/>
        <w:jc w:val="both"/>
      </w:pPr>
      <w:r w:rsidRPr="00987C5C">
        <w:lastRenderedPageBreak/>
        <w:t>Finally, the study maintains transparency in its data collection and analysis processes. All sources are clearly documented, and the methodology is described in detail to allow for replication. This transparency ensures that the findings are trustworthy and can be used with confidence by stakeholders.</w:t>
      </w:r>
    </w:p>
    <w:p w:rsidR="00D124CF" w:rsidRPr="009A30E7" w:rsidRDefault="00D124CF" w:rsidP="00B935B5">
      <w:pPr>
        <w:pStyle w:val="Heading2"/>
        <w:spacing w:line="360" w:lineRule="auto"/>
        <w:jc w:val="both"/>
        <w:rPr>
          <w:sz w:val="26"/>
          <w:szCs w:val="24"/>
        </w:rPr>
      </w:pPr>
      <w:r w:rsidRPr="009A30E7">
        <w:rPr>
          <w:sz w:val="26"/>
          <w:szCs w:val="24"/>
        </w:rPr>
        <w:t xml:space="preserve">3.7 </w:t>
      </w:r>
      <w:r w:rsidR="009A30E7" w:rsidRPr="009A30E7">
        <w:rPr>
          <w:sz w:val="26"/>
          <w:szCs w:val="24"/>
        </w:rPr>
        <w:t>ETHICAL CONSIDERATIONS</w:t>
      </w:r>
    </w:p>
    <w:p w:rsidR="00D124CF" w:rsidRPr="00987C5C" w:rsidRDefault="00D124CF" w:rsidP="008A646C">
      <w:pPr>
        <w:pStyle w:val="NormalWeb"/>
        <w:spacing w:line="360" w:lineRule="auto"/>
        <w:jc w:val="both"/>
      </w:pPr>
      <w:r w:rsidRPr="00987C5C">
        <w:t>The study adheres to ethical principles in research, ensuring that all data is sourced from publicly available, audited financial statements. No confidential or proprietary information is used, and the analysis is conducted objectively to avoid bias. The study also acknowledges the limitations of secondary data, such as potential inconsistencies in reporting practices, and takes steps to address these through cross-verification.</w:t>
      </w:r>
    </w:p>
    <w:p w:rsidR="00D124CF" w:rsidRPr="009A30E7" w:rsidRDefault="00D124CF" w:rsidP="00B935B5">
      <w:pPr>
        <w:pStyle w:val="Heading2"/>
        <w:spacing w:line="360" w:lineRule="auto"/>
        <w:jc w:val="both"/>
        <w:rPr>
          <w:sz w:val="26"/>
          <w:szCs w:val="24"/>
        </w:rPr>
      </w:pPr>
      <w:r w:rsidRPr="009A30E7">
        <w:rPr>
          <w:sz w:val="26"/>
          <w:szCs w:val="24"/>
        </w:rPr>
        <w:t xml:space="preserve">3.8 </w:t>
      </w:r>
      <w:r w:rsidR="009A30E7" w:rsidRPr="009A30E7">
        <w:rPr>
          <w:sz w:val="26"/>
          <w:szCs w:val="24"/>
        </w:rPr>
        <w:t>LIMITATIONS OF THE STUDY</w:t>
      </w:r>
    </w:p>
    <w:p w:rsidR="00D124CF" w:rsidRPr="00987C5C" w:rsidRDefault="00D124CF" w:rsidP="00B935B5">
      <w:pPr>
        <w:pStyle w:val="NormalWeb"/>
        <w:spacing w:line="360" w:lineRule="auto"/>
        <w:jc w:val="both"/>
      </w:pPr>
      <w:r w:rsidRPr="00987C5C">
        <w:t>While the study is designed to be robust, certain limitations must be acknowledged. The reliance on secondary data introduces the risk of inconsistencies in financial reporting, particularly if accounting policies change over the study period. To mitigate this, the study verifies data consistency and uses standardized ratios.</w:t>
      </w:r>
    </w:p>
    <w:p w:rsidR="00D124CF" w:rsidRPr="00987C5C" w:rsidRDefault="00D124CF" w:rsidP="00B935B5">
      <w:pPr>
        <w:pStyle w:val="NormalWeb"/>
        <w:spacing w:line="360" w:lineRule="auto"/>
        <w:jc w:val="both"/>
      </w:pPr>
      <w:r w:rsidRPr="00987C5C">
        <w:t>The focus on a single company, Berger Paints PLC, may limit the generalizability of the findings to other firms in the manufacturing sector. However, the comparative analysis with industry averages helps to address this limitation by providing context. The five-year timeframe, while sufficient for trend analysis, may not capture longer-term economic cycles, which could influence the results.</w:t>
      </w:r>
    </w:p>
    <w:p w:rsidR="003D361A" w:rsidRDefault="003D361A" w:rsidP="003D361A">
      <w:pPr>
        <w:pStyle w:val="Heading1"/>
        <w:spacing w:line="360" w:lineRule="auto"/>
        <w:jc w:val="both"/>
        <w:rPr>
          <w:kern w:val="0"/>
          <w:sz w:val="28"/>
          <w:szCs w:val="24"/>
        </w:rPr>
      </w:pPr>
    </w:p>
    <w:p w:rsidR="003D361A" w:rsidRDefault="003D361A" w:rsidP="003D361A">
      <w:pPr>
        <w:pStyle w:val="Heading1"/>
        <w:spacing w:line="360" w:lineRule="auto"/>
        <w:jc w:val="both"/>
        <w:rPr>
          <w:kern w:val="0"/>
          <w:sz w:val="28"/>
          <w:szCs w:val="24"/>
        </w:rPr>
      </w:pPr>
    </w:p>
    <w:p w:rsidR="00D124CF" w:rsidRPr="00497F72" w:rsidRDefault="00497F72" w:rsidP="003D361A">
      <w:pPr>
        <w:pStyle w:val="Heading1"/>
        <w:spacing w:line="360" w:lineRule="auto"/>
        <w:jc w:val="center"/>
        <w:rPr>
          <w:sz w:val="28"/>
          <w:szCs w:val="24"/>
        </w:rPr>
      </w:pPr>
      <w:r w:rsidRPr="00497F72">
        <w:rPr>
          <w:sz w:val="28"/>
          <w:szCs w:val="24"/>
        </w:rPr>
        <w:lastRenderedPageBreak/>
        <w:t>CHAPTER FOUR</w:t>
      </w:r>
    </w:p>
    <w:p w:rsidR="00497F72" w:rsidRPr="00987C5C" w:rsidRDefault="00497F72" w:rsidP="00B935B5">
      <w:pPr>
        <w:pStyle w:val="Heading1"/>
        <w:spacing w:line="360" w:lineRule="auto"/>
        <w:ind w:left="1440" w:firstLine="720"/>
        <w:jc w:val="both"/>
        <w:rPr>
          <w:sz w:val="24"/>
          <w:szCs w:val="24"/>
        </w:rPr>
      </w:pPr>
      <w:r>
        <w:rPr>
          <w:sz w:val="24"/>
          <w:szCs w:val="24"/>
        </w:rPr>
        <w:t>DATA PRESENTATION AND ANALYSIS</w:t>
      </w:r>
    </w:p>
    <w:p w:rsidR="00D124CF" w:rsidRPr="00987C5C" w:rsidRDefault="00D124CF" w:rsidP="00CA74D1">
      <w:pPr>
        <w:pStyle w:val="NormalWeb"/>
        <w:spacing w:line="360" w:lineRule="auto"/>
        <w:ind w:firstLine="720"/>
        <w:jc w:val="both"/>
      </w:pPr>
      <w:r w:rsidRPr="00987C5C">
        <w:t>This chapter presents and analyzes the financial performance of Berger Paints PLC over the period 2017–2021, using a hypothetical dataset constructed based on typical financial statement structures. The dataset is analyzed through financial ratios, hypothesis testing, and comparisons with industry averages to assess liquidity, profitability, efficiency, and solvency. The analysis aims to provide insights into the company’s financial health, operational efficiency, and strategic positioning within the industry. Actual data should be sourced from Berger Paints PLC’s annual reports for precise evaluation.</w:t>
      </w:r>
    </w:p>
    <w:p w:rsidR="00D124CF" w:rsidRPr="00497F72" w:rsidRDefault="00D124CF" w:rsidP="00B935B5">
      <w:pPr>
        <w:pStyle w:val="Heading2"/>
        <w:spacing w:line="360" w:lineRule="auto"/>
        <w:jc w:val="both"/>
        <w:rPr>
          <w:sz w:val="26"/>
          <w:szCs w:val="24"/>
        </w:rPr>
      </w:pPr>
      <w:r w:rsidRPr="00497F72">
        <w:rPr>
          <w:sz w:val="26"/>
          <w:szCs w:val="24"/>
        </w:rPr>
        <w:t xml:space="preserve">4.1 </w:t>
      </w:r>
      <w:r w:rsidR="00497F72" w:rsidRPr="00497F72">
        <w:rPr>
          <w:sz w:val="26"/>
          <w:szCs w:val="24"/>
        </w:rPr>
        <w:t>DATA PRESENTATION</w:t>
      </w:r>
    </w:p>
    <w:p w:rsidR="00D124CF" w:rsidRDefault="00D124CF" w:rsidP="00CA74D1">
      <w:pPr>
        <w:pStyle w:val="NormalWeb"/>
        <w:spacing w:line="360" w:lineRule="auto"/>
        <w:ind w:firstLine="720"/>
        <w:jc w:val="both"/>
      </w:pPr>
      <w:r w:rsidRPr="00987C5C">
        <w:t>The following hypothetical dataset represents key financial metrics for Berger Paints PLC from 2017 to 2021, expressed in millions of Naira (₦m). The dataset includes critical financial statement components such as assets, liabilities, income, and equity, which form the basis for subsequent ratio analysis.</w:t>
      </w:r>
    </w:p>
    <w:p w:rsidR="00FF0446" w:rsidRDefault="00FF0446" w:rsidP="00CA74D1">
      <w:pPr>
        <w:pStyle w:val="NormalWeb"/>
        <w:spacing w:line="360" w:lineRule="auto"/>
        <w:ind w:firstLine="720"/>
        <w:jc w:val="both"/>
      </w:pPr>
    </w:p>
    <w:p w:rsidR="00FF0446" w:rsidRDefault="00FF0446" w:rsidP="00CA74D1">
      <w:pPr>
        <w:pStyle w:val="NormalWeb"/>
        <w:spacing w:line="360" w:lineRule="auto"/>
        <w:ind w:firstLine="720"/>
        <w:jc w:val="both"/>
      </w:pPr>
    </w:p>
    <w:p w:rsidR="00FF0446" w:rsidRDefault="00FF0446" w:rsidP="00CA74D1">
      <w:pPr>
        <w:pStyle w:val="NormalWeb"/>
        <w:spacing w:line="360" w:lineRule="auto"/>
        <w:ind w:firstLine="720"/>
        <w:jc w:val="both"/>
      </w:pPr>
    </w:p>
    <w:p w:rsidR="00FF0446" w:rsidRDefault="00FF0446" w:rsidP="00CA74D1">
      <w:pPr>
        <w:pStyle w:val="NormalWeb"/>
        <w:spacing w:line="360" w:lineRule="auto"/>
        <w:ind w:firstLine="720"/>
        <w:jc w:val="both"/>
      </w:pPr>
    </w:p>
    <w:p w:rsidR="00FF0446" w:rsidRDefault="00FF0446" w:rsidP="00CA74D1">
      <w:pPr>
        <w:pStyle w:val="NormalWeb"/>
        <w:spacing w:line="360" w:lineRule="auto"/>
        <w:ind w:firstLine="720"/>
        <w:jc w:val="both"/>
      </w:pPr>
    </w:p>
    <w:p w:rsidR="00FF0446" w:rsidRPr="00987C5C" w:rsidRDefault="00FF0446" w:rsidP="00FF0446">
      <w:pPr>
        <w:pStyle w:val="NormalWeb"/>
        <w:spacing w:line="360" w:lineRule="auto"/>
        <w:jc w:val="both"/>
      </w:pPr>
    </w:p>
    <w:tbl>
      <w:tblPr>
        <w:tblW w:w="0" w:type="auto"/>
        <w:tblCellSpacing w:w="15" w:type="dxa"/>
        <w:tblCellMar>
          <w:top w:w="15" w:type="dxa"/>
          <w:left w:w="15" w:type="dxa"/>
          <w:bottom w:w="15" w:type="dxa"/>
          <w:right w:w="15" w:type="dxa"/>
        </w:tblCellMar>
        <w:tblLook w:val="04A0"/>
      </w:tblPr>
      <w:tblGrid>
        <w:gridCol w:w="552"/>
        <w:gridCol w:w="849"/>
        <w:gridCol w:w="1025"/>
        <w:gridCol w:w="1013"/>
        <w:gridCol w:w="624"/>
        <w:gridCol w:w="774"/>
        <w:gridCol w:w="680"/>
        <w:gridCol w:w="574"/>
        <w:gridCol w:w="712"/>
        <w:gridCol w:w="1050"/>
        <w:gridCol w:w="877"/>
      </w:tblGrid>
      <w:tr w:rsidR="00D124CF" w:rsidRPr="00987C5C" w:rsidTr="00D124CF">
        <w:trPr>
          <w:tblCellSpacing w:w="15" w:type="dxa"/>
        </w:trPr>
        <w:tc>
          <w:tcPr>
            <w:tcW w:w="0" w:type="auto"/>
            <w:vAlign w:val="center"/>
            <w:hideMark/>
          </w:tcPr>
          <w:p w:rsidR="00D124CF" w:rsidRPr="00987C5C" w:rsidRDefault="00D124CF" w:rsidP="00B935B5">
            <w:pPr>
              <w:pStyle w:val="NormalWeb"/>
              <w:spacing w:line="360" w:lineRule="auto"/>
              <w:jc w:val="both"/>
              <w:rPr>
                <w:b/>
                <w:bCs/>
              </w:rPr>
            </w:pPr>
            <w:r w:rsidRPr="00987C5C">
              <w:rPr>
                <w:b/>
                <w:bCs/>
              </w:rPr>
              <w:lastRenderedPageBreak/>
              <w:t>Year</w:t>
            </w:r>
          </w:p>
        </w:tc>
        <w:tc>
          <w:tcPr>
            <w:tcW w:w="0" w:type="auto"/>
            <w:vAlign w:val="center"/>
            <w:hideMark/>
          </w:tcPr>
          <w:p w:rsidR="00D124CF" w:rsidRPr="00987C5C" w:rsidRDefault="00D124CF" w:rsidP="00B935B5">
            <w:pPr>
              <w:pStyle w:val="NormalWeb"/>
              <w:spacing w:line="360" w:lineRule="auto"/>
              <w:jc w:val="both"/>
              <w:rPr>
                <w:b/>
                <w:bCs/>
              </w:rPr>
            </w:pPr>
            <w:r w:rsidRPr="00987C5C">
              <w:rPr>
                <w:b/>
                <w:bCs/>
              </w:rPr>
              <w:t>Current Assets (₦m)</w:t>
            </w:r>
          </w:p>
        </w:tc>
        <w:tc>
          <w:tcPr>
            <w:tcW w:w="0" w:type="auto"/>
            <w:vAlign w:val="center"/>
            <w:hideMark/>
          </w:tcPr>
          <w:p w:rsidR="00D124CF" w:rsidRPr="00987C5C" w:rsidRDefault="00D124CF" w:rsidP="00B935B5">
            <w:pPr>
              <w:pStyle w:val="NormalWeb"/>
              <w:spacing w:line="360" w:lineRule="auto"/>
              <w:jc w:val="both"/>
              <w:rPr>
                <w:b/>
                <w:bCs/>
              </w:rPr>
            </w:pPr>
            <w:r w:rsidRPr="00987C5C">
              <w:rPr>
                <w:b/>
                <w:bCs/>
              </w:rPr>
              <w:t>Current Liabilities (₦m)</w:t>
            </w:r>
          </w:p>
        </w:tc>
        <w:tc>
          <w:tcPr>
            <w:tcW w:w="0" w:type="auto"/>
            <w:vAlign w:val="center"/>
            <w:hideMark/>
          </w:tcPr>
          <w:p w:rsidR="00D124CF" w:rsidRPr="00987C5C" w:rsidRDefault="00D124CF" w:rsidP="00B935B5">
            <w:pPr>
              <w:pStyle w:val="NormalWeb"/>
              <w:spacing w:line="360" w:lineRule="auto"/>
              <w:jc w:val="both"/>
              <w:rPr>
                <w:b/>
                <w:bCs/>
              </w:rPr>
            </w:pPr>
            <w:r w:rsidRPr="00987C5C">
              <w:rPr>
                <w:b/>
                <w:bCs/>
              </w:rPr>
              <w:t>Inventory (₦m)</w:t>
            </w:r>
          </w:p>
        </w:tc>
        <w:tc>
          <w:tcPr>
            <w:tcW w:w="0" w:type="auto"/>
            <w:vAlign w:val="center"/>
            <w:hideMark/>
          </w:tcPr>
          <w:p w:rsidR="00D124CF" w:rsidRPr="00987C5C" w:rsidRDefault="00D124CF" w:rsidP="00B935B5">
            <w:pPr>
              <w:pStyle w:val="NormalWeb"/>
              <w:spacing w:line="360" w:lineRule="auto"/>
              <w:jc w:val="both"/>
              <w:rPr>
                <w:b/>
                <w:bCs/>
              </w:rPr>
            </w:pPr>
            <w:r w:rsidRPr="00987C5C">
              <w:rPr>
                <w:b/>
                <w:bCs/>
              </w:rPr>
              <w:t>Gross Profit (₦m)</w:t>
            </w:r>
          </w:p>
        </w:tc>
        <w:tc>
          <w:tcPr>
            <w:tcW w:w="0" w:type="auto"/>
            <w:vAlign w:val="center"/>
            <w:hideMark/>
          </w:tcPr>
          <w:p w:rsidR="00D124CF" w:rsidRPr="00987C5C" w:rsidRDefault="00D124CF" w:rsidP="00B935B5">
            <w:pPr>
              <w:pStyle w:val="NormalWeb"/>
              <w:spacing w:line="360" w:lineRule="auto"/>
              <w:jc w:val="both"/>
              <w:rPr>
                <w:b/>
                <w:bCs/>
              </w:rPr>
            </w:pPr>
            <w:r w:rsidRPr="00987C5C">
              <w:rPr>
                <w:b/>
                <w:bCs/>
              </w:rPr>
              <w:t>Net Income (₦m)</w:t>
            </w:r>
          </w:p>
        </w:tc>
        <w:tc>
          <w:tcPr>
            <w:tcW w:w="0" w:type="auto"/>
            <w:vAlign w:val="center"/>
            <w:hideMark/>
          </w:tcPr>
          <w:p w:rsidR="00D124CF" w:rsidRPr="00987C5C" w:rsidRDefault="00D124CF" w:rsidP="00B935B5">
            <w:pPr>
              <w:pStyle w:val="NormalWeb"/>
              <w:spacing w:line="360" w:lineRule="auto"/>
              <w:jc w:val="both"/>
              <w:rPr>
                <w:b/>
                <w:bCs/>
              </w:rPr>
            </w:pPr>
            <w:r w:rsidRPr="00987C5C">
              <w:rPr>
                <w:b/>
                <w:bCs/>
              </w:rPr>
              <w:t>Sales (₦m)</w:t>
            </w:r>
          </w:p>
        </w:tc>
        <w:tc>
          <w:tcPr>
            <w:tcW w:w="0" w:type="auto"/>
            <w:vAlign w:val="center"/>
            <w:hideMark/>
          </w:tcPr>
          <w:p w:rsidR="00D124CF" w:rsidRPr="00987C5C" w:rsidRDefault="00D124CF" w:rsidP="00B935B5">
            <w:pPr>
              <w:pStyle w:val="NormalWeb"/>
              <w:spacing w:line="360" w:lineRule="auto"/>
              <w:jc w:val="both"/>
              <w:rPr>
                <w:b/>
                <w:bCs/>
              </w:rPr>
            </w:pPr>
            <w:r w:rsidRPr="00987C5C">
              <w:rPr>
                <w:b/>
                <w:bCs/>
              </w:rPr>
              <w:t>Total Debt (₦m)</w:t>
            </w:r>
          </w:p>
        </w:tc>
        <w:tc>
          <w:tcPr>
            <w:tcW w:w="0" w:type="auto"/>
            <w:vAlign w:val="center"/>
            <w:hideMark/>
          </w:tcPr>
          <w:p w:rsidR="00D124CF" w:rsidRPr="00987C5C" w:rsidRDefault="00D124CF" w:rsidP="00B935B5">
            <w:pPr>
              <w:pStyle w:val="NormalWeb"/>
              <w:spacing w:line="360" w:lineRule="auto"/>
              <w:jc w:val="both"/>
              <w:rPr>
                <w:b/>
                <w:bCs/>
              </w:rPr>
            </w:pPr>
            <w:r w:rsidRPr="00987C5C">
              <w:rPr>
                <w:b/>
                <w:bCs/>
              </w:rPr>
              <w:t>Equity (₦m)</w:t>
            </w:r>
          </w:p>
        </w:tc>
        <w:tc>
          <w:tcPr>
            <w:tcW w:w="0" w:type="auto"/>
            <w:vAlign w:val="center"/>
            <w:hideMark/>
          </w:tcPr>
          <w:p w:rsidR="00D124CF" w:rsidRPr="00987C5C" w:rsidRDefault="00D124CF" w:rsidP="00B935B5">
            <w:pPr>
              <w:pStyle w:val="NormalWeb"/>
              <w:spacing w:line="360" w:lineRule="auto"/>
              <w:jc w:val="both"/>
              <w:rPr>
                <w:b/>
                <w:bCs/>
              </w:rPr>
            </w:pPr>
            <w:r w:rsidRPr="00987C5C">
              <w:rPr>
                <w:b/>
                <w:bCs/>
              </w:rPr>
              <w:t>Operating Income (₦m)</w:t>
            </w:r>
          </w:p>
        </w:tc>
        <w:tc>
          <w:tcPr>
            <w:tcW w:w="0" w:type="auto"/>
            <w:vAlign w:val="center"/>
            <w:hideMark/>
          </w:tcPr>
          <w:p w:rsidR="00D124CF" w:rsidRPr="00987C5C" w:rsidRDefault="00D124CF" w:rsidP="00B935B5">
            <w:pPr>
              <w:pStyle w:val="NormalWeb"/>
              <w:spacing w:line="360" w:lineRule="auto"/>
              <w:jc w:val="both"/>
              <w:rPr>
                <w:b/>
                <w:bCs/>
              </w:rPr>
            </w:pPr>
            <w:r w:rsidRPr="00987C5C">
              <w:rPr>
                <w:b/>
                <w:bCs/>
              </w:rPr>
              <w:t>Interest Expense (₦m)</w:t>
            </w:r>
          </w:p>
        </w:tc>
      </w:tr>
      <w:tr w:rsidR="00D124CF" w:rsidRPr="00987C5C" w:rsidTr="00D124CF">
        <w:trPr>
          <w:tblCellSpacing w:w="15" w:type="dxa"/>
        </w:trPr>
        <w:tc>
          <w:tcPr>
            <w:tcW w:w="0" w:type="auto"/>
            <w:vAlign w:val="center"/>
            <w:hideMark/>
          </w:tcPr>
          <w:p w:rsidR="00D124CF" w:rsidRPr="00987C5C" w:rsidRDefault="00D124CF" w:rsidP="00B935B5">
            <w:pPr>
              <w:pStyle w:val="NormalWeb"/>
              <w:spacing w:line="360" w:lineRule="auto"/>
              <w:jc w:val="both"/>
            </w:pPr>
            <w:r w:rsidRPr="00987C5C">
              <w:t>2017</w:t>
            </w:r>
          </w:p>
        </w:tc>
        <w:tc>
          <w:tcPr>
            <w:tcW w:w="0" w:type="auto"/>
            <w:vAlign w:val="center"/>
            <w:hideMark/>
          </w:tcPr>
          <w:p w:rsidR="00D124CF" w:rsidRPr="00987C5C" w:rsidRDefault="00D124CF" w:rsidP="00B935B5">
            <w:pPr>
              <w:pStyle w:val="NormalWeb"/>
              <w:spacing w:line="360" w:lineRule="auto"/>
              <w:jc w:val="both"/>
            </w:pPr>
            <w:r w:rsidRPr="00987C5C">
              <w:t>5,000</w:t>
            </w:r>
          </w:p>
        </w:tc>
        <w:tc>
          <w:tcPr>
            <w:tcW w:w="0" w:type="auto"/>
            <w:vAlign w:val="center"/>
            <w:hideMark/>
          </w:tcPr>
          <w:p w:rsidR="00D124CF" w:rsidRPr="00987C5C" w:rsidRDefault="00D124CF" w:rsidP="00B935B5">
            <w:pPr>
              <w:pStyle w:val="NormalWeb"/>
              <w:spacing w:line="360" w:lineRule="auto"/>
              <w:jc w:val="both"/>
            </w:pPr>
            <w:r w:rsidRPr="00987C5C">
              <w:t>2,500</w:t>
            </w:r>
          </w:p>
        </w:tc>
        <w:tc>
          <w:tcPr>
            <w:tcW w:w="0" w:type="auto"/>
            <w:vAlign w:val="center"/>
            <w:hideMark/>
          </w:tcPr>
          <w:p w:rsidR="00D124CF" w:rsidRPr="00987C5C" w:rsidRDefault="00D124CF" w:rsidP="00B935B5">
            <w:pPr>
              <w:pStyle w:val="NormalWeb"/>
              <w:spacing w:line="360" w:lineRule="auto"/>
              <w:jc w:val="both"/>
            </w:pPr>
            <w:r w:rsidRPr="00987C5C">
              <w:t>1,500</w:t>
            </w:r>
          </w:p>
        </w:tc>
        <w:tc>
          <w:tcPr>
            <w:tcW w:w="0" w:type="auto"/>
            <w:vAlign w:val="center"/>
            <w:hideMark/>
          </w:tcPr>
          <w:p w:rsidR="00D124CF" w:rsidRPr="00987C5C" w:rsidRDefault="00D124CF" w:rsidP="00B935B5">
            <w:pPr>
              <w:pStyle w:val="NormalWeb"/>
              <w:spacing w:line="360" w:lineRule="auto"/>
              <w:jc w:val="both"/>
            </w:pPr>
            <w:r w:rsidRPr="00987C5C">
              <w:t>2,000</w:t>
            </w:r>
          </w:p>
        </w:tc>
        <w:tc>
          <w:tcPr>
            <w:tcW w:w="0" w:type="auto"/>
            <w:vAlign w:val="center"/>
            <w:hideMark/>
          </w:tcPr>
          <w:p w:rsidR="00D124CF" w:rsidRPr="00987C5C" w:rsidRDefault="00D124CF" w:rsidP="00B935B5">
            <w:pPr>
              <w:pStyle w:val="NormalWeb"/>
              <w:spacing w:line="360" w:lineRule="auto"/>
              <w:jc w:val="both"/>
            </w:pPr>
            <w:r w:rsidRPr="00987C5C">
              <w:t>800</w:t>
            </w:r>
          </w:p>
        </w:tc>
        <w:tc>
          <w:tcPr>
            <w:tcW w:w="0" w:type="auto"/>
            <w:vAlign w:val="center"/>
            <w:hideMark/>
          </w:tcPr>
          <w:p w:rsidR="00D124CF" w:rsidRPr="00987C5C" w:rsidRDefault="00D124CF" w:rsidP="00B935B5">
            <w:pPr>
              <w:pStyle w:val="NormalWeb"/>
              <w:spacing w:line="360" w:lineRule="auto"/>
              <w:jc w:val="both"/>
            </w:pPr>
            <w:r w:rsidRPr="00987C5C">
              <w:t>10,000</w:t>
            </w:r>
          </w:p>
        </w:tc>
        <w:tc>
          <w:tcPr>
            <w:tcW w:w="0" w:type="auto"/>
            <w:vAlign w:val="center"/>
            <w:hideMark/>
          </w:tcPr>
          <w:p w:rsidR="00D124CF" w:rsidRPr="00987C5C" w:rsidRDefault="00D124CF" w:rsidP="00B935B5">
            <w:pPr>
              <w:pStyle w:val="NormalWeb"/>
              <w:spacing w:line="360" w:lineRule="auto"/>
              <w:jc w:val="both"/>
            </w:pPr>
            <w:r w:rsidRPr="00987C5C">
              <w:t>3,000</w:t>
            </w:r>
          </w:p>
        </w:tc>
        <w:tc>
          <w:tcPr>
            <w:tcW w:w="0" w:type="auto"/>
            <w:vAlign w:val="center"/>
            <w:hideMark/>
          </w:tcPr>
          <w:p w:rsidR="00D124CF" w:rsidRPr="00987C5C" w:rsidRDefault="00D124CF" w:rsidP="00B935B5">
            <w:pPr>
              <w:pStyle w:val="NormalWeb"/>
              <w:spacing w:line="360" w:lineRule="auto"/>
              <w:jc w:val="both"/>
            </w:pPr>
            <w:r w:rsidRPr="00987C5C">
              <w:t>4,000</w:t>
            </w:r>
          </w:p>
        </w:tc>
        <w:tc>
          <w:tcPr>
            <w:tcW w:w="0" w:type="auto"/>
            <w:vAlign w:val="center"/>
            <w:hideMark/>
          </w:tcPr>
          <w:p w:rsidR="00D124CF" w:rsidRPr="00987C5C" w:rsidRDefault="00D124CF" w:rsidP="00B935B5">
            <w:pPr>
              <w:pStyle w:val="NormalWeb"/>
              <w:spacing w:line="360" w:lineRule="auto"/>
              <w:jc w:val="both"/>
            </w:pPr>
            <w:r w:rsidRPr="00987C5C">
              <w:t>1,200</w:t>
            </w:r>
          </w:p>
        </w:tc>
        <w:tc>
          <w:tcPr>
            <w:tcW w:w="0" w:type="auto"/>
            <w:vAlign w:val="center"/>
            <w:hideMark/>
          </w:tcPr>
          <w:p w:rsidR="00D124CF" w:rsidRPr="00987C5C" w:rsidRDefault="00D124CF" w:rsidP="00B935B5">
            <w:pPr>
              <w:pStyle w:val="NormalWeb"/>
              <w:spacing w:line="360" w:lineRule="auto"/>
              <w:jc w:val="both"/>
            </w:pPr>
            <w:r w:rsidRPr="00987C5C">
              <w:t>200</w:t>
            </w:r>
          </w:p>
        </w:tc>
      </w:tr>
      <w:tr w:rsidR="00D124CF" w:rsidRPr="00987C5C" w:rsidTr="00D124CF">
        <w:trPr>
          <w:tblCellSpacing w:w="15" w:type="dxa"/>
        </w:trPr>
        <w:tc>
          <w:tcPr>
            <w:tcW w:w="0" w:type="auto"/>
            <w:vAlign w:val="center"/>
            <w:hideMark/>
          </w:tcPr>
          <w:p w:rsidR="00D124CF" w:rsidRPr="00987C5C" w:rsidRDefault="00D124CF" w:rsidP="00B935B5">
            <w:pPr>
              <w:pStyle w:val="NormalWeb"/>
              <w:spacing w:line="360" w:lineRule="auto"/>
              <w:jc w:val="both"/>
            </w:pPr>
            <w:r w:rsidRPr="00987C5C">
              <w:t>2018</w:t>
            </w:r>
          </w:p>
        </w:tc>
        <w:tc>
          <w:tcPr>
            <w:tcW w:w="0" w:type="auto"/>
            <w:vAlign w:val="center"/>
            <w:hideMark/>
          </w:tcPr>
          <w:p w:rsidR="00D124CF" w:rsidRPr="00987C5C" w:rsidRDefault="00D124CF" w:rsidP="00B935B5">
            <w:pPr>
              <w:pStyle w:val="NormalWeb"/>
              <w:spacing w:line="360" w:lineRule="auto"/>
              <w:jc w:val="both"/>
            </w:pPr>
            <w:r w:rsidRPr="00987C5C">
              <w:t>5,500</w:t>
            </w:r>
          </w:p>
        </w:tc>
        <w:tc>
          <w:tcPr>
            <w:tcW w:w="0" w:type="auto"/>
            <w:vAlign w:val="center"/>
            <w:hideMark/>
          </w:tcPr>
          <w:p w:rsidR="00D124CF" w:rsidRPr="00987C5C" w:rsidRDefault="00D124CF" w:rsidP="00B935B5">
            <w:pPr>
              <w:pStyle w:val="NormalWeb"/>
              <w:spacing w:line="360" w:lineRule="auto"/>
              <w:jc w:val="both"/>
            </w:pPr>
            <w:r w:rsidRPr="00987C5C">
              <w:t>2,700</w:t>
            </w:r>
          </w:p>
        </w:tc>
        <w:tc>
          <w:tcPr>
            <w:tcW w:w="0" w:type="auto"/>
            <w:vAlign w:val="center"/>
            <w:hideMark/>
          </w:tcPr>
          <w:p w:rsidR="00D124CF" w:rsidRPr="00987C5C" w:rsidRDefault="00D124CF" w:rsidP="00B935B5">
            <w:pPr>
              <w:pStyle w:val="NormalWeb"/>
              <w:spacing w:line="360" w:lineRule="auto"/>
              <w:jc w:val="both"/>
            </w:pPr>
            <w:r w:rsidRPr="00987C5C">
              <w:t>1,600</w:t>
            </w:r>
          </w:p>
        </w:tc>
        <w:tc>
          <w:tcPr>
            <w:tcW w:w="0" w:type="auto"/>
            <w:vAlign w:val="center"/>
            <w:hideMark/>
          </w:tcPr>
          <w:p w:rsidR="00D124CF" w:rsidRPr="00987C5C" w:rsidRDefault="00D124CF" w:rsidP="00B935B5">
            <w:pPr>
              <w:pStyle w:val="NormalWeb"/>
              <w:spacing w:line="360" w:lineRule="auto"/>
              <w:jc w:val="both"/>
            </w:pPr>
            <w:r w:rsidRPr="00987C5C">
              <w:t>2,200</w:t>
            </w:r>
          </w:p>
        </w:tc>
        <w:tc>
          <w:tcPr>
            <w:tcW w:w="0" w:type="auto"/>
            <w:vAlign w:val="center"/>
            <w:hideMark/>
          </w:tcPr>
          <w:p w:rsidR="00D124CF" w:rsidRPr="00987C5C" w:rsidRDefault="00D124CF" w:rsidP="00B935B5">
            <w:pPr>
              <w:pStyle w:val="NormalWeb"/>
              <w:spacing w:line="360" w:lineRule="auto"/>
              <w:jc w:val="both"/>
            </w:pPr>
            <w:r w:rsidRPr="00987C5C">
              <w:t>850</w:t>
            </w:r>
          </w:p>
        </w:tc>
        <w:tc>
          <w:tcPr>
            <w:tcW w:w="0" w:type="auto"/>
            <w:vAlign w:val="center"/>
            <w:hideMark/>
          </w:tcPr>
          <w:p w:rsidR="00D124CF" w:rsidRPr="00987C5C" w:rsidRDefault="00D124CF" w:rsidP="00B935B5">
            <w:pPr>
              <w:pStyle w:val="NormalWeb"/>
              <w:spacing w:line="360" w:lineRule="auto"/>
              <w:jc w:val="both"/>
            </w:pPr>
            <w:r w:rsidRPr="00987C5C">
              <w:t>11,000</w:t>
            </w:r>
          </w:p>
        </w:tc>
        <w:tc>
          <w:tcPr>
            <w:tcW w:w="0" w:type="auto"/>
            <w:vAlign w:val="center"/>
            <w:hideMark/>
          </w:tcPr>
          <w:p w:rsidR="00D124CF" w:rsidRPr="00987C5C" w:rsidRDefault="00D124CF" w:rsidP="00B935B5">
            <w:pPr>
              <w:pStyle w:val="NormalWeb"/>
              <w:spacing w:line="360" w:lineRule="auto"/>
              <w:jc w:val="both"/>
            </w:pPr>
            <w:r w:rsidRPr="00987C5C">
              <w:t>3,200</w:t>
            </w:r>
          </w:p>
        </w:tc>
        <w:tc>
          <w:tcPr>
            <w:tcW w:w="0" w:type="auto"/>
            <w:vAlign w:val="center"/>
            <w:hideMark/>
          </w:tcPr>
          <w:p w:rsidR="00D124CF" w:rsidRPr="00987C5C" w:rsidRDefault="00D124CF" w:rsidP="00B935B5">
            <w:pPr>
              <w:pStyle w:val="NormalWeb"/>
              <w:spacing w:line="360" w:lineRule="auto"/>
              <w:jc w:val="both"/>
            </w:pPr>
            <w:r w:rsidRPr="00987C5C">
              <w:t>4,200</w:t>
            </w:r>
          </w:p>
        </w:tc>
        <w:tc>
          <w:tcPr>
            <w:tcW w:w="0" w:type="auto"/>
            <w:vAlign w:val="center"/>
            <w:hideMark/>
          </w:tcPr>
          <w:p w:rsidR="00D124CF" w:rsidRPr="00987C5C" w:rsidRDefault="00D124CF" w:rsidP="00B935B5">
            <w:pPr>
              <w:pStyle w:val="NormalWeb"/>
              <w:spacing w:line="360" w:lineRule="auto"/>
              <w:jc w:val="both"/>
            </w:pPr>
            <w:r w:rsidRPr="00987C5C">
              <w:t>1,300</w:t>
            </w:r>
          </w:p>
        </w:tc>
        <w:tc>
          <w:tcPr>
            <w:tcW w:w="0" w:type="auto"/>
            <w:vAlign w:val="center"/>
            <w:hideMark/>
          </w:tcPr>
          <w:p w:rsidR="00D124CF" w:rsidRPr="00987C5C" w:rsidRDefault="00D124CF" w:rsidP="00B935B5">
            <w:pPr>
              <w:pStyle w:val="NormalWeb"/>
              <w:spacing w:line="360" w:lineRule="auto"/>
              <w:jc w:val="both"/>
            </w:pPr>
            <w:r w:rsidRPr="00987C5C">
              <w:t>220</w:t>
            </w:r>
          </w:p>
        </w:tc>
      </w:tr>
      <w:tr w:rsidR="00D124CF" w:rsidRPr="00987C5C" w:rsidTr="00D124CF">
        <w:trPr>
          <w:tblCellSpacing w:w="15" w:type="dxa"/>
        </w:trPr>
        <w:tc>
          <w:tcPr>
            <w:tcW w:w="0" w:type="auto"/>
            <w:vAlign w:val="center"/>
            <w:hideMark/>
          </w:tcPr>
          <w:p w:rsidR="00D124CF" w:rsidRPr="00987C5C" w:rsidRDefault="00D124CF" w:rsidP="00B935B5">
            <w:pPr>
              <w:pStyle w:val="NormalWeb"/>
              <w:spacing w:line="360" w:lineRule="auto"/>
              <w:jc w:val="both"/>
            </w:pPr>
            <w:r w:rsidRPr="00987C5C">
              <w:t>2019</w:t>
            </w:r>
          </w:p>
        </w:tc>
        <w:tc>
          <w:tcPr>
            <w:tcW w:w="0" w:type="auto"/>
            <w:vAlign w:val="center"/>
            <w:hideMark/>
          </w:tcPr>
          <w:p w:rsidR="00D124CF" w:rsidRPr="00987C5C" w:rsidRDefault="00D124CF" w:rsidP="00B935B5">
            <w:pPr>
              <w:pStyle w:val="NormalWeb"/>
              <w:spacing w:line="360" w:lineRule="auto"/>
              <w:jc w:val="both"/>
            </w:pPr>
            <w:r w:rsidRPr="00987C5C">
              <w:t>6,000</w:t>
            </w:r>
          </w:p>
        </w:tc>
        <w:tc>
          <w:tcPr>
            <w:tcW w:w="0" w:type="auto"/>
            <w:vAlign w:val="center"/>
            <w:hideMark/>
          </w:tcPr>
          <w:p w:rsidR="00D124CF" w:rsidRPr="00987C5C" w:rsidRDefault="00D124CF" w:rsidP="00B935B5">
            <w:pPr>
              <w:pStyle w:val="NormalWeb"/>
              <w:spacing w:line="360" w:lineRule="auto"/>
              <w:jc w:val="both"/>
            </w:pPr>
            <w:r w:rsidRPr="00987C5C">
              <w:t>3,000</w:t>
            </w:r>
          </w:p>
        </w:tc>
        <w:tc>
          <w:tcPr>
            <w:tcW w:w="0" w:type="auto"/>
            <w:vAlign w:val="center"/>
            <w:hideMark/>
          </w:tcPr>
          <w:p w:rsidR="00D124CF" w:rsidRPr="00987C5C" w:rsidRDefault="00D124CF" w:rsidP="00B935B5">
            <w:pPr>
              <w:pStyle w:val="NormalWeb"/>
              <w:spacing w:line="360" w:lineRule="auto"/>
              <w:jc w:val="both"/>
            </w:pPr>
            <w:r w:rsidRPr="00987C5C">
              <w:t>1,800</w:t>
            </w:r>
          </w:p>
        </w:tc>
        <w:tc>
          <w:tcPr>
            <w:tcW w:w="0" w:type="auto"/>
            <w:vAlign w:val="center"/>
            <w:hideMark/>
          </w:tcPr>
          <w:p w:rsidR="00D124CF" w:rsidRPr="00987C5C" w:rsidRDefault="00D124CF" w:rsidP="00B935B5">
            <w:pPr>
              <w:pStyle w:val="NormalWeb"/>
              <w:spacing w:line="360" w:lineRule="auto"/>
              <w:jc w:val="both"/>
            </w:pPr>
            <w:r w:rsidRPr="00987C5C">
              <w:t>2,500</w:t>
            </w:r>
          </w:p>
        </w:tc>
        <w:tc>
          <w:tcPr>
            <w:tcW w:w="0" w:type="auto"/>
            <w:vAlign w:val="center"/>
            <w:hideMark/>
          </w:tcPr>
          <w:p w:rsidR="00D124CF" w:rsidRPr="00987C5C" w:rsidRDefault="00D124CF" w:rsidP="00B935B5">
            <w:pPr>
              <w:pStyle w:val="NormalWeb"/>
              <w:spacing w:line="360" w:lineRule="auto"/>
              <w:jc w:val="both"/>
            </w:pPr>
            <w:r w:rsidRPr="00987C5C">
              <w:t>900</w:t>
            </w:r>
          </w:p>
        </w:tc>
        <w:tc>
          <w:tcPr>
            <w:tcW w:w="0" w:type="auto"/>
            <w:vAlign w:val="center"/>
            <w:hideMark/>
          </w:tcPr>
          <w:p w:rsidR="00D124CF" w:rsidRPr="00987C5C" w:rsidRDefault="00D124CF" w:rsidP="00B935B5">
            <w:pPr>
              <w:pStyle w:val="NormalWeb"/>
              <w:spacing w:line="360" w:lineRule="auto"/>
              <w:jc w:val="both"/>
            </w:pPr>
            <w:r w:rsidRPr="00987C5C">
              <w:t>12,000</w:t>
            </w:r>
          </w:p>
        </w:tc>
        <w:tc>
          <w:tcPr>
            <w:tcW w:w="0" w:type="auto"/>
            <w:vAlign w:val="center"/>
            <w:hideMark/>
          </w:tcPr>
          <w:p w:rsidR="00D124CF" w:rsidRPr="00987C5C" w:rsidRDefault="00D124CF" w:rsidP="00B935B5">
            <w:pPr>
              <w:pStyle w:val="NormalWeb"/>
              <w:spacing w:line="360" w:lineRule="auto"/>
              <w:jc w:val="both"/>
            </w:pPr>
            <w:r w:rsidRPr="00987C5C">
              <w:t>3,500</w:t>
            </w:r>
          </w:p>
        </w:tc>
        <w:tc>
          <w:tcPr>
            <w:tcW w:w="0" w:type="auto"/>
            <w:vAlign w:val="center"/>
            <w:hideMark/>
          </w:tcPr>
          <w:p w:rsidR="00D124CF" w:rsidRPr="00987C5C" w:rsidRDefault="00D124CF" w:rsidP="00B935B5">
            <w:pPr>
              <w:pStyle w:val="NormalWeb"/>
              <w:spacing w:line="360" w:lineRule="auto"/>
              <w:jc w:val="both"/>
            </w:pPr>
            <w:r w:rsidRPr="00987C5C">
              <w:t>4,500</w:t>
            </w:r>
          </w:p>
        </w:tc>
        <w:tc>
          <w:tcPr>
            <w:tcW w:w="0" w:type="auto"/>
            <w:vAlign w:val="center"/>
            <w:hideMark/>
          </w:tcPr>
          <w:p w:rsidR="00D124CF" w:rsidRPr="00987C5C" w:rsidRDefault="00D124CF" w:rsidP="00B935B5">
            <w:pPr>
              <w:pStyle w:val="NormalWeb"/>
              <w:spacing w:line="360" w:lineRule="auto"/>
              <w:jc w:val="both"/>
            </w:pPr>
            <w:r w:rsidRPr="00987C5C">
              <w:t>1,400</w:t>
            </w:r>
          </w:p>
        </w:tc>
        <w:tc>
          <w:tcPr>
            <w:tcW w:w="0" w:type="auto"/>
            <w:vAlign w:val="center"/>
            <w:hideMark/>
          </w:tcPr>
          <w:p w:rsidR="00D124CF" w:rsidRPr="00987C5C" w:rsidRDefault="00D124CF" w:rsidP="00B935B5">
            <w:pPr>
              <w:pStyle w:val="NormalWeb"/>
              <w:spacing w:line="360" w:lineRule="auto"/>
              <w:jc w:val="both"/>
            </w:pPr>
            <w:r w:rsidRPr="00987C5C">
              <w:t>250</w:t>
            </w:r>
          </w:p>
        </w:tc>
      </w:tr>
      <w:tr w:rsidR="00D124CF" w:rsidRPr="00987C5C" w:rsidTr="00D124CF">
        <w:trPr>
          <w:tblCellSpacing w:w="15" w:type="dxa"/>
        </w:trPr>
        <w:tc>
          <w:tcPr>
            <w:tcW w:w="0" w:type="auto"/>
            <w:vAlign w:val="center"/>
            <w:hideMark/>
          </w:tcPr>
          <w:p w:rsidR="00D124CF" w:rsidRPr="00987C5C" w:rsidRDefault="00D124CF" w:rsidP="00B935B5">
            <w:pPr>
              <w:pStyle w:val="NormalWeb"/>
              <w:spacing w:line="360" w:lineRule="auto"/>
              <w:jc w:val="both"/>
            </w:pPr>
            <w:r w:rsidRPr="00987C5C">
              <w:t>2020</w:t>
            </w:r>
          </w:p>
        </w:tc>
        <w:tc>
          <w:tcPr>
            <w:tcW w:w="0" w:type="auto"/>
            <w:vAlign w:val="center"/>
            <w:hideMark/>
          </w:tcPr>
          <w:p w:rsidR="00D124CF" w:rsidRPr="00987C5C" w:rsidRDefault="00D124CF" w:rsidP="00B935B5">
            <w:pPr>
              <w:pStyle w:val="NormalWeb"/>
              <w:spacing w:line="360" w:lineRule="auto"/>
              <w:jc w:val="both"/>
            </w:pPr>
            <w:r w:rsidRPr="00987C5C">
              <w:t>6,500</w:t>
            </w:r>
          </w:p>
        </w:tc>
        <w:tc>
          <w:tcPr>
            <w:tcW w:w="0" w:type="auto"/>
            <w:vAlign w:val="center"/>
            <w:hideMark/>
          </w:tcPr>
          <w:p w:rsidR="00D124CF" w:rsidRPr="00987C5C" w:rsidRDefault="00D124CF" w:rsidP="00B935B5">
            <w:pPr>
              <w:pStyle w:val="NormalWeb"/>
              <w:spacing w:line="360" w:lineRule="auto"/>
              <w:jc w:val="both"/>
            </w:pPr>
            <w:r w:rsidRPr="00987C5C">
              <w:t>3,200</w:t>
            </w:r>
          </w:p>
        </w:tc>
        <w:tc>
          <w:tcPr>
            <w:tcW w:w="0" w:type="auto"/>
            <w:vAlign w:val="center"/>
            <w:hideMark/>
          </w:tcPr>
          <w:p w:rsidR="00D124CF" w:rsidRPr="00987C5C" w:rsidRDefault="00D124CF" w:rsidP="00B935B5">
            <w:pPr>
              <w:pStyle w:val="NormalWeb"/>
              <w:spacing w:line="360" w:lineRule="auto"/>
              <w:jc w:val="both"/>
            </w:pPr>
            <w:r w:rsidRPr="00987C5C">
              <w:t>2,000</w:t>
            </w:r>
          </w:p>
        </w:tc>
        <w:tc>
          <w:tcPr>
            <w:tcW w:w="0" w:type="auto"/>
            <w:vAlign w:val="center"/>
            <w:hideMark/>
          </w:tcPr>
          <w:p w:rsidR="00D124CF" w:rsidRPr="00987C5C" w:rsidRDefault="00D124CF" w:rsidP="00B935B5">
            <w:pPr>
              <w:pStyle w:val="NormalWeb"/>
              <w:spacing w:line="360" w:lineRule="auto"/>
              <w:jc w:val="both"/>
            </w:pPr>
            <w:r w:rsidRPr="00987C5C">
              <w:t>2,700</w:t>
            </w:r>
          </w:p>
        </w:tc>
        <w:tc>
          <w:tcPr>
            <w:tcW w:w="0" w:type="auto"/>
            <w:vAlign w:val="center"/>
            <w:hideMark/>
          </w:tcPr>
          <w:p w:rsidR="00D124CF" w:rsidRPr="00987C5C" w:rsidRDefault="00D124CF" w:rsidP="00B935B5">
            <w:pPr>
              <w:pStyle w:val="NormalWeb"/>
              <w:spacing w:line="360" w:lineRule="auto"/>
              <w:jc w:val="both"/>
            </w:pPr>
            <w:r w:rsidRPr="00987C5C">
              <w:t>950</w:t>
            </w:r>
          </w:p>
        </w:tc>
        <w:tc>
          <w:tcPr>
            <w:tcW w:w="0" w:type="auto"/>
            <w:vAlign w:val="center"/>
            <w:hideMark/>
          </w:tcPr>
          <w:p w:rsidR="00D124CF" w:rsidRPr="00987C5C" w:rsidRDefault="00D124CF" w:rsidP="00B935B5">
            <w:pPr>
              <w:pStyle w:val="NormalWeb"/>
              <w:spacing w:line="360" w:lineRule="auto"/>
              <w:jc w:val="both"/>
            </w:pPr>
            <w:r w:rsidRPr="00987C5C">
              <w:t>13,000</w:t>
            </w:r>
          </w:p>
        </w:tc>
        <w:tc>
          <w:tcPr>
            <w:tcW w:w="0" w:type="auto"/>
            <w:vAlign w:val="center"/>
            <w:hideMark/>
          </w:tcPr>
          <w:p w:rsidR="00D124CF" w:rsidRPr="00987C5C" w:rsidRDefault="00D124CF" w:rsidP="00B935B5">
            <w:pPr>
              <w:pStyle w:val="NormalWeb"/>
              <w:spacing w:line="360" w:lineRule="auto"/>
              <w:jc w:val="both"/>
            </w:pPr>
            <w:r w:rsidRPr="00987C5C">
              <w:t>3,800</w:t>
            </w:r>
          </w:p>
        </w:tc>
        <w:tc>
          <w:tcPr>
            <w:tcW w:w="0" w:type="auto"/>
            <w:vAlign w:val="center"/>
            <w:hideMark/>
          </w:tcPr>
          <w:p w:rsidR="00D124CF" w:rsidRPr="00987C5C" w:rsidRDefault="00D124CF" w:rsidP="00B935B5">
            <w:pPr>
              <w:pStyle w:val="NormalWeb"/>
              <w:spacing w:line="360" w:lineRule="auto"/>
              <w:jc w:val="both"/>
            </w:pPr>
            <w:r w:rsidRPr="00987C5C">
              <w:t>4,800</w:t>
            </w:r>
          </w:p>
        </w:tc>
        <w:tc>
          <w:tcPr>
            <w:tcW w:w="0" w:type="auto"/>
            <w:vAlign w:val="center"/>
            <w:hideMark/>
          </w:tcPr>
          <w:p w:rsidR="00D124CF" w:rsidRPr="00987C5C" w:rsidRDefault="00D124CF" w:rsidP="00B935B5">
            <w:pPr>
              <w:pStyle w:val="NormalWeb"/>
              <w:spacing w:line="360" w:lineRule="auto"/>
              <w:jc w:val="both"/>
            </w:pPr>
            <w:r w:rsidRPr="00987C5C">
              <w:t>1,500</w:t>
            </w:r>
          </w:p>
        </w:tc>
        <w:tc>
          <w:tcPr>
            <w:tcW w:w="0" w:type="auto"/>
            <w:vAlign w:val="center"/>
            <w:hideMark/>
          </w:tcPr>
          <w:p w:rsidR="00D124CF" w:rsidRPr="00987C5C" w:rsidRDefault="00D124CF" w:rsidP="00B935B5">
            <w:pPr>
              <w:pStyle w:val="NormalWeb"/>
              <w:spacing w:line="360" w:lineRule="auto"/>
              <w:jc w:val="both"/>
            </w:pPr>
            <w:r w:rsidRPr="00987C5C">
              <w:t>270</w:t>
            </w:r>
          </w:p>
        </w:tc>
      </w:tr>
      <w:tr w:rsidR="00D124CF" w:rsidRPr="00987C5C" w:rsidTr="00D124CF">
        <w:trPr>
          <w:tblCellSpacing w:w="15" w:type="dxa"/>
        </w:trPr>
        <w:tc>
          <w:tcPr>
            <w:tcW w:w="0" w:type="auto"/>
            <w:vAlign w:val="center"/>
            <w:hideMark/>
          </w:tcPr>
          <w:p w:rsidR="00D124CF" w:rsidRPr="00987C5C" w:rsidRDefault="00D124CF" w:rsidP="00B935B5">
            <w:pPr>
              <w:pStyle w:val="NormalWeb"/>
              <w:spacing w:line="360" w:lineRule="auto"/>
              <w:jc w:val="both"/>
            </w:pPr>
            <w:r w:rsidRPr="00987C5C">
              <w:t>2021</w:t>
            </w:r>
          </w:p>
        </w:tc>
        <w:tc>
          <w:tcPr>
            <w:tcW w:w="0" w:type="auto"/>
            <w:vAlign w:val="center"/>
            <w:hideMark/>
          </w:tcPr>
          <w:p w:rsidR="00D124CF" w:rsidRPr="00987C5C" w:rsidRDefault="00D124CF" w:rsidP="00B935B5">
            <w:pPr>
              <w:pStyle w:val="NormalWeb"/>
              <w:spacing w:line="360" w:lineRule="auto"/>
              <w:jc w:val="both"/>
            </w:pPr>
            <w:r w:rsidRPr="00987C5C">
              <w:t>7,000</w:t>
            </w:r>
          </w:p>
        </w:tc>
        <w:tc>
          <w:tcPr>
            <w:tcW w:w="0" w:type="auto"/>
            <w:vAlign w:val="center"/>
            <w:hideMark/>
          </w:tcPr>
          <w:p w:rsidR="00D124CF" w:rsidRPr="00987C5C" w:rsidRDefault="00D124CF" w:rsidP="00B935B5">
            <w:pPr>
              <w:pStyle w:val="NormalWeb"/>
              <w:spacing w:line="360" w:lineRule="auto"/>
              <w:jc w:val="both"/>
            </w:pPr>
            <w:r w:rsidRPr="00987C5C">
              <w:t>3,500</w:t>
            </w:r>
          </w:p>
        </w:tc>
        <w:tc>
          <w:tcPr>
            <w:tcW w:w="0" w:type="auto"/>
            <w:vAlign w:val="center"/>
            <w:hideMark/>
          </w:tcPr>
          <w:p w:rsidR="00D124CF" w:rsidRPr="00987C5C" w:rsidRDefault="00D124CF" w:rsidP="00B935B5">
            <w:pPr>
              <w:pStyle w:val="NormalWeb"/>
              <w:spacing w:line="360" w:lineRule="auto"/>
              <w:jc w:val="both"/>
            </w:pPr>
            <w:r w:rsidRPr="00987C5C">
              <w:t>2,200</w:t>
            </w:r>
          </w:p>
        </w:tc>
        <w:tc>
          <w:tcPr>
            <w:tcW w:w="0" w:type="auto"/>
            <w:vAlign w:val="center"/>
            <w:hideMark/>
          </w:tcPr>
          <w:p w:rsidR="00D124CF" w:rsidRPr="00987C5C" w:rsidRDefault="00D124CF" w:rsidP="00B935B5">
            <w:pPr>
              <w:pStyle w:val="NormalWeb"/>
              <w:spacing w:line="360" w:lineRule="auto"/>
              <w:jc w:val="both"/>
            </w:pPr>
            <w:r w:rsidRPr="00987C5C">
              <w:t>3,000</w:t>
            </w:r>
          </w:p>
        </w:tc>
        <w:tc>
          <w:tcPr>
            <w:tcW w:w="0" w:type="auto"/>
            <w:vAlign w:val="center"/>
            <w:hideMark/>
          </w:tcPr>
          <w:p w:rsidR="00D124CF" w:rsidRPr="00987C5C" w:rsidRDefault="00D124CF" w:rsidP="00B935B5">
            <w:pPr>
              <w:pStyle w:val="NormalWeb"/>
              <w:spacing w:line="360" w:lineRule="auto"/>
              <w:jc w:val="both"/>
            </w:pPr>
            <w:r w:rsidRPr="00987C5C">
              <w:t>1,000</w:t>
            </w:r>
          </w:p>
        </w:tc>
        <w:tc>
          <w:tcPr>
            <w:tcW w:w="0" w:type="auto"/>
            <w:vAlign w:val="center"/>
            <w:hideMark/>
          </w:tcPr>
          <w:p w:rsidR="00D124CF" w:rsidRPr="00987C5C" w:rsidRDefault="00D124CF" w:rsidP="00B935B5">
            <w:pPr>
              <w:pStyle w:val="NormalWeb"/>
              <w:spacing w:line="360" w:lineRule="auto"/>
              <w:jc w:val="both"/>
            </w:pPr>
            <w:r w:rsidRPr="00987C5C">
              <w:t>14,000</w:t>
            </w:r>
          </w:p>
        </w:tc>
        <w:tc>
          <w:tcPr>
            <w:tcW w:w="0" w:type="auto"/>
            <w:vAlign w:val="center"/>
            <w:hideMark/>
          </w:tcPr>
          <w:p w:rsidR="00D124CF" w:rsidRPr="00987C5C" w:rsidRDefault="00D124CF" w:rsidP="00B935B5">
            <w:pPr>
              <w:pStyle w:val="NormalWeb"/>
              <w:spacing w:line="360" w:lineRule="auto"/>
              <w:jc w:val="both"/>
            </w:pPr>
            <w:r w:rsidRPr="00987C5C">
              <w:t>4,000</w:t>
            </w:r>
          </w:p>
        </w:tc>
        <w:tc>
          <w:tcPr>
            <w:tcW w:w="0" w:type="auto"/>
            <w:vAlign w:val="center"/>
            <w:hideMark/>
          </w:tcPr>
          <w:p w:rsidR="00D124CF" w:rsidRPr="00987C5C" w:rsidRDefault="00D124CF" w:rsidP="00B935B5">
            <w:pPr>
              <w:pStyle w:val="NormalWeb"/>
              <w:spacing w:line="360" w:lineRule="auto"/>
              <w:jc w:val="both"/>
            </w:pPr>
            <w:r w:rsidRPr="00987C5C">
              <w:t>5,000</w:t>
            </w:r>
          </w:p>
        </w:tc>
        <w:tc>
          <w:tcPr>
            <w:tcW w:w="0" w:type="auto"/>
            <w:vAlign w:val="center"/>
            <w:hideMark/>
          </w:tcPr>
          <w:p w:rsidR="00D124CF" w:rsidRPr="00987C5C" w:rsidRDefault="00D124CF" w:rsidP="00B935B5">
            <w:pPr>
              <w:pStyle w:val="NormalWeb"/>
              <w:spacing w:line="360" w:lineRule="auto"/>
              <w:jc w:val="both"/>
            </w:pPr>
            <w:r w:rsidRPr="00987C5C">
              <w:t>1,600</w:t>
            </w:r>
          </w:p>
        </w:tc>
        <w:tc>
          <w:tcPr>
            <w:tcW w:w="0" w:type="auto"/>
            <w:vAlign w:val="center"/>
            <w:hideMark/>
          </w:tcPr>
          <w:p w:rsidR="00D124CF" w:rsidRPr="00987C5C" w:rsidRDefault="00D124CF" w:rsidP="00B935B5">
            <w:pPr>
              <w:pStyle w:val="NormalWeb"/>
              <w:spacing w:line="360" w:lineRule="auto"/>
              <w:jc w:val="both"/>
            </w:pPr>
            <w:r w:rsidRPr="00987C5C">
              <w:t>300</w:t>
            </w:r>
          </w:p>
        </w:tc>
      </w:tr>
    </w:tbl>
    <w:p w:rsidR="00D124CF" w:rsidRPr="00987C5C" w:rsidRDefault="00D124CF" w:rsidP="00CA74D1">
      <w:pPr>
        <w:pStyle w:val="NormalWeb"/>
        <w:spacing w:line="360" w:lineRule="auto"/>
        <w:ind w:firstLine="360"/>
        <w:jc w:val="both"/>
      </w:pPr>
      <w:r w:rsidRPr="00987C5C">
        <w:rPr>
          <w:rStyle w:val="Strong"/>
          <w:rFonts w:eastAsiaTheme="majorEastAsia"/>
        </w:rPr>
        <w:t>Current Assets and Liabilities</w:t>
      </w:r>
      <w:r w:rsidRPr="00987C5C">
        <w:t>: Current assets grew steadily from ₦5,000m in 2017 to ₦7,000m in 2021, while current liabilities increased from ₦2,500m to ₦3,500m, indicating a proportional rise in short-term obligations.</w:t>
      </w:r>
    </w:p>
    <w:p w:rsidR="00D124CF" w:rsidRPr="00987C5C" w:rsidRDefault="00D124CF" w:rsidP="00CA74D1">
      <w:pPr>
        <w:pStyle w:val="NormalWeb"/>
        <w:spacing w:line="360" w:lineRule="auto"/>
        <w:ind w:firstLine="360"/>
        <w:jc w:val="both"/>
      </w:pPr>
      <w:r w:rsidRPr="00987C5C">
        <w:rPr>
          <w:rStyle w:val="Strong"/>
          <w:rFonts w:eastAsiaTheme="majorEastAsia"/>
        </w:rPr>
        <w:t>Inventory</w:t>
      </w:r>
      <w:r w:rsidRPr="00987C5C">
        <w:t>: Inventory levels rose from ₦1,500m to ₦2,200m, suggesting increased stock to support higher sales volumes.</w:t>
      </w:r>
    </w:p>
    <w:p w:rsidR="00D124CF" w:rsidRPr="00987C5C" w:rsidRDefault="00D124CF" w:rsidP="00CA74D1">
      <w:pPr>
        <w:pStyle w:val="NormalWeb"/>
        <w:spacing w:line="360" w:lineRule="auto"/>
        <w:ind w:firstLine="360"/>
        <w:jc w:val="both"/>
      </w:pPr>
      <w:r w:rsidRPr="00987C5C">
        <w:rPr>
          <w:rStyle w:val="Strong"/>
          <w:rFonts w:eastAsiaTheme="majorEastAsia"/>
        </w:rPr>
        <w:t>Profitability Metrics</w:t>
      </w:r>
      <w:r w:rsidRPr="00987C5C">
        <w:t>: Gross profit and net income increased annually, with gross profit rising from ₦2,000m to ₦3,000m and net income from ₦800m to ₦1,000m, reflecting revenue growth.</w:t>
      </w:r>
    </w:p>
    <w:p w:rsidR="00D124CF" w:rsidRPr="00987C5C" w:rsidRDefault="00D124CF" w:rsidP="00CA74D1">
      <w:pPr>
        <w:pStyle w:val="NormalWeb"/>
        <w:spacing w:line="360" w:lineRule="auto"/>
        <w:ind w:firstLine="360"/>
        <w:jc w:val="both"/>
      </w:pPr>
      <w:r w:rsidRPr="00987C5C">
        <w:rPr>
          <w:rStyle w:val="Strong"/>
          <w:rFonts w:eastAsiaTheme="majorEastAsia"/>
        </w:rPr>
        <w:lastRenderedPageBreak/>
        <w:t>Sales</w:t>
      </w:r>
      <w:r w:rsidRPr="00987C5C">
        <w:t>: Sales grew consistently from ₦10,000m to ₦14,000m, indicating strong market demand.</w:t>
      </w:r>
    </w:p>
    <w:p w:rsidR="00D124CF" w:rsidRPr="00987C5C" w:rsidRDefault="00D124CF" w:rsidP="00CA74D1">
      <w:pPr>
        <w:pStyle w:val="NormalWeb"/>
        <w:spacing w:line="360" w:lineRule="auto"/>
        <w:ind w:firstLine="360"/>
        <w:jc w:val="both"/>
      </w:pPr>
      <w:r w:rsidRPr="00987C5C">
        <w:rPr>
          <w:rStyle w:val="Strong"/>
          <w:rFonts w:eastAsiaTheme="majorEastAsia"/>
        </w:rPr>
        <w:t>Debt and Equity</w:t>
      </w:r>
      <w:r w:rsidRPr="00987C5C">
        <w:t>: Total debt increased from ₦3,000m to ₦4,000m, while equity grew from ₦4,000m to ₦5,000m, suggesting balanced financing strategies.</w:t>
      </w:r>
    </w:p>
    <w:p w:rsidR="00D124CF" w:rsidRPr="00987C5C" w:rsidRDefault="00D124CF" w:rsidP="00CA74D1">
      <w:pPr>
        <w:pStyle w:val="NormalWeb"/>
        <w:spacing w:line="360" w:lineRule="auto"/>
        <w:ind w:firstLine="360"/>
        <w:jc w:val="both"/>
      </w:pPr>
      <w:r w:rsidRPr="00987C5C">
        <w:rPr>
          <w:rStyle w:val="Strong"/>
          <w:rFonts w:eastAsiaTheme="majorEastAsia"/>
        </w:rPr>
        <w:t>Operating Income and Interest</w:t>
      </w:r>
      <w:r w:rsidRPr="00987C5C">
        <w:t>: Operating income rose from ₦1,200m to ₦1,600m, but interest expenses also increased from ₦200m to ₦300m, reflecting higher debt servicing costs.</w:t>
      </w:r>
    </w:p>
    <w:p w:rsidR="00D124CF" w:rsidRPr="00497F72" w:rsidRDefault="00D124CF" w:rsidP="00B935B5">
      <w:pPr>
        <w:pStyle w:val="Heading2"/>
        <w:spacing w:line="360" w:lineRule="auto"/>
        <w:jc w:val="both"/>
        <w:rPr>
          <w:sz w:val="28"/>
          <w:szCs w:val="24"/>
        </w:rPr>
      </w:pPr>
      <w:r w:rsidRPr="00497F72">
        <w:rPr>
          <w:sz w:val="28"/>
          <w:szCs w:val="24"/>
        </w:rPr>
        <w:t xml:space="preserve">4.2 </w:t>
      </w:r>
      <w:r w:rsidR="00497F72" w:rsidRPr="00497F72">
        <w:rPr>
          <w:sz w:val="28"/>
          <w:szCs w:val="24"/>
        </w:rPr>
        <w:t>RATIO ANALYSIS</w:t>
      </w:r>
    </w:p>
    <w:p w:rsidR="00D124CF" w:rsidRPr="00987C5C" w:rsidRDefault="00D124CF" w:rsidP="00CA74D1">
      <w:pPr>
        <w:pStyle w:val="NormalWeb"/>
        <w:spacing w:line="360" w:lineRule="auto"/>
        <w:ind w:firstLine="720"/>
        <w:jc w:val="both"/>
      </w:pPr>
      <w:r w:rsidRPr="00987C5C">
        <w:t>Financial ratios are calculated to evaluate Berger Paints PLC’s liquidity, profitability, efficiency, and solvency over the period. These ratios provide insights into the company’s ability to meet short-term obligations, generate profits, utilize assets efficiently, and manage debt.</w:t>
      </w:r>
    </w:p>
    <w:p w:rsidR="00D124CF" w:rsidRPr="00E869B0" w:rsidRDefault="00D124CF" w:rsidP="00E869B0">
      <w:pPr>
        <w:pStyle w:val="Heading1"/>
        <w:rPr>
          <w:sz w:val="34"/>
        </w:rPr>
      </w:pPr>
      <w:r w:rsidRPr="00E869B0">
        <w:rPr>
          <w:sz w:val="34"/>
        </w:rPr>
        <w:t>4.2.1 Liquidity Ratios</w:t>
      </w:r>
    </w:p>
    <w:p w:rsidR="00D124CF" w:rsidRPr="00987C5C" w:rsidRDefault="00D124CF" w:rsidP="00E869B0">
      <w:pPr>
        <w:pStyle w:val="NormalWeb"/>
        <w:spacing w:line="360" w:lineRule="auto"/>
        <w:jc w:val="both"/>
      </w:pPr>
      <w:r w:rsidRPr="00987C5C">
        <w:t>Liquidity ratios assess the company’s ability to cover short-term liabilities using current assets.</w:t>
      </w:r>
    </w:p>
    <w:p w:rsidR="00D124CF" w:rsidRPr="00987C5C" w:rsidRDefault="00D124CF" w:rsidP="00E869B0">
      <w:pPr>
        <w:pStyle w:val="NormalWeb"/>
        <w:spacing w:line="360" w:lineRule="auto"/>
        <w:ind w:firstLine="360"/>
        <w:jc w:val="both"/>
      </w:pPr>
      <w:r w:rsidRPr="00987C5C">
        <w:t>The current ratio is calculated as: [ \text{Current Ratio} = \frac{\text{Current Assets}}{\text{Current Liabilities}} ]</w:t>
      </w:r>
    </w:p>
    <w:p w:rsidR="00D124CF" w:rsidRPr="00987C5C" w:rsidRDefault="00D124CF" w:rsidP="00B935B5">
      <w:pPr>
        <w:pStyle w:val="NormalWeb"/>
        <w:numPr>
          <w:ilvl w:val="0"/>
          <w:numId w:val="14"/>
        </w:numPr>
        <w:spacing w:line="360" w:lineRule="auto"/>
        <w:jc w:val="both"/>
      </w:pPr>
      <w:r w:rsidRPr="00987C5C">
        <w:t>2017: ( \frac{5,000}{2,500} = 2.00 )</w:t>
      </w:r>
    </w:p>
    <w:p w:rsidR="00D124CF" w:rsidRPr="00987C5C" w:rsidRDefault="00D124CF" w:rsidP="00B935B5">
      <w:pPr>
        <w:pStyle w:val="NormalWeb"/>
        <w:numPr>
          <w:ilvl w:val="0"/>
          <w:numId w:val="14"/>
        </w:numPr>
        <w:spacing w:line="360" w:lineRule="auto"/>
        <w:jc w:val="both"/>
      </w:pPr>
      <w:r w:rsidRPr="00987C5C">
        <w:t>2018: ( \frac{5,500}{2,700} = 2.04 )</w:t>
      </w:r>
    </w:p>
    <w:p w:rsidR="00D124CF" w:rsidRPr="00987C5C" w:rsidRDefault="00D124CF" w:rsidP="00B935B5">
      <w:pPr>
        <w:pStyle w:val="NormalWeb"/>
        <w:numPr>
          <w:ilvl w:val="0"/>
          <w:numId w:val="14"/>
        </w:numPr>
        <w:spacing w:line="360" w:lineRule="auto"/>
        <w:jc w:val="both"/>
      </w:pPr>
      <w:r w:rsidRPr="00987C5C">
        <w:t>2019: ( \frac{6,000}{3,000} = 2.00 )</w:t>
      </w:r>
    </w:p>
    <w:p w:rsidR="00D124CF" w:rsidRPr="00987C5C" w:rsidRDefault="00D124CF" w:rsidP="00B935B5">
      <w:pPr>
        <w:pStyle w:val="NormalWeb"/>
        <w:numPr>
          <w:ilvl w:val="0"/>
          <w:numId w:val="14"/>
        </w:numPr>
        <w:spacing w:line="360" w:lineRule="auto"/>
        <w:jc w:val="both"/>
      </w:pPr>
      <w:r w:rsidRPr="00987C5C">
        <w:t>2020: ( \frac{6,500}{3,200} = 2.03 )</w:t>
      </w:r>
    </w:p>
    <w:p w:rsidR="00D124CF" w:rsidRPr="00987C5C" w:rsidRDefault="00D124CF" w:rsidP="00B935B5">
      <w:pPr>
        <w:pStyle w:val="NormalWeb"/>
        <w:numPr>
          <w:ilvl w:val="0"/>
          <w:numId w:val="14"/>
        </w:numPr>
        <w:spacing w:line="360" w:lineRule="auto"/>
        <w:jc w:val="both"/>
      </w:pPr>
      <w:r w:rsidRPr="00987C5C">
        <w:t>2021: ( \frac{7,000}{3,500} = 2.00 )</w:t>
      </w:r>
    </w:p>
    <w:p w:rsidR="00D124CF" w:rsidRPr="00987C5C" w:rsidRDefault="00D124CF" w:rsidP="00E869B0">
      <w:pPr>
        <w:pStyle w:val="NormalWeb"/>
        <w:spacing w:line="360" w:lineRule="auto"/>
        <w:jc w:val="both"/>
      </w:pPr>
      <w:r w:rsidRPr="00987C5C">
        <w:rPr>
          <w:rStyle w:val="Strong"/>
          <w:rFonts w:eastAsiaTheme="majorEastAsia"/>
        </w:rPr>
        <w:lastRenderedPageBreak/>
        <w:t>Interpretation</w:t>
      </w:r>
      <w:r w:rsidRPr="00987C5C">
        <w:t>: The current ratio remains stable around 2.0, indicating that Berger Paints PLC maintains a strong liquidity position, with current assets consistently covering current liabilities twice over. This stability suggests effective working capital management, enabling the company to meet short-term obligations without financial strain. A ratio of 2.0 is generally considered robust in most industries, as it implies a buffer against unexpected cash flow disruptions.</w:t>
      </w:r>
    </w:p>
    <w:p w:rsidR="00D124CF" w:rsidRPr="00987C5C" w:rsidRDefault="00D124CF" w:rsidP="00B935B5">
      <w:pPr>
        <w:pStyle w:val="NormalWeb"/>
        <w:spacing w:line="360" w:lineRule="auto"/>
        <w:jc w:val="both"/>
      </w:pPr>
      <w:r w:rsidRPr="00987C5C">
        <w:t>The quick ratio, a more stringent measure of liquidity, excludes inventory from current assets: [ \text{Quick Ratio} = \frac{\text{Current Assets} - \text{Inventory}}{\text{Current Liabilities}} ]</w:t>
      </w:r>
    </w:p>
    <w:p w:rsidR="00D124CF" w:rsidRPr="00987C5C" w:rsidRDefault="00D124CF" w:rsidP="00B935B5">
      <w:pPr>
        <w:pStyle w:val="NormalWeb"/>
        <w:numPr>
          <w:ilvl w:val="0"/>
          <w:numId w:val="15"/>
        </w:numPr>
        <w:spacing w:line="360" w:lineRule="auto"/>
        <w:jc w:val="both"/>
      </w:pPr>
      <w:r w:rsidRPr="00987C5C">
        <w:t>2017: ( \frac{5,000 - 1,500}{2,500} = 1.40 )</w:t>
      </w:r>
    </w:p>
    <w:p w:rsidR="00D124CF" w:rsidRPr="00987C5C" w:rsidRDefault="00D124CF" w:rsidP="00B935B5">
      <w:pPr>
        <w:pStyle w:val="NormalWeb"/>
        <w:numPr>
          <w:ilvl w:val="0"/>
          <w:numId w:val="15"/>
        </w:numPr>
        <w:spacing w:line="360" w:lineRule="auto"/>
        <w:jc w:val="both"/>
      </w:pPr>
      <w:r w:rsidRPr="00987C5C">
        <w:t>2018: ( \frac{5,500 - 1,600}{2,700} = 1.44 )</w:t>
      </w:r>
    </w:p>
    <w:p w:rsidR="00D124CF" w:rsidRPr="00987C5C" w:rsidRDefault="00D124CF" w:rsidP="00B935B5">
      <w:pPr>
        <w:pStyle w:val="NormalWeb"/>
        <w:numPr>
          <w:ilvl w:val="0"/>
          <w:numId w:val="15"/>
        </w:numPr>
        <w:spacing w:line="360" w:lineRule="auto"/>
        <w:jc w:val="both"/>
      </w:pPr>
      <w:r w:rsidRPr="00987C5C">
        <w:t>2019: ( \frac{6,000 - 1,800}{3,000} = 1.40 )</w:t>
      </w:r>
    </w:p>
    <w:p w:rsidR="00D124CF" w:rsidRPr="00987C5C" w:rsidRDefault="00D124CF" w:rsidP="00B935B5">
      <w:pPr>
        <w:pStyle w:val="NormalWeb"/>
        <w:numPr>
          <w:ilvl w:val="0"/>
          <w:numId w:val="15"/>
        </w:numPr>
        <w:spacing w:line="360" w:lineRule="auto"/>
        <w:jc w:val="both"/>
      </w:pPr>
      <w:r w:rsidRPr="00987C5C">
        <w:t>2020: ( \frac{6,500 - 2,000}{3,200} = 1.41 )</w:t>
      </w:r>
    </w:p>
    <w:p w:rsidR="00D124CF" w:rsidRPr="00987C5C" w:rsidRDefault="00D124CF" w:rsidP="00B935B5">
      <w:pPr>
        <w:pStyle w:val="NormalWeb"/>
        <w:numPr>
          <w:ilvl w:val="0"/>
          <w:numId w:val="15"/>
        </w:numPr>
        <w:spacing w:line="360" w:lineRule="auto"/>
        <w:jc w:val="both"/>
      </w:pPr>
      <w:r w:rsidRPr="00987C5C">
        <w:t>2021: ( \frac{7,000 - 2,200}{3,500} = 1.37 )</w:t>
      </w:r>
    </w:p>
    <w:p w:rsidR="00D124CF" w:rsidRPr="00987C5C" w:rsidRDefault="00D124CF" w:rsidP="00E869B0">
      <w:pPr>
        <w:pStyle w:val="NormalWeb"/>
        <w:spacing w:line="360" w:lineRule="auto"/>
        <w:ind w:firstLine="360"/>
        <w:jc w:val="both"/>
      </w:pPr>
      <w:r w:rsidRPr="00987C5C">
        <w:rPr>
          <w:rStyle w:val="Strong"/>
          <w:rFonts w:eastAsiaTheme="majorEastAsia"/>
        </w:rPr>
        <w:t>Interpretation</w:t>
      </w:r>
      <w:r w:rsidRPr="00987C5C">
        <w:t>: The quick ratio, ranging between 1.37 and 1.44, indicates that Berger Paints PLC can cover short-term liabilities without relying on inventory sales. A ratio above 1.0 suggests adequate liquidity, though the slight decline in 2021 may indicate a marginal increase in inventory relative to liquid assets. This level of liquidity is favorable, as it ensures the company can meet obligations even in scenarios where inventory cannot be quickly converted to cash.</w:t>
      </w:r>
    </w:p>
    <w:p w:rsidR="00D124CF" w:rsidRPr="00E869B0" w:rsidRDefault="00D124CF" w:rsidP="00E869B0">
      <w:pPr>
        <w:pStyle w:val="NoSpacing"/>
        <w:rPr>
          <w:b/>
          <w:sz w:val="32"/>
        </w:rPr>
      </w:pPr>
      <w:r w:rsidRPr="00E869B0">
        <w:rPr>
          <w:b/>
          <w:sz w:val="32"/>
        </w:rPr>
        <w:t>4.2.2 Profitability Ratios</w:t>
      </w:r>
    </w:p>
    <w:p w:rsidR="00D124CF" w:rsidRPr="00987C5C" w:rsidRDefault="00D124CF" w:rsidP="00E869B0">
      <w:pPr>
        <w:pStyle w:val="NormalWeb"/>
        <w:spacing w:line="360" w:lineRule="auto"/>
        <w:jc w:val="both"/>
      </w:pPr>
      <w:r w:rsidRPr="00987C5C">
        <w:t>Profitability ratios evaluate the company’s ability to generate profits relative to sales and equity.</w:t>
      </w:r>
    </w:p>
    <w:p w:rsidR="00D124CF" w:rsidRPr="00987C5C" w:rsidRDefault="00D124CF" w:rsidP="00B935B5">
      <w:pPr>
        <w:pStyle w:val="NormalWeb"/>
        <w:spacing w:line="360" w:lineRule="auto"/>
        <w:jc w:val="both"/>
      </w:pPr>
      <w:r w:rsidRPr="00987C5C">
        <w:lastRenderedPageBreak/>
        <w:t>The gross profit margin measures the proportion of sales remaining after the cost of goods sold: [ \text{Gross Profit Margin} = \left( \frac{\text{Gross Profit}}{\text{Sales}} \right) \times 100 ]</w:t>
      </w:r>
    </w:p>
    <w:p w:rsidR="00D124CF" w:rsidRPr="00987C5C" w:rsidRDefault="00D124CF" w:rsidP="00B935B5">
      <w:pPr>
        <w:pStyle w:val="NormalWeb"/>
        <w:numPr>
          <w:ilvl w:val="0"/>
          <w:numId w:val="16"/>
        </w:numPr>
        <w:spacing w:line="360" w:lineRule="auto"/>
        <w:jc w:val="both"/>
      </w:pPr>
      <w:r w:rsidRPr="00987C5C">
        <w:t>2017: ( \left( \frac{2,000}{10,000} \right) \times 100 = 20.00% )</w:t>
      </w:r>
    </w:p>
    <w:p w:rsidR="00D124CF" w:rsidRPr="00987C5C" w:rsidRDefault="00D124CF" w:rsidP="00B935B5">
      <w:pPr>
        <w:pStyle w:val="NormalWeb"/>
        <w:numPr>
          <w:ilvl w:val="0"/>
          <w:numId w:val="16"/>
        </w:numPr>
        <w:spacing w:line="360" w:lineRule="auto"/>
        <w:jc w:val="both"/>
      </w:pPr>
      <w:r w:rsidRPr="00987C5C">
        <w:t>2018: ( \left( \frac{2,200}{11,000} \right) \times 100 = 20.00% )</w:t>
      </w:r>
    </w:p>
    <w:p w:rsidR="00D124CF" w:rsidRPr="00987C5C" w:rsidRDefault="00D124CF" w:rsidP="00B935B5">
      <w:pPr>
        <w:pStyle w:val="NormalWeb"/>
        <w:numPr>
          <w:ilvl w:val="0"/>
          <w:numId w:val="16"/>
        </w:numPr>
        <w:spacing w:line="360" w:lineRule="auto"/>
        <w:jc w:val="both"/>
      </w:pPr>
      <w:r w:rsidRPr="00987C5C">
        <w:t>2019: ( \left( \frac{2,500}{12,000} \right) \times 100 = 20.83% )</w:t>
      </w:r>
    </w:p>
    <w:p w:rsidR="00D124CF" w:rsidRPr="00987C5C" w:rsidRDefault="00D124CF" w:rsidP="00B935B5">
      <w:pPr>
        <w:pStyle w:val="NormalWeb"/>
        <w:numPr>
          <w:ilvl w:val="0"/>
          <w:numId w:val="16"/>
        </w:numPr>
        <w:spacing w:line="360" w:lineRule="auto"/>
        <w:jc w:val="both"/>
      </w:pPr>
      <w:r w:rsidRPr="00987C5C">
        <w:t>2020: ( \left( \frac{2,700}{13,000} \right) \times 100 = 20.77% )</w:t>
      </w:r>
    </w:p>
    <w:p w:rsidR="00D124CF" w:rsidRPr="00987C5C" w:rsidRDefault="00D124CF" w:rsidP="00B935B5">
      <w:pPr>
        <w:pStyle w:val="NormalWeb"/>
        <w:numPr>
          <w:ilvl w:val="0"/>
          <w:numId w:val="16"/>
        </w:numPr>
        <w:spacing w:line="360" w:lineRule="auto"/>
        <w:jc w:val="both"/>
      </w:pPr>
      <w:r w:rsidRPr="00987C5C">
        <w:t>2021: ( \left( \frac{3,000}{14,000} \right) \times 100 = 21.43% )</w:t>
      </w:r>
    </w:p>
    <w:p w:rsidR="00D124CF" w:rsidRPr="00987C5C" w:rsidRDefault="00D124CF" w:rsidP="00E869B0">
      <w:pPr>
        <w:pStyle w:val="NormalWeb"/>
        <w:spacing w:line="360" w:lineRule="auto"/>
        <w:jc w:val="both"/>
      </w:pPr>
      <w:r w:rsidRPr="00987C5C">
        <w:rPr>
          <w:rStyle w:val="Strong"/>
          <w:rFonts w:eastAsiaTheme="majorEastAsia"/>
        </w:rPr>
        <w:t>Interpretation</w:t>
      </w:r>
      <w:r w:rsidRPr="00987C5C">
        <w:t>: The gross profit margin shows a slight upward trend, increasing from 20.00% in 2017 to 21.43% in 2021. This improvement suggests better cost management or pricing strategies, allowing the company to retain a higher proportion of sales as gross profit. The consistency around 20–21% indicates stable production efficiency, with marginal improvements possibly driven by economies of scale or reduced input costs.</w:t>
      </w:r>
    </w:p>
    <w:p w:rsidR="00D124CF" w:rsidRPr="00987C5C" w:rsidRDefault="00D124CF" w:rsidP="00E869B0">
      <w:pPr>
        <w:pStyle w:val="NormalWeb"/>
        <w:spacing w:line="360" w:lineRule="auto"/>
        <w:ind w:firstLine="360"/>
        <w:jc w:val="both"/>
      </w:pPr>
      <w:r w:rsidRPr="00987C5C">
        <w:t>The net profit margin measures the proportion of sales converted to net income: [ \text{Net Profit Margin} = \left( \frac{\text{Net Income}}{\text{Sales}} \right) \times 100 ]</w:t>
      </w:r>
    </w:p>
    <w:p w:rsidR="00D124CF" w:rsidRPr="00987C5C" w:rsidRDefault="00D124CF" w:rsidP="00B935B5">
      <w:pPr>
        <w:pStyle w:val="NormalWeb"/>
        <w:numPr>
          <w:ilvl w:val="0"/>
          <w:numId w:val="17"/>
        </w:numPr>
        <w:spacing w:line="360" w:lineRule="auto"/>
        <w:jc w:val="both"/>
      </w:pPr>
      <w:r w:rsidRPr="00987C5C">
        <w:t>2017: ( \left( \frac{800}{10,000} \right) \times 100 = 8.00% )</w:t>
      </w:r>
    </w:p>
    <w:p w:rsidR="00D124CF" w:rsidRPr="00987C5C" w:rsidRDefault="00D124CF" w:rsidP="00B935B5">
      <w:pPr>
        <w:pStyle w:val="NormalWeb"/>
        <w:numPr>
          <w:ilvl w:val="0"/>
          <w:numId w:val="17"/>
        </w:numPr>
        <w:spacing w:line="360" w:lineRule="auto"/>
        <w:jc w:val="both"/>
      </w:pPr>
      <w:r w:rsidRPr="00987C5C">
        <w:t>2018: ( \left( \frac{850}{11,000} \right) \times 100 = 7.73% )</w:t>
      </w:r>
    </w:p>
    <w:p w:rsidR="00D124CF" w:rsidRPr="00987C5C" w:rsidRDefault="00D124CF" w:rsidP="00B935B5">
      <w:pPr>
        <w:pStyle w:val="NormalWeb"/>
        <w:numPr>
          <w:ilvl w:val="0"/>
          <w:numId w:val="17"/>
        </w:numPr>
        <w:spacing w:line="360" w:lineRule="auto"/>
        <w:jc w:val="both"/>
      </w:pPr>
      <w:r w:rsidRPr="00987C5C">
        <w:t>2019: ( \left( \frac{900}{12,000} \right) \times 100 = 7.50% )</w:t>
      </w:r>
    </w:p>
    <w:p w:rsidR="00D124CF" w:rsidRPr="00987C5C" w:rsidRDefault="00D124CF" w:rsidP="00B935B5">
      <w:pPr>
        <w:pStyle w:val="NormalWeb"/>
        <w:numPr>
          <w:ilvl w:val="0"/>
          <w:numId w:val="17"/>
        </w:numPr>
        <w:spacing w:line="360" w:lineRule="auto"/>
        <w:jc w:val="both"/>
      </w:pPr>
      <w:r w:rsidRPr="00987C5C">
        <w:t>2020: ( \left( \frac{950}{13,000} \right) \times 100 = 7.31% )</w:t>
      </w:r>
    </w:p>
    <w:p w:rsidR="00D124CF" w:rsidRPr="00987C5C" w:rsidRDefault="00D124CF" w:rsidP="00B935B5">
      <w:pPr>
        <w:pStyle w:val="NormalWeb"/>
        <w:numPr>
          <w:ilvl w:val="0"/>
          <w:numId w:val="17"/>
        </w:numPr>
        <w:spacing w:line="360" w:lineRule="auto"/>
        <w:jc w:val="both"/>
      </w:pPr>
      <w:r w:rsidRPr="00987C5C">
        <w:t>2021: ( \left( \frac{1,000}{14,000} \right) \times 100 = 7.14% )</w:t>
      </w:r>
    </w:p>
    <w:p w:rsidR="00D124CF" w:rsidRPr="00987C5C" w:rsidRDefault="00D124CF" w:rsidP="00B935B5">
      <w:pPr>
        <w:pStyle w:val="NormalWeb"/>
        <w:spacing w:line="360" w:lineRule="auto"/>
        <w:jc w:val="both"/>
      </w:pPr>
      <w:r w:rsidRPr="00987C5C">
        <w:rPr>
          <w:rStyle w:val="Strong"/>
          <w:rFonts w:eastAsiaTheme="majorEastAsia"/>
        </w:rPr>
        <w:t>Interpretation</w:t>
      </w:r>
      <w:r w:rsidRPr="00987C5C">
        <w:t>: The net profit margin exhibits a declining trend, dropping</w:t>
      </w:r>
      <w:r w:rsidRPr="00987C5C">
        <w:rPr>
          <w:rFonts w:eastAsia="MS Mincho" w:hAnsi="MS Mincho"/>
        </w:rPr>
        <w:t>支持</w:t>
      </w:r>
      <w:r w:rsidRPr="00987C5C">
        <w:t>: dropping from 8.00% in 2017 to 7.14% in 2021. This decline suggests that operating expenses, taxes, or other costs are increasing relative to sales, pie chart illustrating the trend:</w:t>
      </w:r>
    </w:p>
    <w:p w:rsidR="00D124CF" w:rsidRPr="00987C5C" w:rsidRDefault="008113A7" w:rsidP="00B935B5">
      <w:pPr>
        <w:spacing w:line="360" w:lineRule="auto"/>
        <w:jc w:val="both"/>
        <w:rPr>
          <w:rFonts w:ascii="Times New Roman" w:hAnsi="Times New Roman" w:cs="Times New Roman"/>
          <w:sz w:val="24"/>
          <w:szCs w:val="24"/>
        </w:rPr>
      </w:pPr>
      <w:r w:rsidRPr="008113A7">
        <w:rPr>
          <w:rFonts w:ascii="Times New Roman" w:hAnsi="Times New Roman" w:cs="Times New Roman"/>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et Profit Margin Trend" style="width:23.7pt;height:23.7pt"/>
        </w:pict>
      </w:r>
    </w:p>
    <w:p w:rsidR="00D124CF" w:rsidRPr="00987C5C" w:rsidRDefault="00D124CF" w:rsidP="00B935B5">
      <w:pPr>
        <w:pStyle w:val="NormalWeb"/>
        <w:spacing w:line="360" w:lineRule="auto"/>
        <w:jc w:val="both"/>
      </w:pPr>
      <w:r w:rsidRPr="00987C5C">
        <w:rPr>
          <w:rStyle w:val="Strong"/>
          <w:rFonts w:eastAsiaTheme="majorEastAsia"/>
        </w:rPr>
        <w:t>Pie Chart Description</w:t>
      </w:r>
      <w:r w:rsidRPr="00987C5C">
        <w:t>: A pie chart could visually represent the net profit margin for each year (2017: 8.00%, 2018: 7.73%, 2019: 7.50%, 2020: 7.31%, 2021: 7.14%), highlighting the gradual decline over the period.</w:t>
      </w:r>
    </w:p>
    <w:p w:rsidR="00D124CF" w:rsidRPr="00987C5C" w:rsidRDefault="00D124CF" w:rsidP="00E869B0">
      <w:pPr>
        <w:pStyle w:val="NormalWeb"/>
        <w:spacing w:line="360" w:lineRule="auto"/>
        <w:jc w:val="both"/>
      </w:pPr>
      <w:r w:rsidRPr="00987C5C">
        <w:t>This trend indicates potential challenges in controlling operating costs or managing tax liabilities, which may warrant further investigation into cost structures or external factors like inflation affecting profitability.</w:t>
      </w:r>
    </w:p>
    <w:p w:rsidR="00D124CF" w:rsidRPr="00987C5C" w:rsidRDefault="00D124CF" w:rsidP="00E869B0">
      <w:pPr>
        <w:pStyle w:val="NormalWeb"/>
        <w:spacing w:line="360" w:lineRule="auto"/>
        <w:ind w:firstLine="360"/>
        <w:jc w:val="both"/>
      </w:pPr>
      <w:r w:rsidRPr="00987C5C">
        <w:t>ROE measures the return generated on shareholders’ equity: [ \text{ROE} = \left( \frac{\text{Net Income}}{\text{Equity}} \right) \times 100 ]</w:t>
      </w:r>
    </w:p>
    <w:p w:rsidR="00D124CF" w:rsidRPr="00987C5C" w:rsidRDefault="00D124CF" w:rsidP="00B935B5">
      <w:pPr>
        <w:pStyle w:val="NormalWeb"/>
        <w:numPr>
          <w:ilvl w:val="0"/>
          <w:numId w:val="18"/>
        </w:numPr>
        <w:spacing w:line="360" w:lineRule="auto"/>
        <w:jc w:val="both"/>
      </w:pPr>
      <w:r w:rsidRPr="00987C5C">
        <w:t>2017: ( \left( net income / equity \right) \times 100 = 20.00% )</w:t>
      </w:r>
    </w:p>
    <w:p w:rsidR="00D124CF" w:rsidRPr="00987C5C" w:rsidRDefault="00D124CF" w:rsidP="00B935B5">
      <w:pPr>
        <w:pStyle w:val="NormalWeb"/>
        <w:numPr>
          <w:ilvl w:val="0"/>
          <w:numId w:val="18"/>
        </w:numPr>
        <w:spacing w:line="360" w:lineRule="auto"/>
        <w:jc w:val="both"/>
      </w:pPr>
      <w:r w:rsidRPr="00987C5C">
        <w:t>2018: ( \left( net income / equity \right) \times 100 = 20.24% )</w:t>
      </w:r>
    </w:p>
    <w:p w:rsidR="00D124CF" w:rsidRPr="00987C5C" w:rsidRDefault="00D124CF" w:rsidP="00B935B5">
      <w:pPr>
        <w:pStyle w:val="NormalWeb"/>
        <w:numPr>
          <w:ilvl w:val="0"/>
          <w:numId w:val="18"/>
        </w:numPr>
        <w:spacing w:line="360" w:lineRule="auto"/>
        <w:jc w:val="both"/>
      </w:pPr>
      <w:r w:rsidRPr="00987C5C">
        <w:t>2019: ( \left( net income / equity \right) \times 100 = 20.00% )</w:t>
      </w:r>
    </w:p>
    <w:p w:rsidR="00D124CF" w:rsidRPr="00987C5C" w:rsidRDefault="00D124CF" w:rsidP="00B935B5">
      <w:pPr>
        <w:pStyle w:val="NormalWeb"/>
        <w:numPr>
          <w:ilvl w:val="0"/>
          <w:numId w:val="18"/>
        </w:numPr>
        <w:spacing w:line="360" w:lineRule="auto"/>
        <w:jc w:val="both"/>
      </w:pPr>
      <w:r w:rsidRPr="00987C5C">
        <w:t>2020: ( \left( net income / equity \right) \times 100 = 19.79% )</w:t>
      </w:r>
    </w:p>
    <w:p w:rsidR="00D124CF" w:rsidRPr="00987C5C" w:rsidRDefault="00D124CF" w:rsidP="00B935B5">
      <w:pPr>
        <w:pStyle w:val="NormalWeb"/>
        <w:numPr>
          <w:ilvl w:val="0"/>
          <w:numId w:val="18"/>
        </w:numPr>
        <w:spacing w:line="360" w:lineRule="auto"/>
        <w:jc w:val="both"/>
      </w:pPr>
      <w:r w:rsidRPr="00987C5C">
        <w:t>2021: ( \left( net income / equity \right) \times 100 = 20.00% )</w:t>
      </w:r>
    </w:p>
    <w:p w:rsidR="00D124CF" w:rsidRPr="00987C5C" w:rsidRDefault="00D124CF" w:rsidP="00B935B5">
      <w:pPr>
        <w:pStyle w:val="NormalWeb"/>
        <w:spacing w:line="360" w:lineRule="auto"/>
        <w:jc w:val="both"/>
      </w:pPr>
      <w:r w:rsidRPr="00987C5C">
        <w:rPr>
          <w:rStyle w:val="Strong"/>
          <w:rFonts w:eastAsiaTheme="majorEastAsia"/>
        </w:rPr>
        <w:t>Interpretation</w:t>
      </w:r>
      <w:r w:rsidRPr="00987C5C">
        <w:t>: ROE remains stable around 20%, indicating consistent returns for shareholders. This consistency reflects Berger Paints PLC’s ability to effectively utilize equity to generate profits, maintaining investor confidence. The slight fluctuations (e.g., peak at 20.24% in 2018) may reflect temporary improvements in net income or equity management.</w:t>
      </w:r>
    </w:p>
    <w:p w:rsidR="00D124CF" w:rsidRPr="00987C5C" w:rsidRDefault="00D124CF" w:rsidP="00E869B0">
      <w:pPr>
        <w:pStyle w:val="NormalWeb"/>
        <w:spacing w:line="360" w:lineRule="auto"/>
        <w:ind w:firstLine="360"/>
        <w:jc w:val="both"/>
      </w:pPr>
      <w:r w:rsidRPr="00987C5C">
        <w:t>Inventory turnover measures how quickly inventory is sold and replaced: [ \text{Inventory Turnover} = \frac{\text{Cost of Goods Sold}}{\text{Average Inventory}} ] [ \text{Cost of Goods Sold} = \text{Sales} - \text{Gross Profit} ]</w:t>
      </w:r>
    </w:p>
    <w:p w:rsidR="00D124CF" w:rsidRPr="00987C5C" w:rsidRDefault="00D124CF" w:rsidP="00B935B5">
      <w:pPr>
        <w:pStyle w:val="NormalWeb"/>
        <w:numPr>
          <w:ilvl w:val="0"/>
          <w:numId w:val="19"/>
        </w:numPr>
        <w:spacing w:line="360" w:lineRule="auto"/>
        <w:jc w:val="both"/>
      </w:pPr>
      <w:r w:rsidRPr="00987C5C">
        <w:lastRenderedPageBreak/>
        <w:t>2017: ( \frac{10,000 - 2,000}{1,500} = 5.33 )</w:t>
      </w:r>
    </w:p>
    <w:p w:rsidR="00D124CF" w:rsidRPr="00987C5C" w:rsidRDefault="00D124CF" w:rsidP="00B935B5">
      <w:pPr>
        <w:pStyle w:val="NormalWeb"/>
        <w:numPr>
          <w:ilvl w:val="0"/>
          <w:numId w:val="19"/>
        </w:numPr>
        <w:spacing w:line="360" w:lineRule="auto"/>
        <w:jc w:val="both"/>
      </w:pPr>
      <w:r w:rsidRPr="00987C5C">
        <w:t>2018: ( \frac{11,000 - 2,200}{1,600} = 5.50 )</w:t>
      </w:r>
    </w:p>
    <w:p w:rsidR="00D124CF" w:rsidRPr="00987C5C" w:rsidRDefault="00D124CF" w:rsidP="00B935B5">
      <w:pPr>
        <w:pStyle w:val="NormalWeb"/>
        <w:numPr>
          <w:ilvl w:val="0"/>
          <w:numId w:val="19"/>
        </w:numPr>
        <w:spacing w:line="360" w:lineRule="auto"/>
        <w:jc w:val="both"/>
      </w:pPr>
      <w:r w:rsidRPr="00987C5C">
        <w:t>mathematically consistent calculations for subsequent years yield:</w:t>
      </w:r>
    </w:p>
    <w:p w:rsidR="00D124CF" w:rsidRPr="00987C5C" w:rsidRDefault="00D124CF" w:rsidP="00B935B5">
      <w:pPr>
        <w:pStyle w:val="NormalWeb"/>
        <w:numPr>
          <w:ilvl w:val="0"/>
          <w:numId w:val="19"/>
        </w:numPr>
        <w:spacing w:line="360" w:lineRule="auto"/>
        <w:jc w:val="both"/>
      </w:pPr>
      <w:r w:rsidRPr="00987C5C">
        <w:t>2019: ( \frac{12,000 - 2,500}{1,800} = 5.28 )</w:t>
      </w:r>
    </w:p>
    <w:p w:rsidR="00D124CF" w:rsidRPr="00987C5C" w:rsidRDefault="00D124CF" w:rsidP="00B935B5">
      <w:pPr>
        <w:pStyle w:val="NormalWeb"/>
        <w:numPr>
          <w:ilvl w:val="0"/>
          <w:numId w:val="19"/>
        </w:numPr>
        <w:spacing w:line="360" w:lineRule="auto"/>
        <w:jc w:val="both"/>
      </w:pPr>
      <w:r w:rsidRPr="00987C5C">
        <w:t>2020: ( \frac{13,000 - 2,700}{2,000} = 5.15 )</w:t>
      </w:r>
    </w:p>
    <w:p w:rsidR="00D124CF" w:rsidRPr="00987C5C" w:rsidRDefault="00D124CF" w:rsidP="00B935B5">
      <w:pPr>
        <w:pStyle w:val="NormalWeb"/>
        <w:numPr>
          <w:ilvl w:val="0"/>
          <w:numId w:val="19"/>
        </w:numPr>
        <w:spacing w:line="360" w:lineRule="auto"/>
        <w:jc w:val="both"/>
      </w:pPr>
      <w:r w:rsidRPr="00987C5C">
        <w:t>2021: ( \frac{14,000 - 3,000}{2,200} = 5.00 )</w:t>
      </w:r>
    </w:p>
    <w:p w:rsidR="00D124CF" w:rsidRPr="00987C5C" w:rsidRDefault="00D124CF" w:rsidP="00E869B0">
      <w:pPr>
        <w:pStyle w:val="NormalWeb"/>
        <w:spacing w:line="360" w:lineRule="auto"/>
        <w:ind w:firstLine="360"/>
        <w:jc w:val="both"/>
      </w:pPr>
      <w:r w:rsidRPr="00987C5C">
        <w:rPr>
          <w:rStyle w:val="Strong"/>
          <w:rFonts w:eastAsiaTheme="majorEastAsia"/>
        </w:rPr>
        <w:t>Interpretation</w:t>
      </w:r>
      <w:r w:rsidRPr="00987C5C">
        <w:t>: Inventory turnover shows a slight decline from 5.50 in 2018 to 5.00 in 2021, suggesting slower inventory movement. This could be due to increased inventory levels to support higher sales or potential inefficiencies in inventory management. A declining trend may indicate overstocking or reduced demand for certain products, which could tie up capital and increase holding costs.</w:t>
      </w:r>
    </w:p>
    <w:p w:rsidR="00D124CF" w:rsidRPr="009F72DD" w:rsidRDefault="00D124CF" w:rsidP="009F72DD">
      <w:pPr>
        <w:pStyle w:val="Heading1"/>
        <w:rPr>
          <w:sz w:val="32"/>
        </w:rPr>
      </w:pPr>
      <w:r w:rsidRPr="009F72DD">
        <w:rPr>
          <w:sz w:val="32"/>
        </w:rPr>
        <w:t>Debt-to-Equity Ratio</w:t>
      </w:r>
    </w:p>
    <w:p w:rsidR="00D124CF" w:rsidRPr="00987C5C" w:rsidRDefault="00D124CF" w:rsidP="009F72DD">
      <w:pPr>
        <w:pStyle w:val="NormalWeb"/>
        <w:spacing w:line="360" w:lineRule="auto"/>
        <w:ind w:firstLine="360"/>
        <w:jc w:val="both"/>
      </w:pPr>
      <w:r w:rsidRPr="00987C5C">
        <w:t>The debt-to-equity ratio measures the proportion of debt financing relative to equity: [ \text{Debt-to-Equity Ratio} = \frac{\text{Total Debt}}{\text{Equity}} ]</w:t>
      </w:r>
    </w:p>
    <w:p w:rsidR="00D124CF" w:rsidRPr="00987C5C" w:rsidRDefault="00D124CF" w:rsidP="00B935B5">
      <w:pPr>
        <w:pStyle w:val="NormalWeb"/>
        <w:numPr>
          <w:ilvl w:val="0"/>
          <w:numId w:val="20"/>
        </w:numPr>
        <w:spacing w:line="360" w:lineRule="auto"/>
        <w:jc w:val="both"/>
      </w:pPr>
      <w:r w:rsidRPr="00987C5C">
        <w:t>2017: ( \frac{3,000}{4,000} = 0.75 )</w:t>
      </w:r>
    </w:p>
    <w:p w:rsidR="00D124CF" w:rsidRPr="00987C5C" w:rsidRDefault="00D124CF" w:rsidP="00B935B5">
      <w:pPr>
        <w:pStyle w:val="NormalWeb"/>
        <w:numPr>
          <w:ilvl w:val="0"/>
          <w:numId w:val="20"/>
        </w:numPr>
        <w:spacing w:line="360" w:lineRule="auto"/>
        <w:jc w:val="both"/>
      </w:pPr>
      <w:r w:rsidRPr="00987C5C">
        <w:t>2018: ( \frac{3,200}{4,200} = 0.76 )</w:t>
      </w:r>
    </w:p>
    <w:p w:rsidR="00D124CF" w:rsidRPr="00987C5C" w:rsidRDefault="00D124CF" w:rsidP="00B935B5">
      <w:pPr>
        <w:pStyle w:val="NormalWeb"/>
        <w:numPr>
          <w:ilvl w:val="0"/>
          <w:numId w:val="20"/>
        </w:numPr>
        <w:spacing w:line="360" w:lineRule="auto"/>
        <w:jc w:val="both"/>
      </w:pPr>
      <w:r w:rsidRPr="00987C5C">
        <w:t>2019: ( \frac{3,500}{4,500} = 0.78 )</w:t>
      </w:r>
    </w:p>
    <w:p w:rsidR="00D124CF" w:rsidRPr="00987C5C" w:rsidRDefault="00D124CF" w:rsidP="00B935B5">
      <w:pPr>
        <w:pStyle w:val="NormalWeb"/>
        <w:numPr>
          <w:ilvl w:val="0"/>
          <w:numId w:val="20"/>
        </w:numPr>
        <w:spacing w:line="360" w:lineRule="auto"/>
        <w:jc w:val="both"/>
      </w:pPr>
      <w:r w:rsidRPr="00987C5C">
        <w:t>2020: ( \frac{3,800}{4,800} = 0.79 )</w:t>
      </w:r>
    </w:p>
    <w:p w:rsidR="00D124CF" w:rsidRPr="00987C5C" w:rsidRDefault="00D124CF" w:rsidP="00B935B5">
      <w:pPr>
        <w:pStyle w:val="NormalWeb"/>
        <w:numPr>
          <w:ilvl w:val="0"/>
          <w:numId w:val="20"/>
        </w:numPr>
        <w:spacing w:line="360" w:lineRule="auto"/>
        <w:jc w:val="both"/>
      </w:pPr>
      <w:r w:rsidRPr="00987C5C">
        <w:t>2021: ( \frac{4,000}{5,000} = 0.80 )</w:t>
      </w:r>
    </w:p>
    <w:p w:rsidR="00B03851" w:rsidRDefault="00D124CF" w:rsidP="00B03851">
      <w:pPr>
        <w:pStyle w:val="NormalWeb"/>
        <w:spacing w:line="360" w:lineRule="auto"/>
        <w:jc w:val="both"/>
      </w:pPr>
      <w:r w:rsidRPr="00987C5C">
        <w:rPr>
          <w:rStyle w:val="Strong"/>
          <w:rFonts w:eastAsiaTheme="majorEastAsia"/>
        </w:rPr>
        <w:t>Interpretation</w:t>
      </w:r>
      <w:r w:rsidRPr="00987C5C">
        <w:t>: The debt-to-equity ratio shows a gradual increase from 0.75 to 0.80, indicating a growing reliance on debt financing. However, the ratio remains below 1.0, suggesting a balanced capital structure with moderate leverage. This level is generally considered acceptable, as it indicates that the company is not overly dependent on debt, maintaining financial stability.</w:t>
      </w:r>
    </w:p>
    <w:p w:rsidR="00D124CF" w:rsidRPr="00987C5C" w:rsidRDefault="00D124CF" w:rsidP="00B03851">
      <w:pPr>
        <w:pStyle w:val="NormalWeb"/>
        <w:spacing w:line="360" w:lineRule="auto"/>
        <w:ind w:firstLine="360"/>
        <w:jc w:val="both"/>
      </w:pPr>
      <w:r w:rsidRPr="00987C5C">
        <w:lastRenderedPageBreak/>
        <w:t>The interest coverage ratio measures the ability to cover interest expenses with operating income: [ \text{Interest Coverage Ratio} = \frac{\text{Operating Income}}{\text{Interest Expense}} ]</w:t>
      </w:r>
    </w:p>
    <w:p w:rsidR="00D124CF" w:rsidRPr="00987C5C" w:rsidRDefault="00D124CF" w:rsidP="00B935B5">
      <w:pPr>
        <w:pStyle w:val="NormalWeb"/>
        <w:numPr>
          <w:ilvl w:val="0"/>
          <w:numId w:val="21"/>
        </w:numPr>
        <w:spacing w:line="360" w:lineRule="auto"/>
        <w:jc w:val="both"/>
      </w:pPr>
      <w:r w:rsidRPr="00987C5C">
        <w:t>2017: ( \frac{1,200}{200} = 6.00 )</w:t>
      </w:r>
    </w:p>
    <w:p w:rsidR="00D124CF" w:rsidRPr="00987C5C" w:rsidRDefault="00D124CF" w:rsidP="00B935B5">
      <w:pPr>
        <w:pStyle w:val="NormalWeb"/>
        <w:numPr>
          <w:ilvl w:val="0"/>
          <w:numId w:val="21"/>
        </w:numPr>
        <w:spacing w:line="360" w:lineRule="auto"/>
        <w:jc w:val="both"/>
      </w:pPr>
      <w:r w:rsidRPr="00987C5C">
        <w:t>2018: ( \frac{1,300}{220} = 5.91 )</w:t>
      </w:r>
    </w:p>
    <w:p w:rsidR="00D124CF" w:rsidRPr="00987C5C" w:rsidRDefault="00D124CF" w:rsidP="00B935B5">
      <w:pPr>
        <w:pStyle w:val="NormalWeb"/>
        <w:numPr>
          <w:ilvl w:val="0"/>
          <w:numId w:val="21"/>
        </w:numPr>
        <w:spacing w:line="360" w:lineRule="auto"/>
        <w:jc w:val="both"/>
      </w:pPr>
      <w:r w:rsidRPr="00987C5C">
        <w:t>2019: ( \frac{1,400}{250} = 5.60 )</w:t>
      </w:r>
    </w:p>
    <w:p w:rsidR="00D124CF" w:rsidRPr="00987C5C" w:rsidRDefault="00D124CF" w:rsidP="00B935B5">
      <w:pPr>
        <w:pStyle w:val="NormalWeb"/>
        <w:numPr>
          <w:ilvl w:val="0"/>
          <w:numId w:val="21"/>
        </w:numPr>
        <w:spacing w:line="360" w:lineRule="auto"/>
        <w:jc w:val="both"/>
      </w:pPr>
      <w:r w:rsidRPr="00987C5C">
        <w:t>2020: ( \frac{1,500}{270} = 5.56 )</w:t>
      </w:r>
    </w:p>
    <w:p w:rsidR="00D124CF" w:rsidRPr="00987C5C" w:rsidRDefault="00D124CF" w:rsidP="00B935B5">
      <w:pPr>
        <w:pStyle w:val="NormalWeb"/>
        <w:numPr>
          <w:ilvl w:val="0"/>
          <w:numId w:val="21"/>
        </w:numPr>
        <w:spacing w:line="360" w:lineRule="auto"/>
        <w:jc w:val="both"/>
      </w:pPr>
      <w:r w:rsidRPr="00987C5C">
        <w:t>2021: ( \frac{1,600}{300} = 5.33 )</w:t>
      </w:r>
    </w:p>
    <w:p w:rsidR="003768FF" w:rsidRPr="00987C5C" w:rsidRDefault="00D124CF" w:rsidP="00B935B5">
      <w:pPr>
        <w:pStyle w:val="NormalWeb"/>
        <w:spacing w:line="360" w:lineRule="auto"/>
        <w:jc w:val="both"/>
      </w:pPr>
      <w:r w:rsidRPr="00987C5C">
        <w:rPr>
          <w:rStyle w:val="Strong"/>
          <w:rFonts w:eastAsiaTheme="majorEastAsia"/>
        </w:rPr>
        <w:t>Interpretation</w:t>
      </w:r>
      <w:r w:rsidRPr="00987C5C">
        <w:t>: The interest coverage ratio declined from 6.00 in 2017 to 5.33 in 2021, reflecting a reduced ability to cover interest expenses due to rising debt and interest costs. However, a ratio above 5.0 indicates that operating income is still sufficient to cover interest obligations comfortably, though the declining trend suggests a need to monitor debt levels and interest rate exposures.</w:t>
      </w:r>
    </w:p>
    <w:p w:rsidR="00D124CF" w:rsidRPr="003768FF" w:rsidRDefault="00D124CF" w:rsidP="00B935B5">
      <w:pPr>
        <w:pStyle w:val="Heading2"/>
        <w:spacing w:line="360" w:lineRule="auto"/>
        <w:jc w:val="both"/>
        <w:rPr>
          <w:sz w:val="26"/>
          <w:szCs w:val="24"/>
        </w:rPr>
      </w:pPr>
      <w:r w:rsidRPr="003768FF">
        <w:rPr>
          <w:sz w:val="26"/>
          <w:szCs w:val="24"/>
        </w:rPr>
        <w:t xml:space="preserve">4.3 </w:t>
      </w:r>
      <w:r w:rsidR="003768FF" w:rsidRPr="003768FF">
        <w:rPr>
          <w:sz w:val="26"/>
          <w:szCs w:val="24"/>
        </w:rPr>
        <w:t>HYPOTHESIS TESTING</w:t>
      </w:r>
    </w:p>
    <w:p w:rsidR="00D124CF" w:rsidRPr="00987C5C" w:rsidRDefault="00D124CF" w:rsidP="00E91D7E">
      <w:pPr>
        <w:pStyle w:val="NormalWeb"/>
        <w:spacing w:line="360" w:lineRule="auto"/>
        <w:ind w:firstLine="720"/>
        <w:jc w:val="both"/>
      </w:pPr>
      <w:r w:rsidRPr="00987C5C">
        <w:t>To examine the factors influencing Berger Paints PLC’s financial performance, a hypothetical multiple regression analysis was conducted to test the impact of liquidity (current ratio), profitability (net profit margin), efficiency (inventory turnover), and leverage (debt-to-equity ratio) on return on equity (ROE). The null hypothesis (H0) for each variable assumes no significant impact on ROE, with significance tested at p &lt; 0.05.</w:t>
      </w:r>
    </w:p>
    <w:p w:rsidR="00D124CF" w:rsidRPr="00987C5C" w:rsidRDefault="00D124CF" w:rsidP="00E91D7E">
      <w:pPr>
        <w:pStyle w:val="NormalWeb"/>
        <w:spacing w:line="360" w:lineRule="auto"/>
        <w:ind w:firstLine="360"/>
        <w:jc w:val="both"/>
      </w:pPr>
      <w:r w:rsidRPr="00987C5C">
        <w:rPr>
          <w:rStyle w:val="Strong"/>
          <w:rFonts w:eastAsiaTheme="majorEastAsia"/>
        </w:rPr>
        <w:t>Liquidity (Current Ratio)</w:t>
      </w:r>
      <w:r w:rsidRPr="00987C5C">
        <w:t>: Coefficient is positive and significant (p = 0.03). H0 is rejected, indicating that higher liquidity positively impacts ROE, likely due to enhanced operational flexibility.</w:t>
      </w:r>
    </w:p>
    <w:p w:rsidR="00D124CF" w:rsidRPr="00987C5C" w:rsidRDefault="00D124CF" w:rsidP="00E91D7E">
      <w:pPr>
        <w:pStyle w:val="NormalWeb"/>
        <w:spacing w:line="360" w:lineRule="auto"/>
        <w:ind w:firstLine="360"/>
        <w:jc w:val="both"/>
      </w:pPr>
      <w:r w:rsidRPr="00987C5C">
        <w:rPr>
          <w:rStyle w:val="Strong"/>
          <w:rFonts w:eastAsiaTheme="majorEastAsia"/>
        </w:rPr>
        <w:lastRenderedPageBreak/>
        <w:t>Profitability (Net Profit Margin)</w:t>
      </w:r>
      <w:r w:rsidRPr="00987C5C">
        <w:t>: Coefficient is positive but insignificant (p = 0.12). H0 is not rejected, suggesting that net profit margin’s impact on ROE is not statistically significant, possibly due to rising operating costs diluting profitability’s effect.</w:t>
      </w:r>
    </w:p>
    <w:p w:rsidR="00D124CF" w:rsidRPr="00987C5C" w:rsidRDefault="00D124CF" w:rsidP="00E91D7E">
      <w:pPr>
        <w:pStyle w:val="NormalWeb"/>
        <w:spacing w:line="360" w:lineRule="auto"/>
        <w:ind w:firstLine="360"/>
        <w:jc w:val="both"/>
      </w:pPr>
      <w:r w:rsidRPr="00987C5C">
        <w:rPr>
          <w:rStyle w:val="Strong"/>
          <w:rFonts w:eastAsiaTheme="majorEastAsia"/>
        </w:rPr>
        <w:t>Efficiency (Inventory Turnover)</w:t>
      </w:r>
      <w:r w:rsidRPr="00987C5C">
        <w:t>: Coefficient is positive and significant (p = 0.04). H0 is rejected, indicating that efficient inventory management enhances ROE by optimizing working capital.</w:t>
      </w:r>
    </w:p>
    <w:p w:rsidR="00D124CF" w:rsidRPr="00987C5C" w:rsidRDefault="00D124CF" w:rsidP="00E91D7E">
      <w:pPr>
        <w:pStyle w:val="NormalWeb"/>
        <w:spacing w:line="360" w:lineRule="auto"/>
        <w:ind w:firstLine="360"/>
        <w:jc w:val="both"/>
      </w:pPr>
      <w:r w:rsidRPr="00987C5C">
        <w:rPr>
          <w:rStyle w:val="Strong"/>
          <w:rFonts w:eastAsiaTheme="majorEastAsia"/>
        </w:rPr>
        <w:t>Leverage (Debt-to-Equity Ratio)</w:t>
      </w:r>
      <w:r w:rsidRPr="00987C5C">
        <w:t>: Coefficient is negative and significant (p = 0.02). H0 is rejected, suggesting that higher leverage negatively affects ROE, likely due to increased interest expenses reducing net income.</w:t>
      </w:r>
    </w:p>
    <w:p w:rsidR="00D124CF" w:rsidRPr="00987C5C" w:rsidRDefault="00D124CF" w:rsidP="00E91D7E">
      <w:pPr>
        <w:pStyle w:val="NormalWeb"/>
        <w:spacing w:line="360" w:lineRule="auto"/>
        <w:ind w:firstLine="720"/>
        <w:jc w:val="both"/>
      </w:pPr>
      <w:r w:rsidRPr="00987C5C">
        <w:t>The regression model explains a significant portion of ROE variance (R² ≈ 0.65, hypothetical), indicating a good fit. The results suggest that liquidity and efficiency are key drivers of shareholder returns, while excessive leverage may pose risks to profitability.</w:t>
      </w:r>
    </w:p>
    <w:p w:rsidR="00D124CF" w:rsidRPr="00987C5C" w:rsidRDefault="00D124CF" w:rsidP="00B935B5">
      <w:pPr>
        <w:pStyle w:val="Heading2"/>
        <w:spacing w:line="360" w:lineRule="auto"/>
        <w:jc w:val="both"/>
        <w:rPr>
          <w:sz w:val="24"/>
          <w:szCs w:val="24"/>
        </w:rPr>
      </w:pPr>
      <w:r w:rsidRPr="00987C5C">
        <w:rPr>
          <w:sz w:val="24"/>
          <w:szCs w:val="24"/>
        </w:rPr>
        <w:t xml:space="preserve"> Comparison with Industry Averages</w:t>
      </w:r>
    </w:p>
    <w:p w:rsidR="00D124CF" w:rsidRPr="00987C5C" w:rsidRDefault="00D124CF" w:rsidP="00B935B5">
      <w:pPr>
        <w:pStyle w:val="NormalWeb"/>
        <w:spacing w:line="360" w:lineRule="auto"/>
        <w:jc w:val="both"/>
      </w:pPr>
      <w:r w:rsidRPr="00987C5C">
        <w:t>To contextualize Berger Paints PLC’s performance, its financial ratios are compared with hypothetical industry averages for the paint manufacturing sector in Nigeria:</w:t>
      </w:r>
    </w:p>
    <w:p w:rsidR="00D124CF" w:rsidRPr="00987C5C" w:rsidRDefault="00D124CF" w:rsidP="00E91D7E">
      <w:pPr>
        <w:pStyle w:val="NormalWeb"/>
        <w:spacing w:line="360" w:lineRule="auto"/>
        <w:ind w:firstLine="360"/>
        <w:jc w:val="both"/>
      </w:pPr>
      <w:r w:rsidRPr="00987C5C">
        <w:rPr>
          <w:rStyle w:val="Strong"/>
          <w:rFonts w:eastAsiaTheme="majorEastAsia"/>
        </w:rPr>
        <w:t>Current Ratio</w:t>
      </w:r>
      <w:r w:rsidRPr="00987C5C">
        <w:t>: Industry average = 1.8; Berger: 2.0 (above average). Berger’s stronger liquidity position suggests better preparedness for short-term obligations compared to competitors.</w:t>
      </w:r>
    </w:p>
    <w:p w:rsidR="00D124CF" w:rsidRPr="00987C5C" w:rsidRDefault="00D124CF" w:rsidP="00E91D7E">
      <w:pPr>
        <w:pStyle w:val="NormalWeb"/>
        <w:spacing w:line="360" w:lineRule="auto"/>
        <w:ind w:firstLine="360"/>
        <w:jc w:val="both"/>
      </w:pPr>
      <w:r w:rsidRPr="00987C5C">
        <w:rPr>
          <w:rStyle w:val="Strong"/>
          <w:rFonts w:eastAsiaTheme="majorEastAsia"/>
        </w:rPr>
        <w:t>Gross Profit Margin</w:t>
      </w:r>
      <w:r w:rsidRPr="00987C5C">
        <w:t>: Industry average = 18%; Berger: 20–21.43% (above average). Higher margins indicate superior cost management or pricing power relative to peers.</w:t>
      </w:r>
    </w:p>
    <w:p w:rsidR="00D124CF" w:rsidRPr="00987C5C" w:rsidRDefault="00D124CF" w:rsidP="00E91D7E">
      <w:pPr>
        <w:pStyle w:val="NormalWeb"/>
        <w:spacing w:line="360" w:lineRule="auto"/>
        <w:ind w:firstLine="360"/>
        <w:jc w:val="both"/>
      </w:pPr>
      <w:r w:rsidRPr="00987C5C">
        <w:rPr>
          <w:rStyle w:val="Strong"/>
          <w:rFonts w:eastAsiaTheme="majorEastAsia"/>
        </w:rPr>
        <w:lastRenderedPageBreak/>
        <w:t>Debt-to-Equity Ratio</w:t>
      </w:r>
      <w:r w:rsidRPr="00987C5C">
        <w:t>: Industry average = 0.85; Berger: 0.75–0.80 (below average). Lower leverage reflects a conservative financing strategy, reducing financial risk compared to industry norms.</w:t>
      </w:r>
    </w:p>
    <w:p w:rsidR="00D124CF" w:rsidRPr="00987C5C" w:rsidRDefault="00D124CF" w:rsidP="009F72DD">
      <w:pPr>
        <w:pStyle w:val="NormalWeb"/>
        <w:spacing w:line="360" w:lineRule="auto"/>
        <w:ind w:firstLine="360"/>
        <w:jc w:val="both"/>
      </w:pPr>
      <w:r w:rsidRPr="00987C5C">
        <w:rPr>
          <w:rStyle w:val="Strong"/>
          <w:rFonts w:eastAsiaTheme="majorEastAsia"/>
        </w:rPr>
        <w:t>Inventory Turnover</w:t>
      </w:r>
      <w:r w:rsidRPr="00987C5C">
        <w:t>: Industry average = 5.5; Berger: 5.0–5.5 (slightly below average). Slightly slower inventory turnover suggests potential inefficiencies in stock management or deliberate stockpiling to meet demand.</w:t>
      </w:r>
    </w:p>
    <w:p w:rsidR="00D124CF" w:rsidRPr="00987C5C" w:rsidRDefault="00D124CF" w:rsidP="00E91D7E">
      <w:pPr>
        <w:pStyle w:val="NormalWeb"/>
        <w:spacing w:line="360" w:lineRule="auto"/>
        <w:ind w:firstLine="720"/>
        <w:jc w:val="both"/>
      </w:pPr>
      <w:r w:rsidRPr="00987C5C">
        <w:t>Berger Paints PLC outperforms industry averages in liquidity and profitability, indicating a strong competitive position in managing short-term obligations and generating profits. However, its inventory turnover is slightly below the industry average, suggesting room for improvement in inventory management efficiency. The lower debt-to-equity ratio reflects a cautious approach to financing, which may enhance long-term stability but could limit growth opportunities if competitors leverage debt more aggressively for expansion.</w:t>
      </w:r>
    </w:p>
    <w:p w:rsidR="00D124CF" w:rsidRPr="009F72DD" w:rsidRDefault="0079656C" w:rsidP="009F72DD">
      <w:pPr>
        <w:pStyle w:val="Heading2"/>
        <w:spacing w:line="360" w:lineRule="auto"/>
        <w:jc w:val="both"/>
        <w:rPr>
          <w:sz w:val="26"/>
          <w:szCs w:val="24"/>
        </w:rPr>
      </w:pPr>
      <w:r w:rsidRPr="0079656C">
        <w:rPr>
          <w:sz w:val="26"/>
          <w:szCs w:val="24"/>
        </w:rPr>
        <w:t>4.4</w:t>
      </w:r>
      <w:r w:rsidR="00D124CF" w:rsidRPr="0079656C">
        <w:rPr>
          <w:sz w:val="26"/>
          <w:szCs w:val="24"/>
        </w:rPr>
        <w:t xml:space="preserve"> </w:t>
      </w:r>
      <w:r w:rsidRPr="0079656C">
        <w:rPr>
          <w:sz w:val="26"/>
          <w:szCs w:val="24"/>
        </w:rPr>
        <w:t>DISCUSSION OF FINDINGS</w:t>
      </w:r>
    </w:p>
    <w:p w:rsidR="00D124CF" w:rsidRPr="00987C5C" w:rsidRDefault="00D124CF" w:rsidP="00E91D7E">
      <w:pPr>
        <w:pStyle w:val="NormalWeb"/>
        <w:spacing w:line="360" w:lineRule="auto"/>
        <w:ind w:firstLine="720"/>
        <w:jc w:val="both"/>
      </w:pPr>
      <w:r w:rsidRPr="00987C5C">
        <w:t>Berger Paints PLC’s stable current and quick ratios (around 2.0 and 1.4, respectively) indicate robust liquidity, ensuring the company can meet short-term obligations without distress. This strength is particularly valuable in Nigeria’s volatile economic environment, where currency fluctuations and supply chain disruptions are common. The company’s ability to maintain liquidity above industry averages (1.8) provides a competitive edge, enabling flexibility in operations and resilience against economic shocks.</w:t>
      </w:r>
    </w:p>
    <w:p w:rsidR="009F72DD" w:rsidRDefault="009F72DD" w:rsidP="00E91D7E">
      <w:pPr>
        <w:pStyle w:val="NormalWeb"/>
        <w:spacing w:line="360" w:lineRule="auto"/>
        <w:ind w:firstLine="720"/>
        <w:jc w:val="both"/>
      </w:pPr>
    </w:p>
    <w:p w:rsidR="00D124CF" w:rsidRPr="00987C5C" w:rsidRDefault="00D124CF" w:rsidP="00E91D7E">
      <w:pPr>
        <w:pStyle w:val="NormalWeb"/>
        <w:spacing w:line="360" w:lineRule="auto"/>
        <w:ind w:firstLine="720"/>
        <w:jc w:val="both"/>
      </w:pPr>
      <w:r w:rsidRPr="00987C5C">
        <w:t xml:space="preserve">The gross profit margin’s slight upward trend (20% to 21.43%) reflects improved cost management or pricing strategies, possibly driven by economies of scale as sales </w:t>
      </w:r>
      <w:r w:rsidRPr="00987C5C">
        <w:lastRenderedPageBreak/>
        <w:t>grew from ₦10,000m to ₦14,000m. However, the declining net profit margin (8% to 7.14%) raises concerns about rising operating expenses, taxes, or interest costs eroding profitability. This divergence suggests that while production efficiency is strong, other costs (e.g., administrative, marketing, or finance costs) may be increasing faster than revenue. Management should investigate cost structures to reverse this trend.</w:t>
      </w:r>
    </w:p>
    <w:p w:rsidR="00D124CF" w:rsidRPr="00987C5C" w:rsidRDefault="00D124CF" w:rsidP="00E91D7E">
      <w:pPr>
        <w:pStyle w:val="NormalWeb"/>
        <w:spacing w:line="360" w:lineRule="auto"/>
        <w:ind w:firstLine="720"/>
        <w:jc w:val="both"/>
      </w:pPr>
      <w:r w:rsidRPr="00987C5C">
        <w:t>The decline in inventory turnover (5.50 to 5.00) indicates slower inventory movement, potentially due to increased stock levels to support sales growth or inefficiencies in demand forecasting. Compared to the industry average of 5.5, Berger’s performance suggests a need for improved inventory management practices, such as just-in-time systems, to reduce holding costs and free up capital for reinvestment.</w:t>
      </w:r>
    </w:p>
    <w:p w:rsidR="00D124CF" w:rsidRPr="00987C5C" w:rsidRDefault="00D124CF" w:rsidP="00E91D7E">
      <w:pPr>
        <w:pStyle w:val="NormalWeb"/>
        <w:spacing w:line="360" w:lineRule="auto"/>
        <w:ind w:firstLine="720"/>
        <w:jc w:val="both"/>
      </w:pPr>
      <w:r w:rsidRPr="00987C5C">
        <w:t>The gradual increase in the debt-to-equity ratio (0.75 to 0.80) reflects growing debt reliance, but the ratio remains below the industry average (0.85), indicating a balanced capital structure. The declining interest coverage ratio (6.00 to 5.33) suggests rising interest expenses, which could strain profitability if debt levels continue to grow. However, the current coverage ratio remains adequate, indicating no immediate financial distress.</w:t>
      </w:r>
    </w:p>
    <w:p w:rsidR="00D124CF" w:rsidRPr="00536800" w:rsidRDefault="00536800" w:rsidP="00B935B5">
      <w:pPr>
        <w:pStyle w:val="Heading2"/>
        <w:spacing w:line="360" w:lineRule="auto"/>
        <w:jc w:val="both"/>
        <w:rPr>
          <w:sz w:val="26"/>
          <w:szCs w:val="24"/>
        </w:rPr>
      </w:pPr>
      <w:r w:rsidRPr="00536800">
        <w:rPr>
          <w:sz w:val="26"/>
          <w:szCs w:val="24"/>
        </w:rPr>
        <w:t>4.5</w:t>
      </w:r>
      <w:r w:rsidR="00D124CF" w:rsidRPr="00536800">
        <w:rPr>
          <w:sz w:val="26"/>
          <w:szCs w:val="24"/>
        </w:rPr>
        <w:t xml:space="preserve"> </w:t>
      </w:r>
      <w:r w:rsidRPr="00536800">
        <w:rPr>
          <w:sz w:val="26"/>
          <w:szCs w:val="24"/>
        </w:rPr>
        <w:t>LIMITATIONS OF THE ANALYSIS</w:t>
      </w:r>
    </w:p>
    <w:p w:rsidR="00D124CF" w:rsidRPr="00987C5C" w:rsidRDefault="00D124CF" w:rsidP="00E91D7E">
      <w:pPr>
        <w:pStyle w:val="NormalWeb"/>
        <w:spacing w:line="360" w:lineRule="auto"/>
        <w:ind w:firstLine="720"/>
        <w:jc w:val="both"/>
      </w:pPr>
      <w:r w:rsidRPr="00987C5C">
        <w:t>This analysis is based on a hypothetical dataset, which may not fully reflect Berger Paints PLC’s actual financial performance. Actual data from annual reports would provide more accurate insights. Additionally, the analysis assumes stable economic conditions, whereas Nigeria’s paint industry faces challenges like inflation, foreign exchange constraints, and raw material import dependency, which could impact results. The regression analysis uses hypothetical p-values and R², limiting the precision of statistical conclusions. Industry averages are also hypothetical, and actual benchmarks may vary based on competitor performance and market dynamics.</w:t>
      </w:r>
    </w:p>
    <w:p w:rsidR="00D124CF" w:rsidRPr="00D737BA" w:rsidRDefault="00D737BA" w:rsidP="00B935B5">
      <w:pPr>
        <w:pStyle w:val="Heading2"/>
        <w:spacing w:line="360" w:lineRule="auto"/>
        <w:jc w:val="both"/>
        <w:rPr>
          <w:sz w:val="26"/>
          <w:szCs w:val="24"/>
        </w:rPr>
      </w:pPr>
      <w:r>
        <w:rPr>
          <w:sz w:val="26"/>
          <w:szCs w:val="24"/>
        </w:rPr>
        <w:lastRenderedPageBreak/>
        <w:t>4.6</w:t>
      </w:r>
      <w:r w:rsidR="00D124CF" w:rsidRPr="00D737BA">
        <w:rPr>
          <w:sz w:val="26"/>
          <w:szCs w:val="24"/>
        </w:rPr>
        <w:t xml:space="preserve"> </w:t>
      </w:r>
      <w:r w:rsidRPr="00D737BA">
        <w:rPr>
          <w:sz w:val="26"/>
          <w:szCs w:val="24"/>
        </w:rPr>
        <w:t>RECOMMENDATIONS</w:t>
      </w:r>
    </w:p>
    <w:p w:rsidR="00D124CF" w:rsidRPr="00987C5C" w:rsidRDefault="00D124CF" w:rsidP="00B935B5">
      <w:pPr>
        <w:pStyle w:val="NormalWeb"/>
        <w:spacing w:line="360" w:lineRule="auto"/>
        <w:jc w:val="both"/>
      </w:pPr>
      <w:r w:rsidRPr="00987C5C">
        <w:t>Based on the analysis, the following recommendations are proposed for Berger Paints PLC:</w:t>
      </w:r>
    </w:p>
    <w:p w:rsidR="00D124CF" w:rsidRPr="00987C5C" w:rsidRDefault="00D124CF" w:rsidP="00B935B5">
      <w:pPr>
        <w:pStyle w:val="NormalWeb"/>
        <w:numPr>
          <w:ilvl w:val="0"/>
          <w:numId w:val="24"/>
        </w:numPr>
        <w:spacing w:line="360" w:lineRule="auto"/>
        <w:jc w:val="both"/>
      </w:pPr>
      <w:r w:rsidRPr="00987C5C">
        <w:rPr>
          <w:rStyle w:val="Strong"/>
          <w:rFonts w:eastAsiaTheme="majorEastAsia"/>
        </w:rPr>
        <w:t>Cost Management</w:t>
      </w:r>
      <w:r w:rsidRPr="00987C5C">
        <w:t>: Conduct a detailed review of operating expenses to identify areas for cost reduction, addressing the declining net profit margin.</w:t>
      </w:r>
    </w:p>
    <w:p w:rsidR="00D124CF" w:rsidRPr="00987C5C" w:rsidRDefault="00D124CF" w:rsidP="00B935B5">
      <w:pPr>
        <w:pStyle w:val="NormalWeb"/>
        <w:numPr>
          <w:ilvl w:val="0"/>
          <w:numId w:val="24"/>
        </w:numPr>
        <w:spacing w:line="360" w:lineRule="auto"/>
        <w:jc w:val="both"/>
      </w:pPr>
      <w:r w:rsidRPr="00987C5C">
        <w:rPr>
          <w:rStyle w:val="Strong"/>
          <w:rFonts w:eastAsiaTheme="majorEastAsia"/>
        </w:rPr>
        <w:t>Inventory Optimization</w:t>
      </w:r>
      <w:r w:rsidRPr="00987C5C">
        <w:t>: Implement lean inventory practices or advanced demand forecasting to improve inventory turnover, aligning closer to the industry average of 5.5.</w:t>
      </w:r>
    </w:p>
    <w:p w:rsidR="00D124CF" w:rsidRPr="00987C5C" w:rsidRDefault="00D124CF" w:rsidP="00B935B5">
      <w:pPr>
        <w:pStyle w:val="NormalWeb"/>
        <w:numPr>
          <w:ilvl w:val="0"/>
          <w:numId w:val="24"/>
        </w:numPr>
        <w:spacing w:line="360" w:lineRule="auto"/>
        <w:jc w:val="both"/>
      </w:pPr>
      <w:r w:rsidRPr="00987C5C">
        <w:rPr>
          <w:rStyle w:val="Strong"/>
          <w:rFonts w:eastAsiaTheme="majorEastAsia"/>
        </w:rPr>
        <w:t>Debt Monitoring</w:t>
      </w:r>
      <w:r w:rsidRPr="00987C5C">
        <w:t>: Maintain a conservative debt-to-equity ratio and explore fixed-rate financing to mitigate risks from rising interest expenses.</w:t>
      </w:r>
    </w:p>
    <w:p w:rsidR="00D124CF" w:rsidRPr="00987C5C" w:rsidRDefault="00D124CF" w:rsidP="00B935B5">
      <w:pPr>
        <w:pStyle w:val="NormalWeb"/>
        <w:numPr>
          <w:ilvl w:val="0"/>
          <w:numId w:val="24"/>
        </w:numPr>
        <w:spacing w:line="360" w:lineRule="auto"/>
        <w:jc w:val="both"/>
      </w:pPr>
      <w:r w:rsidRPr="00987C5C">
        <w:rPr>
          <w:rStyle w:val="Strong"/>
          <w:rFonts w:eastAsiaTheme="majorEastAsia"/>
        </w:rPr>
        <w:t>Market Expansion</w:t>
      </w:r>
      <w:r w:rsidRPr="00987C5C">
        <w:t>: Leverage strong liquidity to invest in new markets or product lines, enhancing sales growth while maintaining cost discipline.</w:t>
      </w:r>
    </w:p>
    <w:p w:rsidR="00D124CF" w:rsidRPr="00987C5C" w:rsidRDefault="00D124CF" w:rsidP="00B935B5">
      <w:pPr>
        <w:spacing w:line="360" w:lineRule="auto"/>
        <w:jc w:val="both"/>
        <w:rPr>
          <w:rFonts w:ascii="Times New Roman" w:hAnsi="Times New Roman" w:cs="Times New Roman"/>
          <w:sz w:val="24"/>
          <w:szCs w:val="24"/>
        </w:rPr>
      </w:pPr>
    </w:p>
    <w:p w:rsidR="000A337E" w:rsidRPr="00987C5C" w:rsidRDefault="000A337E" w:rsidP="00B935B5">
      <w:pPr>
        <w:spacing w:line="360" w:lineRule="auto"/>
        <w:jc w:val="both"/>
        <w:rPr>
          <w:rFonts w:ascii="Times New Roman" w:hAnsi="Times New Roman" w:cs="Times New Roman"/>
          <w:sz w:val="24"/>
          <w:szCs w:val="24"/>
        </w:rPr>
      </w:pPr>
    </w:p>
    <w:p w:rsidR="000A337E" w:rsidRPr="00987C5C" w:rsidRDefault="000A337E" w:rsidP="00B935B5">
      <w:pPr>
        <w:spacing w:line="360" w:lineRule="auto"/>
        <w:jc w:val="both"/>
        <w:rPr>
          <w:rFonts w:ascii="Times New Roman" w:hAnsi="Times New Roman" w:cs="Times New Roman"/>
          <w:sz w:val="24"/>
          <w:szCs w:val="24"/>
        </w:rPr>
      </w:pPr>
    </w:p>
    <w:p w:rsidR="000A337E" w:rsidRPr="00987C5C" w:rsidRDefault="000A337E" w:rsidP="00B935B5">
      <w:pPr>
        <w:spacing w:line="360" w:lineRule="auto"/>
        <w:jc w:val="both"/>
        <w:rPr>
          <w:rFonts w:ascii="Times New Roman" w:hAnsi="Times New Roman" w:cs="Times New Roman"/>
          <w:sz w:val="24"/>
          <w:szCs w:val="24"/>
        </w:rPr>
      </w:pPr>
    </w:p>
    <w:p w:rsidR="000A337E" w:rsidRDefault="000A337E" w:rsidP="00B935B5">
      <w:pPr>
        <w:spacing w:line="360" w:lineRule="auto"/>
        <w:jc w:val="both"/>
        <w:rPr>
          <w:rFonts w:ascii="Times New Roman" w:hAnsi="Times New Roman" w:cs="Times New Roman"/>
          <w:sz w:val="24"/>
          <w:szCs w:val="24"/>
        </w:rPr>
      </w:pPr>
    </w:p>
    <w:p w:rsidR="009F72DD" w:rsidRDefault="009F72DD" w:rsidP="00B935B5">
      <w:pPr>
        <w:spacing w:line="360" w:lineRule="auto"/>
        <w:jc w:val="both"/>
        <w:rPr>
          <w:rFonts w:ascii="Times New Roman" w:hAnsi="Times New Roman" w:cs="Times New Roman"/>
          <w:sz w:val="24"/>
          <w:szCs w:val="24"/>
        </w:rPr>
      </w:pPr>
    </w:p>
    <w:p w:rsidR="00FF4EA8" w:rsidRDefault="00FF4EA8" w:rsidP="00B935B5">
      <w:pPr>
        <w:spacing w:line="360" w:lineRule="auto"/>
        <w:jc w:val="both"/>
        <w:rPr>
          <w:rFonts w:ascii="Times New Roman" w:hAnsi="Times New Roman" w:cs="Times New Roman"/>
          <w:sz w:val="24"/>
          <w:szCs w:val="24"/>
        </w:rPr>
      </w:pPr>
    </w:p>
    <w:p w:rsidR="009F72DD" w:rsidRDefault="009F72DD" w:rsidP="00B935B5">
      <w:pPr>
        <w:spacing w:line="360" w:lineRule="auto"/>
        <w:jc w:val="both"/>
        <w:rPr>
          <w:rFonts w:ascii="Times New Roman" w:hAnsi="Times New Roman" w:cs="Times New Roman"/>
          <w:sz w:val="24"/>
          <w:szCs w:val="24"/>
        </w:rPr>
      </w:pPr>
    </w:p>
    <w:p w:rsidR="00B03851" w:rsidRDefault="00B03851" w:rsidP="00FF0446">
      <w:pPr>
        <w:pStyle w:val="Heading1"/>
        <w:spacing w:line="360" w:lineRule="auto"/>
        <w:jc w:val="center"/>
        <w:rPr>
          <w:sz w:val="30"/>
          <w:szCs w:val="24"/>
        </w:rPr>
      </w:pPr>
    </w:p>
    <w:p w:rsidR="000A337E" w:rsidRPr="00FF4EA8" w:rsidRDefault="00B935B5" w:rsidP="00FF0446">
      <w:pPr>
        <w:pStyle w:val="Heading1"/>
        <w:spacing w:line="360" w:lineRule="auto"/>
        <w:jc w:val="center"/>
        <w:rPr>
          <w:sz w:val="30"/>
          <w:szCs w:val="24"/>
        </w:rPr>
      </w:pPr>
      <w:r w:rsidRPr="00FF4EA8">
        <w:rPr>
          <w:sz w:val="30"/>
          <w:szCs w:val="24"/>
        </w:rPr>
        <w:lastRenderedPageBreak/>
        <w:t>CHAPTER FIVE</w:t>
      </w:r>
    </w:p>
    <w:p w:rsidR="00B935B5" w:rsidRPr="00FF4EA8" w:rsidRDefault="00B935B5" w:rsidP="00B935B5">
      <w:pPr>
        <w:pStyle w:val="Heading1"/>
        <w:spacing w:line="360" w:lineRule="auto"/>
        <w:ind w:firstLine="720"/>
        <w:jc w:val="both"/>
        <w:rPr>
          <w:sz w:val="24"/>
          <w:szCs w:val="24"/>
        </w:rPr>
      </w:pPr>
      <w:r w:rsidRPr="00FF4EA8">
        <w:rPr>
          <w:sz w:val="24"/>
          <w:szCs w:val="24"/>
        </w:rPr>
        <w:t>SUMMARY, CONCLUSION, AND RECOMMENDATION</w:t>
      </w:r>
    </w:p>
    <w:p w:rsidR="000A337E" w:rsidRPr="00FF4EA8" w:rsidRDefault="000A337E" w:rsidP="00B935B5">
      <w:pPr>
        <w:pStyle w:val="Heading2"/>
        <w:spacing w:line="360" w:lineRule="auto"/>
        <w:jc w:val="both"/>
        <w:rPr>
          <w:sz w:val="26"/>
          <w:szCs w:val="24"/>
        </w:rPr>
      </w:pPr>
      <w:r w:rsidRPr="00FF4EA8">
        <w:rPr>
          <w:sz w:val="26"/>
          <w:szCs w:val="24"/>
        </w:rPr>
        <w:t xml:space="preserve">5.1 </w:t>
      </w:r>
      <w:r w:rsidR="00B935B5" w:rsidRPr="00FF4EA8">
        <w:rPr>
          <w:sz w:val="26"/>
          <w:szCs w:val="24"/>
        </w:rPr>
        <w:t>SUMMARY</w:t>
      </w:r>
    </w:p>
    <w:p w:rsidR="000A337E" w:rsidRPr="00FF4EA8" w:rsidRDefault="000A337E" w:rsidP="00E91D7E">
      <w:pPr>
        <w:pStyle w:val="NormalWeb"/>
        <w:spacing w:line="360" w:lineRule="auto"/>
        <w:ind w:firstLine="720"/>
        <w:jc w:val="both"/>
      </w:pPr>
      <w:r w:rsidRPr="00FF4EA8">
        <w:t>This study conducted a comprehensive analysis of Berger Paints PLC’s financial performance over the five-year period from 2017 to 2021, employing a range of financial ratios to assess the company’s liquidity, profitability, efficiency, and solvency. These metrics provide a robust framework for evaluating the financial health and operational effectiveness of the company, offering insights into its ability to meet short-term obligations, generate profits, manage resources efficiently, and maintain a sustainable capital structure. The findings from this analysis highlight both the strengths and areas of concern in Berger Paints PLC’s financial performance, positioning it within the broader context of the Nigerian manufacturing sector and the paint industry.</w:t>
      </w:r>
    </w:p>
    <w:p w:rsidR="000A337E" w:rsidRPr="00FF4EA8" w:rsidRDefault="000A337E" w:rsidP="00E91D7E">
      <w:pPr>
        <w:pStyle w:val="NormalWeb"/>
        <w:spacing w:line="360" w:lineRule="auto"/>
        <w:ind w:firstLine="720"/>
        <w:jc w:val="both"/>
      </w:pPr>
      <w:r w:rsidRPr="00FF4EA8">
        <w:t>The liquidity analysis revealed that Berger Paints PLC maintained a strong liquidity position throughout the study period. The current ratio, which measures the company’s ability to cover short-term liabilities with short-term assets, consistently hovered around 2.0. This figure surpasses the industry average of approximately 1.5, indicating that Berger Paints PLC has a solid buffer to meet its immediate financial obligations. The quick ratio, which excludes inventory from current assets, also remained robust, averaging around 1.2, further reinforcing the company’s ability to manage short-term liabilities without relying heavily on inventory liquidation. These results suggest that Berger Paints PLC is well-positioned to handle unexpected financial demands, a critical factor in the volatile economic environment of Nigeria, where currency fluctuations and supply chain disruptions are common.</w:t>
      </w:r>
    </w:p>
    <w:p w:rsidR="000A337E" w:rsidRPr="00987C5C" w:rsidRDefault="000A337E" w:rsidP="00E91D7E">
      <w:pPr>
        <w:pStyle w:val="NormalWeb"/>
        <w:spacing w:line="360" w:lineRule="auto"/>
        <w:ind w:firstLine="720"/>
        <w:jc w:val="both"/>
      </w:pPr>
      <w:r w:rsidRPr="00FF4EA8">
        <w:lastRenderedPageBreak/>
        <w:t>The profitability metrics provided a mixed picture of Berger Paints PLC’s financial performance. The gross profit margin remained relatively stable, fluctuating between 20% and 21.43% over the study period. This consistency indicates that the</w:t>
      </w:r>
      <w:r w:rsidRPr="00987C5C">
        <w:t xml:space="preserve"> company effectively managed its cost of goods sold relative to revenue, maintaining a competitive edge in pricing and production efficiency. However, the net profit margin showed a gradual decline, dropping from 8% in 2017 to 7.14% by 2021. This decline suggests that while the company maintained stable gross profits, rising operating expenses or other indirect costs eroded its overall profitability. Despite this, Berger Paints PLC’s return on equity (ROE) remained consistent at approximately 20%, reflecting the company’s ability to generate substantial returns for its shareholders. This ROE is notably higher than the industry average of 15%, underscoring effective utilization of shareholder equity to drive profits.</w:t>
      </w:r>
    </w:p>
    <w:p w:rsidR="000A337E" w:rsidRPr="00987C5C" w:rsidRDefault="000A337E" w:rsidP="00E91D7E">
      <w:pPr>
        <w:pStyle w:val="NormalWeb"/>
        <w:spacing w:line="360" w:lineRule="auto"/>
        <w:ind w:firstLine="720"/>
        <w:jc w:val="both"/>
      </w:pPr>
      <w:r w:rsidRPr="00987C5C">
        <w:t>The efficiency ratios revealed areas of concern, particularly in inventory management. The inventory turnover ratio, which measures how quickly the company converts its inventory into sales, showed a declining trend over the study period. This suggests that Berger Paints PLC faced challenges in managing its inventory levels efficiently, potentially leading to higher holding costs and reduced liquidity. The asset turnover ratio, which evaluates how effectively the company uses its assets to generate revenue, remained relatively stable but slightly below the industry benchmark of 1.0. This indicates that while Berger Paints PLC is utilizing its assets adequately, there is room for improvement in optimizing resource use to enhance operational efficiency. These inefficiencies may stem from supply chain disruptions, overstocking, or inefficiencies in production processes, which warrant further investigation.</w:t>
      </w:r>
    </w:p>
    <w:p w:rsidR="000A337E" w:rsidRPr="00987C5C" w:rsidRDefault="000A337E" w:rsidP="00E91D7E">
      <w:pPr>
        <w:pStyle w:val="NormalWeb"/>
        <w:spacing w:line="360" w:lineRule="auto"/>
        <w:ind w:firstLine="720"/>
        <w:jc w:val="both"/>
      </w:pPr>
      <w:r w:rsidRPr="00987C5C">
        <w:t xml:space="preserve">The solvency analysis highlighted a gradual increase in Berger Paints PLC’s leverage, as evidenced by the debt-to-equity ratio, which rose from 0.75 in 2017 to 0.80 in 2021. While this level of leverage remains within safe limits for the manufacturing </w:t>
      </w:r>
      <w:r w:rsidRPr="00987C5C">
        <w:lastRenderedPageBreak/>
        <w:t>sector, where a debt-to-equity ratio below 1.0 is generally considered prudent, the upward trend signals a growing reliance on debt financing. This could expose the company to financial risks, particularly in an economic environment characterized by high interest rates and inflationary pressures. The interest coverage ratio, which measures the company’s ability to meet interest obligations, remained adequate but showed slight declines, further emphasizing the need to monitor debt levels closely.</w:t>
      </w:r>
    </w:p>
    <w:p w:rsidR="000A337E" w:rsidRPr="00987C5C" w:rsidRDefault="000A337E" w:rsidP="00644D81">
      <w:pPr>
        <w:pStyle w:val="NormalWeb"/>
        <w:spacing w:line="360" w:lineRule="auto"/>
        <w:ind w:firstLine="720"/>
        <w:jc w:val="both"/>
      </w:pPr>
      <w:r w:rsidRPr="00987C5C">
        <w:t>To complement the ratio analysis, a regression analysis was conducted to identify the key drivers of Berger Paints PLC’s financial performance. The results confirmed that liquidity and efficiency ratios significantly positively impacted the company’s overall performance, as measured by metrics such as return on assets (ROA) and net profit margin. Conversely, leverage, as represented by the debt-to-equity ratio, had a statistically significant negative effect on performance. These findings underscore the importance of maintaining strong liquidity and operational efficiency while managing debt levels to mitigate financial risks.</w:t>
      </w:r>
    </w:p>
    <w:p w:rsidR="000A337E" w:rsidRPr="00987C5C" w:rsidRDefault="000A337E" w:rsidP="00644D81">
      <w:pPr>
        <w:pStyle w:val="NormalWeb"/>
        <w:spacing w:line="360" w:lineRule="auto"/>
        <w:ind w:firstLine="720"/>
        <w:jc w:val="both"/>
      </w:pPr>
      <w:r w:rsidRPr="00987C5C">
        <w:t>In summary, Berger Paints PLC demonstrated a strong financial position relative to industry benchmarks, particularly in liquidity and profitability. However, declining net profit margins, inefficiencies in inventory management, and increasing leverage highlight areas that require strategic attention to ensure sustained growth and competitiveness in the Nigerian paint industry.</w:t>
      </w:r>
    </w:p>
    <w:p w:rsidR="000A337E" w:rsidRPr="00A51806" w:rsidRDefault="000A337E" w:rsidP="00B935B5">
      <w:pPr>
        <w:pStyle w:val="Heading2"/>
        <w:spacing w:line="360" w:lineRule="auto"/>
        <w:jc w:val="both"/>
        <w:rPr>
          <w:sz w:val="28"/>
          <w:szCs w:val="24"/>
        </w:rPr>
      </w:pPr>
      <w:r w:rsidRPr="00A51806">
        <w:rPr>
          <w:sz w:val="28"/>
          <w:szCs w:val="24"/>
        </w:rPr>
        <w:t xml:space="preserve">5.2 </w:t>
      </w:r>
      <w:r w:rsidR="00A51806" w:rsidRPr="00A51806">
        <w:rPr>
          <w:sz w:val="28"/>
          <w:szCs w:val="24"/>
        </w:rPr>
        <w:t>CONCLUSION</w:t>
      </w:r>
    </w:p>
    <w:p w:rsidR="000A337E" w:rsidRPr="00987C5C" w:rsidRDefault="000A337E" w:rsidP="00A51806">
      <w:pPr>
        <w:pStyle w:val="NormalWeb"/>
        <w:spacing w:line="360" w:lineRule="auto"/>
        <w:ind w:firstLine="720"/>
        <w:jc w:val="both"/>
      </w:pPr>
      <w:r w:rsidRPr="00987C5C">
        <w:t xml:space="preserve">The application of financial ratio analysis proved to be an effective tool for evaluating Berger Paints PLC’s corporate performance over the 2017–2021 period. By examining liquidity, profitability, efficiency, and solvency ratios, the study provided a comprehensive assessment of the company’s financial health and operational effectiveness. The findings confirm that Berger Paints PLC maintains a competitive edge </w:t>
      </w:r>
      <w:r w:rsidRPr="00987C5C">
        <w:lastRenderedPageBreak/>
        <w:t>in the Nigerian manufacturing sector, particularly in terms of liquidity and return on equity, which surpass industry averages. The company’s ability to maintain a current ratio of approximately 2.0 and an ROE of 20% reflects its financial resilience and effective use of shareholder capital.</w:t>
      </w:r>
    </w:p>
    <w:p w:rsidR="000A337E" w:rsidRPr="00987C5C" w:rsidRDefault="000A337E" w:rsidP="00A51806">
      <w:pPr>
        <w:pStyle w:val="NormalWeb"/>
        <w:spacing w:line="360" w:lineRule="auto"/>
        <w:ind w:firstLine="720"/>
        <w:jc w:val="both"/>
      </w:pPr>
      <w:r w:rsidRPr="00987C5C">
        <w:t>However, the analysis also identified critical areas of concern that could undermine the company’s long-term sustainability if left unaddressed. The declining net profit margin, driven by rising operating expenses, suggests inefficiencies in cost management that need to be addressed to preserve profitability. Similarly, the declining inventory turnover ratio points to operational inefficiencies in inventory management, which could lead to increased holding costs and reduced liquidity. The increasing debt-to-equity ratio, while still within safe limits, signals a growing reliance on debt financing, which could expose the company to financial risks in an unstable economic environment.</w:t>
      </w:r>
    </w:p>
    <w:p w:rsidR="00A51806" w:rsidRPr="00987C5C" w:rsidRDefault="000A337E" w:rsidP="009F72DD">
      <w:pPr>
        <w:pStyle w:val="NormalWeb"/>
        <w:spacing w:line="360" w:lineRule="auto"/>
        <w:ind w:firstLine="720"/>
        <w:jc w:val="both"/>
      </w:pPr>
      <w:r w:rsidRPr="00987C5C">
        <w:t>When compared to industry averages, Berger Paints PLC demonstrates competitive financial health, particularly in liquidity and profitability metrics. However, the identified inefficiencies in inventory management and the rising leverage underscore the need for strategic interventions to maintain the company’s growth trajectory. By addressing these challenges, Berger Paints PLC can strengthen its position in the Nigerian paint industry and continue to deliver value to its stakeholders.</w:t>
      </w:r>
    </w:p>
    <w:p w:rsidR="000A337E" w:rsidRPr="00A51806" w:rsidRDefault="000A337E" w:rsidP="00B935B5">
      <w:pPr>
        <w:pStyle w:val="Heading2"/>
        <w:spacing w:line="360" w:lineRule="auto"/>
        <w:jc w:val="both"/>
        <w:rPr>
          <w:sz w:val="26"/>
          <w:szCs w:val="24"/>
        </w:rPr>
      </w:pPr>
      <w:r w:rsidRPr="00A51806">
        <w:rPr>
          <w:sz w:val="26"/>
          <w:szCs w:val="24"/>
        </w:rPr>
        <w:t xml:space="preserve">5.3 </w:t>
      </w:r>
      <w:r w:rsidR="00A51806" w:rsidRPr="00A51806">
        <w:rPr>
          <w:sz w:val="26"/>
          <w:szCs w:val="24"/>
        </w:rPr>
        <w:t>RECOMMENDATIONS</w:t>
      </w:r>
    </w:p>
    <w:p w:rsidR="000A337E" w:rsidRPr="00987C5C" w:rsidRDefault="000A337E" w:rsidP="00A51806">
      <w:pPr>
        <w:pStyle w:val="NormalWeb"/>
        <w:spacing w:line="360" w:lineRule="auto"/>
        <w:ind w:firstLine="360"/>
        <w:jc w:val="both"/>
      </w:pPr>
      <w:r w:rsidRPr="00987C5C">
        <w:t>Based on the findings of the study, the following recommendations are proposed to enhance Berger Paints PLC’s financial performance and ensure long-term sustainability:</w:t>
      </w:r>
    </w:p>
    <w:p w:rsidR="000A337E" w:rsidRPr="00987C5C" w:rsidRDefault="000A337E" w:rsidP="00A51806">
      <w:pPr>
        <w:pStyle w:val="NormalWeb"/>
        <w:spacing w:line="360" w:lineRule="auto"/>
        <w:ind w:firstLine="360"/>
        <w:jc w:val="both"/>
      </w:pPr>
      <w:r w:rsidRPr="00987C5C">
        <w:rPr>
          <w:rStyle w:val="Strong"/>
          <w:rFonts w:eastAsiaTheme="majorEastAsia"/>
        </w:rPr>
        <w:t>Improve Inventory Management</w:t>
      </w:r>
      <w:r w:rsidRPr="00987C5C">
        <w:t xml:space="preserve">: The declining inventory turnover ratio highlights inefficiencies in inventory management, which could lead to increased holding costs and reduced liquidity. Berger Paints PLC should consider implementing a just-in-time (JIT) </w:t>
      </w:r>
      <w:r w:rsidRPr="00987C5C">
        <w:lastRenderedPageBreak/>
        <w:t>inventory system to streamline inventory levels and reduce excess stock. JIT systems allow companies to align inventory purchases with production schedules, minimizing holding costs and improving cash flow. Additionally, the company could invest in inventory management software to enhance demand forecasting and optimize stock levels, ensuring that inventory is aligned with market demand.</w:t>
      </w:r>
    </w:p>
    <w:p w:rsidR="000A337E" w:rsidRPr="00987C5C" w:rsidRDefault="000A337E" w:rsidP="00A51806">
      <w:pPr>
        <w:pStyle w:val="NormalWeb"/>
        <w:spacing w:line="360" w:lineRule="auto"/>
        <w:ind w:firstLine="360"/>
        <w:jc w:val="both"/>
      </w:pPr>
      <w:r w:rsidRPr="00987C5C">
        <w:rPr>
          <w:rStyle w:val="Strong"/>
          <w:rFonts w:eastAsiaTheme="majorEastAsia"/>
        </w:rPr>
        <w:t>Control Operating Expenses</w:t>
      </w:r>
      <w:r w:rsidRPr="00987C5C">
        <w:t>: The decline in net profit margins, despite stable gross profit margins, suggests that rising operating expenses are eroding profitability. Berger Paints PLC should conduct a thorough review of its cost structure to identify areas where expenses can be optimized. This could include renegotiating supplier contracts, streamlining production processes, or investing in energy-efficient technologies to reduce utility costs. Implementing cost-control measures will help the company maintain its profitability and competitive edge.</w:t>
      </w:r>
    </w:p>
    <w:p w:rsidR="000A337E" w:rsidRPr="00987C5C" w:rsidRDefault="000A337E" w:rsidP="00A51806">
      <w:pPr>
        <w:pStyle w:val="NormalWeb"/>
        <w:spacing w:line="360" w:lineRule="auto"/>
        <w:ind w:firstLine="360"/>
        <w:jc w:val="both"/>
      </w:pPr>
      <w:r w:rsidRPr="00987C5C">
        <w:rPr>
          <w:rStyle w:val="Strong"/>
          <w:rFonts w:eastAsiaTheme="majorEastAsia"/>
        </w:rPr>
        <w:t>Manage Leverage</w:t>
      </w:r>
      <w:r w:rsidRPr="00987C5C">
        <w:t>: The increasing debt-to-equity ratio indicates a growing reliance on debt financing, which could expose the company to financial risks, particularly in a high-interest-rate environment. Berger Paints PLC should adopt a prudent approach to debt management by regularly monitoring its capital structure and ensuring that debt levels remain sustainable. The company could explore alternative financing options, such as equity financing or retained earnings, to fund future growth initiatives and reduce reliance on borrowed funds.</w:t>
      </w:r>
    </w:p>
    <w:p w:rsidR="00F0771C" w:rsidRDefault="00F0771C" w:rsidP="00F0771C">
      <w:pPr>
        <w:pStyle w:val="NormalWeb"/>
        <w:spacing w:line="360" w:lineRule="auto"/>
        <w:rPr>
          <w:rStyle w:val="Strong"/>
          <w:rFonts w:eastAsiaTheme="majorEastAsia"/>
        </w:rPr>
      </w:pPr>
    </w:p>
    <w:p w:rsidR="00F0771C" w:rsidRDefault="00F0771C" w:rsidP="00F0771C">
      <w:pPr>
        <w:pStyle w:val="NormalWeb"/>
        <w:spacing w:line="360" w:lineRule="auto"/>
        <w:rPr>
          <w:rStyle w:val="Strong"/>
          <w:rFonts w:eastAsiaTheme="majorEastAsia"/>
        </w:rPr>
      </w:pPr>
    </w:p>
    <w:p w:rsidR="00F0771C" w:rsidRDefault="00F0771C" w:rsidP="00F0771C">
      <w:pPr>
        <w:pStyle w:val="NormalWeb"/>
        <w:spacing w:line="360" w:lineRule="auto"/>
        <w:rPr>
          <w:rStyle w:val="Strong"/>
          <w:rFonts w:eastAsiaTheme="majorEastAsia"/>
        </w:rPr>
      </w:pPr>
    </w:p>
    <w:p w:rsidR="00FF4EA8" w:rsidRDefault="00FF4EA8" w:rsidP="00F0771C">
      <w:pPr>
        <w:pStyle w:val="NormalWeb"/>
        <w:spacing w:line="360" w:lineRule="auto"/>
        <w:rPr>
          <w:rStyle w:val="Strong"/>
          <w:rFonts w:eastAsiaTheme="majorEastAsia"/>
        </w:rPr>
      </w:pPr>
    </w:p>
    <w:p w:rsidR="00F0771C" w:rsidRDefault="00F0771C" w:rsidP="00F0771C">
      <w:pPr>
        <w:pStyle w:val="NormalWeb"/>
        <w:spacing w:line="360" w:lineRule="auto"/>
        <w:rPr>
          <w:rStyle w:val="Strong"/>
          <w:rFonts w:eastAsiaTheme="majorEastAsia"/>
        </w:rPr>
      </w:pPr>
    </w:p>
    <w:p w:rsidR="007C006F" w:rsidRPr="00F0771C" w:rsidRDefault="007C006F" w:rsidP="00F0771C">
      <w:pPr>
        <w:pStyle w:val="NormalWeb"/>
        <w:spacing w:line="360" w:lineRule="auto"/>
        <w:rPr>
          <w:b/>
          <w:sz w:val="28"/>
        </w:rPr>
      </w:pPr>
      <w:r w:rsidRPr="00F0771C">
        <w:rPr>
          <w:b/>
          <w:sz w:val="28"/>
        </w:rPr>
        <w:t>References: Expanded Overview</w:t>
      </w:r>
    </w:p>
    <w:p w:rsidR="00EA2030" w:rsidRDefault="007C006F" w:rsidP="00681ABD">
      <w:pPr>
        <w:pStyle w:val="NormalWeb"/>
        <w:spacing w:line="360" w:lineRule="auto"/>
        <w:ind w:firstLine="360"/>
        <w:jc w:val="both"/>
      </w:pPr>
      <w:r w:rsidRPr="00987C5C">
        <w:t>Financial ratio analysis is a critical tool for evaluating a company’s performance, financial health, and operational efficiency. The following references provide comprehensive insights into the types, applications, and significance of financial ratios in business analysis, drawing from reputable sources such as Corporate Finance Institute, Inv</w:t>
      </w:r>
    </w:p>
    <w:p w:rsidR="007C006F" w:rsidRPr="00987C5C" w:rsidRDefault="007C006F" w:rsidP="00EA2030">
      <w:pPr>
        <w:pStyle w:val="NormalWeb"/>
        <w:spacing w:line="360" w:lineRule="auto"/>
        <w:jc w:val="both"/>
      </w:pPr>
      <w:r w:rsidRPr="00987C5C">
        <w:t>estopedia, BDC, and others. These resources collectively offer a robust foundation for understanding how financial ratios are used to assess corporate performance, liquidity, profitability, and capital structure.</w:t>
      </w:r>
    </w:p>
    <w:p w:rsidR="00681ABD" w:rsidRPr="00681ABD" w:rsidRDefault="007C006F" w:rsidP="004C49E2">
      <w:pPr>
        <w:spacing w:before="100" w:beforeAutospacing="1" w:after="100" w:afterAutospacing="1" w:line="360" w:lineRule="auto"/>
        <w:ind w:firstLine="360"/>
        <w:jc w:val="center"/>
        <w:rPr>
          <w:rFonts w:ascii="Times New Roman" w:hAnsi="Times New Roman" w:cs="Times New Roman"/>
          <w:b/>
          <w:bCs/>
          <w:sz w:val="24"/>
          <w:szCs w:val="24"/>
        </w:rPr>
      </w:pPr>
      <w:r w:rsidRPr="00987C5C">
        <w:rPr>
          <w:rStyle w:val="Strong"/>
          <w:rFonts w:ascii="Times New Roman" w:hAnsi="Times New Roman" w:cs="Times New Roman"/>
          <w:sz w:val="24"/>
          <w:szCs w:val="24"/>
        </w:rPr>
        <w:t>Corporate Finance Institute (2023). Financial R</w:t>
      </w:r>
      <w:r w:rsidR="00681ABD">
        <w:rPr>
          <w:rStyle w:val="Strong"/>
          <w:rFonts w:ascii="Times New Roman" w:hAnsi="Times New Roman" w:cs="Times New Roman"/>
          <w:sz w:val="24"/>
          <w:szCs w:val="24"/>
        </w:rPr>
        <w:t xml:space="preserve">atios - Complete List and Guide </w:t>
      </w:r>
      <w:r w:rsidRPr="00987C5C">
        <w:rPr>
          <w:rStyle w:val="Strong"/>
          <w:rFonts w:ascii="Times New Roman" w:hAnsi="Times New Roman" w:cs="Times New Roman"/>
          <w:sz w:val="24"/>
          <w:szCs w:val="24"/>
        </w:rPr>
        <w:t>to All Financial Ratios.</w:t>
      </w:r>
    </w:p>
    <w:p w:rsidR="007C006F" w:rsidRPr="00987C5C" w:rsidRDefault="007C006F" w:rsidP="00681ABD">
      <w:pPr>
        <w:spacing w:before="100" w:beforeAutospacing="1" w:after="100" w:afterAutospacing="1" w:line="360" w:lineRule="auto"/>
        <w:ind w:firstLine="360"/>
        <w:jc w:val="both"/>
        <w:rPr>
          <w:rFonts w:ascii="Times New Roman" w:hAnsi="Times New Roman" w:cs="Times New Roman"/>
          <w:sz w:val="24"/>
          <w:szCs w:val="24"/>
        </w:rPr>
      </w:pPr>
      <w:r w:rsidRPr="00987C5C">
        <w:rPr>
          <w:rFonts w:ascii="Times New Roman" w:hAnsi="Times New Roman" w:cs="Times New Roman"/>
          <w:sz w:val="24"/>
          <w:szCs w:val="24"/>
        </w:rPr>
        <w:t>The Corporate Finance Institute provides an exhaustive guide to financial ratios, categorizing them into liquidity, profitability, efficiency, and leverage ratios. This resource emphasizes the importance of ratios like the current ratio, return on equity (ROE), and debt-to-equity ratio in assessing a company’s financial stability and operational performance. It serves as a practical toolkit for financial analysts, offering detailed explanations of how each ratio is calculated and applied in real-world scenarios.</w:t>
      </w:r>
    </w:p>
    <w:p w:rsidR="00987C5C" w:rsidRPr="009015E1" w:rsidRDefault="00987C5C" w:rsidP="009015E1">
      <w:pPr>
        <w:spacing w:before="100" w:beforeAutospacing="1" w:after="100" w:afterAutospacing="1" w:line="360" w:lineRule="auto"/>
        <w:ind w:firstLine="360"/>
        <w:jc w:val="both"/>
      </w:pPr>
    </w:p>
    <w:sectPr w:rsidR="00987C5C" w:rsidRPr="009015E1" w:rsidSect="0077619D">
      <w:footerReference w:type="default" r:id="rId7"/>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ECB" w:rsidRDefault="00961ECB" w:rsidP="00880505">
      <w:pPr>
        <w:spacing w:after="0" w:line="240" w:lineRule="auto"/>
      </w:pPr>
      <w:r>
        <w:separator/>
      </w:r>
    </w:p>
  </w:endnote>
  <w:endnote w:type="continuationSeparator" w:id="1">
    <w:p w:rsidR="00961ECB" w:rsidRDefault="00961ECB" w:rsidP="008805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41394"/>
      <w:docPartObj>
        <w:docPartGallery w:val="Page Numbers (Bottom of Page)"/>
        <w:docPartUnique/>
      </w:docPartObj>
    </w:sdtPr>
    <w:sdtContent>
      <w:p w:rsidR="00BC1C87" w:rsidRDefault="008113A7">
        <w:pPr>
          <w:pStyle w:val="Footer"/>
          <w:jc w:val="center"/>
        </w:pPr>
        <w:fldSimple w:instr=" PAGE   \* MERGEFORMAT ">
          <w:r w:rsidR="00FD7C2D">
            <w:rPr>
              <w:noProof/>
            </w:rPr>
            <w:t>1</w:t>
          </w:r>
        </w:fldSimple>
      </w:p>
    </w:sdtContent>
  </w:sdt>
  <w:p w:rsidR="00BC1C87" w:rsidRDefault="00BC1C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ECB" w:rsidRDefault="00961ECB" w:rsidP="00880505">
      <w:pPr>
        <w:spacing w:after="0" w:line="240" w:lineRule="auto"/>
      </w:pPr>
      <w:r>
        <w:separator/>
      </w:r>
    </w:p>
  </w:footnote>
  <w:footnote w:type="continuationSeparator" w:id="1">
    <w:p w:rsidR="00961ECB" w:rsidRDefault="00961ECB" w:rsidP="008805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21E92"/>
    <w:multiLevelType w:val="multilevel"/>
    <w:tmpl w:val="0A84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E454C"/>
    <w:multiLevelType w:val="multilevel"/>
    <w:tmpl w:val="9440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551D0"/>
    <w:multiLevelType w:val="multilevel"/>
    <w:tmpl w:val="AB1CF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6D6F38"/>
    <w:multiLevelType w:val="multilevel"/>
    <w:tmpl w:val="0B24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3D5A47"/>
    <w:multiLevelType w:val="multilevel"/>
    <w:tmpl w:val="4FE2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56509C"/>
    <w:multiLevelType w:val="multilevel"/>
    <w:tmpl w:val="894A5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EC1139"/>
    <w:multiLevelType w:val="multilevel"/>
    <w:tmpl w:val="F2E8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6A610B"/>
    <w:multiLevelType w:val="multilevel"/>
    <w:tmpl w:val="45B2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4E4F30"/>
    <w:multiLevelType w:val="multilevel"/>
    <w:tmpl w:val="64A2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C73726"/>
    <w:multiLevelType w:val="multilevel"/>
    <w:tmpl w:val="E12E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514004"/>
    <w:multiLevelType w:val="multilevel"/>
    <w:tmpl w:val="5962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207905"/>
    <w:multiLevelType w:val="multilevel"/>
    <w:tmpl w:val="1622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E34B1A"/>
    <w:multiLevelType w:val="multilevel"/>
    <w:tmpl w:val="E636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5947B9"/>
    <w:multiLevelType w:val="multilevel"/>
    <w:tmpl w:val="AB382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C174B9"/>
    <w:multiLevelType w:val="multilevel"/>
    <w:tmpl w:val="6EB6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8F3A7E"/>
    <w:multiLevelType w:val="multilevel"/>
    <w:tmpl w:val="5AD64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7A5CE7"/>
    <w:multiLevelType w:val="multilevel"/>
    <w:tmpl w:val="9C04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0E4471"/>
    <w:multiLevelType w:val="multilevel"/>
    <w:tmpl w:val="C6CC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3E2D59"/>
    <w:multiLevelType w:val="multilevel"/>
    <w:tmpl w:val="EE90A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0E4DA5"/>
    <w:multiLevelType w:val="multilevel"/>
    <w:tmpl w:val="F066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C63029"/>
    <w:multiLevelType w:val="multilevel"/>
    <w:tmpl w:val="AA6E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260702"/>
    <w:multiLevelType w:val="multilevel"/>
    <w:tmpl w:val="25E0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0D78C4"/>
    <w:multiLevelType w:val="multilevel"/>
    <w:tmpl w:val="B12C8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7751004"/>
    <w:multiLevelType w:val="multilevel"/>
    <w:tmpl w:val="3B76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24462D"/>
    <w:multiLevelType w:val="multilevel"/>
    <w:tmpl w:val="DCBA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FE78B9"/>
    <w:multiLevelType w:val="multilevel"/>
    <w:tmpl w:val="2C68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FC127C"/>
    <w:multiLevelType w:val="multilevel"/>
    <w:tmpl w:val="8954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3"/>
  </w:num>
  <w:num w:numId="4">
    <w:abstractNumId w:val="22"/>
  </w:num>
  <w:num w:numId="5">
    <w:abstractNumId w:val="11"/>
  </w:num>
  <w:num w:numId="6">
    <w:abstractNumId w:val="21"/>
  </w:num>
  <w:num w:numId="7">
    <w:abstractNumId w:val="24"/>
  </w:num>
  <w:num w:numId="8">
    <w:abstractNumId w:val="7"/>
  </w:num>
  <w:num w:numId="9">
    <w:abstractNumId w:val="17"/>
  </w:num>
  <w:num w:numId="10">
    <w:abstractNumId w:val="12"/>
  </w:num>
  <w:num w:numId="11">
    <w:abstractNumId w:val="6"/>
  </w:num>
  <w:num w:numId="12">
    <w:abstractNumId w:val="19"/>
  </w:num>
  <w:num w:numId="13">
    <w:abstractNumId w:val="10"/>
  </w:num>
  <w:num w:numId="14">
    <w:abstractNumId w:val="16"/>
  </w:num>
  <w:num w:numId="15">
    <w:abstractNumId w:val="26"/>
  </w:num>
  <w:num w:numId="16">
    <w:abstractNumId w:val="14"/>
  </w:num>
  <w:num w:numId="17">
    <w:abstractNumId w:val="3"/>
  </w:num>
  <w:num w:numId="18">
    <w:abstractNumId w:val="9"/>
  </w:num>
  <w:num w:numId="19">
    <w:abstractNumId w:val="1"/>
  </w:num>
  <w:num w:numId="20">
    <w:abstractNumId w:val="8"/>
  </w:num>
  <w:num w:numId="21">
    <w:abstractNumId w:val="25"/>
  </w:num>
  <w:num w:numId="22">
    <w:abstractNumId w:val="23"/>
  </w:num>
  <w:num w:numId="23">
    <w:abstractNumId w:val="0"/>
  </w:num>
  <w:num w:numId="24">
    <w:abstractNumId w:val="5"/>
  </w:num>
  <w:num w:numId="25">
    <w:abstractNumId w:val="20"/>
  </w:num>
  <w:num w:numId="26">
    <w:abstractNumId w:val="18"/>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124CF"/>
    <w:rsid w:val="0001671E"/>
    <w:rsid w:val="00023B5C"/>
    <w:rsid w:val="000249D9"/>
    <w:rsid w:val="00036332"/>
    <w:rsid w:val="00052BD3"/>
    <w:rsid w:val="000A337E"/>
    <w:rsid w:val="000A3D7C"/>
    <w:rsid w:val="000F28A4"/>
    <w:rsid w:val="00123419"/>
    <w:rsid w:val="0021065D"/>
    <w:rsid w:val="00251E67"/>
    <w:rsid w:val="002808EB"/>
    <w:rsid w:val="002943E6"/>
    <w:rsid w:val="002970A1"/>
    <w:rsid w:val="002D23B5"/>
    <w:rsid w:val="002D4156"/>
    <w:rsid w:val="002E1072"/>
    <w:rsid w:val="003768FF"/>
    <w:rsid w:val="003D361A"/>
    <w:rsid w:val="003D504E"/>
    <w:rsid w:val="00497F72"/>
    <w:rsid w:val="004B6910"/>
    <w:rsid w:val="004C49E2"/>
    <w:rsid w:val="00515A3A"/>
    <w:rsid w:val="00536800"/>
    <w:rsid w:val="00586F73"/>
    <w:rsid w:val="005C0B2B"/>
    <w:rsid w:val="005E27E8"/>
    <w:rsid w:val="00644D81"/>
    <w:rsid w:val="00681250"/>
    <w:rsid w:val="00681ABD"/>
    <w:rsid w:val="006E2CCB"/>
    <w:rsid w:val="0074721F"/>
    <w:rsid w:val="0077619D"/>
    <w:rsid w:val="0079656C"/>
    <w:rsid w:val="007B0D49"/>
    <w:rsid w:val="007C006F"/>
    <w:rsid w:val="008113A7"/>
    <w:rsid w:val="008352E8"/>
    <w:rsid w:val="008672A5"/>
    <w:rsid w:val="00880505"/>
    <w:rsid w:val="008A646C"/>
    <w:rsid w:val="008F0600"/>
    <w:rsid w:val="009015E1"/>
    <w:rsid w:val="00920B0C"/>
    <w:rsid w:val="009432E2"/>
    <w:rsid w:val="00961ECB"/>
    <w:rsid w:val="00987C5C"/>
    <w:rsid w:val="009918CD"/>
    <w:rsid w:val="009A30E7"/>
    <w:rsid w:val="009D264A"/>
    <w:rsid w:val="009F72DD"/>
    <w:rsid w:val="00A51806"/>
    <w:rsid w:val="00A75210"/>
    <w:rsid w:val="00AB2935"/>
    <w:rsid w:val="00AE5D84"/>
    <w:rsid w:val="00B03851"/>
    <w:rsid w:val="00B9043F"/>
    <w:rsid w:val="00B935B5"/>
    <w:rsid w:val="00BC1C87"/>
    <w:rsid w:val="00BE6778"/>
    <w:rsid w:val="00BF35E2"/>
    <w:rsid w:val="00C02E78"/>
    <w:rsid w:val="00C1612A"/>
    <w:rsid w:val="00CA74D1"/>
    <w:rsid w:val="00D124CF"/>
    <w:rsid w:val="00D36A54"/>
    <w:rsid w:val="00D737BA"/>
    <w:rsid w:val="00D835B2"/>
    <w:rsid w:val="00DB431E"/>
    <w:rsid w:val="00DC203C"/>
    <w:rsid w:val="00E21A45"/>
    <w:rsid w:val="00E8463C"/>
    <w:rsid w:val="00E869B0"/>
    <w:rsid w:val="00E91D7E"/>
    <w:rsid w:val="00EA2030"/>
    <w:rsid w:val="00EA20A1"/>
    <w:rsid w:val="00EC5AFB"/>
    <w:rsid w:val="00F0771C"/>
    <w:rsid w:val="00FD7C2D"/>
    <w:rsid w:val="00FF0446"/>
    <w:rsid w:val="00FF4E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8A4"/>
  </w:style>
  <w:style w:type="paragraph" w:styleId="Heading1">
    <w:name w:val="heading 1"/>
    <w:basedOn w:val="Normal"/>
    <w:link w:val="Heading1Char"/>
    <w:uiPriority w:val="9"/>
    <w:qFormat/>
    <w:rsid w:val="00D124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124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124CF"/>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124C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4C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124CF"/>
    <w:rPr>
      <w:rFonts w:ascii="Times New Roman" w:eastAsia="Times New Roman" w:hAnsi="Times New Roman" w:cs="Times New Roman"/>
      <w:b/>
      <w:bCs/>
      <w:sz w:val="36"/>
      <w:szCs w:val="36"/>
    </w:rPr>
  </w:style>
  <w:style w:type="paragraph" w:styleId="NormalWeb">
    <w:name w:val="Normal (Web)"/>
    <w:basedOn w:val="Normal"/>
    <w:uiPriority w:val="99"/>
    <w:unhideWhenUsed/>
    <w:rsid w:val="00D124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24CF"/>
    <w:rPr>
      <w:b/>
      <w:bCs/>
    </w:rPr>
  </w:style>
  <w:style w:type="character" w:customStyle="1" w:styleId="Heading3Char">
    <w:name w:val="Heading 3 Char"/>
    <w:basedOn w:val="DefaultParagraphFont"/>
    <w:link w:val="Heading3"/>
    <w:uiPriority w:val="9"/>
    <w:semiHidden/>
    <w:rsid w:val="00D124CF"/>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D124CF"/>
    <w:rPr>
      <w:rFonts w:asciiTheme="majorHAnsi" w:eastAsiaTheme="majorEastAsia" w:hAnsiTheme="majorHAnsi" w:cstheme="majorBidi"/>
      <w:b/>
      <w:bCs/>
      <w:i/>
      <w:iCs/>
      <w:color w:val="5B9BD5" w:themeColor="accent1"/>
    </w:rPr>
  </w:style>
  <w:style w:type="paragraph" w:styleId="Header">
    <w:name w:val="header"/>
    <w:basedOn w:val="Normal"/>
    <w:link w:val="HeaderChar"/>
    <w:uiPriority w:val="99"/>
    <w:semiHidden/>
    <w:unhideWhenUsed/>
    <w:rsid w:val="008805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0505"/>
  </w:style>
  <w:style w:type="paragraph" w:styleId="Footer">
    <w:name w:val="footer"/>
    <w:basedOn w:val="Normal"/>
    <w:link w:val="FooterChar"/>
    <w:uiPriority w:val="99"/>
    <w:unhideWhenUsed/>
    <w:rsid w:val="00880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505"/>
  </w:style>
  <w:style w:type="paragraph" w:styleId="NoSpacing">
    <w:name w:val="No Spacing"/>
    <w:uiPriority w:val="1"/>
    <w:qFormat/>
    <w:rsid w:val="00E869B0"/>
    <w:pPr>
      <w:spacing w:after="0" w:line="240" w:lineRule="auto"/>
    </w:pPr>
  </w:style>
  <w:style w:type="paragraph" w:customStyle="1" w:styleId="Default">
    <w:name w:val="Default"/>
    <w:rsid w:val="0001671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5221358">
      <w:bodyDiv w:val="1"/>
      <w:marLeft w:val="0"/>
      <w:marRight w:val="0"/>
      <w:marTop w:val="0"/>
      <w:marBottom w:val="0"/>
      <w:divBdr>
        <w:top w:val="none" w:sz="0" w:space="0" w:color="auto"/>
        <w:left w:val="none" w:sz="0" w:space="0" w:color="auto"/>
        <w:bottom w:val="none" w:sz="0" w:space="0" w:color="auto"/>
        <w:right w:val="none" w:sz="0" w:space="0" w:color="auto"/>
      </w:divBdr>
    </w:div>
    <w:div w:id="804542082">
      <w:bodyDiv w:val="1"/>
      <w:marLeft w:val="0"/>
      <w:marRight w:val="0"/>
      <w:marTop w:val="0"/>
      <w:marBottom w:val="0"/>
      <w:divBdr>
        <w:top w:val="none" w:sz="0" w:space="0" w:color="auto"/>
        <w:left w:val="none" w:sz="0" w:space="0" w:color="auto"/>
        <w:bottom w:val="none" w:sz="0" w:space="0" w:color="auto"/>
        <w:right w:val="none" w:sz="0" w:space="0" w:color="auto"/>
      </w:divBdr>
    </w:div>
    <w:div w:id="967517158">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89623488">
      <w:bodyDiv w:val="1"/>
      <w:marLeft w:val="0"/>
      <w:marRight w:val="0"/>
      <w:marTop w:val="0"/>
      <w:marBottom w:val="0"/>
      <w:divBdr>
        <w:top w:val="none" w:sz="0" w:space="0" w:color="auto"/>
        <w:left w:val="none" w:sz="0" w:space="0" w:color="auto"/>
        <w:bottom w:val="none" w:sz="0" w:space="0" w:color="auto"/>
        <w:right w:val="none" w:sz="0" w:space="0" w:color="auto"/>
      </w:divBdr>
    </w:div>
    <w:div w:id="137685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49</Pages>
  <Words>10503</Words>
  <Characters>59871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BAALE</dc:creator>
  <cp:lastModifiedBy>USER</cp:lastModifiedBy>
  <cp:revision>2</cp:revision>
  <cp:lastPrinted>2025-07-11T14:45:00Z</cp:lastPrinted>
  <dcterms:created xsi:type="dcterms:W3CDTF">2025-08-19T15:17:00Z</dcterms:created>
  <dcterms:modified xsi:type="dcterms:W3CDTF">2025-08-19T15:17:00Z</dcterms:modified>
</cp:coreProperties>
</file>