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CE" w:rsidRPr="00B60B76" w:rsidRDefault="00B60B76" w:rsidP="00B60B76">
      <w:pPr>
        <w:pStyle w:val="TOCHeading"/>
        <w:tabs>
          <w:tab w:val="center" w:pos="4680"/>
        </w:tabs>
        <w:spacing w:line="480" w:lineRule="auto"/>
        <w:jc w:val="center"/>
        <w:rPr>
          <w:rFonts w:ascii="Times New Roman" w:eastAsia="Times New Roman" w:hAnsi="Times New Roman"/>
          <w:color w:val="231F20"/>
          <w:sz w:val="24"/>
          <w:szCs w:val="24"/>
          <w:lang w:eastAsia="en-US"/>
        </w:rPr>
      </w:pPr>
      <w:r>
        <w:rPr>
          <w:rFonts w:ascii="Times New Roman" w:eastAsia="Times New Roman" w:hAnsi="Times New Roman"/>
          <w:color w:val="231F20"/>
          <w:sz w:val="24"/>
          <w:szCs w:val="24"/>
          <w:lang w:eastAsia="en-US"/>
        </w:rPr>
        <w:t>Determination of some toxic metals in some herbal preparation sold by hawker in Ilorin and Environs</w:t>
      </w:r>
    </w:p>
    <w:p w:rsidR="00CE53CE" w:rsidRDefault="00CE53CE" w:rsidP="00B60B76">
      <w:pPr>
        <w:spacing w:after="0" w:line="480" w:lineRule="auto"/>
        <w:jc w:val="center"/>
        <w:rPr>
          <w:rFonts w:ascii="Times New Roman" w:eastAsia="Times New Roman" w:hAnsi="Times New Roman"/>
          <w:b/>
          <w:color w:val="231F20"/>
          <w:sz w:val="24"/>
          <w:szCs w:val="24"/>
          <w:lang w:eastAsia="en-US"/>
        </w:rPr>
      </w:pPr>
    </w:p>
    <w:p w:rsidR="00572D7A" w:rsidRDefault="00572D7A" w:rsidP="00B60B76">
      <w:pPr>
        <w:spacing w:after="0" w:line="480" w:lineRule="auto"/>
        <w:jc w:val="center"/>
        <w:rPr>
          <w:rFonts w:ascii="Times New Roman" w:eastAsia="Times New Roman" w:hAnsi="Times New Roman"/>
          <w:b/>
          <w:color w:val="231F20"/>
          <w:sz w:val="24"/>
          <w:szCs w:val="24"/>
          <w:lang w:eastAsia="en-US"/>
        </w:rPr>
      </w:pPr>
    </w:p>
    <w:p w:rsidR="00984445" w:rsidRDefault="00057EE3" w:rsidP="00057EE3">
      <w:pPr>
        <w:spacing w:after="0" w:line="480" w:lineRule="auto"/>
        <w:jc w:val="center"/>
        <w:rPr>
          <w:rFonts w:ascii="Times New Roman" w:eastAsia="Times New Roman" w:hAnsi="Times New Roman"/>
          <w:b/>
          <w:color w:val="231F20"/>
          <w:sz w:val="40"/>
          <w:szCs w:val="24"/>
          <w:lang w:eastAsia="en-US"/>
        </w:rPr>
      </w:pPr>
      <w:r w:rsidRPr="00057EE3">
        <w:rPr>
          <w:rFonts w:ascii="Times New Roman" w:eastAsia="Times New Roman" w:hAnsi="Times New Roman"/>
          <w:b/>
          <w:color w:val="231F20"/>
          <w:sz w:val="40"/>
          <w:szCs w:val="24"/>
          <w:lang w:eastAsia="en-US"/>
        </w:rPr>
        <w:t>ONIKEWUNLA TAOFEEKAT OMOTOLANI</w:t>
      </w:r>
    </w:p>
    <w:p w:rsidR="00057EE3" w:rsidRPr="00057EE3" w:rsidRDefault="00057EE3" w:rsidP="00057EE3">
      <w:pPr>
        <w:spacing w:after="0" w:line="480" w:lineRule="auto"/>
        <w:jc w:val="center"/>
        <w:rPr>
          <w:rFonts w:ascii="Times New Roman" w:eastAsia="Times New Roman" w:hAnsi="Times New Roman"/>
          <w:b/>
          <w:color w:val="231F20"/>
          <w:sz w:val="40"/>
          <w:szCs w:val="24"/>
          <w:lang w:eastAsia="en-US"/>
        </w:rPr>
      </w:pPr>
      <w:r w:rsidRPr="00057EE3">
        <w:rPr>
          <w:rFonts w:ascii="Times New Roman" w:eastAsia="Times New Roman" w:hAnsi="Times New Roman"/>
          <w:b/>
          <w:color w:val="231F20"/>
          <w:sz w:val="40"/>
          <w:szCs w:val="24"/>
          <w:lang w:eastAsia="en-US"/>
        </w:rPr>
        <w:t>ND/23/SLT/PT/0290</w:t>
      </w:r>
    </w:p>
    <w:p w:rsidR="00057EE3" w:rsidRPr="00984445" w:rsidRDefault="00057EE3" w:rsidP="00057EE3">
      <w:pPr>
        <w:spacing w:after="0" w:line="480" w:lineRule="auto"/>
        <w:jc w:val="center"/>
        <w:rPr>
          <w:rFonts w:ascii="Times New Roman" w:eastAsia="Times New Roman" w:hAnsi="Times New Roman"/>
          <w:b/>
          <w:color w:val="231F20"/>
          <w:sz w:val="40"/>
          <w:szCs w:val="24"/>
          <w:lang w:eastAsia="en-US"/>
        </w:rPr>
      </w:pPr>
    </w:p>
    <w:p w:rsidR="00572D7A" w:rsidRDefault="00572D7A" w:rsidP="00984445">
      <w:pPr>
        <w:spacing w:after="0" w:line="480" w:lineRule="auto"/>
        <w:jc w:val="center"/>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CE53CE" w:rsidRDefault="00CE53CE" w:rsidP="00CE53CE">
      <w:pPr>
        <w:spacing w:after="0" w:line="480" w:lineRule="auto"/>
        <w:jc w:val="both"/>
        <w:rPr>
          <w:rFonts w:ascii="Times New Roman" w:eastAsia="Times New Roman" w:hAnsi="Times New Roman"/>
          <w:b/>
          <w:color w:val="231F20"/>
          <w:sz w:val="24"/>
          <w:szCs w:val="24"/>
          <w:lang w:eastAsia="en-US"/>
        </w:rPr>
      </w:pPr>
    </w:p>
    <w:p w:rsidR="007925F5" w:rsidRDefault="007925F5"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Default="00B60B76" w:rsidP="00CE53CE">
      <w:pPr>
        <w:spacing w:after="0" w:line="480" w:lineRule="auto"/>
        <w:jc w:val="both"/>
        <w:rPr>
          <w:rFonts w:ascii="Times New Roman" w:eastAsia="Times New Roman" w:hAnsi="Times New Roman"/>
          <w:b/>
          <w:color w:val="231F20"/>
          <w:sz w:val="24"/>
          <w:szCs w:val="24"/>
          <w:lang w:eastAsia="en-US"/>
        </w:rPr>
      </w:pPr>
    </w:p>
    <w:p w:rsidR="00B60B76" w:rsidRPr="004B4D6C" w:rsidRDefault="00B60B76" w:rsidP="00B60B76">
      <w:pPr>
        <w:pStyle w:val="TOCHeading"/>
        <w:jc w:val="center"/>
        <w:rPr>
          <w:color w:val="000000" w:themeColor="text1"/>
        </w:rPr>
      </w:pPr>
      <w:r w:rsidRPr="004B4D6C">
        <w:rPr>
          <w:color w:val="000000" w:themeColor="text1"/>
        </w:rPr>
        <w:t>Table of Contents</w:t>
      </w:r>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r w:rsidRPr="00CF2B90">
        <w:rPr>
          <w:color w:val="000000" w:themeColor="text1"/>
        </w:rPr>
        <w:fldChar w:fldCharType="begin"/>
      </w:r>
      <w:r w:rsidR="00B60B76" w:rsidRPr="004B4D6C">
        <w:rPr>
          <w:color w:val="000000" w:themeColor="text1"/>
        </w:rPr>
        <w:instrText xml:space="preserve"> TOC \o "1-3" \h \z \u </w:instrText>
      </w:r>
      <w:r w:rsidRPr="00CF2B90">
        <w:rPr>
          <w:color w:val="000000" w:themeColor="text1"/>
        </w:rPr>
        <w:fldChar w:fldCharType="separate"/>
      </w:r>
      <w:hyperlink w:anchor="_Toc150463299" w:history="1">
        <w:r w:rsidR="00B60B76" w:rsidRPr="004B4D6C">
          <w:rPr>
            <w:rStyle w:val="Hyperlink"/>
            <w:noProof/>
            <w:color w:val="000000" w:themeColor="text1"/>
          </w:rPr>
          <w:t>Abstract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_Toc150463299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0" w:history="1">
        <w:r w:rsidR="00B60B76" w:rsidRPr="004B4D6C">
          <w:rPr>
            <w:rStyle w:val="Hyperlink"/>
            <w:noProof/>
            <w:color w:val="000000" w:themeColor="text1"/>
          </w:rPr>
          <w:t>Background</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1" w:history="1">
        <w:r w:rsidR="00B60B76" w:rsidRPr="004B4D6C">
          <w:rPr>
            <w:rStyle w:val="Hyperlink"/>
            <w:noProof/>
            <w:color w:val="000000" w:themeColor="text1"/>
          </w:rPr>
          <w:t>1.2 Statement of the problem</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2" w:history="1">
        <w:r w:rsidR="00B60B76" w:rsidRPr="004B4D6C">
          <w:rPr>
            <w:rStyle w:val="Hyperlink"/>
            <w:noProof/>
            <w:color w:val="000000" w:themeColor="text1"/>
          </w:rPr>
          <w:t>1.3 Aims and Objectives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3" w:history="1">
        <w:r w:rsidR="00B60B76" w:rsidRPr="004B4D6C">
          <w:rPr>
            <w:rStyle w:val="Hyperlink"/>
            <w:noProof/>
            <w:color w:val="000000" w:themeColor="text1"/>
          </w:rPr>
          <w:t>1.4 Research Questions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4" w:history="1">
        <w:r w:rsidR="00B60B76" w:rsidRPr="004B4D6C">
          <w:rPr>
            <w:rStyle w:val="Hyperlink"/>
            <w:noProof/>
            <w:color w:val="000000" w:themeColor="text1"/>
          </w:rPr>
          <w:t>1.5 Significance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5" w:history="1">
        <w:r w:rsidR="00B60B76" w:rsidRPr="004B4D6C">
          <w:rPr>
            <w:rStyle w:val="Hyperlink"/>
            <w:noProof/>
            <w:color w:val="000000" w:themeColor="text1"/>
          </w:rPr>
          <w:t>1.6 Scope of the study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6" w:history="1">
        <w:r w:rsidR="00B60B76" w:rsidRPr="004B4D6C">
          <w:rPr>
            <w:rStyle w:val="Hyperlink"/>
            <w:noProof/>
            <w:color w:val="000000" w:themeColor="text1"/>
          </w:rPr>
          <w:t>1.7 Operational Definition of Terms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7" w:history="1">
        <w:r w:rsidR="00B60B76" w:rsidRPr="004B4D6C">
          <w:rPr>
            <w:rStyle w:val="Hyperlink"/>
            <w:noProof/>
            <w:color w:val="000000" w:themeColor="text1"/>
          </w:rPr>
          <w:t>CHAPTER TWO</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8" w:history="1">
        <w:r w:rsidR="00B60B76" w:rsidRPr="004B4D6C">
          <w:rPr>
            <w:rStyle w:val="Hyperlink"/>
            <w:noProof/>
            <w:color w:val="000000" w:themeColor="text1"/>
          </w:rPr>
          <w:t>Introduction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09" w:history="1">
        <w:r w:rsidR="00B60B76" w:rsidRPr="004B4D6C">
          <w:rPr>
            <w:rStyle w:val="Hyperlink"/>
            <w:noProof/>
            <w:color w:val="000000" w:themeColor="text1"/>
          </w:rPr>
          <w:t>Tradition and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_Toc150463309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13</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0" w:history="1">
        <w:r w:rsidR="00B60B76" w:rsidRPr="004B4D6C">
          <w:rPr>
            <w:rStyle w:val="Hyperlink"/>
            <w:noProof/>
            <w:color w:val="000000" w:themeColor="text1"/>
          </w:rPr>
          <w:t>Carcinogenic effects of traditional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1" w:history="1">
        <w:r w:rsidR="00B60B76" w:rsidRPr="004B4D6C">
          <w:rPr>
            <w:rStyle w:val="Hyperlink"/>
            <w:noProof/>
            <w:color w:val="000000" w:themeColor="text1"/>
          </w:rPr>
          <w:t>Kinetic interactions of herbal medicines with conventional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2" w:history="1">
        <w:r w:rsidR="00B60B76" w:rsidRPr="004B4D6C">
          <w:rPr>
            <w:rStyle w:val="Hyperlink"/>
            <w:noProof/>
            <w:color w:val="000000" w:themeColor="text1"/>
          </w:rPr>
          <w:t>Factors Responsible for Increased Patronage and Self Medication with Herbal Medicine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3" w:history="1">
        <w:r w:rsidR="00B60B76" w:rsidRPr="004B4D6C">
          <w:rPr>
            <w:rStyle w:val="Hyperlink"/>
            <w:noProof/>
            <w:color w:val="000000" w:themeColor="text1"/>
          </w:rPr>
          <w:t>Influence of Regulatory Policies on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4" w:history="1">
        <w:r w:rsidR="00B60B76" w:rsidRPr="004B4D6C">
          <w:rPr>
            <w:rStyle w:val="Hyperlink"/>
            <w:noProof/>
            <w:color w:val="000000" w:themeColor="text1"/>
          </w:rPr>
          <w:t>Toxicity and Adverse Health Effects of Some Common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18</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5" w:history="1">
        <w:r w:rsidR="00B60B76" w:rsidRPr="004B4D6C">
          <w:rPr>
            <w:rStyle w:val="Hyperlink"/>
            <w:noProof/>
            <w:color w:val="000000" w:themeColor="text1"/>
          </w:rPr>
          <w:t>Challenges Associated with Monitoring Safety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6" w:history="1">
        <w:r w:rsidR="00B60B76" w:rsidRPr="004B4D6C">
          <w:rPr>
            <w:rStyle w:val="Hyperlink"/>
            <w:noProof/>
            <w:color w:val="000000" w:themeColor="text1"/>
          </w:rPr>
          <w:t>Challenges Related to the Regulatory Status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20</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7" w:history="1">
        <w:r w:rsidR="00B60B76" w:rsidRPr="004B4D6C">
          <w:rPr>
            <w:rStyle w:val="Hyperlink"/>
            <w:noProof/>
            <w:color w:val="000000" w:themeColor="text1"/>
          </w:rPr>
          <w:t>Challenges Related to the Assessment of Safety and Efficacy</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21</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8" w:history="1">
        <w:r w:rsidR="00B60B76" w:rsidRPr="004B4D6C">
          <w:rPr>
            <w:rStyle w:val="Hyperlink"/>
            <w:noProof/>
            <w:color w:val="000000" w:themeColor="text1"/>
          </w:rPr>
          <w:t>Challenges Related to Quality Control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19" w:history="1">
        <w:r w:rsidR="00B60B76" w:rsidRPr="004B4D6C">
          <w:rPr>
            <w:rStyle w:val="Hyperlink"/>
            <w:noProof/>
            <w:color w:val="000000" w:themeColor="text1"/>
          </w:rPr>
          <w:t>Challenges Related to Safety Monitoring of Herbal Medicines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_Toc150463319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0" w:history="1">
        <w:r w:rsidR="00B60B76" w:rsidRPr="004B4D6C">
          <w:rPr>
            <w:rStyle w:val="Hyperlink"/>
            <w:noProof/>
            <w:color w:val="000000" w:themeColor="text1"/>
          </w:rPr>
          <w:t>CHAPTER THREE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1" w:history="1">
        <w:r w:rsidR="00B60B76" w:rsidRPr="004B4D6C">
          <w:rPr>
            <w:rStyle w:val="Hyperlink"/>
            <w:noProof/>
            <w:color w:val="000000" w:themeColor="text1"/>
          </w:rPr>
          <w:t>Materials and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2" w:history="1">
        <w:r w:rsidR="00B60B76" w:rsidRPr="004B4D6C">
          <w:rPr>
            <w:rStyle w:val="Hyperlink"/>
            <w:noProof/>
            <w:color w:val="000000" w:themeColor="text1"/>
          </w:rPr>
          <w:t>3.1 Equipment and reagents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3" w:history="1">
        <w:r w:rsidR="00B60B76" w:rsidRPr="004B4D6C">
          <w:rPr>
            <w:rStyle w:val="Hyperlink"/>
            <w:noProof/>
            <w:color w:val="000000" w:themeColor="text1"/>
          </w:rPr>
          <w:t>3.2 METHODS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4" w:history="1">
        <w:r w:rsidR="00B60B76" w:rsidRPr="004B4D6C">
          <w:rPr>
            <w:rStyle w:val="Hyperlink"/>
            <w:noProof/>
            <w:color w:val="000000" w:themeColor="text1"/>
          </w:rPr>
          <w:t>3.2.1 Collection of samples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24</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5" w:history="1">
        <w:r w:rsidR="00B60B76" w:rsidRPr="004B4D6C">
          <w:rPr>
            <w:rStyle w:val="Hyperlink"/>
            <w:noProof/>
            <w:color w:val="000000" w:themeColor="text1"/>
          </w:rPr>
          <w:t>3.2.2 Preparation of calibration curve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_Toc150463325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25</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6" w:history="1">
        <w:r w:rsidR="00B60B76" w:rsidRPr="004B4D6C">
          <w:rPr>
            <w:rStyle w:val="Hyperlink"/>
            <w:noProof/>
            <w:color w:val="000000" w:themeColor="text1"/>
          </w:rPr>
          <w:t>3.2.3 Sample pre-treatment</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_Toc150463326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7" w:history="1">
        <w:r w:rsidR="00B60B76" w:rsidRPr="004B4D6C">
          <w:rPr>
            <w:rStyle w:val="Hyperlink"/>
            <w:noProof/>
            <w:color w:val="000000" w:themeColor="text1"/>
          </w:rPr>
          <w:t>3.3 Sample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_Toc150463327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8" w:history="1">
        <w:r w:rsidR="00B60B76" w:rsidRPr="004B4D6C">
          <w:rPr>
            <w:rStyle w:val="Hyperlink"/>
            <w:noProof/>
            <w:color w:val="000000" w:themeColor="text1"/>
          </w:rPr>
          <w:t>3.4 Statistical analysis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_Toc150463328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26</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29" w:history="1">
        <w:r w:rsidR="00B60B76" w:rsidRPr="004B4D6C">
          <w:rPr>
            <w:rStyle w:val="Hyperlink"/>
            <w:noProof/>
            <w:color w:val="000000" w:themeColor="text1"/>
          </w:rPr>
          <w:t>CHAPTER FOUR</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_Toc150463329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0" w:history="1">
        <w:r w:rsidR="00B60B76" w:rsidRPr="004B4D6C">
          <w:rPr>
            <w:rStyle w:val="Hyperlink"/>
            <w:noProof/>
            <w:color w:val="000000" w:themeColor="text1"/>
          </w:rPr>
          <w:t>4.1 RESULTS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_Toc150463330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27</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1" w:history="1">
        <w:r w:rsidR="00B60B76" w:rsidRPr="004B4D6C">
          <w:rPr>
            <w:rStyle w:val="Hyperlink"/>
            <w:noProof/>
            <w:color w:val="000000" w:themeColor="text1"/>
          </w:rPr>
          <w:t>CHAPTER FIVE</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_Toc150463331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2" w:history="1">
        <w:r w:rsidR="00B60B76" w:rsidRPr="004B4D6C">
          <w:rPr>
            <w:rStyle w:val="Hyperlink"/>
            <w:noProof/>
            <w:color w:val="000000" w:themeColor="text1"/>
          </w:rPr>
          <w:t>5.1 DISCUSSION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_Toc150463332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29</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3" w:history="1">
        <w:r w:rsidR="00B60B76" w:rsidRPr="004B4D6C">
          <w:rPr>
            <w:rStyle w:val="Hyperlink"/>
            <w:noProof/>
            <w:color w:val="000000" w:themeColor="text1"/>
          </w:rPr>
          <w:t>CONCLUSION</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_Toc150463333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32</w:t>
        </w:r>
        <w:r w:rsidRPr="004B4D6C">
          <w:rPr>
            <w:noProof/>
            <w:webHidden/>
            <w:color w:val="000000" w:themeColor="text1"/>
          </w:rPr>
          <w:fldChar w:fldCharType="end"/>
        </w:r>
      </w:hyperlink>
    </w:p>
    <w:p w:rsidR="00B60B76" w:rsidRPr="004B4D6C" w:rsidRDefault="00CF2B90" w:rsidP="00B60B76">
      <w:pPr>
        <w:pStyle w:val="TOC1"/>
        <w:tabs>
          <w:tab w:val="right" w:leader="dot" w:pos="9350"/>
        </w:tabs>
        <w:rPr>
          <w:rFonts w:asciiTheme="minorHAnsi" w:eastAsiaTheme="minorEastAsia" w:hAnsiTheme="minorHAnsi" w:cstheme="minorBidi"/>
          <w:noProof/>
          <w:color w:val="000000" w:themeColor="text1"/>
          <w:lang w:eastAsia="en-US"/>
        </w:rPr>
      </w:pPr>
      <w:hyperlink w:anchor="_Toc150463334" w:history="1">
        <w:r w:rsidR="00B60B76" w:rsidRPr="004B4D6C">
          <w:rPr>
            <w:rStyle w:val="Hyperlink"/>
            <w:noProof/>
            <w:color w:val="000000" w:themeColor="text1"/>
          </w:rPr>
          <w:t>REFERENCES</w:t>
        </w:r>
        <w:r w:rsidR="00B60B76" w:rsidRPr="004B4D6C">
          <w:rPr>
            <w:noProof/>
            <w:webHidden/>
            <w:color w:val="000000" w:themeColor="text1"/>
          </w:rPr>
          <w:tab/>
        </w:r>
        <w:r w:rsidRPr="004B4D6C">
          <w:rPr>
            <w:noProof/>
            <w:webHidden/>
            <w:color w:val="000000" w:themeColor="text1"/>
          </w:rPr>
          <w:fldChar w:fldCharType="begin"/>
        </w:r>
        <w:r w:rsidR="00B60B76" w:rsidRPr="004B4D6C">
          <w:rPr>
            <w:noProof/>
            <w:webHidden/>
            <w:color w:val="000000" w:themeColor="text1"/>
          </w:rPr>
          <w:instrText xml:space="preserve"> PAGEREF _Toc150463334 \h </w:instrText>
        </w:r>
        <w:r w:rsidRPr="004B4D6C">
          <w:rPr>
            <w:noProof/>
            <w:webHidden/>
            <w:color w:val="000000" w:themeColor="text1"/>
          </w:rPr>
        </w:r>
        <w:r w:rsidRPr="004B4D6C">
          <w:rPr>
            <w:noProof/>
            <w:webHidden/>
            <w:color w:val="000000" w:themeColor="text1"/>
          </w:rPr>
          <w:fldChar w:fldCharType="separate"/>
        </w:r>
        <w:r w:rsidR="00B60B76" w:rsidRPr="004B4D6C">
          <w:rPr>
            <w:noProof/>
            <w:webHidden/>
            <w:color w:val="000000" w:themeColor="text1"/>
          </w:rPr>
          <w:t>33</w:t>
        </w:r>
        <w:r w:rsidRPr="004B4D6C">
          <w:rPr>
            <w:noProof/>
            <w:webHidden/>
            <w:color w:val="000000" w:themeColor="text1"/>
          </w:rPr>
          <w:fldChar w:fldCharType="end"/>
        </w:r>
      </w:hyperlink>
    </w:p>
    <w:p w:rsidR="00B60B76" w:rsidRDefault="00CF2B90" w:rsidP="00B60B76">
      <w:pPr>
        <w:spacing w:after="0" w:line="480" w:lineRule="auto"/>
        <w:jc w:val="both"/>
        <w:rPr>
          <w:rFonts w:ascii="Times New Roman" w:eastAsia="Times New Roman" w:hAnsi="Times New Roman"/>
          <w:b/>
          <w:color w:val="231F20"/>
          <w:sz w:val="24"/>
          <w:szCs w:val="24"/>
          <w:lang w:eastAsia="en-US"/>
        </w:rPr>
      </w:pPr>
      <w:r w:rsidRPr="004B4D6C">
        <w:rPr>
          <w:b/>
          <w:bCs/>
          <w:noProof/>
          <w:color w:val="000000" w:themeColor="text1"/>
        </w:rPr>
        <w:fldChar w:fldCharType="end"/>
      </w: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4917CC" w:rsidRDefault="004917CC" w:rsidP="00CE53CE">
      <w:pPr>
        <w:spacing w:after="0" w:line="480" w:lineRule="auto"/>
        <w:jc w:val="both"/>
        <w:rPr>
          <w:rFonts w:ascii="Times New Roman" w:eastAsia="Times New Roman" w:hAnsi="Times New Roman"/>
          <w:b/>
          <w:color w:val="231F20"/>
          <w:sz w:val="24"/>
          <w:szCs w:val="24"/>
          <w:lang w:eastAsia="en-US"/>
        </w:rPr>
      </w:pPr>
    </w:p>
    <w:p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t>List of tables</w:t>
      </w:r>
    </w:p>
    <w:p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457FF6">
      <w:pPr>
        <w:spacing w:after="0" w:line="240" w:lineRule="auto"/>
        <w:rPr>
          <w:rFonts w:ascii="CaeciliaLTStd-Roman" w:eastAsia="Times New Roman" w:hAnsi="CaeciliaLTStd-Roman"/>
          <w:color w:val="231F20"/>
          <w:sz w:val="16"/>
          <w:szCs w:val="16"/>
          <w:lang w:eastAsia="en-US"/>
        </w:rPr>
      </w:pPr>
    </w:p>
    <w:p w:rsidR="00CE53CE" w:rsidRDefault="00CE53CE" w:rsidP="00342E67">
      <w:pPr>
        <w:pStyle w:val="Heading1"/>
      </w:pPr>
    </w:p>
    <w:p w:rsidR="00CE53CE" w:rsidRDefault="00CE53CE" w:rsidP="00CE53CE">
      <w:pPr>
        <w:rPr>
          <w:lang w:eastAsia="en-US"/>
        </w:rPr>
      </w:pPr>
    </w:p>
    <w:p w:rsidR="00CE53CE" w:rsidRDefault="00CE53CE" w:rsidP="00CE53CE">
      <w:pPr>
        <w:rPr>
          <w:lang w:eastAsia="en-US"/>
        </w:rPr>
      </w:pPr>
    </w:p>
    <w:p w:rsidR="00CE53CE" w:rsidRPr="00CE53CE" w:rsidRDefault="00CE53CE" w:rsidP="00CE53CE">
      <w:pPr>
        <w:rPr>
          <w:lang w:eastAsia="en-US"/>
        </w:rPr>
      </w:pPr>
    </w:p>
    <w:p w:rsidR="00457FF6" w:rsidRPr="00457FF6" w:rsidRDefault="00457FF6" w:rsidP="00CE53CE">
      <w:pPr>
        <w:pStyle w:val="Heading1"/>
        <w:jc w:val="center"/>
        <w:rPr>
          <w:szCs w:val="24"/>
        </w:rPr>
      </w:pPr>
      <w:bookmarkStart w:id="0" w:name="_Toc150463299"/>
      <w:r w:rsidRPr="00457FF6">
        <w:t>Abstract</w:t>
      </w:r>
      <w:bookmarkEnd w:id="0"/>
    </w:p>
    <w:p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w:t>
      </w:r>
      <w:r w:rsidR="00D97A30" w:rsidRPr="00573E82">
        <w:rPr>
          <w:rFonts w:ascii="Times New Roman" w:eastAsia="Times New Roman" w:hAnsi="Times New Roman"/>
          <w:i/>
          <w:color w:val="000000"/>
          <w:sz w:val="24"/>
          <w:szCs w:val="24"/>
          <w:lang w:eastAsia="en-US"/>
        </w:rPr>
        <w:lastRenderedPageBreak/>
        <w:t xml:space="preserve">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The results 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AE731B" w:rsidRDefault="00AE731B" w:rsidP="00457FF6">
      <w:pPr>
        <w:spacing w:after="0" w:line="240" w:lineRule="auto"/>
        <w:rPr>
          <w:rFonts w:ascii="Times New Roman" w:eastAsia="Times New Roman" w:hAnsi="Times New Roman"/>
          <w:b/>
          <w:color w:val="231F20"/>
          <w:sz w:val="24"/>
          <w:szCs w:val="24"/>
          <w:lang w:eastAsia="en-US"/>
        </w:rPr>
      </w:pPr>
    </w:p>
    <w:p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rsidR="00AE731B" w:rsidRDefault="00AE731B" w:rsidP="00457FF6">
      <w:pPr>
        <w:spacing w:after="0" w:line="240" w:lineRule="auto"/>
        <w:rPr>
          <w:rFonts w:ascii="Times New Roman" w:eastAsia="Times New Roman" w:hAnsi="Times New Roman"/>
          <w:b/>
          <w:color w:val="231F20"/>
          <w:sz w:val="24"/>
          <w:szCs w:val="24"/>
          <w:lang w:eastAsia="en-US"/>
        </w:rPr>
      </w:pPr>
    </w:p>
    <w:p w:rsidR="00D97A30" w:rsidRPr="00AE731B" w:rsidRDefault="00457FF6" w:rsidP="007925F5">
      <w:pPr>
        <w:pStyle w:val="Heading1"/>
      </w:pPr>
      <w:bookmarkStart w:id="1" w:name="_Toc150463300"/>
      <w:r w:rsidRPr="00AE731B">
        <w:t>Background</w:t>
      </w:r>
      <w:bookmarkEnd w:id="1"/>
    </w:p>
    <w:p w:rsidR="00457FF6" w:rsidRPr="00457FF6" w:rsidRDefault="00457FF6" w:rsidP="00AE731B">
      <w:pPr>
        <w:spacing w:after="0" w:line="480" w:lineRule="auto"/>
        <w:jc w:val="both"/>
        <w:rPr>
          <w:rFonts w:eastAsia="Times New Roman" w:cs="Calibri"/>
          <w:b/>
          <w:color w:val="231F20"/>
          <w:lang w:eastAsia="en-US"/>
        </w:rPr>
      </w:pP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Enuh</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Oreagba</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Bakare-Odunola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 are various sources of </w:t>
      </w:r>
      <w:r w:rsidRPr="00D97A30">
        <w:rPr>
          <w:rFonts w:ascii="Times New Roman" w:eastAsia="Times New Roman" w:hAnsi="Times New Roman"/>
          <w:color w:val="231F20"/>
          <w:sz w:val="24"/>
          <w:szCs w:val="24"/>
          <w:lang w:eastAsia="en-US"/>
        </w:rPr>
        <w:lastRenderedPageBreak/>
        <w:t>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Osegbe and Amaku,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Saeed</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viz; contamination during the process of cultiva</w:t>
      </w:r>
      <w:r w:rsidR="00AE731B">
        <w:rPr>
          <w:rFonts w:ascii="Times New Roman" w:eastAsia="Times New Roman" w:hAnsi="Times New Roman"/>
          <w:color w:val="231F20"/>
          <w:sz w:val="24"/>
          <w:szCs w:val="24"/>
          <w:lang w:eastAsia="en-US"/>
        </w:rPr>
        <w:t>ting the medicinal plant itself</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were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 lot of cases of poisoning from heavy metal such as cadmium, lead, iron, </w:t>
      </w:r>
      <w:r w:rsidRPr="00D97A30">
        <w:rPr>
          <w:rFonts w:ascii="Times New Roman" w:eastAsia="Times New Roman" w:hAnsi="Times New Roman"/>
          <w:color w:val="231F20"/>
          <w:sz w:val="24"/>
          <w:szCs w:val="24"/>
          <w:lang w:eastAsia="en-US"/>
        </w:rPr>
        <w:lastRenderedPageBreak/>
        <w:t>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 different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rsidR="00ED7D15" w:rsidRDefault="00ED7D15" w:rsidP="00ED7D15">
      <w:pPr>
        <w:pStyle w:val="Heading1"/>
      </w:pPr>
      <w:bookmarkStart w:id="2" w:name="_Toc150206969"/>
      <w:bookmarkStart w:id="3" w:name="_Toc150463301"/>
      <w:r w:rsidRPr="00B217C9">
        <w:t>1.2 Statement of the problem</w:t>
      </w:r>
      <w:bookmarkStart w:id="4" w:name="_Toc150206970"/>
      <w:bookmarkEnd w:id="2"/>
      <w:bookmarkEnd w:id="3"/>
    </w:p>
    <w:p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rsidR="00ED7D15" w:rsidRPr="00B217C9" w:rsidRDefault="00ED7D15" w:rsidP="00ED7D15">
      <w:pPr>
        <w:pStyle w:val="Heading1"/>
      </w:pPr>
      <w:bookmarkStart w:id="5" w:name="_Toc150463302"/>
      <w:r>
        <w:t xml:space="preserve">1.3 </w:t>
      </w:r>
      <w:r w:rsidRPr="00B217C9">
        <w:t>Aims and Objectives of the study</w:t>
      </w:r>
      <w:bookmarkEnd w:id="4"/>
      <w:bookmarkEnd w:id="5"/>
    </w:p>
    <w:p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p>
    <w:p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rsidR="00ED7D15" w:rsidRPr="00B217C9" w:rsidRDefault="00ED7D15" w:rsidP="00ED7D15">
      <w:pPr>
        <w:pStyle w:val="Heading1"/>
      </w:pPr>
      <w:bookmarkStart w:id="6" w:name="_Toc150206971"/>
      <w:bookmarkStart w:id="7" w:name="_Toc150463303"/>
      <w:r>
        <w:lastRenderedPageBreak/>
        <w:t xml:space="preserve">1.4 </w:t>
      </w:r>
      <w:r w:rsidRPr="00B217C9">
        <w:t>Research Questions</w:t>
      </w:r>
      <w:bookmarkEnd w:id="6"/>
      <w:bookmarkEnd w:id="7"/>
      <w:r w:rsidRPr="00B217C9">
        <w:tab/>
      </w:r>
    </w:p>
    <w:p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rsidR="00ED7D15" w:rsidRPr="00342E67" w:rsidRDefault="00ED7D15" w:rsidP="00342E67">
      <w:pPr>
        <w:pStyle w:val="Heading1"/>
      </w:pPr>
      <w:bookmarkStart w:id="9" w:name="_Toc150463304"/>
      <w:r w:rsidRPr="00342E67">
        <w:t>1.5 Significance of the Study</w:t>
      </w:r>
      <w:bookmarkEnd w:id="8"/>
      <w:bookmarkEnd w:id="9"/>
    </w:p>
    <w:p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Bakare-Odunola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Topliss</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p>
    <w:p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rsidR="00457FF6" w:rsidRDefault="00457FF6" w:rsidP="00D97A30">
      <w:pPr>
        <w:spacing w:after="0" w:line="480" w:lineRule="auto"/>
        <w:jc w:val="both"/>
        <w:rPr>
          <w:rFonts w:ascii="Times New Roman" w:eastAsia="Times New Roman" w:hAnsi="Times New Roman"/>
          <w:color w:val="231F20"/>
          <w:sz w:val="24"/>
          <w:szCs w:val="24"/>
          <w:lang w:eastAsia="en-US"/>
        </w:rPr>
      </w:pPr>
    </w:p>
    <w:p w:rsidR="00A20824" w:rsidRDefault="00A20824"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4917CC" w:rsidRDefault="004917CC" w:rsidP="00D97A30">
      <w:pPr>
        <w:spacing w:after="0" w:line="480" w:lineRule="auto"/>
        <w:jc w:val="both"/>
        <w:rPr>
          <w:rFonts w:ascii="Times New Roman" w:eastAsia="Times New Roman" w:hAnsi="Times New Roman"/>
          <w:b/>
          <w:color w:val="231F20"/>
          <w:sz w:val="24"/>
          <w:szCs w:val="24"/>
          <w:lang w:eastAsia="en-US"/>
        </w:rPr>
      </w:pPr>
    </w:p>
    <w:p w:rsidR="00ED7D15" w:rsidRPr="006C4EBB" w:rsidRDefault="006C4EBB" w:rsidP="00CE53CE">
      <w:pPr>
        <w:pStyle w:val="Heading1"/>
      </w:pPr>
      <w:bookmarkStart w:id="14" w:name="_Toc150463307"/>
      <w:r w:rsidRPr="006C4EBB">
        <w:lastRenderedPageBreak/>
        <w:t>CHAPTER TWO</w:t>
      </w:r>
      <w:bookmarkEnd w:id="14"/>
    </w:p>
    <w:p w:rsidR="00ED7D15" w:rsidRPr="00A20824" w:rsidRDefault="006C4EBB" w:rsidP="00CE53CE">
      <w:pPr>
        <w:pStyle w:val="Heading1"/>
      </w:pPr>
      <w:bookmarkStart w:id="15" w:name="_Toc150463308"/>
      <w:r w:rsidRPr="00A20824">
        <w:t>Introduction</w:t>
      </w:r>
      <w:bookmarkEnd w:id="15"/>
    </w:p>
    <w:p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debachart matter. A new draft regulation published by the Brazilian National Health Surveillance Agency (Anvisa) brought this controversial topic to the center stage. The proposed regulation, which has recently undergone a public consultation for reviews and comments, defines two categories of herbal drugs for registration: “phytotherapeutic medicines” and “traditional phytotherapeutic products” (TPTP) (Anvisa,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detailed by Calapai (2008), Quintus and Schweim (2012) and Silano et al. (2004). In order for a medicinal product,or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(Knöss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Bian</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primum non nocere</w:t>
      </w:r>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rsidR="00554108" w:rsidRPr="00CA06CC" w:rsidRDefault="00554108" w:rsidP="00CE53CE">
      <w:pPr>
        <w:pStyle w:val="Heading1"/>
      </w:pPr>
      <w:bookmarkStart w:id="16" w:name="_Toc150463309"/>
      <w:r w:rsidRPr="00CA06CC">
        <w:t>Tradition and safety of herbal medicines</w:t>
      </w:r>
      <w:bookmarkEnd w:id="16"/>
    </w:p>
    <w:p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Hao</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Halicioglu</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554108" w:rsidRPr="00CA06CC" w:rsidRDefault="00554108" w:rsidP="00CE53CE">
      <w:pPr>
        <w:pStyle w:val="Heading1"/>
      </w:pPr>
      <w:bookmarkStart w:id="17" w:name="_Toc150463310"/>
      <w:r w:rsidRPr="00CA06CC">
        <w:lastRenderedPageBreak/>
        <w:t>Carcinogenic effects of traditional herbal medicines</w:t>
      </w:r>
      <w:bookmarkEnd w:id="17"/>
    </w:p>
    <w:p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predicchart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rsidR="00554108" w:rsidRPr="00CA06CC" w:rsidRDefault="00554108" w:rsidP="00CE53CE">
      <w:pPr>
        <w:pStyle w:val="Heading1"/>
      </w:pPr>
      <w:bookmarkStart w:id="18" w:name="_Toc150463311"/>
      <w:r w:rsidRPr="00CA06CC">
        <w:t>Kinetic interactions of herbal medicines with conventional medicines</w:t>
      </w:r>
      <w:bookmarkEnd w:id="18"/>
    </w:p>
    <w:p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Silano</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Zingiberofficinale</w:t>
      </w:r>
      <w:r w:rsidRPr="00CA06CC">
        <w:rPr>
          <w:rFonts w:ascii="Times New Roman" w:eastAsia="Times New Roman" w:hAnsi="Times New Roman"/>
          <w:color w:val="000000" w:themeColor="text1"/>
          <w:sz w:val="24"/>
          <w:szCs w:val="24"/>
          <w:lang w:eastAsia="en-US"/>
        </w:rPr>
        <w:t>Rosc.),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PgP (P-</w:t>
      </w:r>
      <w:r w:rsidRPr="00CA06CC">
        <w:rPr>
          <w:rFonts w:ascii="Times New Roman" w:eastAsia="Times New Roman" w:hAnsi="Times New Roman"/>
          <w:color w:val="000000" w:themeColor="text1"/>
          <w:sz w:val="24"/>
          <w:szCs w:val="24"/>
          <w:lang w:eastAsia="en-US"/>
        </w:rPr>
        <w:lastRenderedPageBreak/>
        <w:t>glycoprotein) in the 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tracolimus, digoxin, atorvastin,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malaise, and (iii) lack of time to see a physician; this is usually a reason where prior visit did not yield any positive experience (Studdert</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Zeil, 1999). Herbal medicines, therefore, become particularly alluring when the body’s natural capacity for self-repair, given appropriate conditions, is emphasized (Parle and Bansal, 2006).</w:t>
      </w:r>
    </w:p>
    <w:p w:rsidR="00315B60" w:rsidRPr="00CA06CC" w:rsidRDefault="00CE53CE" w:rsidP="00CE53CE">
      <w:pPr>
        <w:pStyle w:val="Heading1"/>
      </w:pPr>
      <w:bookmarkStart w:id="20" w:name="_Toc150463313"/>
      <w:r>
        <w:t>Influence of Regulatory Policies o</w:t>
      </w:r>
      <w:r w:rsidRPr="00CA06CC">
        <w:t>n Safety of Herbal Medicines</w:t>
      </w:r>
      <w:bookmarkEnd w:id="20"/>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 xml:space="preserve">tional and herbal medicines has therefore become a major concern to both national health authorities and the general public (Kasilo and Trapsida, 2011). </w:t>
      </w:r>
    </w:p>
    <w:p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rsidR="00D16070" w:rsidRPr="00CA06CC" w:rsidRDefault="00CE53CE" w:rsidP="00CE53CE">
      <w:pPr>
        <w:pStyle w:val="Heading1"/>
      </w:pPr>
      <w:bookmarkStart w:id="21" w:name="_Toc150463314"/>
      <w:r w:rsidRPr="00CA06CC">
        <w:t>Toxicity and Adverse Health Effects of Some Common Herbal Medicines</w:t>
      </w:r>
      <w:bookmarkEnd w:id="21"/>
    </w:p>
    <w:p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(Vanherweghem and Degaute, 1998; Cosyns</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(Ekor</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r w:rsidRPr="00CA06CC">
        <w:rPr>
          <w:rFonts w:ascii="Times New Roman" w:eastAsia="Times New Roman" w:hAnsi="Times New Roman"/>
          <w:i/>
          <w:iCs/>
          <w:color w:val="000000" w:themeColor="text1"/>
          <w:sz w:val="24"/>
          <w:szCs w:val="24"/>
          <w:lang w:eastAsia="en-US"/>
        </w:rPr>
        <w:t xml:space="preserve">Entandrophragma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rsidR="00D16070" w:rsidRPr="00CA06CC" w:rsidRDefault="00E62B27" w:rsidP="00E62B27">
      <w:pPr>
        <w:pStyle w:val="Heading1"/>
      </w:pPr>
      <w:bookmarkStart w:id="22" w:name="_Toc150463315"/>
      <w:r w:rsidRPr="00CA06CC">
        <w:t>Challenges Associated with Monitoring Safety of Herbal Medicines</w:t>
      </w:r>
      <w:bookmarkEnd w:id="22"/>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rsidR="00D16070" w:rsidRPr="00CA06CC" w:rsidRDefault="00E62B27" w:rsidP="00E62B27">
      <w:pPr>
        <w:pStyle w:val="Heading1"/>
      </w:pPr>
      <w:bookmarkStart w:id="23" w:name="_Toc150463316"/>
      <w:r w:rsidRPr="00CA06CC">
        <w:t>Challenges Related to the Regulatory Status of Herbal Medicines</w:t>
      </w:r>
      <w:bookmarkEnd w:id="23"/>
    </w:p>
    <w:p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gorized as a food, a functional food, a dietary supplement, or a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a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rsidR="00A72B74" w:rsidRPr="00CA06CC" w:rsidRDefault="007925F5" w:rsidP="007925F5">
      <w:pPr>
        <w:pStyle w:val="Heading1"/>
      </w:pPr>
      <w:bookmarkStart w:id="24" w:name="_Toc150463317"/>
      <w:r>
        <w:t>Challenges Related t</w:t>
      </w:r>
      <w:r w:rsidRPr="00CA06CC">
        <w:t>o the Assessment of Safety and Efficacy</w:t>
      </w:r>
      <w:bookmarkEnd w:id="24"/>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rsidR="00A72B74" w:rsidRPr="00CA06CC" w:rsidRDefault="007925F5" w:rsidP="007925F5">
      <w:pPr>
        <w:pStyle w:val="Heading1"/>
      </w:pPr>
      <w:bookmarkStart w:id="25" w:name="_Toc150463318"/>
      <w:r w:rsidRPr="00CA06CC">
        <w:t>Challenges Related to Quality Control of Herbal Medicines</w:t>
      </w:r>
      <w:bookmarkEnd w:id="25"/>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rsidR="00A72B74" w:rsidRPr="00CA06CC" w:rsidRDefault="007925F5" w:rsidP="007925F5">
      <w:pPr>
        <w:pStyle w:val="Heading1"/>
      </w:pPr>
      <w:bookmarkStart w:id="26" w:name="_Toc150463319"/>
      <w:r w:rsidRPr="00CA06CC">
        <w:t>Challenges Related to Safety Monitoring of Herbal Medicines</w:t>
      </w:r>
      <w:bookmarkEnd w:id="26"/>
    </w:p>
    <w:p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Artemisia absinthium</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r w:rsidRPr="00CA06CC">
        <w:rPr>
          <w:rFonts w:ascii="Times New Roman" w:eastAsia="Times New Roman" w:hAnsi="Times New Roman"/>
          <w:i/>
          <w:iCs/>
          <w:color w:val="000000" w:themeColor="text1"/>
          <w:sz w:val="24"/>
          <w:szCs w:val="24"/>
          <w:lang w:eastAsia="en-US"/>
        </w:rPr>
        <w:t>Heliotropiumeuropaeum</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Valerian officinalis</w:t>
      </w:r>
      <w:r w:rsidRPr="00CA06CC">
        <w:rPr>
          <w:rFonts w:ascii="Times New Roman" w:eastAsia="Times New Roman" w:hAnsi="Times New Roman"/>
          <w:color w:val="000000" w:themeColor="text1"/>
          <w:sz w:val="24"/>
          <w:szCs w:val="24"/>
          <w:lang w:eastAsia="en-US"/>
        </w:rPr>
        <w:t>(garden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phytochemists, pharmacologists, and other major stake-holders.</w:t>
      </w:r>
    </w:p>
    <w:p w:rsidR="00342E67" w:rsidRDefault="00342E67" w:rsidP="00457FF6">
      <w:pPr>
        <w:jc w:val="both"/>
        <w:rPr>
          <w:rFonts w:ascii="CaeciliaLTStd-Roman" w:eastAsia="Times New Roman" w:hAnsi="CaeciliaLTStd-Roman"/>
          <w:color w:val="231F20"/>
          <w:sz w:val="16"/>
          <w:szCs w:val="16"/>
          <w:lang w:eastAsia="en-US"/>
        </w:rPr>
      </w:pPr>
    </w:p>
    <w:p w:rsidR="00342E67" w:rsidRDefault="00342E67" w:rsidP="00457FF6">
      <w:pPr>
        <w:jc w:val="both"/>
        <w:rPr>
          <w:rFonts w:ascii="CaeciliaLTStd-Roman" w:eastAsia="Times New Roman" w:hAnsi="CaeciliaLTStd-Roman"/>
          <w:color w:val="231F20"/>
          <w:sz w:val="16"/>
          <w:szCs w:val="16"/>
          <w:lang w:eastAsia="en-US"/>
        </w:rPr>
      </w:pPr>
    </w:p>
    <w:p w:rsidR="00457FF6" w:rsidRPr="001F5A3A" w:rsidRDefault="00457FF6" w:rsidP="00457FF6">
      <w:pPr>
        <w:jc w:val="both"/>
        <w:rPr>
          <w:rFonts w:ascii="CaeciliaLTStd-Roman" w:eastAsia="Times New Roman" w:hAnsi="CaeciliaLTStd-Roman"/>
          <w:b/>
          <w:color w:val="231F20"/>
          <w:sz w:val="16"/>
          <w:szCs w:val="16"/>
          <w:lang w:eastAsia="en-US"/>
        </w:rPr>
      </w:pPr>
    </w:p>
    <w:p w:rsidR="009D100D" w:rsidRPr="00342E67" w:rsidRDefault="001F5A3A" w:rsidP="007925F5">
      <w:pPr>
        <w:pStyle w:val="Heading1"/>
        <w:jc w:val="center"/>
      </w:pPr>
      <w:bookmarkStart w:id="27" w:name="_Toc150463320"/>
      <w:r w:rsidRPr="00342E67">
        <w:lastRenderedPageBreak/>
        <w:t>CHAPTER THREE</w:t>
      </w:r>
      <w:bookmarkEnd w:id="27"/>
    </w:p>
    <w:p w:rsidR="00342E67" w:rsidRDefault="00342E67" w:rsidP="00342E67">
      <w:pPr>
        <w:pStyle w:val="Heading1"/>
      </w:pPr>
      <w:bookmarkStart w:id="28" w:name="_Toc150463321"/>
      <w:r>
        <w:t>Materials and Methods</w:t>
      </w:r>
      <w:bookmarkEnd w:id="28"/>
    </w:p>
    <w:p w:rsidR="001F5A3A" w:rsidRPr="00342E67" w:rsidRDefault="00342E67" w:rsidP="00342E67">
      <w:pPr>
        <w:pStyle w:val="Heading1"/>
      </w:pPr>
      <w:bookmarkStart w:id="29" w:name="_Toc150463322"/>
      <w:r>
        <w:t xml:space="preserve">3.1 </w:t>
      </w:r>
      <w:r w:rsidR="001F5A3A" w:rsidRPr="00342E67">
        <w:t>Equipment and reagents</w:t>
      </w:r>
      <w:bookmarkEnd w:id="29"/>
    </w:p>
    <w:p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Buck Accusys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 All experiments were performed using analytical grade of the reagents. </w:t>
      </w:r>
    </w:p>
    <w:p w:rsidR="00CC4B5A" w:rsidRPr="00342E67" w:rsidRDefault="00342E67" w:rsidP="00342E67">
      <w:pPr>
        <w:pStyle w:val="Heading1"/>
      </w:pPr>
      <w:bookmarkStart w:id="30" w:name="_Toc150463323"/>
      <w:r>
        <w:t xml:space="preserve">3.2 </w:t>
      </w:r>
      <w:r w:rsidR="00CC4B5A" w:rsidRPr="00342E67">
        <w:t>METHODS</w:t>
      </w:r>
      <w:bookmarkEnd w:id="30"/>
    </w:p>
    <w:p w:rsidR="00CC4B5A" w:rsidRPr="00342E67" w:rsidRDefault="00342E67" w:rsidP="00342E67">
      <w:pPr>
        <w:pStyle w:val="Heading1"/>
      </w:pPr>
      <w:bookmarkStart w:id="31" w:name="_Toc150463324"/>
      <w:r>
        <w:t xml:space="preserve">3.2.1 </w:t>
      </w:r>
      <w:r w:rsidR="00CC4B5A" w:rsidRPr="00342E67">
        <w:t>Collection of samples</w:t>
      </w:r>
      <w:bookmarkEnd w:id="31"/>
    </w:p>
    <w:p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p>
    <w:p w:rsidR="00CC4B5A" w:rsidRPr="00342E67" w:rsidRDefault="00342E67" w:rsidP="00342E67">
      <w:pPr>
        <w:pStyle w:val="Heading1"/>
      </w:pPr>
      <w:bookmarkStart w:id="32" w:name="_Toc150463325"/>
      <w:r>
        <w:t xml:space="preserve">3.2.2 </w:t>
      </w:r>
      <w:r w:rsidR="00CC4B5A" w:rsidRPr="00342E67">
        <w:t>Preparation of calibration curve</w:t>
      </w:r>
      <w:bookmarkEnd w:id="32"/>
    </w:p>
    <w:p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 xml:space="preserve">(undifferenciated), and Cd were prepared by dissolving each solid metal sample (1.0 g) in 10 mL 1:1 nitric acid solution. The solution was transferred into a 1000 mL volumetric flask and made </w:t>
      </w:r>
    </w:p>
    <w:p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pyrrolidinedithiocarbamate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rsidR="00CC4B5A" w:rsidRPr="00CC4B5A" w:rsidRDefault="00342E67" w:rsidP="00342E67">
      <w:pPr>
        <w:pStyle w:val="Heading1"/>
      </w:pPr>
      <w:bookmarkStart w:id="33" w:name="_Toc150463326"/>
      <w:r>
        <w:t xml:space="preserve">3.2.3 </w:t>
      </w:r>
      <w:r w:rsidR="00CC4B5A" w:rsidRPr="00CC4B5A">
        <w:t>Sample pre-treatment</w:t>
      </w:r>
      <w:bookmarkEnd w:id="33"/>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cool,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rsidR="00CC4B5A" w:rsidRPr="00CC4B5A" w:rsidRDefault="00342E67" w:rsidP="00342E67">
      <w:pPr>
        <w:pStyle w:val="Heading1"/>
      </w:pPr>
      <w:bookmarkStart w:id="34" w:name="_Toc150463327"/>
      <w:r>
        <w:lastRenderedPageBreak/>
        <w:t xml:space="preserve">3.3 </w:t>
      </w:r>
      <w:r w:rsidR="00CC4B5A" w:rsidRPr="00CC4B5A">
        <w:t>Sample analysis</w:t>
      </w:r>
      <w:bookmarkEnd w:id="34"/>
    </w:p>
    <w:p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rsidR="00CC4B5A" w:rsidRPr="00CC4B5A" w:rsidRDefault="00342E67" w:rsidP="00342E67">
      <w:pPr>
        <w:pStyle w:val="Heading1"/>
      </w:pPr>
      <w:bookmarkStart w:id="35" w:name="_Toc150463328"/>
      <w:r>
        <w:t xml:space="preserve">3.4 </w:t>
      </w:r>
      <w:r w:rsidR="00CC4B5A" w:rsidRPr="00CC4B5A">
        <w:t>Statistical analysis</w:t>
      </w:r>
      <w:bookmarkEnd w:id="35"/>
    </w:p>
    <w:p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F42BD6" w:rsidRDefault="00F42BD6"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1E01A1" w:rsidRDefault="001E01A1"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342E67" w:rsidRDefault="00342E67" w:rsidP="001F5A3A">
      <w:pPr>
        <w:spacing w:after="0" w:line="480" w:lineRule="auto"/>
        <w:jc w:val="both"/>
        <w:rPr>
          <w:rFonts w:ascii="Times New Roman" w:eastAsia="Times New Roman" w:hAnsi="Times New Roman"/>
          <w:color w:val="231F20"/>
          <w:sz w:val="24"/>
          <w:szCs w:val="24"/>
          <w:lang w:eastAsia="en-US"/>
        </w:rPr>
      </w:pPr>
    </w:p>
    <w:p w:rsidR="00F42BD6" w:rsidRPr="0069597F" w:rsidRDefault="0069597F" w:rsidP="004917CC">
      <w:pPr>
        <w:pStyle w:val="Heading1"/>
        <w:jc w:val="center"/>
      </w:pPr>
      <w:bookmarkStart w:id="36" w:name="_Toc150463329"/>
      <w:r w:rsidRPr="0069597F">
        <w:lastRenderedPageBreak/>
        <w:t>CHAPTER FOUR</w:t>
      </w:r>
      <w:bookmarkEnd w:id="36"/>
    </w:p>
    <w:p w:rsidR="00342E67" w:rsidRPr="00342E67" w:rsidRDefault="00342E67" w:rsidP="00342E67">
      <w:pPr>
        <w:pStyle w:val="Heading1"/>
      </w:pPr>
      <w:bookmarkStart w:id="37" w:name="_Toc150463330"/>
      <w:r>
        <w:t xml:space="preserve">4.1 </w:t>
      </w:r>
      <w:r w:rsidRPr="00342E67">
        <w:t>RESULTS</w:t>
      </w:r>
      <w:bookmarkEnd w:id="37"/>
    </w:p>
    <w:p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The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rsidR="0069597F" w:rsidRDefault="0069597F" w:rsidP="0069597F">
      <w:pPr>
        <w:spacing w:after="0" w:line="240" w:lineRule="auto"/>
        <w:jc w:val="both"/>
        <w:rPr>
          <w:rFonts w:ascii="Times New Roman" w:eastAsia="Times New Roman" w:hAnsi="Times New Roman"/>
          <w:sz w:val="24"/>
          <w:szCs w:val="24"/>
          <w:lang w:eastAsia="en-US"/>
        </w:rPr>
      </w:pPr>
    </w:p>
    <w:p w:rsidR="0069597F" w:rsidRDefault="0069597F"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342E67" w:rsidRDefault="00342E67" w:rsidP="0069597F">
      <w:pPr>
        <w:spacing w:after="0" w:line="240" w:lineRule="auto"/>
        <w:jc w:val="both"/>
        <w:rPr>
          <w:rFonts w:ascii="Times New Roman" w:eastAsia="Times New Roman" w:hAnsi="Times New Roman"/>
          <w:color w:val="231F20"/>
          <w:sz w:val="24"/>
          <w:szCs w:val="24"/>
          <w:lang w:eastAsia="en-US"/>
        </w:rPr>
      </w:pPr>
    </w:p>
    <w:p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rsidTr="004775DD">
        <w:trPr>
          <w:cnfStyle w:val="100000000000"/>
          <w:trHeight w:val="719"/>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rsidR="00FA6C48" w:rsidRPr="00F95661" w:rsidRDefault="00FA6C48" w:rsidP="00F95661">
            <w:pPr>
              <w:spacing w:after="0" w:line="480" w:lineRule="auto"/>
              <w:jc w:val="center"/>
              <w:cnfStyle w:val="10000000000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Concentration </w:t>
            </w:r>
            <w:r w:rsidR="00F95661"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color w:val="000000" w:themeColor="text1"/>
                <w:sz w:val="20"/>
                <w:szCs w:val="20"/>
                <w:lang w:eastAsia="en-US"/>
              </w:rPr>
            </w:pPr>
          </w:p>
        </w:tc>
        <w:tc>
          <w:tcPr>
            <w:tcW w:w="242"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344"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9"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1220"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c>
          <w:tcPr>
            <w:tcW w:w="541" w:type="dxa"/>
            <w:gridSpan w:val="2"/>
            <w:shd w:val="clear" w:color="auto" w:fill="auto"/>
          </w:tcPr>
          <w:p w:rsidR="00FA6C48" w:rsidRPr="00F95661" w:rsidRDefault="00FA6C48" w:rsidP="001F5A3A">
            <w:pPr>
              <w:spacing w:after="0" w:line="480" w:lineRule="auto"/>
              <w:jc w:val="both"/>
              <w:cnfStyle w:val="1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p>
        </w:tc>
        <w:tc>
          <w:tcPr>
            <w:tcW w:w="1228"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Height w:val="656"/>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rsidR="00FA6C48" w:rsidRPr="001E01A1" w:rsidRDefault="00410040"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rsidR="00FA6C48" w:rsidRPr="00F95661" w:rsidRDefault="00FA6C48" w:rsidP="001E01A1">
            <w:pPr>
              <w:spacing w:after="0" w:line="480" w:lineRule="auto"/>
              <w:jc w:val="both"/>
              <w:cnfStyle w:val="000000000000"/>
              <w:rPr>
                <w:rFonts w:ascii="Times New Roman" w:eastAsia="Times New Roman" w:hAnsi="Times New Roman"/>
                <w:sz w:val="20"/>
                <w:szCs w:val="20"/>
                <w:lang w:eastAsia="en-US"/>
              </w:rPr>
            </w:pPr>
          </w:p>
        </w:tc>
        <w:tc>
          <w:tcPr>
            <w:tcW w:w="1521" w:type="dxa"/>
            <w:shd w:val="clear" w:color="auto" w:fill="auto"/>
          </w:tcPr>
          <w:p w:rsidR="00FA6C48" w:rsidRPr="001E01A1" w:rsidRDefault="0069597F" w:rsidP="001E01A1">
            <w:pPr>
              <w:spacing w:after="0" w:line="240" w:lineRule="auto"/>
              <w:cnfStyle w:val="000000000000"/>
              <w:rPr>
                <w:rFonts w:ascii="Times New Roman" w:eastAsia="Times New Roman" w:hAnsi="Times New Roman"/>
                <w:sz w:val="20"/>
                <w:szCs w:val="20"/>
                <w:lang w:eastAsia="en-US"/>
              </w:rPr>
            </w:pPr>
            <w:r>
              <w:rPr>
                <w:rFonts w:eastAsia="Times New Roman" w:cs="Calibri"/>
                <w:color w:val="231F20"/>
                <w:sz w:val="20"/>
                <w:szCs w:val="20"/>
                <w:lang w:eastAsia="en-US"/>
              </w:rPr>
              <w:t>0.007±0.021</w:t>
            </w:r>
          </w:p>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p>
        </w:tc>
        <w:tc>
          <w:tcPr>
            <w:tcW w:w="1655" w:type="dxa"/>
            <w:gridSpan w:val="3"/>
            <w:shd w:val="clear" w:color="auto" w:fill="auto"/>
          </w:tcPr>
          <w:p w:rsidR="00FA6C48" w:rsidRPr="00F95661" w:rsidRDefault="00FA6C48"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rsidR="00FA6C48" w:rsidRPr="00F95661" w:rsidRDefault="00FA6C48"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rsidR="00FA6C48" w:rsidRPr="00F95661" w:rsidRDefault="00FA6C48"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rsidR="00FA6C48"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rsidR="00FA6C48" w:rsidRPr="00F95661" w:rsidRDefault="00FA6C48"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FA6C48"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rsidR="00FA6C48" w:rsidRPr="00F95661" w:rsidRDefault="00FA6C48"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rsidR="00F95661" w:rsidRPr="00F95661" w:rsidRDefault="00F95661"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F95661"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rsidR="00F95661" w:rsidRPr="00F95661" w:rsidRDefault="00F95661"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rsidR="004775DD" w:rsidRPr="00F95661" w:rsidRDefault="004775DD" w:rsidP="00192638">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r w:rsidR="0064133C" w:rsidRPr="00F95661" w:rsidTr="004775DD">
        <w:trPr>
          <w:gridAfter w:val="1"/>
          <w:wAfter w:w="7" w:type="dxa"/>
        </w:trPr>
        <w:tc>
          <w:tcPr>
            <w:cnfStyle w:val="001000000000"/>
            <w:tcW w:w="1421" w:type="dxa"/>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rsidR="004775DD" w:rsidRPr="00F95661" w:rsidRDefault="004775DD" w:rsidP="001F5A3A">
            <w:pPr>
              <w:spacing w:after="0" w:line="480" w:lineRule="auto"/>
              <w:jc w:val="both"/>
              <w:cnfStyle w:val="0000000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rsidR="004775DD" w:rsidRPr="00F95661" w:rsidRDefault="00C776A5" w:rsidP="001F5A3A">
            <w:pPr>
              <w:spacing w:after="0" w:line="480" w:lineRule="auto"/>
              <w:jc w:val="both"/>
              <w:cnfStyle w:val="00000000000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c>
          <w:tcPr>
            <w:tcW w:w="1228" w:type="dxa"/>
            <w:gridSpan w:val="2"/>
            <w:shd w:val="clear" w:color="auto" w:fill="auto"/>
          </w:tcPr>
          <w:p w:rsidR="004775DD" w:rsidRDefault="004775DD">
            <w:pPr>
              <w:cnfStyle w:val="0000000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rsidR="004775DD" w:rsidRPr="00F95661" w:rsidRDefault="004775DD" w:rsidP="001F5A3A">
            <w:pPr>
              <w:spacing w:after="0" w:line="480" w:lineRule="auto"/>
              <w:jc w:val="both"/>
              <w:cnfStyle w:val="000000000000"/>
              <w:rPr>
                <w:rFonts w:eastAsia="Times New Roman" w:cs="Calibri"/>
                <w:color w:val="231F20"/>
                <w:sz w:val="20"/>
                <w:szCs w:val="20"/>
                <w:lang w:eastAsia="en-US"/>
              </w:rPr>
            </w:pPr>
          </w:p>
        </w:tc>
      </w:tr>
      <w:tr w:rsidR="004775DD" w:rsidRPr="00F95661" w:rsidTr="004775DD">
        <w:trPr>
          <w:gridAfter w:val="1"/>
          <w:cnfStyle w:val="000000100000"/>
          <w:wAfter w:w="7" w:type="dxa"/>
        </w:trPr>
        <w:tc>
          <w:tcPr>
            <w:cnfStyle w:val="001000000000"/>
            <w:tcW w:w="1421" w:type="dxa"/>
            <w:tcBorders>
              <w:bottom w:val="single" w:sz="4" w:space="0" w:color="auto"/>
            </w:tcBorders>
            <w:shd w:val="clear" w:color="auto" w:fill="auto"/>
          </w:tcPr>
          <w:p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rsidR="004775DD" w:rsidRPr="00F95661" w:rsidRDefault="004775DD" w:rsidP="001F5A3A">
            <w:pPr>
              <w:spacing w:after="0" w:line="480" w:lineRule="auto"/>
              <w:jc w:val="both"/>
              <w:cnfStyle w:val="00000010000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rsidR="004775DD" w:rsidRDefault="004775DD">
            <w:pPr>
              <w:cnfStyle w:val="00000010000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rsidR="004775DD" w:rsidRPr="00F95661" w:rsidRDefault="004775DD" w:rsidP="001F5A3A">
            <w:pPr>
              <w:spacing w:after="0" w:line="480" w:lineRule="auto"/>
              <w:jc w:val="both"/>
              <w:cnfStyle w:val="000000100000"/>
              <w:rPr>
                <w:rFonts w:eastAsia="Times New Roman" w:cs="Calibri"/>
                <w:color w:val="231F20"/>
                <w:sz w:val="20"/>
                <w:szCs w:val="20"/>
                <w:lang w:eastAsia="en-US"/>
              </w:rPr>
            </w:pPr>
          </w:p>
        </w:tc>
      </w:tr>
    </w:tbl>
    <w:p w:rsidR="00F42BD6" w:rsidRDefault="00F42BD6" w:rsidP="001F5A3A">
      <w:pPr>
        <w:spacing w:after="0" w:line="480" w:lineRule="auto"/>
        <w:jc w:val="both"/>
        <w:rPr>
          <w:rFonts w:ascii="Times New Roman" w:eastAsia="Times New Roman" w:hAnsi="Times New Roman"/>
          <w:sz w:val="24"/>
          <w:szCs w:val="24"/>
          <w:lang w:eastAsia="en-US"/>
        </w:rPr>
      </w:pPr>
    </w:p>
    <w:p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F95661" w:rsidRDefault="00F95661"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b/>
          <w:sz w:val="24"/>
          <w:szCs w:val="24"/>
          <w:lang w:eastAsia="en-US"/>
        </w:rPr>
      </w:pPr>
    </w:p>
    <w:p w:rsidR="00342E67" w:rsidRDefault="00342E67" w:rsidP="00342E67">
      <w:pPr>
        <w:pStyle w:val="Heading1"/>
      </w:pPr>
      <w:bookmarkStart w:id="38" w:name="_Toc150463331"/>
      <w:r>
        <w:lastRenderedPageBreak/>
        <w:t>CHAPTER FIVE</w:t>
      </w:r>
      <w:bookmarkEnd w:id="38"/>
    </w:p>
    <w:p w:rsidR="00F95661" w:rsidRPr="00667128" w:rsidRDefault="00342E67" w:rsidP="00342E67">
      <w:pPr>
        <w:pStyle w:val="Heading1"/>
      </w:pPr>
      <w:bookmarkStart w:id="39" w:name="_Toc150463332"/>
      <w:r>
        <w:t xml:space="preserve">5.1 </w:t>
      </w:r>
      <w:r w:rsidR="00F95661" w:rsidRPr="00667128">
        <w:t>DISCUSSION</w:t>
      </w:r>
      <w:bookmarkEnd w:id="39"/>
    </w:p>
    <w:p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Maghrabi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Maghrabi,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r w:rsidR="005E229A" w:rsidRPr="00625DEF">
        <w:rPr>
          <w:rFonts w:ascii="Times New Roman" w:eastAsia="Times New Roman" w:hAnsi="Times New Roman"/>
          <w:color w:val="000000"/>
          <w:sz w:val="24"/>
          <w:szCs w:val="24"/>
          <w:lang w:eastAsia="en-US"/>
        </w:rPr>
        <w:t>Nourmoradi</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(Zamir</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Mousavi</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(Afieroho</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p>
    <w:p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Bakare-Odunola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r w:rsidR="00D422AB" w:rsidRPr="00D422AB">
        <w:rPr>
          <w:rFonts w:ascii="Times New Roman" w:eastAsia="Times New Roman" w:hAnsi="Times New Roman"/>
          <w:color w:val="000000"/>
          <w:sz w:val="24"/>
          <w:szCs w:val="24"/>
          <w:lang w:eastAsia="en-US"/>
        </w:rPr>
        <w:t>Oreagba</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put, cardiac arrest and shock (Mousavi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anaemia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Mulaudzi</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lastRenderedPageBreak/>
        <w:t>(</w:t>
      </w:r>
      <w:r w:rsidR="00C71E71" w:rsidRPr="00D422AB">
        <w:rPr>
          <w:rFonts w:ascii="Times New Roman" w:eastAsia="Times New Roman" w:hAnsi="Times New Roman"/>
          <w:color w:val="231F20"/>
          <w:sz w:val="24"/>
          <w:szCs w:val="24"/>
          <w:lang w:eastAsia="en-US"/>
        </w:rPr>
        <w:t>Anim</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Zamir</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rsidR="00573E82" w:rsidRPr="00573E82" w:rsidRDefault="00573E82" w:rsidP="00573E82">
      <w:pPr>
        <w:spacing w:after="0" w:line="240" w:lineRule="auto"/>
        <w:rPr>
          <w:rFonts w:ascii="Times New Roman" w:eastAsia="Times New Roman" w:hAnsi="Times New Roman"/>
          <w:sz w:val="24"/>
          <w:szCs w:val="24"/>
          <w:lang w:eastAsia="en-US"/>
        </w:rPr>
      </w:pPr>
    </w:p>
    <w:p w:rsidR="00C71E71" w:rsidRDefault="00C71E71" w:rsidP="005E229A">
      <w:pPr>
        <w:spacing w:after="0" w:line="240" w:lineRule="auto"/>
        <w:rPr>
          <w:rFonts w:ascii="Times New Roman" w:eastAsia="Times New Roman" w:hAnsi="Times New Roman"/>
          <w:color w:val="231F20"/>
          <w:sz w:val="24"/>
          <w:szCs w:val="24"/>
          <w:lang w:eastAsia="en-US"/>
        </w:rPr>
      </w:pPr>
    </w:p>
    <w:p w:rsidR="00F95661" w:rsidRPr="00F95661" w:rsidRDefault="00F95661" w:rsidP="00342E67">
      <w:pPr>
        <w:pStyle w:val="Heading1"/>
      </w:pPr>
      <w:bookmarkStart w:id="40" w:name="_Toc150463333"/>
      <w:r w:rsidRPr="00F95661">
        <w:t>CONCLUSION</w:t>
      </w:r>
      <w:bookmarkEnd w:id="40"/>
    </w:p>
    <w:p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bookmarkStart w:id="41" w:name="_GoBack"/>
      <w:bookmarkEnd w:id="41"/>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342E67" w:rsidRDefault="00342E67" w:rsidP="001F5A3A">
      <w:pPr>
        <w:spacing w:after="0" w:line="480" w:lineRule="auto"/>
        <w:jc w:val="both"/>
        <w:rPr>
          <w:rFonts w:ascii="Times New Roman" w:eastAsia="Times New Roman" w:hAnsi="Times New Roman"/>
          <w:sz w:val="24"/>
          <w:szCs w:val="24"/>
          <w:lang w:eastAsia="en-US"/>
        </w:rPr>
      </w:pPr>
    </w:p>
    <w:p w:rsidR="00CE53CE" w:rsidRPr="00CE53CE" w:rsidRDefault="005E229A" w:rsidP="00CE53CE">
      <w:pPr>
        <w:pStyle w:val="Heading1"/>
      </w:pPr>
      <w:bookmarkStart w:id="42" w:name="_Toc150463334"/>
      <w:r w:rsidRPr="005E229A">
        <w:lastRenderedPageBreak/>
        <w:t>REFERENCES</w:t>
      </w:r>
      <w:bookmarkEnd w:id="42"/>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Afieroho,O.  Achara,F. Adewoyin,B. and Abo,K.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Anim,A. Laar, C. Osei, J. Odonkor, S.and Enti-Brown, S.“Trace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Anvisa, 2013.ConsultaPública No 34 de 6 de Agosto de 2013.AgênciaNacional de VigilânciaSanitária.DiárioOficial da União, Brasília, em 7 de Agosto de 2013.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279, 1548–1553. doi: 10.1001/jama.279.19.1548</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Bakare-Odunola MT, Mustapha KB (2014). Identification of heavy metals in local drinks in Northern Zone of Nigeria. Journal of Toxicology and Environmental Health Sciences, 6(7):126-131.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xml:space="preserve">, eds I. Ahmad, F. Aqil, and M. Owais (Weinheim:Wiley-VCH GmbH &amp; Co. KGaA), </w:t>
      </w:r>
      <w:r w:rsidRPr="00775A92">
        <w:rPr>
          <w:rFonts w:ascii="Times New Roman" w:eastAsia="Times New Roman" w:hAnsi="Times New Roman"/>
          <w:color w:val="000000"/>
          <w:sz w:val="24"/>
          <w:szCs w:val="24"/>
        </w:rPr>
        <w:t>25–57. doi: 10.1002/9783527609987.ch2</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Integr. Med. 4, 120-129.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Bunchorntavakul, C., Reddy, K.R., 2013. Review article: herbal and dietary supplement hepatotoxicity. Aliment.Pharmacol.Ther. 37, 3-17.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Calapai, G., 2008. European legislation on herbal medicines: a look into the future. Drug Saf. 31, 428-431.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thruths and misunderstandings. Rev. Bras. Farmacogn. 23, 379-385.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Ojiako OA (2015) Herbal Medicine: Yesterday, Today and Tomorrow, Alternative &amp; Integrative Medicine, 4:3.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lastRenderedPageBreak/>
        <w:t xml:space="preserve">Cosyns, J. P., Jadoul, M., Squifflet, J. P., De Plaen, J. F., Ferluga, D., and van Ypersele de Strihou,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doi: 10.1038/ki.1994.220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Cosyns, J. P., Jadoul, M., Squifflet, J. P., Wese, F. X., and van Ypersele de Strihou, C. (1999). Urothelial lesions in Chinese-herb nephropathy.</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1011–1017. doi: 10.1016/S0272-6386(99)70136-8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Integr.Cancer Ther. 1, 287-293. </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Ekor, M., Osonuga, O. A., Odewabi, A. O., Bakre, A. G., and Oritogun, K. S. (2010).Toxicity evaluation of Yoyo ‘cleanser’ bitters and fields Swedish bitters herbal preparations following sub-chronic administration in rats.</w:t>
      </w:r>
      <w:r w:rsidRPr="00BA7373">
        <w:rPr>
          <w:rFonts w:ascii="Times New Roman" w:eastAsia="Times New Roman" w:hAnsi="Times New Roman"/>
          <w:i/>
          <w:iCs/>
          <w:color w:val="000000"/>
          <w:sz w:val="24"/>
          <w:szCs w:val="24"/>
        </w:rPr>
        <w:t>Am. J. Pharmacol. Toxicol.</w:t>
      </w:r>
      <w:r w:rsidRPr="00BA7373">
        <w:rPr>
          <w:rFonts w:ascii="Times New Roman" w:eastAsia="Times New Roman" w:hAnsi="Times New Roman"/>
          <w:color w:val="000000"/>
          <w:sz w:val="24"/>
          <w:szCs w:val="24"/>
        </w:rPr>
        <w:t xml:space="preserve">5, 159–166. doi: 10.3844/ajptsp.2010.159.166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Enuh H, Oragwu C, Okeke C, Elu C, Orisakwe O (2012). Semen Abnormality and Nigeria Herbal Remedies: A Preliminary Investigation. The Internet Journal of Toxicology, 8(2).</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Ernst, E. (2002). Toxic heavy metals and undeclared drugs in Asian herbal medicines.</w:t>
      </w:r>
      <w:r w:rsidRPr="00775A92">
        <w:rPr>
          <w:rFonts w:ascii="Times New Roman" w:eastAsia="Times New Roman" w:hAnsi="Times New Roman"/>
          <w:i/>
          <w:iCs/>
          <w:color w:val="000000"/>
          <w:sz w:val="24"/>
          <w:szCs w:val="24"/>
        </w:rPr>
        <w:t xml:space="preserve">Trends Pharmacol. Sci. </w:t>
      </w:r>
      <w:r w:rsidRPr="00775A92">
        <w:rPr>
          <w:rFonts w:ascii="Times New Roman" w:eastAsia="Times New Roman" w:hAnsi="Times New Roman"/>
          <w:color w:val="000000"/>
          <w:sz w:val="24"/>
          <w:szCs w:val="24"/>
        </w:rPr>
        <w:t>23, 136–139. doi: 10.1016/S0165-6147(00)01972-6</w:t>
      </w:r>
    </w:p>
    <w:p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Drugs Aging 22, 525-539.</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Halicioglu, O., Astarcioglu, G., Yaprak, I., Aydinlioglu,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Pediatr. Neurol. 45, 259-260. </w:t>
      </w:r>
    </w:p>
    <w:p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Hao, C.Z., Wu, F., Lu, L., Wang, J., Guo, Y., Liu, A.J., Liao, W.J., Zheng, G.Q., 2013. Chinese herbal medicine for diabetic peripheral neuropathy: an updated meta-analysis of 10 highquality randomized controlled studies. PLoS One.8, e76113.</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John, T. A., Okoli, C. C., and Ekor, M. (1997).Some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crobial and haematological studies of super b and seven keys to power blood purifier herbal tonics.</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Kasilo, O. M. J., and Trapsida, J. M. (2011).Decade of African traditional medicine, </w:t>
      </w:r>
      <w:r w:rsidRPr="00775A92">
        <w:rPr>
          <w:rFonts w:ascii="Times New Roman" w:eastAsia="Times New Roman" w:hAnsi="Times New Roman"/>
          <w:color w:val="000000"/>
          <w:sz w:val="24"/>
          <w:szCs w:val="24"/>
        </w:rPr>
        <w:t>2001–2010.</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CD007244. doi: 10.1002/14651858.</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Maghrabi,I.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Mousavi, Z. Ziarati, P. EsmaeliDehaghi,M. and Qomi,M.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Mulaudzi,R. B. Tshikalange,T. E. Olowoyo,J. O. Amoo,S. O. and Du Plooy,C.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Available at: http://ods.od.nih.gov/ Health_Information/kava.aspx.</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Nourmoradi,H. Foroghi,M. Farhadkhani,M. and VahidDastjerdi,M.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lastRenderedPageBreak/>
        <w:t xml:space="preserve">Oreagba IA, Oshikoya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Osegbe DN, Amaku EO (1985). The causes of ma l e infertility in 504 consecutive Nigeria p a t i e n t s . International urology and nephrology, 17(4):349- 358. Saeed M, Muhammad N, Khan H, Khan SA (2010). Analysis of toxic heavy metals in branded Pakistani herbal products. Journal of the Chemical Society of Pakistan, 32(4):471.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Quintus, C., Schweim, H.G., 2012. European regulation of herbal medicinal products on the border area to the food sector.</w:t>
      </w:r>
      <w:r w:rsidRPr="00140185">
        <w:rPr>
          <w:rFonts w:ascii="Times New Roman" w:eastAsia="Times New Roman" w:hAnsi="Times New Roman"/>
          <w:color w:val="231F20"/>
          <w:sz w:val="24"/>
          <w:szCs w:val="24"/>
        </w:rPr>
        <w:t>Phytomedicine 19, 378-381</w:t>
      </w:r>
    </w:p>
    <w:p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doi: 10.1186/1741- 7015-9-94 </w:t>
      </w:r>
    </w:p>
    <w:p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Drug Saf.</w:t>
      </w:r>
      <w:r w:rsidRPr="00775A92">
        <w:rPr>
          <w:rFonts w:ascii="Times New Roman" w:eastAsia="Times New Roman" w:hAnsi="Times New Roman"/>
          <w:color w:val="000000"/>
          <w:sz w:val="24"/>
          <w:szCs w:val="24"/>
        </w:rPr>
        <w:t>36, 1–12. doi: 10.1007/s40264-012-0005-7</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Shaw, D., Graeme, L., Pierre, D., Elizabeth, W., Kelvin, C., 2012.Pharmacovigilance of herbal medicine. J. Ethnopharmacol. 140, 513-518.</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Fitoterapia 75, 107-116.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primum non nocere</w:t>
      </w:r>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all, do no harm! J. Clin. Pharmacol. 45, 371-377</w:t>
      </w:r>
    </w:p>
    <w:p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Schirnding YE, Prapamontol T (2000). Environmental lead exposure: a public health problem of global dimension.Bulletin of the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Available at: http://www.fda.gov/ RegulatoryInformation/Legislation/FederalFoodDrugandCosmeticActFDCAct/ SignificantAmendmentstotheFDCAct/ucm148003.htm.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Vanherweghem, J. L., and Degaute, J. P. (1998).The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cation in medicine and dentistry in the French-speaking community of Belgium.</w:t>
      </w:r>
      <w:r w:rsidRPr="00775A92">
        <w:rPr>
          <w:rFonts w:ascii="Times New Roman" w:eastAsia="Times New Roman" w:hAnsi="Times New Roman"/>
          <w:i/>
          <w:iCs/>
          <w:color w:val="000000"/>
          <w:sz w:val="24"/>
          <w:szCs w:val="24"/>
        </w:rPr>
        <w:t xml:space="preserve">ActaClin. Belg. </w:t>
      </w:r>
      <w:r w:rsidRPr="00775A92">
        <w:rPr>
          <w:rFonts w:ascii="Times New Roman" w:eastAsia="Times New Roman" w:hAnsi="Times New Roman"/>
          <w:color w:val="000000"/>
          <w:sz w:val="24"/>
          <w:szCs w:val="24"/>
        </w:rPr>
        <w:t>53, 2–3.</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WHO.(2002b). </w:t>
      </w:r>
      <w:r w:rsidRPr="00775A92">
        <w:rPr>
          <w:rFonts w:ascii="Times New Roman" w:eastAsia="Times New Roman" w:hAnsi="Times New Roman"/>
          <w:i/>
          <w:iCs/>
          <w:color w:val="000000"/>
          <w:sz w:val="24"/>
          <w:szCs w:val="24"/>
        </w:rPr>
        <w:t>TraditionalMedicine Strategy (2002–2005).WHO/EDM/TRM/2002.1</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.Report of a World Health Organization Global Survey. Geneva, Switzerland: WHO.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w:t>
      </w:r>
    </w:p>
    <w:p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Zamir,R. Hosen,A. Ullah,M. O. and Nahar,N.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w:t>
      </w:r>
    </w:p>
    <w:p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Zamir,R. Islam,N.  andFaruque,A.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Zeil, H. (1999). Complementary alternative medicine boon or boondoggle.</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L., Yan, J., Liu, X., Ye, Z., Yang, X., Mey</w:t>
      </w:r>
      <w:r>
        <w:rPr>
          <w:rFonts w:ascii="Times New Roman" w:eastAsia="Times New Roman" w:hAnsi="Times New Roman"/>
          <w:color w:val="000000"/>
          <w:sz w:val="24"/>
          <w:szCs w:val="24"/>
        </w:rPr>
        <w:t>boom,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Ethnopharmacol. </w:t>
      </w:r>
      <w:r w:rsidRPr="00775A92">
        <w:rPr>
          <w:rFonts w:ascii="Times New Roman" w:eastAsia="Times New Roman" w:hAnsi="Times New Roman"/>
          <w:color w:val="000000"/>
          <w:sz w:val="24"/>
          <w:szCs w:val="24"/>
        </w:rPr>
        <w:t xml:space="preserve">140, 519–525. doi: 10.1016/j.jep.2012.01.058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(2008).Hepatotoxicity of </w:t>
      </w:r>
      <w:r w:rsidRPr="00775A92">
        <w:rPr>
          <w:rFonts w:ascii="Times New Roman" w:eastAsia="Times New Roman" w:hAnsi="Times New Roman"/>
          <w:i/>
          <w:iCs/>
          <w:color w:val="000000"/>
          <w:sz w:val="24"/>
          <w:szCs w:val="24"/>
        </w:rPr>
        <w:t>FlosFarfarae</w:t>
      </w:r>
      <w:r w:rsidRPr="00775A92">
        <w:rPr>
          <w:rFonts w:ascii="Times New Roman" w:eastAsia="Times New Roman" w:hAnsi="Times New Roman"/>
          <w:color w:val="000000"/>
          <w:sz w:val="24"/>
          <w:szCs w:val="24"/>
        </w:rPr>
        <w:t>and the contained alkaloid to mice.</w:t>
      </w:r>
      <w:r w:rsidRPr="00775A92">
        <w:rPr>
          <w:rFonts w:ascii="Times New Roman" w:eastAsia="Times New Roman" w:hAnsi="Times New Roman"/>
          <w:i/>
          <w:iCs/>
          <w:color w:val="000000"/>
          <w:sz w:val="24"/>
          <w:szCs w:val="24"/>
        </w:rPr>
        <w:t xml:space="preserve">Lishizhen Med. Mater. Med. Res. </w:t>
      </w:r>
      <w:r w:rsidRPr="00775A92">
        <w:rPr>
          <w:rFonts w:ascii="Times New Roman" w:eastAsia="Times New Roman" w:hAnsi="Times New Roman"/>
          <w:color w:val="000000"/>
          <w:sz w:val="24"/>
          <w:szCs w:val="24"/>
        </w:rPr>
        <w:t>19, 1810– 1811.</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Zhang, Z. J., Ye, F., Wiseman, N., Mitchell, C., and Lun, S. H. (1999).</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r w:rsidRPr="00775A92">
        <w:rPr>
          <w:rFonts w:ascii="Times New Roman" w:eastAsia="Times New Roman" w:hAnsi="Times New Roman"/>
          <w:i/>
          <w:iCs/>
          <w:color w:val="000000"/>
          <w:sz w:val="24"/>
          <w:szCs w:val="24"/>
        </w:rPr>
        <w:t xml:space="preserve">Phytother. Res. </w:t>
      </w:r>
      <w:r w:rsidRPr="00775A92">
        <w:rPr>
          <w:rFonts w:ascii="Times New Roman" w:eastAsia="Times New Roman" w:hAnsi="Times New Roman"/>
          <w:color w:val="000000"/>
          <w:sz w:val="24"/>
          <w:szCs w:val="24"/>
        </w:rPr>
        <w:t xml:space="preserve">doi: 10.1002/ptr.4942 [Epub ahead of print]. </w:t>
      </w:r>
    </w:p>
    <w:p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74, 935–968. doi: 10.1016/j.lfs.2003.09.035</w:t>
      </w: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Default="00CE53CE" w:rsidP="00CE53CE">
      <w:pPr>
        <w:rPr>
          <w:rFonts w:ascii="Minion" w:eastAsia="Times New Roman" w:hAnsi="Minion"/>
          <w:color w:val="000000"/>
          <w:sz w:val="15"/>
          <w:szCs w:val="15"/>
        </w:rPr>
      </w:pPr>
    </w:p>
    <w:p w:rsidR="00CE53CE" w:rsidRPr="00140185" w:rsidRDefault="00CE53CE" w:rsidP="00CE53CE"/>
    <w:p w:rsidR="00CA06CC" w:rsidRPr="00140185" w:rsidRDefault="00CA06CC" w:rsidP="00CA06CC">
      <w:pPr>
        <w:spacing w:line="360" w:lineRule="auto"/>
        <w:ind w:left="720" w:hanging="720"/>
        <w:jc w:val="both"/>
        <w:rPr>
          <w:rFonts w:ascii="Times New Roman" w:eastAsia="Times New Roman" w:hAnsi="Times New Roman"/>
          <w:sz w:val="24"/>
          <w:szCs w:val="24"/>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Default="001E01A1" w:rsidP="001F5A3A">
      <w:pPr>
        <w:spacing w:after="0" w:line="480" w:lineRule="auto"/>
        <w:jc w:val="both"/>
        <w:rPr>
          <w:rFonts w:ascii="Times New Roman" w:eastAsia="Times New Roman" w:hAnsi="Times New Roman"/>
          <w:sz w:val="24"/>
          <w:szCs w:val="24"/>
          <w:lang w:eastAsia="en-US"/>
        </w:rPr>
      </w:pPr>
    </w:p>
    <w:p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rsidSect="00CF2B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6F6" w:rsidRDefault="00FD76F6">
      <w:pPr>
        <w:spacing w:after="0" w:line="240" w:lineRule="auto"/>
      </w:pPr>
      <w:r>
        <w:separator/>
      </w:r>
    </w:p>
  </w:endnote>
  <w:endnote w:type="continuationSeparator" w:id="1">
    <w:p w:rsidR="00FD76F6" w:rsidRDefault="00FD7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sig w:usb0="00000000" w:usb1="00000000" w:usb2="00000000" w:usb3="00000000" w:csb0="00000000" w:csb1="00000000"/>
  </w:font>
  <w:font w:name="Minio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6F6" w:rsidRDefault="00FD76F6">
      <w:pPr>
        <w:spacing w:after="0" w:line="240" w:lineRule="auto"/>
      </w:pPr>
      <w:r>
        <w:separator/>
      </w:r>
    </w:p>
  </w:footnote>
  <w:footnote w:type="continuationSeparator" w:id="1">
    <w:p w:rsidR="00FD76F6" w:rsidRDefault="00FD76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F70" w:rsidRDefault="00372F7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oNotShadeFormData/>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FELayout/>
  </w:compat>
  <w:rsids>
    <w:rsidRoot w:val="009D100D"/>
    <w:rsid w:val="00057EE3"/>
    <w:rsid w:val="00192638"/>
    <w:rsid w:val="001A0A23"/>
    <w:rsid w:val="001E01A1"/>
    <w:rsid w:val="001F5A3A"/>
    <w:rsid w:val="0021543E"/>
    <w:rsid w:val="002714B5"/>
    <w:rsid w:val="002A028E"/>
    <w:rsid w:val="00315B60"/>
    <w:rsid w:val="00342E67"/>
    <w:rsid w:val="00356F28"/>
    <w:rsid w:val="00372F70"/>
    <w:rsid w:val="003E3DBC"/>
    <w:rsid w:val="00410040"/>
    <w:rsid w:val="00432576"/>
    <w:rsid w:val="00457FF6"/>
    <w:rsid w:val="004775DD"/>
    <w:rsid w:val="004917CC"/>
    <w:rsid w:val="004B4D6C"/>
    <w:rsid w:val="00554108"/>
    <w:rsid w:val="00572D7A"/>
    <w:rsid w:val="00573E82"/>
    <w:rsid w:val="005B74E9"/>
    <w:rsid w:val="005E229A"/>
    <w:rsid w:val="00625DEF"/>
    <w:rsid w:val="0064133C"/>
    <w:rsid w:val="0066221D"/>
    <w:rsid w:val="00667128"/>
    <w:rsid w:val="0069597F"/>
    <w:rsid w:val="006C4EBB"/>
    <w:rsid w:val="00721693"/>
    <w:rsid w:val="007925F5"/>
    <w:rsid w:val="00831498"/>
    <w:rsid w:val="00926BD6"/>
    <w:rsid w:val="00931DB7"/>
    <w:rsid w:val="00984445"/>
    <w:rsid w:val="0099095B"/>
    <w:rsid w:val="009D100D"/>
    <w:rsid w:val="00A20824"/>
    <w:rsid w:val="00A70193"/>
    <w:rsid w:val="00A72B74"/>
    <w:rsid w:val="00AC2FA3"/>
    <w:rsid w:val="00AE731B"/>
    <w:rsid w:val="00B24F3D"/>
    <w:rsid w:val="00B60B76"/>
    <w:rsid w:val="00C71E71"/>
    <w:rsid w:val="00C776A5"/>
    <w:rsid w:val="00C874DA"/>
    <w:rsid w:val="00CA06CC"/>
    <w:rsid w:val="00CC4B5A"/>
    <w:rsid w:val="00CE53CE"/>
    <w:rsid w:val="00CF2B90"/>
    <w:rsid w:val="00D16070"/>
    <w:rsid w:val="00D422AB"/>
    <w:rsid w:val="00D97A30"/>
    <w:rsid w:val="00DD0E92"/>
    <w:rsid w:val="00E048C0"/>
    <w:rsid w:val="00E62B27"/>
    <w:rsid w:val="00EC69DE"/>
    <w:rsid w:val="00ED7D15"/>
    <w:rsid w:val="00F42BD6"/>
    <w:rsid w:val="00F95661"/>
    <w:rsid w:val="00FA6C48"/>
    <w:rsid w:val="00FB184D"/>
    <w:rsid w:val="00FC7956"/>
    <w:rsid w:val="00FD76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B90"/>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xcipi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Powder_(substanc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41</Pages>
  <Words>9931</Words>
  <Characters>56607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X652A</dc:creator>
  <cp:lastModifiedBy>USER</cp:lastModifiedBy>
  <cp:revision>18</cp:revision>
  <dcterms:created xsi:type="dcterms:W3CDTF">2023-11-09T16:35:00Z</dcterms:created>
  <dcterms:modified xsi:type="dcterms:W3CDTF">2025-08-18T14:05:00Z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