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CE" w:rsidRPr="00B60B76" w:rsidRDefault="00B60B76" w:rsidP="00B60B76">
      <w:pPr>
        <w:pStyle w:val="TOCHeading"/>
        <w:tabs>
          <w:tab w:val="center" w:pos="4680"/>
        </w:tabs>
        <w:spacing w:line="480" w:lineRule="auto"/>
        <w:jc w:val="center"/>
        <w:rPr>
          <w:rFonts w:ascii="Times New Roman" w:eastAsia="Times New Roman" w:hAnsi="Times New Roman"/>
          <w:color w:val="231F20"/>
          <w:sz w:val="24"/>
          <w:szCs w:val="24"/>
          <w:lang w:eastAsia="en-US"/>
        </w:rPr>
      </w:pPr>
      <w:r>
        <w:rPr>
          <w:rFonts w:ascii="Times New Roman" w:eastAsia="Times New Roman" w:hAnsi="Times New Roman"/>
          <w:color w:val="231F20"/>
          <w:sz w:val="24"/>
          <w:szCs w:val="24"/>
          <w:lang w:eastAsia="en-US"/>
        </w:rPr>
        <w:t>Determination of some toxic metals in some herbal preparation sold by hawker in Ilorin and Environs</w:t>
      </w:r>
    </w:p>
    <w:p w:rsidR="00CE53CE" w:rsidRDefault="00CE53CE" w:rsidP="00B60B76">
      <w:pPr>
        <w:spacing w:after="0" w:line="480" w:lineRule="auto"/>
        <w:jc w:val="center"/>
        <w:rPr>
          <w:rFonts w:ascii="Times New Roman" w:eastAsia="Times New Roman" w:hAnsi="Times New Roman"/>
          <w:b/>
          <w:color w:val="231F20"/>
          <w:sz w:val="24"/>
          <w:szCs w:val="24"/>
          <w:lang w:eastAsia="en-US"/>
        </w:rPr>
      </w:pPr>
    </w:p>
    <w:p w:rsidR="00572D7A" w:rsidRDefault="00572D7A" w:rsidP="00B60B76">
      <w:pPr>
        <w:spacing w:after="0" w:line="480" w:lineRule="auto"/>
        <w:jc w:val="center"/>
        <w:rPr>
          <w:rFonts w:ascii="Times New Roman" w:eastAsia="Times New Roman" w:hAnsi="Times New Roman"/>
          <w:b/>
          <w:color w:val="231F20"/>
          <w:sz w:val="24"/>
          <w:szCs w:val="24"/>
          <w:lang w:eastAsia="en-US"/>
        </w:rPr>
      </w:pPr>
    </w:p>
    <w:p w:rsidR="00572D7A" w:rsidRDefault="00572D7A" w:rsidP="00B60B76">
      <w:pPr>
        <w:spacing w:after="0" w:line="480" w:lineRule="auto"/>
        <w:jc w:val="center"/>
        <w:rPr>
          <w:rFonts w:ascii="Times New Roman" w:eastAsia="Times New Roman" w:hAnsi="Times New Roman"/>
          <w:b/>
          <w:color w:val="231F20"/>
          <w:sz w:val="24"/>
          <w:szCs w:val="24"/>
          <w:lang w:eastAsia="en-US"/>
        </w:rPr>
      </w:pPr>
      <w:r w:rsidRPr="00572D7A">
        <w:rPr>
          <w:rFonts w:ascii="Times New Roman" w:eastAsia="Times New Roman" w:hAnsi="Times New Roman"/>
          <w:b/>
          <w:color w:val="231F20"/>
          <w:sz w:val="24"/>
          <w:szCs w:val="24"/>
          <w:lang w:eastAsia="en-US"/>
        </w:rPr>
        <w:t>ABDULMALIK, RUKAYAT BUKOLA</w:t>
      </w:r>
    </w:p>
    <w:p w:rsidR="00572D7A" w:rsidRDefault="00572D7A" w:rsidP="00B60B76">
      <w:pPr>
        <w:spacing w:after="0" w:line="480" w:lineRule="auto"/>
        <w:jc w:val="center"/>
        <w:rPr>
          <w:rFonts w:ascii="Times New Roman" w:eastAsia="Times New Roman" w:hAnsi="Times New Roman"/>
          <w:b/>
          <w:color w:val="231F20"/>
          <w:sz w:val="24"/>
          <w:szCs w:val="24"/>
          <w:lang w:eastAsia="en-US"/>
        </w:rPr>
      </w:pPr>
      <w:r>
        <w:rPr>
          <w:rFonts w:ascii="Times New Roman" w:eastAsia="Times New Roman" w:hAnsi="Times New Roman"/>
          <w:b/>
          <w:color w:val="231F20"/>
          <w:sz w:val="24"/>
          <w:szCs w:val="24"/>
          <w:lang w:eastAsia="en-US"/>
        </w:rPr>
        <w:t>ND/23/SLT/PT/0253</w:t>
      </w: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7925F5" w:rsidRDefault="007925F5"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Pr="004B4D6C" w:rsidRDefault="00B60B76" w:rsidP="00B60B76">
      <w:pPr>
        <w:pStyle w:val="TOCHeading"/>
        <w:jc w:val="center"/>
        <w:rPr>
          <w:color w:val="000000" w:themeColor="text1"/>
        </w:rPr>
      </w:pPr>
      <w:r w:rsidRPr="004B4D6C">
        <w:rPr>
          <w:color w:val="000000" w:themeColor="text1"/>
        </w:rPr>
        <w:t>Table of Contents</w:t>
      </w:r>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r w:rsidRPr="00CF2B90">
        <w:rPr>
          <w:color w:val="000000" w:themeColor="text1"/>
        </w:rPr>
        <w:fldChar w:fldCharType="begin"/>
      </w:r>
      <w:r w:rsidR="00B60B76" w:rsidRPr="004B4D6C">
        <w:rPr>
          <w:color w:val="000000" w:themeColor="text1"/>
        </w:rPr>
        <w:instrText xml:space="preserve"> TOC \o "1-3" \h \z \u </w:instrText>
      </w:r>
      <w:r w:rsidRPr="00CF2B90">
        <w:rPr>
          <w:color w:val="000000" w:themeColor="text1"/>
        </w:rPr>
        <w:fldChar w:fldCharType="separate"/>
      </w:r>
      <w:hyperlink w:anchor="_Toc150463299" w:history="1">
        <w:r w:rsidR="00B60B76" w:rsidRPr="004B4D6C">
          <w:rPr>
            <w:rStyle w:val="Hyperlink"/>
            <w:noProof/>
            <w:color w:val="000000" w:themeColor="text1"/>
          </w:rPr>
          <w:t>Abstract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_Toc150463299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0" w:history="1">
        <w:r w:rsidR="00B60B76" w:rsidRPr="004B4D6C">
          <w:rPr>
            <w:rStyle w:val="Hyperlink"/>
            <w:noProof/>
            <w:color w:val="000000" w:themeColor="text1"/>
          </w:rPr>
          <w:t>Background</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1" w:history="1">
        <w:r w:rsidR="00B60B76" w:rsidRPr="004B4D6C">
          <w:rPr>
            <w:rStyle w:val="Hyperlink"/>
            <w:noProof/>
            <w:color w:val="000000" w:themeColor="text1"/>
          </w:rPr>
          <w:t>1.2 Statement of the problem</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2" w:history="1">
        <w:r w:rsidR="00B60B76" w:rsidRPr="004B4D6C">
          <w:rPr>
            <w:rStyle w:val="Hyperlink"/>
            <w:noProof/>
            <w:color w:val="000000" w:themeColor="text1"/>
          </w:rPr>
          <w:t>1.3 Aims and Objectives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3" w:history="1">
        <w:r w:rsidR="00B60B76" w:rsidRPr="004B4D6C">
          <w:rPr>
            <w:rStyle w:val="Hyperlink"/>
            <w:noProof/>
            <w:color w:val="000000" w:themeColor="text1"/>
          </w:rPr>
          <w:t>1.4 Research Questions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4" w:history="1">
        <w:r w:rsidR="00B60B76" w:rsidRPr="004B4D6C">
          <w:rPr>
            <w:rStyle w:val="Hyperlink"/>
            <w:noProof/>
            <w:color w:val="000000" w:themeColor="text1"/>
          </w:rPr>
          <w:t>1.5 Significance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5" w:history="1">
        <w:r w:rsidR="00B60B76" w:rsidRPr="004B4D6C">
          <w:rPr>
            <w:rStyle w:val="Hyperlink"/>
            <w:noProof/>
            <w:color w:val="000000" w:themeColor="text1"/>
          </w:rPr>
          <w:t>1.6 Scope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6" w:history="1">
        <w:r w:rsidR="00B60B76" w:rsidRPr="004B4D6C">
          <w:rPr>
            <w:rStyle w:val="Hyperlink"/>
            <w:noProof/>
            <w:color w:val="000000" w:themeColor="text1"/>
          </w:rPr>
          <w:t>1.7 Operational Definition of Terms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7" w:history="1">
        <w:r w:rsidR="00B60B76" w:rsidRPr="004B4D6C">
          <w:rPr>
            <w:rStyle w:val="Hyperlink"/>
            <w:noProof/>
            <w:color w:val="000000" w:themeColor="text1"/>
          </w:rPr>
          <w:t>CHAPTER TWO</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8" w:history="1">
        <w:r w:rsidR="00B60B76" w:rsidRPr="004B4D6C">
          <w:rPr>
            <w:rStyle w:val="Hyperlink"/>
            <w:noProof/>
            <w:color w:val="000000" w:themeColor="text1"/>
          </w:rPr>
          <w:t>Introduction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9" w:history="1">
        <w:r w:rsidR="00B60B76" w:rsidRPr="004B4D6C">
          <w:rPr>
            <w:rStyle w:val="Hyperlink"/>
            <w:noProof/>
            <w:color w:val="000000" w:themeColor="text1"/>
          </w:rPr>
          <w:t>Tradition and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13</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0" w:history="1">
        <w:r w:rsidR="00B60B76" w:rsidRPr="004B4D6C">
          <w:rPr>
            <w:rStyle w:val="Hyperlink"/>
            <w:noProof/>
            <w:color w:val="000000" w:themeColor="text1"/>
          </w:rPr>
          <w:t>Carcinogenic effects of traditional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1" w:history="1">
        <w:r w:rsidR="00B60B76" w:rsidRPr="004B4D6C">
          <w:rPr>
            <w:rStyle w:val="Hyperlink"/>
            <w:noProof/>
            <w:color w:val="000000" w:themeColor="text1"/>
          </w:rPr>
          <w:t>Kinetic interactions of herbal medicines with conventional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2" w:history="1">
        <w:r w:rsidR="00B60B76" w:rsidRPr="004B4D6C">
          <w:rPr>
            <w:rStyle w:val="Hyperlink"/>
            <w:noProof/>
            <w:color w:val="000000" w:themeColor="text1"/>
          </w:rPr>
          <w:t>Factors Responsible for Increased Patronage and Self Medication with Herbal Medicine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3" w:history="1">
        <w:r w:rsidR="00B60B76" w:rsidRPr="004B4D6C">
          <w:rPr>
            <w:rStyle w:val="Hyperlink"/>
            <w:noProof/>
            <w:color w:val="000000" w:themeColor="text1"/>
          </w:rPr>
          <w:t>Influence of Regulatory Policies on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4" w:history="1">
        <w:r w:rsidR="00B60B76" w:rsidRPr="004B4D6C">
          <w:rPr>
            <w:rStyle w:val="Hyperlink"/>
            <w:noProof/>
            <w:color w:val="000000" w:themeColor="text1"/>
          </w:rPr>
          <w:t>Toxicity and Adverse Health Effects of Some Common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5" w:history="1">
        <w:r w:rsidR="00B60B76" w:rsidRPr="004B4D6C">
          <w:rPr>
            <w:rStyle w:val="Hyperlink"/>
            <w:noProof/>
            <w:color w:val="000000" w:themeColor="text1"/>
          </w:rPr>
          <w:t>Challenges Associated with Monitoring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6" w:history="1">
        <w:r w:rsidR="00B60B76" w:rsidRPr="004B4D6C">
          <w:rPr>
            <w:rStyle w:val="Hyperlink"/>
            <w:noProof/>
            <w:color w:val="000000" w:themeColor="text1"/>
          </w:rPr>
          <w:t>Challenges Related to the Regulatory Status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7" w:history="1">
        <w:r w:rsidR="00B60B76" w:rsidRPr="004B4D6C">
          <w:rPr>
            <w:rStyle w:val="Hyperlink"/>
            <w:noProof/>
            <w:color w:val="000000" w:themeColor="text1"/>
          </w:rPr>
          <w:t>Challenges Related to the Assessment of Safety and Efficacy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8" w:history="1">
        <w:r w:rsidR="00B60B76" w:rsidRPr="004B4D6C">
          <w:rPr>
            <w:rStyle w:val="Hyperlink"/>
            <w:noProof/>
            <w:color w:val="000000" w:themeColor="text1"/>
          </w:rPr>
          <w:t>Challenges Related to Quality Control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9" w:history="1">
        <w:r w:rsidR="00B60B76" w:rsidRPr="004B4D6C">
          <w:rPr>
            <w:rStyle w:val="Hyperlink"/>
            <w:noProof/>
            <w:color w:val="000000" w:themeColor="text1"/>
          </w:rPr>
          <w:t>Challenges Related to Safety Monitoring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0" w:history="1">
        <w:r w:rsidR="00B60B76" w:rsidRPr="004B4D6C">
          <w:rPr>
            <w:rStyle w:val="Hyperlink"/>
            <w:noProof/>
            <w:color w:val="000000" w:themeColor="text1"/>
          </w:rPr>
          <w:t>CHAPTER THREE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1" w:history="1">
        <w:r w:rsidR="00B60B76" w:rsidRPr="004B4D6C">
          <w:rPr>
            <w:rStyle w:val="Hyperlink"/>
            <w:noProof/>
            <w:color w:val="000000" w:themeColor="text1"/>
          </w:rPr>
          <w:t>Materials and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2" w:history="1">
        <w:r w:rsidR="00B60B76" w:rsidRPr="004B4D6C">
          <w:rPr>
            <w:rStyle w:val="Hyperlink"/>
            <w:noProof/>
            <w:color w:val="000000" w:themeColor="text1"/>
          </w:rPr>
          <w:t>3.1 Equipment and reagents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3" w:history="1">
        <w:r w:rsidR="00B60B76" w:rsidRPr="004B4D6C">
          <w:rPr>
            <w:rStyle w:val="Hyperlink"/>
            <w:noProof/>
            <w:color w:val="000000" w:themeColor="text1"/>
          </w:rPr>
          <w:t>3.2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4" w:history="1">
        <w:r w:rsidR="00B60B76" w:rsidRPr="004B4D6C">
          <w:rPr>
            <w:rStyle w:val="Hyperlink"/>
            <w:noProof/>
            <w:color w:val="000000" w:themeColor="text1"/>
          </w:rPr>
          <w:t>3.2.1 Collection of samples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5" w:history="1">
        <w:r w:rsidR="00B60B76" w:rsidRPr="004B4D6C">
          <w:rPr>
            <w:rStyle w:val="Hyperlink"/>
            <w:noProof/>
            <w:color w:val="000000" w:themeColor="text1"/>
          </w:rPr>
          <w:t>3.2.2 Preparation of calibration curve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6" w:history="1">
        <w:r w:rsidR="00B60B76" w:rsidRPr="004B4D6C">
          <w:rPr>
            <w:rStyle w:val="Hyperlink"/>
            <w:noProof/>
            <w:color w:val="000000" w:themeColor="text1"/>
          </w:rPr>
          <w:t>3.2.3 Sample pre-treatment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7" w:history="1">
        <w:r w:rsidR="00B60B76" w:rsidRPr="004B4D6C">
          <w:rPr>
            <w:rStyle w:val="Hyperlink"/>
            <w:noProof/>
            <w:color w:val="000000" w:themeColor="text1"/>
          </w:rPr>
          <w:t>3.3 Sample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8" w:history="1">
        <w:r w:rsidR="00B60B76" w:rsidRPr="004B4D6C">
          <w:rPr>
            <w:rStyle w:val="Hyperlink"/>
            <w:noProof/>
            <w:color w:val="000000" w:themeColor="text1"/>
          </w:rPr>
          <w:t>3.4 Statistical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9" w:history="1">
        <w:r w:rsidR="00B60B76" w:rsidRPr="004B4D6C">
          <w:rPr>
            <w:rStyle w:val="Hyperlink"/>
            <w:noProof/>
            <w:color w:val="000000" w:themeColor="text1"/>
          </w:rPr>
          <w:t>CHAPTER FOUR</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0" w:history="1">
        <w:r w:rsidR="00B60B76" w:rsidRPr="004B4D6C">
          <w:rPr>
            <w:rStyle w:val="Hyperlink"/>
            <w:noProof/>
            <w:color w:val="000000" w:themeColor="text1"/>
          </w:rPr>
          <w:t>4.1 RESULTS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1" w:history="1">
        <w:r w:rsidR="00B60B76" w:rsidRPr="004B4D6C">
          <w:rPr>
            <w:rStyle w:val="Hyperlink"/>
            <w:noProof/>
            <w:color w:val="000000" w:themeColor="text1"/>
          </w:rPr>
          <w:t>CHAPTER FIVE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2" w:history="1">
        <w:r w:rsidR="00B60B76" w:rsidRPr="004B4D6C">
          <w:rPr>
            <w:rStyle w:val="Hyperlink"/>
            <w:noProof/>
            <w:color w:val="000000" w:themeColor="text1"/>
          </w:rPr>
          <w:t>5.1 DISCUSSION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3" w:history="1">
        <w:r w:rsidR="00B60B76" w:rsidRPr="004B4D6C">
          <w:rPr>
            <w:rStyle w:val="Hyperlink"/>
            <w:noProof/>
            <w:color w:val="000000" w:themeColor="text1"/>
          </w:rPr>
          <w:t>CONCLUSION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4" w:history="1">
        <w:r w:rsidR="00B60B76" w:rsidRPr="004B4D6C">
          <w:rPr>
            <w:rStyle w:val="Hyperlink"/>
            <w:noProof/>
            <w:color w:val="000000" w:themeColor="text1"/>
          </w:rPr>
          <w:t>REFERENCES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33</w:t>
        </w:r>
        <w:r w:rsidRPr="004B4D6C">
          <w:rPr>
            <w:noProof/>
            <w:webHidden/>
            <w:color w:val="000000" w:themeColor="text1"/>
          </w:rPr>
          <w:fldChar w:fldCharType="end"/>
        </w:r>
      </w:hyperlink>
    </w:p>
    <w:p w:rsidR="00B60B76" w:rsidRDefault="00CF2B90" w:rsidP="00B60B76">
      <w:pPr>
        <w:spacing w:after="0" w:line="480" w:lineRule="auto"/>
        <w:jc w:val="both"/>
        <w:rPr>
          <w:rFonts w:ascii="Times New Roman" w:eastAsia="Times New Roman" w:hAnsi="Times New Roman"/>
          <w:b/>
          <w:color w:val="231F20"/>
          <w:sz w:val="24"/>
          <w:szCs w:val="24"/>
          <w:lang w:eastAsia="en-US"/>
        </w:rPr>
      </w:pPr>
      <w:r w:rsidRPr="004B4D6C">
        <w:rPr>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lastRenderedPageBreak/>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w:t>
      </w:r>
      <w:r w:rsidRPr="00D97A30">
        <w:rPr>
          <w:rFonts w:ascii="Times New Roman" w:eastAsia="Times New Roman" w:hAnsi="Times New Roman"/>
          <w:color w:val="231F20"/>
          <w:sz w:val="24"/>
          <w:szCs w:val="24"/>
          <w:lang w:eastAsia="en-US"/>
        </w:rPr>
        <w:lastRenderedPageBreak/>
        <w:t>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Saeed</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Bian</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Hao</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Silano</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w:t>
      </w:r>
      <w:r w:rsidRPr="00CA06CC">
        <w:rPr>
          <w:rFonts w:ascii="Times New Roman" w:eastAsia="Times New Roman" w:hAnsi="Times New Roman"/>
          <w:color w:val="000000" w:themeColor="text1"/>
          <w:sz w:val="24"/>
          <w:szCs w:val="24"/>
          <w:lang w:eastAsia="en-US"/>
        </w:rPr>
        <w:lastRenderedPageBreak/>
        <w:t>glycoprotein) in 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malaise, and (iii) lack of time to see a physician; this is usually a reason where prior visit did not yield any positive experience (Studdert</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Artemisia absinthium</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Valerian officinalis</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(Zamir</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put, cardiac arrest and shock (Mousavi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lastRenderedPageBreak/>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bookmarkStart w:id="41" w:name="_GoBack"/>
      <w:bookmarkEnd w:id="41"/>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2" w:name="_Toc150463334"/>
      <w:r w:rsidRPr="005E229A">
        <w:lastRenderedPageBreak/>
        <w:t>REFERENCES</w:t>
      </w:r>
      <w:bookmarkEnd w:id="42"/>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2013.ConsultaPública No 34 de 6 de Agosto de 2013.AgênciaNacional de VigilânciaSanitária.DiárioOficial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Aliment.Pharmacol.Ther.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Cosyns, J. P., Jadoul, M., Squifflet, J. P., Wese, F. X., and van Ypersele de Strihou, C. (1999). Urothelial lesions in Chinese-herb nephropathy.</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Ekor, M., Osonuga, O. A., Odewabi, A. O., Bakre, A. G., and Oritogun, K. S. (2010).Toxicity evaluation of Yoyo ‘cleanser’ bitters and fields Swedish bitters herbal preparations following sub-chronic administration in rats.</w:t>
      </w:r>
      <w:r w:rsidRPr="00BA7373">
        <w:rPr>
          <w:rFonts w:ascii="Times New Roman" w:eastAsia="Times New Roman" w:hAnsi="Times New Roman"/>
          <w:i/>
          <w:iCs/>
          <w:color w:val="000000"/>
          <w:sz w:val="24"/>
          <w:szCs w:val="24"/>
        </w:rPr>
        <w:t>Am. J. Pharmacol. Toxicol.</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Enuh H, Oragwu C, Okeke C, Elu C, Orisakwe O (2012). Semen Abnormality and Nigeria Herbal Remedies: A Preliminary Investigation. The Internet Journal of Toxicology, 8(2).</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Ernst, E. (2002). Toxic heavy metals and undeclared drugs in Asian herbal medicines.</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Drugs Aging 22, 525-539.</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Hao, C.Z., Wu, F., Lu, L., Wang, J., Guo, Y., Liu, A.J., Liao, W.J., Zheng, G.Q., 2013. Chinese herbal medicine for diabetic peripheral neuropathy: an updated meta-analysis of 10 highquality randomized controlled studies. PLoS One.8, e76113.</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crobial and haematological studies of super b and seven keys to power blood purifier herbal tonics.</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(2011).Decade of African traditional medicine, </w:t>
      </w:r>
      <w:r w:rsidRPr="00775A92">
        <w:rPr>
          <w:rFonts w:ascii="Times New Roman" w:eastAsia="Times New Roman" w:hAnsi="Times New Roman"/>
          <w:color w:val="000000"/>
          <w:sz w:val="24"/>
          <w:szCs w:val="24"/>
        </w:rPr>
        <w:t>2001–2010.</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Quintus, C., Schweim, H.G., 2012. European regulation of herbal medicinal products on the border area to the food sector.</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Drug Saf.</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cation in medicine and dentistry in the French-speaking community of Belgium.</w:t>
      </w:r>
      <w:r w:rsidRPr="00775A92">
        <w:rPr>
          <w:rFonts w:ascii="Times New Roman" w:eastAsia="Times New Roman" w:hAnsi="Times New Roman"/>
          <w:i/>
          <w:iCs/>
          <w:color w:val="000000"/>
          <w:sz w:val="24"/>
          <w:szCs w:val="24"/>
        </w:rPr>
        <w:t xml:space="preserve">ActaClin.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Zeil, H. (1999). Complementary alternative medicine boon or boondoggle.</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(2008).Hepatotoxicity of </w:t>
      </w:r>
      <w:r w:rsidRPr="00775A92">
        <w:rPr>
          <w:rFonts w:ascii="Times New Roman" w:eastAsia="Times New Roman" w:hAnsi="Times New Roman"/>
          <w:i/>
          <w:iCs/>
          <w:color w:val="000000"/>
          <w:sz w:val="24"/>
          <w:szCs w:val="24"/>
        </w:rPr>
        <w:t>FlosFarfarae</w:t>
      </w:r>
      <w:r w:rsidRPr="00775A92">
        <w:rPr>
          <w:rFonts w:ascii="Times New Roman" w:eastAsia="Times New Roman" w:hAnsi="Times New Roman"/>
          <w:color w:val="000000"/>
          <w:sz w:val="24"/>
          <w:szCs w:val="24"/>
        </w:rPr>
        <w:t>and the contained alkaloid to mice.</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19, 1810– 1811.</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Z. J., Ye, F., Wiseman, N., Mitchell, C., and Lun, S. H. (1999).</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CF2B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0CF" w:rsidRDefault="005A10CF">
      <w:pPr>
        <w:spacing w:after="0" w:line="240" w:lineRule="auto"/>
      </w:pPr>
      <w:r>
        <w:separator/>
      </w:r>
    </w:p>
  </w:endnote>
  <w:endnote w:type="continuationSeparator" w:id="1">
    <w:p w:rsidR="005A10CF" w:rsidRDefault="005A1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0CF" w:rsidRDefault="005A10CF">
      <w:pPr>
        <w:spacing w:after="0" w:line="240" w:lineRule="auto"/>
      </w:pPr>
      <w:r>
        <w:separator/>
      </w:r>
    </w:p>
  </w:footnote>
  <w:footnote w:type="continuationSeparator" w:id="1">
    <w:p w:rsidR="005A10CF" w:rsidRDefault="005A1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FELayout/>
  </w:compat>
  <w:rsids>
    <w:rsidRoot w:val="009D100D"/>
    <w:rsid w:val="00192638"/>
    <w:rsid w:val="001A0A23"/>
    <w:rsid w:val="001E01A1"/>
    <w:rsid w:val="001F5A3A"/>
    <w:rsid w:val="0021543E"/>
    <w:rsid w:val="002714B5"/>
    <w:rsid w:val="002A028E"/>
    <w:rsid w:val="00315B60"/>
    <w:rsid w:val="00342E67"/>
    <w:rsid w:val="00356F28"/>
    <w:rsid w:val="00372F70"/>
    <w:rsid w:val="003E3DBC"/>
    <w:rsid w:val="00410040"/>
    <w:rsid w:val="00432576"/>
    <w:rsid w:val="00457FF6"/>
    <w:rsid w:val="004775DD"/>
    <w:rsid w:val="004917CC"/>
    <w:rsid w:val="004B4D6C"/>
    <w:rsid w:val="00554108"/>
    <w:rsid w:val="00572D7A"/>
    <w:rsid w:val="00573E82"/>
    <w:rsid w:val="005A10CF"/>
    <w:rsid w:val="005B74E9"/>
    <w:rsid w:val="005E229A"/>
    <w:rsid w:val="00625DEF"/>
    <w:rsid w:val="0064133C"/>
    <w:rsid w:val="0066221D"/>
    <w:rsid w:val="00667128"/>
    <w:rsid w:val="0069597F"/>
    <w:rsid w:val="006C4EBB"/>
    <w:rsid w:val="00721693"/>
    <w:rsid w:val="007925F5"/>
    <w:rsid w:val="00926BD6"/>
    <w:rsid w:val="00931DB7"/>
    <w:rsid w:val="0099095B"/>
    <w:rsid w:val="009D100D"/>
    <w:rsid w:val="00A20824"/>
    <w:rsid w:val="00A70193"/>
    <w:rsid w:val="00A72B74"/>
    <w:rsid w:val="00AC2FA3"/>
    <w:rsid w:val="00AE731B"/>
    <w:rsid w:val="00B24F3D"/>
    <w:rsid w:val="00B60B76"/>
    <w:rsid w:val="00C71E71"/>
    <w:rsid w:val="00C776A5"/>
    <w:rsid w:val="00C874DA"/>
    <w:rsid w:val="00CA06CC"/>
    <w:rsid w:val="00CC4B5A"/>
    <w:rsid w:val="00CE53CE"/>
    <w:rsid w:val="00CF2B90"/>
    <w:rsid w:val="00D16070"/>
    <w:rsid w:val="00D422AB"/>
    <w:rsid w:val="00D97A30"/>
    <w:rsid w:val="00DD0E92"/>
    <w:rsid w:val="00E048C0"/>
    <w:rsid w:val="00E62B27"/>
    <w:rsid w:val="00EC69DE"/>
    <w:rsid w:val="00ED7D15"/>
    <w:rsid w:val="00F42BD6"/>
    <w:rsid w:val="00F95661"/>
    <w:rsid w:val="00FA6C48"/>
    <w:rsid w:val="00FB184D"/>
    <w:rsid w:val="00FC7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90"/>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cip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owder_(substanc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41</Pages>
  <Words>9930</Words>
  <Characters>56602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cp:lastModifiedBy>
  <cp:revision>15</cp:revision>
  <dcterms:created xsi:type="dcterms:W3CDTF">2023-11-09T16:35:00Z</dcterms:created>
  <dcterms:modified xsi:type="dcterms:W3CDTF">2025-08-18T13:56:00Z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