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360"/>
        <w:jc w:val="center"/>
        <w:rPr>
          <w:b/>
          <w:bCs/>
          <w:sz w:val="30"/>
          <w:szCs w:val="30"/>
        </w:rPr>
      </w:pPr>
      <w:r>
        <w:rPr>
          <w:b/>
          <w:bCs/>
          <w:sz w:val="30"/>
          <w:szCs w:val="30"/>
        </w:rPr>
        <w:t>EVALUATING THE IMPACT OF BUILDING REGULATION COMPLIANCE ON CONSTRUCTION COST OF BUILDING PROJECT</w:t>
      </w:r>
      <w:r>
        <w:rPr>
          <w:b/>
          <w:bCs/>
          <w:sz w:val="30"/>
          <w:szCs w:val="30"/>
        </w:rPr>
        <w:t xml:space="preserve"> IN NIGERIA</w:t>
      </w:r>
    </w:p>
    <w:p>
      <w:pPr>
        <w:pStyle w:val="style94"/>
        <w:spacing w:before="0" w:beforeAutospacing="false" w:after="0" w:afterAutospacing="false" w:lineRule="auto" w:line="360"/>
        <w:rPr>
          <w:b/>
          <w:bCs/>
          <w:sz w:val="38"/>
          <w:szCs w:val="38"/>
        </w:rPr>
      </w:pPr>
    </w:p>
    <w:p>
      <w:pPr>
        <w:pStyle w:val="style94"/>
        <w:spacing w:before="0" w:beforeAutospacing="false" w:after="0" w:afterAutospacing="false" w:lineRule="auto" w:line="360"/>
        <w:rPr>
          <w:b/>
          <w:bCs/>
          <w:sz w:val="38"/>
          <w:szCs w:val="38"/>
        </w:rPr>
      </w:pPr>
    </w:p>
    <w:p>
      <w:pPr>
        <w:pStyle w:val="style94"/>
        <w:spacing w:before="0" w:beforeAutospacing="false" w:after="0" w:afterAutospacing="false" w:lineRule="auto" w:line="360"/>
        <w:jc w:val="center"/>
        <w:rPr>
          <w:b/>
          <w:bCs/>
          <w:sz w:val="36"/>
          <w:szCs w:val="36"/>
        </w:rPr>
      </w:pPr>
      <w:r>
        <w:rPr>
          <w:b/>
          <w:bCs/>
          <w:sz w:val="38"/>
          <w:szCs w:val="38"/>
        </w:rPr>
        <w:t xml:space="preserve">BY </w:t>
      </w:r>
    </w:p>
    <w:p>
      <w:pPr>
        <w:pStyle w:val="style94"/>
        <w:spacing w:before="0" w:beforeAutospacing="false" w:after="0" w:afterAutospacing="false" w:lineRule="auto" w:line="360"/>
        <w:jc w:val="center"/>
        <w:rPr>
          <w:b/>
          <w:bCs/>
          <w:sz w:val="38"/>
          <w:szCs w:val="38"/>
        </w:rPr>
      </w:pPr>
    </w:p>
    <w:p>
      <w:pPr>
        <w:pStyle w:val="style94"/>
        <w:spacing w:before="0" w:beforeAutospacing="false" w:after="0" w:afterAutospacing="false" w:lineRule="auto" w:line="360"/>
        <w:jc w:val="center"/>
        <w:rPr>
          <w:b/>
          <w:bCs/>
          <w:sz w:val="38"/>
          <w:szCs w:val="38"/>
        </w:rPr>
      </w:pPr>
      <w:r>
        <w:rPr>
          <w:b/>
          <w:bCs/>
          <w:sz w:val="38"/>
          <w:szCs w:val="38"/>
        </w:rPr>
        <w:t>SANUSI JAMIU AYOBAMI</w:t>
      </w:r>
    </w:p>
    <w:p>
      <w:pPr>
        <w:pStyle w:val="style94"/>
        <w:spacing w:before="0" w:beforeAutospacing="false" w:after="0" w:afterAutospacing="false" w:lineRule="auto" w:line="360"/>
        <w:jc w:val="center"/>
        <w:rPr>
          <w:b/>
          <w:bCs/>
          <w:sz w:val="38"/>
          <w:szCs w:val="38"/>
        </w:rPr>
      </w:pPr>
      <w:r>
        <w:rPr>
          <w:b/>
          <w:bCs/>
          <w:sz w:val="38"/>
          <w:szCs w:val="38"/>
        </w:rPr>
        <w:t>HND/23/QTS/FT/0026</w:t>
      </w:r>
    </w:p>
    <w:p>
      <w:pPr>
        <w:pStyle w:val="style94"/>
        <w:spacing w:before="0" w:beforeAutospacing="false" w:after="0" w:afterAutospacing="false" w:lineRule="auto" w:line="360"/>
        <w:jc w:val="center"/>
        <w:rPr>
          <w:b/>
          <w:bCs/>
          <w:sz w:val="38"/>
          <w:szCs w:val="38"/>
        </w:rPr>
      </w:pPr>
    </w:p>
    <w:p>
      <w:pPr>
        <w:pStyle w:val="style94"/>
        <w:spacing w:before="0" w:beforeAutospacing="false" w:after="0" w:afterAutospacing="false" w:lineRule="auto" w:line="360"/>
        <w:jc w:val="center"/>
        <w:rPr>
          <w:b/>
          <w:bCs/>
          <w:sz w:val="38"/>
          <w:szCs w:val="38"/>
        </w:rPr>
      </w:pPr>
    </w:p>
    <w:p>
      <w:pPr>
        <w:pStyle w:val="style0"/>
        <w:spacing w:after="0" w:lineRule="auto" w:line="360"/>
        <w:ind w:left="10" w:right="2" w:hanging="10"/>
        <w:jc w:val="center"/>
        <w:rPr>
          <w:rFonts w:ascii="Times New Roman" w:cs="Times New Roman" w:eastAsia="Times New Roman" w:hAnsi="Times New Roman"/>
          <w:b/>
          <w:iCs/>
          <w:color w:val="000000"/>
          <w:kern w:val="2"/>
          <w:sz w:val="34"/>
          <w:szCs w:val="30"/>
        </w:rPr>
      </w:pPr>
      <w:r>
        <w:rPr>
          <w:rFonts w:ascii="Times New Roman" w:cs="Times New Roman" w:eastAsia="Times New Roman" w:hAnsi="Times New Roman"/>
          <w:b/>
          <w:iCs/>
          <w:color w:val="000000"/>
          <w:kern w:val="2"/>
          <w:sz w:val="34"/>
          <w:szCs w:val="30"/>
        </w:rPr>
        <w:t xml:space="preserve">A PROJECT PRESENTED TO THE DEPARTMENT OF QUANTITY SURVEYING, INSTITUTE OF ENVIRONMENTAL STUDIES (IES), KWARA STATE POLYTECHNIC, ILORIN. </w:t>
      </w:r>
    </w:p>
    <w:p>
      <w:pPr>
        <w:pStyle w:val="style0"/>
        <w:spacing w:after="0" w:lineRule="auto" w:line="360"/>
        <w:ind w:left="10" w:right="2" w:hanging="10"/>
        <w:jc w:val="both"/>
        <w:rPr>
          <w:rFonts w:ascii="Times New Roman" w:cs="Times New Roman" w:eastAsia="Times New Roman" w:hAnsi="Times New Roman"/>
          <w:b/>
          <w:iCs/>
          <w:color w:val="000000"/>
          <w:kern w:val="2"/>
          <w:sz w:val="28"/>
          <w:szCs w:val="24"/>
        </w:rPr>
      </w:pPr>
    </w:p>
    <w:p>
      <w:pPr>
        <w:pStyle w:val="style0"/>
        <w:spacing w:after="0" w:lineRule="auto" w:line="360"/>
        <w:ind w:left="10" w:right="2" w:hanging="10"/>
        <w:jc w:val="center"/>
        <w:rPr>
          <w:rFonts w:ascii="Times New Roman" w:cs="Times New Roman" w:eastAsia="Times New Roman" w:hAnsi="Times New Roman"/>
          <w:b/>
          <w:iCs/>
          <w:color w:val="000000"/>
          <w:kern w:val="2"/>
          <w:sz w:val="34"/>
          <w:szCs w:val="30"/>
        </w:rPr>
      </w:pPr>
      <w:r>
        <w:rPr>
          <w:rFonts w:ascii="Times New Roman" w:cs="Times New Roman" w:eastAsia="Times New Roman" w:hAnsi="Times New Roman"/>
          <w:b/>
          <w:color w:val="000000"/>
          <w:kern w:val="2"/>
          <w:sz w:val="34"/>
          <w:szCs w:val="30"/>
        </w:rPr>
        <w:t xml:space="preserve">IN PARTIAL FULFILMENT OF THE </w:t>
      </w:r>
      <w:r>
        <w:rPr>
          <w:rFonts w:ascii="Times New Roman" w:cs="Times New Roman" w:eastAsia="Times New Roman" w:hAnsi="Times New Roman"/>
          <w:b/>
          <w:iCs/>
          <w:color w:val="000000"/>
          <w:kern w:val="2"/>
          <w:sz w:val="34"/>
          <w:szCs w:val="30"/>
        </w:rPr>
        <w:t>REQUIREMENT FOR THE AWARD OF HIGHER NATIONAL DIPLOMA (HND) IN QUANTITY SURVEYING.</w:t>
      </w:r>
    </w:p>
    <w:p>
      <w:pPr>
        <w:pStyle w:val="style0"/>
        <w:spacing w:after="0" w:lineRule="auto" w:line="360"/>
        <w:ind w:left="10" w:right="2" w:hanging="10"/>
        <w:jc w:val="right"/>
        <w:rPr>
          <w:rFonts w:ascii="Times New Roman" w:cs="Times New Roman" w:eastAsia="Times New Roman" w:hAnsi="Times New Roman"/>
          <w:b/>
          <w:color w:val="000000"/>
          <w:kern w:val="2"/>
          <w:sz w:val="28"/>
          <w:szCs w:val="24"/>
        </w:rPr>
      </w:pPr>
    </w:p>
    <w:bookmarkStart w:id="0" w:name="_Toc203009283"/>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42"/>
          <w:szCs w:val="42"/>
        </w:rPr>
      </w:pPr>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42"/>
          <w:szCs w:val="42"/>
        </w:rPr>
      </w:pPr>
      <w:r>
        <w:rPr>
          <w:rFonts w:ascii="Times New Roman" w:cs="Times New Roman" w:eastAsia="Times New Roman" w:hAnsi="Times New Roman"/>
          <w:b/>
          <w:color w:val="000000"/>
          <w:kern w:val="2"/>
          <w:sz w:val="42"/>
          <w:szCs w:val="42"/>
        </w:rPr>
        <w:t>JULY, 2025.</w:t>
      </w:r>
      <w:bookmarkEnd w:id="0"/>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6"/>
          <w:szCs w:val="26"/>
        </w:rPr>
      </w:pPr>
      <w:r>
        <w:rPr>
          <w:rFonts w:ascii="Times New Roman" w:cs="Times New Roman" w:eastAsia="Times New Roman" w:hAnsi="Times New Roman"/>
          <w:b/>
          <w:color w:val="000000"/>
          <w:kern w:val="2"/>
          <w:sz w:val="26"/>
          <w:szCs w:val="26"/>
        </w:rPr>
        <w:br w:type="page"/>
      </w:r>
      <w:bookmarkStart w:id="1" w:name="_Toc203009284"/>
      <w:r>
        <w:rPr>
          <w:rFonts w:ascii="Times New Roman" w:cs="Times New Roman" w:eastAsia="Times New Roman" w:hAnsi="Times New Roman"/>
          <w:b/>
          <w:color w:val="000000"/>
          <w:kern w:val="2"/>
          <w:sz w:val="26"/>
          <w:szCs w:val="26"/>
        </w:rPr>
        <w:t>DECLARATION</w:t>
      </w:r>
      <w:bookmarkEnd w:id="1"/>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r>
        <w:rPr>
          <w:rFonts w:ascii="Times New Roman" w:cs="Times New Roman" w:eastAsia="Times New Roman" w:hAnsi="Times New Roman"/>
          <w:color w:val="000000"/>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240"/>
        <w:ind w:left="10" w:right="2" w:hanging="10"/>
        <w:jc w:val="both"/>
        <w:rPr>
          <w:rFonts w:ascii="Times New Roman" w:cs="Times New Roman" w:eastAsia="Times New Roman" w:hAnsi="Times New Roman"/>
          <w:color w:val="000000"/>
          <w:kern w:val="2"/>
          <w:sz w:val="26"/>
          <w:szCs w:val="26"/>
        </w:rPr>
      </w:pPr>
      <w:r>
        <w:rPr>
          <w:rFonts w:ascii="Times New Roman" w:cs="Times New Roman" w:eastAsia="Times New Roman" w:hAnsi="Times New Roman"/>
          <w:color w:val="000000"/>
          <w:kern w:val="2"/>
          <w:sz w:val="26"/>
          <w:szCs w:val="26"/>
        </w:rPr>
        <w:t>___________________</w:t>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____________________</w:t>
      </w:r>
    </w:p>
    <w:p>
      <w:pPr>
        <w:pStyle w:val="style0"/>
        <w:spacing w:after="0" w:lineRule="auto" w:line="480"/>
        <w:ind w:left="10" w:right="2" w:hanging="10"/>
        <w:jc w:val="both"/>
        <w:rPr>
          <w:rFonts w:ascii="Times New Roman" w:cs="Times New Roman" w:eastAsia="Times New Roman" w:hAnsi="Times New Roman"/>
          <w:b/>
          <w:iCs/>
          <w:color w:val="000000"/>
          <w:kern w:val="2"/>
          <w:sz w:val="26"/>
          <w:szCs w:val="26"/>
        </w:rPr>
      </w:pPr>
      <w:r>
        <w:rPr>
          <w:rFonts w:ascii="Times New Roman" w:cs="Times New Roman" w:eastAsia="Times New Roman" w:hAnsi="Times New Roman"/>
          <w:iCs/>
          <w:color w:val="000000"/>
          <w:kern w:val="2"/>
          <w:sz w:val="26"/>
          <w:szCs w:val="26"/>
        </w:rPr>
        <w:t>Sanusi Jamiu Ayobami</w:t>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color w:val="000000"/>
          <w:kern w:val="2"/>
          <w:sz w:val="26"/>
          <w:szCs w:val="26"/>
        </w:rPr>
        <w:t>Date</w:t>
      </w:r>
    </w:p>
    <w:p>
      <w:pPr>
        <w:pStyle w:val="style0"/>
        <w:spacing w:after="202" w:lineRule="auto" w:line="255"/>
        <w:ind w:left="10" w:right="2" w:hanging="10"/>
        <w:jc w:val="both"/>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both"/>
        <w:rPr>
          <w:rFonts w:ascii="Times New Roman" w:cs="Times New Roman" w:eastAsia="Times New Roman" w:hAnsi="Times New Roman"/>
          <w:b/>
          <w:color w:val="000000"/>
          <w:kern w:val="2"/>
          <w:sz w:val="26"/>
          <w:szCs w:val="26"/>
        </w:rPr>
      </w:pPr>
    </w:p>
    <w:bookmarkStart w:id="2" w:name="_Toc203009286"/>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noProof/>
        </w:rPr>
        <w:drawing>
          <wp:inline distL="0" distT="0" distB="0" distR="0">
            <wp:extent cx="6439442" cy="8926286"/>
            <wp:effectExtent l="0" t="0" r="0" b="825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439442" cy="8926286"/>
                    </a:xfrm>
                    <a:prstGeom prst="rect"/>
                  </pic:spPr>
                </pic:pic>
              </a:graphicData>
            </a:graphic>
          </wp:inline>
        </w:drawing>
      </w:r>
      <w:r>
        <w:rPr>
          <w:rFonts w:ascii="Times New Roman" w:cs="Times New Roman" w:eastAsia="Times New Roman" w:hAnsi="Times New Roman"/>
          <w:b/>
          <w:color w:val="000000"/>
          <w:kern w:val="2"/>
          <w:sz w:val="24"/>
          <w:szCs w:val="24"/>
        </w:rPr>
        <w:t>DEDICATION</w:t>
      </w:r>
      <w:bookmarkEnd w:id="2"/>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The project is mostly dedicated to Almighty Allah for his Mercy, protection and guidance towards me, also for keeping me safe during my Higher National Diploma (HND) programme.</w:t>
      </w:r>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 xml:space="preserve">It is Also Dedicated to my beloved parents and my entire Family For their Contribution in different ways and for their support in making this programme a successful one. May Almighty Allah Reward </w:t>
      </w:r>
      <w:r>
        <w:rPr>
          <w:rFonts w:ascii="Times New Roman" w:cs="Times New Roman" w:eastAsia="Times New Roman" w:hAnsi="Times New Roman"/>
          <w:color w:val="000000"/>
          <w:kern w:val="2"/>
          <w:sz w:val="24"/>
          <w:szCs w:val="24"/>
        </w:rPr>
        <w:t>them</w:t>
      </w:r>
      <w:r>
        <w:rPr>
          <w:rFonts w:ascii="Times New Roman" w:cs="Times New Roman" w:eastAsia="Times New Roman" w:hAnsi="Times New Roman"/>
          <w:color w:val="000000"/>
          <w:kern w:val="2"/>
          <w:sz w:val="24"/>
          <w:szCs w:val="24"/>
        </w:rPr>
        <w:t xml:space="preserve"> Abundantly (Amen)</w:t>
      </w: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bookmarkStart w:id="3" w:name="_Toc203009287"/>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color w:val="000000"/>
          <w:kern w:val="2"/>
          <w:sz w:val="24"/>
          <w:szCs w:val="24"/>
        </w:rPr>
        <w:t>ACKNOWLEDGEMENT</w:t>
      </w:r>
      <w:bookmarkEnd w:id="3"/>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All praise be with Almighty Allah for giving me the strength and guidance to complete this project.</w:t>
      </w:r>
    </w:p>
    <w:p>
      <w:pPr>
        <w:pStyle w:val="style0"/>
        <w:spacing w:after="0" w:lineRule="auto" w:line="480"/>
        <w:ind w:left="10" w:right="2" w:firstLine="720"/>
        <w:jc w:val="both"/>
        <w:rPr>
          <w:rFonts w:ascii="Cambria" w:cs="SimSun" w:eastAsia="MS Mincho" w:hAnsi="Cambria"/>
          <w:sz w:val="24"/>
          <w:szCs w:val="24"/>
        </w:rPr>
      </w:pPr>
      <w:r>
        <w:rPr>
          <w:rFonts w:ascii="Times New Roman" w:cs="Times New Roman" w:eastAsia="Times New Roman" w:hAnsi="Times New Roman"/>
          <w:color w:val="000000"/>
          <w:kern w:val="2"/>
          <w:sz w:val="24"/>
          <w:szCs w:val="24"/>
        </w:rPr>
        <w:t xml:space="preserve">  </w:t>
      </w:r>
      <w:r>
        <w:rPr>
          <w:rFonts w:ascii="Cambria" w:cs="SimSun" w:eastAsia="MS Mincho" w:hAnsi="Cambria"/>
          <w:sz w:val="24"/>
          <w:szCs w:val="24"/>
        </w:rPr>
        <w:t xml:space="preserve">I wish to express my heartfelt appreciation to my supervisor, QS Azeez Kareem </w:t>
      </w:r>
      <w:r>
        <w:rPr>
          <w:rFonts w:ascii="Cambria" w:cs="SimSun" w:eastAsia="MS Mincho" w:hAnsi="Cambria"/>
          <w:sz w:val="24"/>
          <w:szCs w:val="24"/>
        </w:rPr>
        <w:t>Bolakale</w:t>
      </w:r>
      <w:r>
        <w:rPr>
          <w:rFonts w:ascii="Cambria" w:cs="SimSun" w:eastAsia="MS Mincho" w:hAnsi="Cambria"/>
          <w:sz w:val="24"/>
          <w:szCs w:val="24"/>
        </w:rPr>
        <w:t xml:space="preserve"> for his patience, invaluable assistance, and guidance throughout the duration of this project.</w:t>
      </w:r>
    </w:p>
    <w:p>
      <w:pPr>
        <w:pStyle w:val="style0"/>
        <w:spacing w:after="0" w:lineRule="auto" w:line="480"/>
        <w:ind w:left="10" w:right="2" w:firstLine="720"/>
        <w:jc w:val="both"/>
        <w:rPr>
          <w:rFonts w:ascii="Cambria" w:cs="SimSun" w:eastAsia="MS Mincho" w:hAnsi="Cambria"/>
          <w:sz w:val="24"/>
          <w:szCs w:val="24"/>
        </w:rPr>
      </w:pPr>
      <w:r>
        <w:rPr>
          <w:rFonts w:ascii="Cambria" w:cs="SimSun" w:eastAsia="MS Mincho" w:hAnsi="Cambria"/>
          <w:sz w:val="24"/>
          <w:szCs w:val="24"/>
        </w:rPr>
        <w:t>My sincere appreciation also goes to the entire staff of the department, starting from the Head of Department, QS Sidiq Lateef, for the knowledge and support imparted to us throughout our studies. May Almighty Allah continue to uplift and reward you all abundantly.</w:t>
      </w:r>
    </w:p>
    <w:p>
      <w:pPr>
        <w:pStyle w:val="style0"/>
        <w:spacing w:after="0" w:lineRule="auto" w:line="480"/>
        <w:ind w:left="10" w:right="2" w:firstLine="720"/>
        <w:jc w:val="both"/>
        <w:rPr>
          <w:rFonts w:ascii="Cambria" w:cs="SimSun" w:eastAsia="MS Mincho" w:hAnsi="Cambria"/>
          <w:sz w:val="24"/>
          <w:szCs w:val="24"/>
        </w:rPr>
      </w:pPr>
      <w:r>
        <w:rPr>
          <w:rFonts w:ascii="Cambria" w:cs="SimSun" w:eastAsia="MS Mincho" w:hAnsi="Cambria"/>
          <w:sz w:val="24"/>
          <w:szCs w:val="24"/>
        </w:rPr>
        <w:t>My profound gratitude goes to my parents, Mr. &amp; Mrs. Sanusi, for their unwavering financial, moral, and spiritual support and encouragement throughout my academic journey.</w:t>
      </w:r>
      <w:r>
        <w:rPr>
          <w:rFonts w:ascii="Cambria" w:cs="SimSun" w:eastAsia="MS Mincho" w:hAnsi="Cambria"/>
          <w:sz w:val="24"/>
          <w:szCs w:val="24"/>
        </w:rPr>
        <w:br/>
      </w:r>
      <w:r>
        <w:rPr>
          <w:rFonts w:ascii="Cambria" w:cs="SimSun" w:eastAsia="MS Mincho" w:hAnsi="Cambria"/>
          <w:sz w:val="24"/>
          <w:szCs w:val="24"/>
        </w:rPr>
        <w:t xml:space="preserve">Special thanks go to my big brother, Mr. Bello </w:t>
      </w:r>
      <w:r>
        <w:rPr>
          <w:rFonts w:ascii="Cambria" w:cs="SimSun" w:eastAsia="MS Mincho" w:hAnsi="Cambria"/>
          <w:sz w:val="24"/>
          <w:szCs w:val="24"/>
        </w:rPr>
        <w:t>Sikirullah</w:t>
      </w:r>
      <w:r>
        <w:rPr>
          <w:rFonts w:ascii="Cambria" w:cs="SimSun" w:eastAsia="MS Mincho" w:hAnsi="Cambria"/>
          <w:sz w:val="24"/>
          <w:szCs w:val="24"/>
        </w:rPr>
        <w:t>, for his immense support—financially, materially, morally, and spiritually. I am also deeply grateful to his wonderful wife, Mrs. Bello Lateefat, for her kindness, hospitality, and continuous support.</w:t>
      </w:r>
    </w:p>
    <w:p>
      <w:pPr>
        <w:pStyle w:val="style0"/>
        <w:spacing w:after="0" w:lineRule="auto" w:line="480"/>
        <w:ind w:left="10" w:right="2" w:firstLine="720"/>
        <w:jc w:val="both"/>
        <w:rPr>
          <w:rFonts w:ascii="Cambria" w:cs="SimSun" w:eastAsia="MS Mincho" w:hAnsi="Cambria"/>
          <w:sz w:val="24"/>
          <w:szCs w:val="24"/>
        </w:rPr>
      </w:pPr>
      <w:r>
        <w:rPr>
          <w:rFonts w:ascii="Cambria" w:cs="SimSun" w:eastAsia="MS Mincho" w:hAnsi="Cambria"/>
          <w:sz w:val="24"/>
          <w:szCs w:val="24"/>
        </w:rPr>
        <w:t xml:space="preserve">I also extend my heartfelt appreciation to my brothers: Bello Taofeek, Bello Abdulkabir, Sanusi Abdul Wasiu, Sanusi Abdullahi, Bello </w:t>
      </w:r>
      <w:r>
        <w:rPr>
          <w:rFonts w:ascii="Cambria" w:cs="SimSun" w:eastAsia="MS Mincho" w:hAnsi="Cambria"/>
          <w:sz w:val="24"/>
          <w:szCs w:val="24"/>
        </w:rPr>
        <w:t>Fausiyah</w:t>
      </w:r>
      <w:r>
        <w:rPr>
          <w:rFonts w:ascii="Cambria" w:cs="SimSun" w:eastAsia="MS Mincho" w:hAnsi="Cambria"/>
          <w:sz w:val="24"/>
          <w:szCs w:val="24"/>
        </w:rPr>
        <w:t xml:space="preserve">, Awwal, and </w:t>
      </w:r>
      <w:r>
        <w:rPr>
          <w:rFonts w:ascii="Cambria" w:cs="SimSun" w:eastAsia="MS Mincho" w:hAnsi="Cambria"/>
          <w:sz w:val="24"/>
          <w:szCs w:val="24"/>
        </w:rPr>
        <w:t>AbdulAzeez</w:t>
      </w:r>
      <w:r>
        <w:rPr>
          <w:rFonts w:ascii="Cambria" w:cs="SimSun" w:eastAsia="MS Mincho" w:hAnsi="Cambria"/>
          <w:sz w:val="24"/>
          <w:szCs w:val="24"/>
        </w:rPr>
        <w:t>. Your encouragement and support have been a source of strength to me.</w:t>
      </w:r>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Cambria" w:cs="SimSun" w:eastAsia="MS Mincho" w:hAnsi="Cambria"/>
          <w:sz w:val="24"/>
          <w:szCs w:val="24"/>
        </w:rPr>
        <w:t>To my dear friends and well-wishers, including Jimoh Afeez, Sanusi Aishat, Babatunde Afeez, and many others whose names cannot all be mentioned, I say thank you. Your support, motivation, and prayers have helped me through this journey.</w:t>
      </w:r>
      <w:r>
        <w:rPr>
          <w:rFonts w:cs="SimSun" w:eastAsia="MS Mincho" w:hAnsi="Cambria"/>
          <w:sz w:val="24"/>
          <w:szCs w:val="24"/>
        </w:rPr>
        <w:t xml:space="preserve"> </w:t>
      </w:r>
      <w:r>
        <w:rPr>
          <w:rFonts w:ascii="Cambria" w:cs="SimSun" w:eastAsia="MS Mincho" w:hAnsi="Cambria"/>
          <w:sz w:val="24"/>
          <w:szCs w:val="24"/>
        </w:rPr>
        <w:t>May Almighty Allah in His infinite mercy continue to bless and be with every one of you and myself. Ameen.</w:t>
      </w:r>
    </w:p>
    <w:bookmarkStart w:id="4" w:name="_Toc203009288"/>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color w:val="000000"/>
          <w:kern w:val="2"/>
          <w:sz w:val="24"/>
          <w:szCs w:val="24"/>
        </w:rPr>
        <w:t>ABSTRACT</w:t>
      </w:r>
      <w:bookmarkEnd w:id="4"/>
    </w:p>
    <w:p>
      <w:pPr>
        <w:pStyle w:val="style0"/>
        <w:autoSpaceDE w:val="false"/>
        <w:autoSpaceDN w:val="false"/>
        <w:adjustRightInd w:val="false"/>
        <w:spacing w:after="0"/>
        <w:jc w:val="both"/>
        <w:contextualSpacing/>
        <w:rPr>
          <w:rFonts w:ascii="Times New Roman" w:cs="Times New Roman" w:hAnsi="Times New Roman"/>
          <w:i/>
          <w:iCs/>
          <w:color w:val="000000"/>
          <w:sz w:val="24"/>
          <w:szCs w:val="24"/>
        </w:rPr>
      </w:pPr>
      <w:r>
        <w:rPr>
          <w:rFonts w:ascii="Times New Roman" w:cs="Times New Roman" w:hAnsi="Times New Roman"/>
          <w:i/>
          <w:iCs/>
          <w:color w:val="000000"/>
          <w:sz w:val="24"/>
          <w:szCs w:val="24"/>
        </w:rPr>
        <w:t>This study critically examines the impact of material management strategies on contractor This study explores the impact of building regulation compliance on construction costs in Nigeria, with specific reference to public construction projects within Ilorin Metropolis. As the Nigerian construction industry continues to face challenges related to building safety, sustainability, and cost overruns, there is growing concern about how regulatory frameworks influence project outcomes. The study aims to identify the specific challenges posed by building regulations, analyze the causes of increased construction costs linked to regulatory requirements, assess the role of enforcement mechanisms in cost management, and propose practical strategies for minimizing costs without compromising compliance. A quantitative research method was adopted, utilizing structured questionnaires administered to a targeted sample of 50 construction professionals, including architects, quantity surveyors, builders, and project managers who have been directly involved in regulatory processes. The results reveal that compliance with building regulations significantly contributes to increased construction costs, largely due to high permit fees, multiple approval stages, bureaucratic bottlenecks, and the financial burden of meeting technical and environmental standards. Additionally, delays caused by weak institutional enforcement and inconsistent policy application further impact cost and project delivery timelines. Corruption and lack of transparency in regulatory processes also emerged as key cost drivers. Despite these challenges, the study identifies that the integration of digital approval systems, the harmonization of building codes, enhanced stakeholder engagement, and the use of cost-effective materials can help mitigate regulatory-induced costs. The findings highlight the need for policy reforms that prioritize regulatory efficiency, transparency, and economic feasibility, thereby fostering a construction environment that is not only safe and compliant but also financially sustainable for both public and private sector stakeholders.</w:t>
      </w:r>
      <w:r>
        <w:rPr>
          <w:rFonts w:ascii="Times New Roman" w:cs="Times New Roman" w:hAnsi="Times New Roman"/>
          <w:i/>
          <w:iCs/>
          <w:color w:val="000000"/>
          <w:sz w:val="24"/>
          <w:szCs w:val="24"/>
        </w:rPr>
        <w:br w:type="page"/>
      </w:r>
    </w:p>
    <w:p>
      <w:pPr>
        <w:pStyle w:val="style0"/>
        <w:keepNext/>
        <w:keepLines/>
        <w:spacing w:before="240" w:after="0"/>
        <w:jc w:val="center"/>
        <w:rPr>
          <w:rFonts w:ascii="Times New Roman" w:cs="Times New Roman" w:eastAsia="Times New Roman" w:hAnsi="Times New Roman"/>
          <w:b/>
          <w:bCs/>
          <w:color w:val="000000"/>
          <w:sz w:val="32"/>
          <w:szCs w:val="32"/>
        </w:rPr>
      </w:pPr>
      <w:r>
        <w:rPr>
          <w:rFonts w:ascii="Times New Roman" w:cs="Times New Roman" w:eastAsia="Times New Roman" w:hAnsi="Times New Roman"/>
          <w:b/>
          <w:bCs/>
          <w:color w:val="000000"/>
          <w:sz w:val="32"/>
          <w:szCs w:val="32"/>
        </w:rPr>
        <w:t>TABLE OF CONTENTS</w:t>
      </w:r>
    </w:p>
    <w:p>
      <w:pPr>
        <w:pStyle w:val="style19"/>
        <w:tabs>
          <w:tab w:val="right" w:leader="dot" w:pos="9019"/>
        </w:tabs>
        <w:spacing w:lineRule="auto" w:line="360"/>
        <w:rPr>
          <w:rFonts w:ascii="Times New Roman" w:cs="Times New Roman" w:eastAsia="SimSun" w:hAnsi="Times New Roman"/>
          <w:noProof/>
          <w:sz w:val="24"/>
          <w:szCs w:val="24"/>
        </w:rPr>
      </w:pPr>
      <w:r>
        <w:rPr>
          <w:rFonts w:ascii="Times New Roman" w:cs="Times New Roman" w:eastAsia="Times New Roman" w:hAnsi="Times New Roman"/>
          <w:color w:val="000000"/>
          <w:kern w:val="2"/>
          <w:sz w:val="24"/>
          <w:szCs w:val="24"/>
        </w:rPr>
        <w:fldChar w:fldCharType="begin"/>
      </w:r>
      <w:r>
        <w:rPr>
          <w:rFonts w:ascii="Times New Roman" w:cs="Times New Roman" w:eastAsia="Times New Roman" w:hAnsi="Times New Roman"/>
          <w:color w:val="000000"/>
          <w:kern w:val="2"/>
          <w:sz w:val="24"/>
          <w:szCs w:val="24"/>
        </w:rPr>
        <w:instrText xml:space="preserve"> TOC \o "1-3" \h \z \u </w:instrText>
      </w:r>
      <w:r>
        <w:rPr>
          <w:rFonts w:ascii="Times New Roman" w:cs="Times New Roman" w:eastAsia="Times New Roman" w:hAnsi="Times New Roman"/>
          <w:color w:val="000000"/>
          <w:kern w:val="2"/>
          <w:sz w:val="24"/>
          <w:szCs w:val="24"/>
        </w:rPr>
        <w:fldChar w:fldCharType="separate"/>
      </w:r>
      <w:r>
        <w:rPr/>
        <w:fldChar w:fldCharType="begin"/>
      </w:r>
      <w:r>
        <w:instrText xml:space="preserve"> HYPERLINK \l "_Toc203009283" </w:instrText>
      </w:r>
      <w:r>
        <w:rPr/>
        <w:fldChar w:fldCharType="separate"/>
      </w:r>
      <w:r>
        <w:rPr>
          <w:rStyle w:val="style85"/>
          <w:rFonts w:ascii="Times New Roman" w:cs="Times New Roman" w:eastAsia="Times New Roman" w:hAnsi="Times New Roman"/>
          <w:noProof/>
          <w:kern w:val="2"/>
          <w:sz w:val="24"/>
          <w:szCs w:val="24"/>
        </w:rPr>
        <w:t>TITLE PAGE</w:t>
      </w:r>
      <w:r>
        <w:rPr>
          <w:rFonts w:ascii="Times New Roman" w:cs="Times New Roman" w:hAnsi="Times New Roman"/>
          <w:noProof/>
          <w:webHidden/>
          <w:sz w:val="24"/>
          <w:szCs w:val="24"/>
        </w:rPr>
        <w:tab/>
      </w:r>
      <w:r>
        <w:rPr/>
        <w:fldChar w:fldCharType="end"/>
      </w:r>
      <w:r>
        <w:t>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"_Toc203009284" </w:instrText>
      </w:r>
      <w:r>
        <w:rPr/>
        <w:fldChar w:fldCharType="separate"/>
      </w:r>
      <w:r>
        <w:rPr>
          <w:rStyle w:val="style85"/>
          <w:rFonts w:ascii="Times New Roman" w:cs="Times New Roman" w:eastAsia="Times New Roman" w:hAnsi="Times New Roman"/>
          <w:noProof/>
          <w:kern w:val="2"/>
          <w:sz w:val="24"/>
          <w:szCs w:val="24"/>
        </w:rPr>
        <w:t>DECLARATION</w:t>
      </w:r>
      <w:r>
        <w:rPr>
          <w:rFonts w:ascii="Times New Roman" w:cs="Times New Roman" w:hAnsi="Times New Roman"/>
          <w:noProof/>
          <w:webHidden/>
          <w:sz w:val="24"/>
          <w:szCs w:val="24"/>
        </w:rPr>
        <w:tab/>
      </w:r>
      <w:r>
        <w:rPr/>
        <w:fldChar w:fldCharType="end"/>
      </w:r>
      <w:r>
        <w:t>ii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"_Toc203009285" </w:instrText>
      </w:r>
      <w:r>
        <w:rPr/>
        <w:fldChar w:fldCharType="separate"/>
      </w:r>
      <w:r>
        <w:rPr>
          <w:rStyle w:val="style85"/>
          <w:rFonts w:ascii="Times New Roman" w:cs="Times New Roman" w:eastAsia="Times New Roman" w:hAnsi="Times New Roman"/>
          <w:noProof/>
          <w:kern w:val="2"/>
          <w:sz w:val="24"/>
          <w:szCs w:val="24"/>
        </w:rPr>
        <w:t>CERTIFICATION</w:t>
      </w:r>
      <w:r>
        <w:rPr>
          <w:rFonts w:ascii="Times New Roman" w:cs="Times New Roman" w:hAnsi="Times New Roman"/>
          <w:noProof/>
          <w:webHidden/>
          <w:sz w:val="24"/>
          <w:szCs w:val="24"/>
        </w:rPr>
        <w:tab/>
      </w:r>
      <w:r>
        <w:rPr/>
        <w:fldChar w:fldCharType="end"/>
      </w:r>
      <w:r>
        <w:t>iii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"_Toc203009286" </w:instrText>
      </w:r>
      <w:r>
        <w:rPr/>
        <w:fldChar w:fldCharType="separate"/>
      </w:r>
      <w:r>
        <w:rPr>
          <w:rStyle w:val="style85"/>
          <w:rFonts w:ascii="Times New Roman" w:cs="Times New Roman" w:eastAsia="Times New Roman" w:hAnsi="Times New Roman"/>
          <w:noProof/>
          <w:kern w:val="2"/>
          <w:sz w:val="24"/>
          <w:szCs w:val="24"/>
        </w:rPr>
        <w:t>DEDICATION</w:t>
      </w:r>
      <w:r>
        <w:rPr>
          <w:rFonts w:ascii="Times New Roman" w:cs="Times New Roman" w:hAnsi="Times New Roman"/>
          <w:noProof/>
          <w:webHidden/>
          <w:sz w:val="24"/>
          <w:szCs w:val="24"/>
        </w:rPr>
        <w:tab/>
      </w:r>
      <w:r>
        <w:rPr/>
        <w:fldChar w:fldCharType="end"/>
      </w:r>
      <w:r>
        <w:t>iv</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"_Toc203009287" </w:instrText>
      </w:r>
      <w:r>
        <w:rPr/>
        <w:fldChar w:fldCharType="separate"/>
      </w:r>
      <w:r>
        <w:rPr>
          <w:rStyle w:val="style85"/>
          <w:rFonts w:ascii="Times New Roman" w:cs="Times New Roman" w:eastAsia="Times New Roman" w:hAnsi="Times New Roman"/>
          <w:noProof/>
          <w:kern w:val="2"/>
          <w:sz w:val="24"/>
          <w:szCs w:val="24"/>
        </w:rPr>
        <w:t>ACKNOWLEDGEMENT</w:t>
      </w:r>
      <w:r>
        <w:rPr>
          <w:rFonts w:ascii="Times New Roman" w:cs="Times New Roman" w:hAnsi="Times New Roman"/>
          <w:noProof/>
          <w:webHidden/>
          <w:sz w:val="24"/>
          <w:szCs w:val="24"/>
        </w:rPr>
        <w:tab/>
      </w:r>
      <w:r>
        <w:rPr/>
        <w:fldChar w:fldCharType="end"/>
      </w:r>
      <w:r>
        <w:t>v</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"_Toc203009288" </w:instrText>
      </w:r>
      <w:r>
        <w:rPr/>
        <w:fldChar w:fldCharType="separate"/>
      </w:r>
      <w:r>
        <w:rPr>
          <w:rStyle w:val="style85"/>
          <w:rFonts w:ascii="Times New Roman" w:cs="Times New Roman" w:eastAsia="Times New Roman" w:hAnsi="Times New Roman"/>
          <w:noProof/>
          <w:kern w:val="2"/>
          <w:sz w:val="24"/>
          <w:szCs w:val="24"/>
        </w:rPr>
        <w:t>ABSTRACT</w:t>
      </w:r>
      <w:r>
        <w:rPr>
          <w:rFonts w:ascii="Times New Roman" w:cs="Times New Roman" w:hAnsi="Times New Roman"/>
          <w:noProof/>
          <w:webHidden/>
          <w:sz w:val="24"/>
          <w:szCs w:val="24"/>
        </w:rPr>
        <w:tab/>
      </w:r>
      <w:r>
        <w:rPr/>
        <w:fldChar w:fldCharType="end"/>
      </w:r>
      <w:r>
        <w:t>vi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"_Toc203009289"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"_Toc203009290"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"_Toc203009291" </w:instrText>
      </w:r>
      <w:r>
        <w:rPr/>
        <w:fldChar w:fldCharType="separate"/>
      </w:r>
      <w:r>
        <w:rPr>
          <w:rStyle w:val="style85"/>
          <w:rFonts w:ascii="Times New Roman" w:cs="Times New Roman" w:hAnsi="Times New Roman"/>
          <w:noProof/>
          <w:sz w:val="24"/>
          <w:szCs w:val="24"/>
        </w:rPr>
        <w:t>1.1</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"_Toc203009292" </w:instrText>
      </w:r>
      <w:r>
        <w:rPr/>
        <w:fldChar w:fldCharType="separate"/>
      </w:r>
      <w:r>
        <w:rPr>
          <w:rStyle w:val="style85"/>
          <w:rFonts w:ascii="Times New Roman" w:cs="Times New Roman" w:hAnsi="Times New Roman"/>
          <w:noProof/>
          <w:sz w:val="24"/>
          <w:szCs w:val="24"/>
        </w:rPr>
        <w:t>1.2</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Statement of the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"_Toc203009293" </w:instrText>
      </w:r>
      <w:r>
        <w:rPr/>
        <w:fldChar w:fldCharType="separate"/>
      </w:r>
      <w:r>
        <w:rPr>
          <w:rStyle w:val="style85"/>
          <w:rFonts w:ascii="Times New Roman" w:cs="Times New Roman" w:hAnsi="Times New Roman"/>
          <w:noProof/>
          <w:sz w:val="24"/>
          <w:szCs w:val="24"/>
        </w:rPr>
        <w:t>1.3</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Research Questions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"_Toc203009294" </w:instrText>
      </w:r>
      <w:r>
        <w:rPr/>
        <w:fldChar w:fldCharType="separate"/>
      </w:r>
      <w:r>
        <w:rPr>
          <w:rStyle w:val="style85"/>
          <w:rFonts w:ascii="Times New Roman" w:cs="Times New Roman" w:hAnsi="Times New Roman"/>
          <w:noProof/>
          <w:sz w:val="24"/>
          <w:szCs w:val="24"/>
        </w:rPr>
        <w:t>1.4</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Aim and Objectives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"_Toc203009295" </w:instrText>
      </w:r>
      <w:r>
        <w:rPr/>
        <w:fldChar w:fldCharType="separate"/>
      </w:r>
      <w:r>
        <w:rPr>
          <w:rStyle w:val="style85"/>
          <w:rFonts w:ascii="Times New Roman" w:cs="Times New Roman" w:eastAsia="Times New Roman" w:hAnsi="Times New Roman"/>
          <w:noProof/>
          <w:sz w:val="24"/>
          <w:szCs w:val="24"/>
        </w:rPr>
        <w:t>1.5</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Justification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"_Toc203009296" </w:instrText>
      </w:r>
      <w:r>
        <w:rPr/>
        <w:fldChar w:fldCharType="separate"/>
      </w:r>
      <w:r>
        <w:rPr>
          <w:rStyle w:val="style85"/>
          <w:rFonts w:ascii="Times New Roman" w:cs="Times New Roman" w:hAnsi="Times New Roman"/>
          <w:noProof/>
          <w:sz w:val="24"/>
          <w:szCs w:val="24"/>
        </w:rPr>
        <w:t>1.6</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Scope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"_Toc203009297" </w:instrText>
      </w:r>
      <w:r>
        <w:rPr/>
        <w:fldChar w:fldCharType="separate"/>
      </w:r>
      <w:r>
        <w:rPr>
          <w:rStyle w:val="style85"/>
          <w:rFonts w:ascii="Times New Roman" w:cs="Times New Roman" w:hAnsi="Times New Roman"/>
          <w:noProof/>
          <w:sz w:val="24"/>
          <w:szCs w:val="24"/>
        </w:rPr>
        <w:t>1.7</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Definition of Terms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"_Toc203009298"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"_Toc203009299"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"_Toc203009300" </w:instrText>
      </w:r>
      <w:r>
        <w:rPr/>
        <w:fldChar w:fldCharType="separate"/>
      </w:r>
      <w:r>
        <w:rPr>
          <w:rStyle w:val="style85"/>
          <w:rFonts w:ascii="Times New Roman" w:cs="Times New Roman" w:hAnsi="Times New Roman"/>
          <w:noProof/>
          <w:sz w:val="24"/>
          <w:szCs w:val="24"/>
        </w:rPr>
        <w:t>2.1</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Historical Background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"_Toc203009301" </w:instrText>
      </w:r>
      <w:r>
        <w:rPr/>
        <w:fldChar w:fldCharType="separate"/>
      </w:r>
      <w:r>
        <w:rPr>
          <w:rStyle w:val="style85"/>
          <w:rFonts w:ascii="Times New Roman" w:cs="Times New Roman" w:eastAsia="Times New Roman" w:hAnsi="Times New Roman"/>
          <w:noProof/>
          <w:sz w:val="24"/>
          <w:szCs w:val="24"/>
        </w:rPr>
        <w:t>2.2</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The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"_Toc203009302" </w:instrText>
      </w:r>
      <w:r>
        <w:rPr/>
        <w:fldChar w:fldCharType="separate"/>
      </w:r>
      <w:r>
        <w:rPr>
          <w:rStyle w:val="style85"/>
          <w:rFonts w:ascii="Times New Roman" w:cs="Times New Roman" w:eastAsia="Times New Roman" w:hAnsi="Times New Roman"/>
          <w:noProof/>
          <w:sz w:val="24"/>
          <w:szCs w:val="24"/>
        </w:rPr>
        <w:t>2.3</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Current Literature Based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"_Toc203009303" </w:instrText>
      </w:r>
      <w:r>
        <w:rPr/>
        <w:fldChar w:fldCharType="separate"/>
      </w:r>
      <w:r>
        <w:rPr>
          <w:rStyle w:val="style85"/>
          <w:rFonts w:ascii="Times New Roman" w:cs="Times New Roman" w:hAnsi="Times New Roman"/>
          <w:noProof/>
          <w:sz w:val="24"/>
          <w:szCs w:val="24"/>
        </w:rPr>
        <w:t>2.3</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Summary of Chapter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"_Toc203009304"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"_Toc203009305" </w:instrText>
      </w:r>
      <w:r>
        <w:rPr/>
        <w:fldChar w:fldCharType="separate"/>
      </w:r>
      <w:r>
        <w:rPr>
          <w:rStyle w:val="style85"/>
          <w:rFonts w:ascii="Times New Roman" w:cs="Times New Roman" w:hAnsi="Times New Roman"/>
          <w:noProof/>
          <w:sz w:val="24"/>
          <w:szCs w:val="24"/>
        </w:rPr>
        <w:t>RESEARCH METHODOLOGY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"_Toc203009306" </w:instrText>
      </w:r>
      <w:r>
        <w:rPr/>
        <w:fldChar w:fldCharType="separate"/>
      </w:r>
      <w:r>
        <w:rPr>
          <w:rStyle w:val="style85"/>
          <w:rFonts w:ascii="Times New Roman" w:cs="Times New Roman" w:hAnsi="Times New Roman"/>
          <w:noProof/>
          <w:sz w:val="24"/>
          <w:szCs w:val="24"/>
        </w:rPr>
        <w:t>3.1 A Brief Outline of the Chapter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"_Toc203009307" </w:instrText>
      </w:r>
      <w:r>
        <w:rPr/>
        <w:fldChar w:fldCharType="separate"/>
      </w:r>
      <w:r>
        <w:rPr>
          <w:rStyle w:val="style85"/>
          <w:rFonts w:ascii="Times New Roman" w:cs="Times New Roman" w:eastAsia="Times New Roman" w:hAnsi="Times New Roman"/>
          <w:noProof/>
          <w:sz w:val="24"/>
          <w:szCs w:val="24"/>
        </w:rPr>
        <w:t>3.2</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Restatement of the Research Questions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"_Toc203009308" </w:instrText>
      </w:r>
      <w:r>
        <w:rPr/>
        <w:fldChar w:fldCharType="separate"/>
      </w:r>
      <w:r>
        <w:rPr>
          <w:rStyle w:val="style85"/>
          <w:rFonts w:ascii="Times New Roman" w:cs="Times New Roman" w:hAnsi="Times New Roman"/>
          <w:noProof/>
          <w:sz w:val="24"/>
          <w:szCs w:val="24"/>
        </w:rPr>
        <w:t>3.3 Research Design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"_Toc203009309" </w:instrText>
      </w:r>
      <w:r>
        <w:rPr/>
        <w:fldChar w:fldCharType="separate"/>
      </w:r>
      <w:r>
        <w:rPr>
          <w:rStyle w:val="style85"/>
          <w:rFonts w:ascii="Times New Roman" w:cs="Times New Roman" w:hAnsi="Times New Roman"/>
          <w:noProof/>
          <w:sz w:val="24"/>
          <w:szCs w:val="24"/>
        </w:rPr>
        <w:t>3.4 Population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"_Toc203009310" </w:instrText>
      </w:r>
      <w:r>
        <w:rPr/>
        <w:fldChar w:fldCharType="separate"/>
      </w:r>
      <w:r>
        <w:rPr>
          <w:rStyle w:val="style85"/>
          <w:rFonts w:ascii="Times New Roman" w:cs="Times New Roman" w:hAnsi="Times New Roman"/>
          <w:noProof/>
          <w:sz w:val="24"/>
          <w:szCs w:val="24"/>
        </w:rPr>
        <w:t>3.5</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Sample Frame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"_Toc203009311" </w:instrText>
      </w:r>
      <w:r>
        <w:rPr/>
        <w:fldChar w:fldCharType="separate"/>
      </w:r>
      <w:r>
        <w:rPr>
          <w:rStyle w:val="style85"/>
          <w:rFonts w:ascii="Times New Roman" w:cs="Times New Roman" w:hAnsi="Times New Roman"/>
          <w:noProof/>
          <w:sz w:val="24"/>
          <w:szCs w:val="24"/>
        </w:rPr>
        <w:t>3.6 Sample Size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"_Toc203009312" </w:instrText>
      </w:r>
      <w:r>
        <w:rPr/>
        <w:fldChar w:fldCharType="separate"/>
      </w:r>
      <w:r>
        <w:rPr>
          <w:rStyle w:val="style85"/>
          <w:rFonts w:ascii="Times New Roman" w:cs="Times New Roman" w:hAnsi="Times New Roman"/>
          <w:noProof/>
          <w:sz w:val="24"/>
          <w:szCs w:val="24"/>
        </w:rPr>
        <w:t>3.7 Sampling Technique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"_Toc203009313" </w:instrText>
      </w:r>
      <w:r>
        <w:rPr/>
        <w:fldChar w:fldCharType="separate"/>
      </w:r>
      <w:r>
        <w:rPr>
          <w:rStyle w:val="style85"/>
          <w:rFonts w:ascii="Times New Roman" w:cs="Times New Roman" w:eastAsia="Times New Roman" w:hAnsi="Times New Roman"/>
          <w:noProof/>
          <w:sz w:val="24"/>
          <w:szCs w:val="24"/>
        </w:rPr>
        <w:t>3.8  Method of Data Collection and Test of Validity and Reliability of the Instrument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"_Toc203009314" </w:instrText>
      </w:r>
      <w:r>
        <w:rPr/>
        <w:fldChar w:fldCharType="separate"/>
      </w:r>
      <w:r>
        <w:rPr>
          <w:rStyle w:val="style85"/>
          <w:rFonts w:ascii="Times New Roman" w:cs="Times New Roman" w:hAnsi="Times New Roman"/>
          <w:noProof/>
          <w:sz w:val="24"/>
          <w:szCs w:val="24"/>
        </w:rPr>
        <w:t>3.9</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Procedure for Data Collection and Processing of Collected Data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"_Toc203009315" </w:instrText>
      </w:r>
      <w:r>
        <w:rPr/>
        <w:fldChar w:fldCharType="separate"/>
      </w:r>
      <w:r>
        <w:rPr>
          <w:rStyle w:val="style85"/>
          <w:rFonts w:ascii="Times New Roman" w:cs="Times New Roman" w:hAnsi="Times New Roman"/>
          <w:noProof/>
          <w:sz w:val="24"/>
          <w:szCs w:val="24"/>
        </w:rPr>
        <w:t>3.10 Limitation of the Methodology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"_Toc203009316" </w:instrText>
      </w:r>
      <w:r>
        <w:rPr/>
        <w:fldChar w:fldCharType="separate"/>
      </w:r>
      <w:r>
        <w:rPr>
          <w:rStyle w:val="style85"/>
          <w:rFonts w:ascii="Times New Roman" w:cs="Times New Roman" w:eastAsia="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"_Toc203009317" </w:instrText>
      </w:r>
      <w:r>
        <w:rPr/>
        <w:fldChar w:fldCharType="separate"/>
      </w:r>
      <w:r>
        <w:rPr>
          <w:rStyle w:val="style85"/>
          <w:rFonts w:ascii="Times New Roman" w:cs="Times New Roman" w:eastAsia="Times New Roman" w:hAnsi="Times New Roman"/>
          <w:noProof/>
          <w:sz w:val="24"/>
          <w:szCs w:val="24"/>
        </w:rPr>
        <w:t>DATA PRESENTATION, ANALYSIS AND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"_Toc203009318" </w:instrText>
      </w:r>
      <w:r>
        <w:rPr/>
        <w:fldChar w:fldCharType="separate"/>
      </w:r>
      <w:r>
        <w:rPr>
          <w:rStyle w:val="style85"/>
          <w:rFonts w:ascii="Times New Roman" w:cs="Times New Roman" w:eastAsia="Times New Roman" w:hAnsi="Times New Roman"/>
          <w:noProof/>
          <w:sz w:val="24"/>
          <w:szCs w:val="24"/>
        </w:rPr>
        <w:t>4.1 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"_Toc203009319" </w:instrText>
      </w:r>
      <w:r>
        <w:rPr/>
        <w:fldChar w:fldCharType="separate"/>
      </w:r>
      <w:r>
        <w:rPr>
          <w:rStyle w:val="style85"/>
          <w:rFonts w:ascii="Times New Roman" w:cs="Times New Roman" w:eastAsia="Times New Roman" w:hAnsi="Times New Roman"/>
          <w:noProof/>
          <w:sz w:val="24"/>
          <w:szCs w:val="24"/>
        </w:rPr>
        <w:t>4.2 Respondent’s Profile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"_Toc203009320" </w:instrText>
      </w:r>
      <w:r>
        <w:rPr/>
        <w:fldChar w:fldCharType="separate"/>
      </w:r>
      <w:r>
        <w:rPr>
          <w:rStyle w:val="style85"/>
          <w:rFonts w:ascii="Times New Roman" w:cs="Times New Roman" w:hAnsi="Times New Roman"/>
          <w:noProof/>
          <w:sz w:val="24"/>
          <w:szCs w:val="24"/>
        </w:rPr>
        <w:t>4.3</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Discussion of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"_Toc203009321" </w:instrText>
      </w:r>
      <w:r>
        <w:rPr/>
        <w:fldChar w:fldCharType="separate"/>
      </w:r>
      <w:r>
        <w:rPr>
          <w:rStyle w:val="style85"/>
          <w:rFonts w:ascii="Times New Roman" w:cs="Times New Roman" w:eastAsia="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"_Toc203009322" </w:instrText>
      </w:r>
      <w:r>
        <w:rPr/>
        <w:fldChar w:fldCharType="separate"/>
      </w:r>
      <w:r>
        <w:rPr>
          <w:rStyle w:val="style85"/>
          <w:rFonts w:ascii="Times New Roman" w:cs="Times New Roman" w:eastAsia="Times New Roman" w:hAnsi="Times New Roman"/>
          <w:noProof/>
          <w:sz w:val="24"/>
          <w:szCs w:val="24"/>
        </w:rPr>
        <w:t>SUMMARY, CONCLUSION AND 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"_Toc203009323" </w:instrText>
      </w:r>
      <w:r>
        <w:rPr/>
        <w:fldChar w:fldCharType="separate"/>
      </w:r>
      <w:r>
        <w:rPr>
          <w:rStyle w:val="style85"/>
          <w:rFonts w:ascii="Times New Roman" w:cs="Times New Roman" w:eastAsia="Times New Roman" w:hAnsi="Times New Roman"/>
          <w:noProof/>
          <w:sz w:val="24"/>
          <w:szCs w:val="24"/>
        </w:rPr>
        <w:t>5.1</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"_Toc203009324" </w:instrText>
      </w:r>
      <w:r>
        <w:rPr/>
        <w:fldChar w:fldCharType="separate"/>
      </w:r>
      <w:r>
        <w:rPr>
          <w:rStyle w:val="style85"/>
          <w:rFonts w:ascii="Times New Roman" w:cs="Times New Roman" w:eastAsia="Times New Roman" w:hAnsi="Times New Roman"/>
          <w:noProof/>
          <w:sz w:val="24"/>
          <w:szCs w:val="24"/>
        </w:rPr>
        <w:t>5.2</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48</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"_Toc203009325" </w:instrText>
      </w:r>
      <w:r>
        <w:rPr/>
        <w:fldChar w:fldCharType="separate"/>
      </w:r>
      <w:r>
        <w:rPr>
          <w:rStyle w:val="style85"/>
          <w:rFonts w:ascii="Times New Roman" w:cs="Times New Roman" w:eastAsia="Times New Roman" w:hAnsi="Times New Roman"/>
          <w:noProof/>
          <w:sz w:val="24"/>
          <w:szCs w:val="24"/>
        </w:rPr>
        <w:t>5.3</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48</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"_Toc203009326" </w:instrText>
      </w:r>
      <w:r>
        <w:rPr/>
        <w:fldChar w:fldCharType="separate"/>
      </w:r>
      <w:r>
        <w:rPr>
          <w:rStyle w:val="style85"/>
          <w:rFonts w:ascii="Times New Roman" w:cs="Times New Roman" w:eastAsia="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50</w:t>
      </w:r>
      <w:r>
        <w:rPr>
          <w:rFonts w:ascii="Times New Roman" w:cs="Times New Roman" w:hAnsi="Times New Roman"/>
          <w:noProof/>
          <w:webHidden/>
          <w:sz w:val="24"/>
          <w:szCs w:val="24"/>
        </w:rPr>
        <w:fldChar w:fldCharType="end"/>
      </w:r>
      <w:r>
        <w:rPr/>
        <w:fldChar w:fldCharType="end"/>
      </w:r>
    </w:p>
    <w:p>
      <w:pPr>
        <w:pStyle w:val="style0"/>
        <w:spacing w:after="202" w:lineRule="auto" w:line="360"/>
        <w:ind w:left="10" w:right="2" w:hanging="1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noProof/>
          <w:color w:val="000000"/>
          <w:kern w:val="2"/>
          <w:sz w:val="24"/>
          <w:szCs w:val="24"/>
        </w:rPr>
        <w:fldChar w:fldCharType="end"/>
      </w:r>
    </w:p>
    <w:p>
      <w:pPr>
        <w:pStyle w:val="style0"/>
        <w:shd w:val="clear" w:color="auto" w:fill="ffffff"/>
        <w:spacing w:after="0" w:lineRule="auto" w:line="360"/>
        <w:jc w:val="center"/>
        <w:textAlignment w:val="baseline"/>
        <w:outlineLvl w:val="2"/>
        <w:rPr>
          <w:rFonts w:ascii="Times New Roman" w:cs="Times New Roman" w:eastAsia="Times New Roman" w:hAnsi="Times New Roman"/>
          <w:b/>
          <w:color w:val="000000"/>
          <w:spacing w:val="-8"/>
          <w:sz w:val="40"/>
          <w:szCs w:val="40"/>
        </w:rPr>
      </w:pPr>
    </w:p>
    <w:p>
      <w:pPr>
        <w:pStyle w:val="style94"/>
        <w:spacing w:before="0" w:beforeAutospacing="false" w:after="0" w:afterAutospacing="false" w:lineRule="auto" w:line="360"/>
        <w:jc w:val="center"/>
        <w:rPr>
          <w:b/>
          <w:bCs/>
          <w:sz w:val="38"/>
          <w:szCs w:val="38"/>
        </w:rPr>
        <w:sectPr>
          <w:footerReference w:type="default" r:id="rId3"/>
          <w:pgSz w:w="11909" w:h="16834" w:orient="portrait" w:code="9"/>
          <w:pgMar w:top="1440" w:right="1440" w:bottom="1440" w:left="1440" w:header="720" w:footer="720" w:gutter="0"/>
          <w:pgNumType w:fmt="lowerRoman" w:start="1"/>
          <w:cols w:space="720"/>
          <w:titlePg/>
          <w:docGrid w:linePitch="360"/>
        </w:sectPr>
      </w:pPr>
    </w:p>
    <w:bookmarkStart w:id="5" w:name="_Toc203009289"/>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CHAPTER ONE</w:t>
      </w:r>
      <w:bookmarkEnd w:id="5"/>
    </w:p>
    <w:bookmarkStart w:id="6" w:name="_Toc203009290"/>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INTRODUCTION</w:t>
      </w:r>
      <w:bookmarkEnd w:id="6"/>
    </w:p>
    <w:bookmarkStart w:id="7" w:name="_Toc203009291"/>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1.1</w:t>
      </w:r>
      <w:r>
        <w:rPr>
          <w:rFonts w:ascii="Times New Roman" w:hAnsi="Times New Roman"/>
          <w:b/>
          <w:bCs/>
          <w:color w:val="000000"/>
          <w:sz w:val="24"/>
          <w:szCs w:val="24"/>
        </w:rPr>
        <w:tab/>
      </w:r>
      <w:r>
        <w:rPr>
          <w:rFonts w:ascii="Times New Roman" w:hAnsi="Times New Roman"/>
          <w:b/>
          <w:bCs/>
          <w:color w:val="000000"/>
          <w:sz w:val="24"/>
          <w:szCs w:val="24"/>
        </w:rPr>
        <w:t>Background to the Study</w:t>
      </w:r>
      <w:bookmarkEnd w:id="7"/>
    </w:p>
    <w:p>
      <w:pPr>
        <w:pStyle w:val="style94"/>
        <w:spacing w:before="0" w:beforeAutospacing="false" w:after="0" w:afterAutospacing="false" w:lineRule="auto" w:line="480"/>
        <w:jc w:val="both"/>
        <w:rPr/>
      </w:pPr>
      <w:r>
        <w:t xml:space="preserve">In today’s world, governments and institutions are facing growing pressures to improve building standard to avoid collapse and any form of deterioration on buildings but there is negligent among builder’s and contractor’s to work in line with building regulation act to create a strong enforcement for building standard. Building regulations refer to the set of legal requirements, codes, and standards established by governmental or regulatory authorities to ensure safety, sustainability, and quality in construction practices (Okoye &amp; Emmanuel, 2021). These regulations encompass a wide range of provisions, including structural stability, fire safety, energy efficiency, ventilation, and accessibility, among others. In the Nigerian context, building regulations are crucial for mitigating the risks associated with construction failures, ensuring compliance with health and safety standards, and fostering sustainable urban development (Adedeji, 2020). However, </w:t>
      </w:r>
      <w:r>
        <w:rPr>
          <w:color w:val="000000"/>
        </w:rPr>
        <w:t>d</w:t>
      </w:r>
      <w:r>
        <w:rPr>
          <w:color w:val="000000"/>
        </w:rPr>
        <w:t xml:space="preserve">espite </w:t>
      </w:r>
      <w:r>
        <w:t>the critical role of these regulations, their impact on construction costs remains a subject of significant debate among stakeholders in the construction industry.</w:t>
      </w:r>
    </w:p>
    <w:p>
      <w:pPr>
        <w:pStyle w:val="style94"/>
        <w:spacing w:before="0" w:beforeAutospacing="false" w:after="0" w:afterAutospacing="false" w:lineRule="auto" w:line="480"/>
        <w:jc w:val="both"/>
        <w:rPr/>
      </w:pPr>
      <w:r>
        <w:t>The construction industry in Nigeria is characterized by its dynamic and complex nature, with numerous variables influencing project delivery, including regulatory frameworks, market conditions, and technological advancements (Ibrahim &amp; Lawal, 2022). Building regulations serve as a pivotal aspect of these frameworks, providing guidelines for design, construction, and maintenance processes. However, compliance with these regulations often involves additional expenses, which may significantly affect the overall cost of construction projects. For instance, requirements for advanced materials, energy-efficient systems, and rigorous inspections can lead to increased expenditures, challenging contractors and developers to balance regulatory compliance with cost efficiency (</w:t>
      </w:r>
      <w:r>
        <w:t>Bamigboye</w:t>
      </w:r>
      <w:r>
        <w:t xml:space="preserve"> &amp; Dada, 2021). Understanding </w:t>
      </w:r>
      <w:r>
        <w:t>the financial implications of building regulations is therefore essential for effective project planning and management.</w:t>
      </w:r>
    </w:p>
    <w:p>
      <w:pPr>
        <w:pStyle w:val="style94"/>
        <w:spacing w:before="0" w:beforeAutospacing="false" w:after="0" w:afterAutospacing="false" w:lineRule="auto" w:line="480"/>
        <w:jc w:val="both"/>
        <w:rPr/>
      </w:pPr>
      <w:r>
        <w:t>In Nigeria, the construction industry contributes significantly to the national economy, yet it faces numerous challenges, including inadequate regulatory enforcement, high material costs, and limited access to funding (Ogundele &amp; Owoeye, 2023). Building regulations are intended to address some of these challenges by ensuring quality and preventing substandard practices. However, these regulations often present additional hurdles, particularly for small and medium-scale contractors, who may lack the financial resources to meet the stipulated requirements (Afolabi &amp; Aina, 2022). This raises critical questions about the balance between regulatory enforcement and cost efficiency, as well as the broader implications for project timelines, resource allocation, and industry sustainability.</w:t>
      </w:r>
    </w:p>
    <w:p>
      <w:pPr>
        <w:pStyle w:val="style94"/>
        <w:spacing w:before="0" w:beforeAutospacing="false" w:after="0" w:afterAutospacing="false" w:lineRule="auto" w:line="480"/>
        <w:jc w:val="both"/>
        <w:rPr/>
      </w:pPr>
      <w:r>
        <w:t>The cost implications of building regulations in Nigeria are particularly significant in light of the country’s economic realities. Many construction projects are financed through private investments, with minimal government support or subsidies (Olaleye &amp; Balogun, 2019). Consequently, the financial burden of compliance often falls on developers, contractors, and end-users. For example, meeting fire safety standards may require the installation of advanced sprinkler systems and fire-resistant materials, which can increase construction costs substantially (Eze &amp; Udo, 2022). Similarly, adhering to energy efficiency standards may necessitate the use of renewable energy sources, double-glazed windows, and high-performance insulation, all of which have cost implications. Such requirements, while beneficial in the long term, may pose significant financial challenges in the short term, especially for developers operating within tight budgets.</w:t>
      </w:r>
    </w:p>
    <w:p>
      <w:pPr>
        <w:pStyle w:val="style94"/>
        <w:spacing w:before="0" w:beforeAutospacing="false" w:after="0" w:afterAutospacing="false" w:lineRule="auto" w:line="480"/>
        <w:jc w:val="both"/>
        <w:rPr/>
      </w:pPr>
      <w:r>
        <w:t xml:space="preserve">Moreover, the enforcement of building regulations in Nigeria is often fraught with inconsistencies and corruption, further complicating their impact on construction costs (Adewole &amp; Okonkwo, 2021). Regulatory agencies may impose arbitrary fees or demand </w:t>
      </w:r>
      <w:r>
        <w:t>unofficial payments, adding to the financial burden on contractors and developers. These practices not only undermine the objectives of building regulations but also contribute to cost overruns and project delays. For instance, delays in obtaining building permits or approvals due to bureaucratic inefficiencies can lead to increased labor and equipment costs (Akinyemi &amp; Ogunleye, 2023). These challenges highlight the need for a more transparent and efficient regulatory framework that minimizes unnecessary costs while ensuring compliance with safety and quality standards.</w:t>
      </w:r>
    </w:p>
    <w:p>
      <w:pPr>
        <w:pStyle w:val="style94"/>
        <w:spacing w:before="0" w:beforeAutospacing="false" w:after="0" w:afterAutospacing="false" w:lineRule="auto" w:line="480"/>
        <w:jc w:val="both"/>
        <w:rPr/>
      </w:pPr>
      <w:r>
        <w:t>The interaction between building regulations and construction costs also has significant implications for housing affordability and urban development in Nigeria. Rising construction costs, driven in part by regulatory compliance, often translate into higher property prices, making housing less accessible to low- and middle-income populations (Olawale &amp; Aluko, 2020). This exacerbates the housing deficit in Nigeria, which is estimated at over 17 million units, and underscores the need for policies that balance regulatory enforcement with affordability (</w:t>
      </w:r>
      <w:r>
        <w:t>Fasakin</w:t>
      </w:r>
      <w:r>
        <w:t xml:space="preserve"> &amp; Oyenuga, 2023). For example, the introduction of incentives such as tax breaks or subsidies for developers who adopt cost-effective compliance strategies could help mitigate the financial impact of building regulations without compromising safety and quality.</w:t>
      </w:r>
    </w:p>
    <w:p>
      <w:pPr>
        <w:pStyle w:val="style94"/>
        <w:spacing w:before="0" w:beforeAutospacing="false" w:after="0" w:afterAutospacing="false" w:lineRule="auto" w:line="480"/>
        <w:jc w:val="both"/>
        <w:rPr/>
      </w:pPr>
      <w:r>
        <w:t xml:space="preserve">Furthermore, the global emphasis on sustainability and environmental protection has led to the incorporation of green building standards into building regulations, which presents both opportunities and challenges for the Nigerian construction industry (Omotayo &amp; Ajayi, 2022). While these standards promote energy efficiency, resource conservation, and reduced environmental impact, they also require significant investments in new technologies and practices. For instance, the use of solar panels, rainwater harvesting systems, and energy-efficient HVAC systems can increase upfront costs, even though they offer long-term savings and environmental benefits (Akintoye &amp; </w:t>
      </w:r>
      <w:r>
        <w:t>Ogundiran</w:t>
      </w:r>
      <w:r>
        <w:t xml:space="preserve">, 2021). Understanding the cost dynamics </w:t>
      </w:r>
      <w:r>
        <w:t>associated with these requirements is crucial for stakeholders seeking to align with global best practices while remaining economically viable.</w:t>
      </w:r>
    </w:p>
    <w:p>
      <w:pPr>
        <w:pStyle w:val="style94"/>
        <w:spacing w:before="0" w:beforeAutospacing="false" w:after="0" w:afterAutospacing="false" w:lineRule="auto" w:line="480"/>
        <w:jc w:val="both"/>
        <w:rPr/>
      </w:pPr>
      <w:r>
        <w:t>Despite these challenges, building regulations also offer numerous benefits that can offset their cost implications. By ensuring compliance with safety standards, they reduce the risks of accidents, structural failures, and legal liabilities, which can result in significant financial losses (Ademola &amp; Kolawole, 2022). Moreover, regulations that promote energy efficiency and sustainability can lead to long-term cost savings through reduced utility bills and maintenance expenses. For example, buildings constructed with energy-efficient materials may have higher initial costs but lower operational expenses, providing financial benefits over their lifecycle (Ogunlana &amp; Adejumo, 2023). These potential savings underscore the importance of adopting a holistic perspective when evaluating the impact of building regulations on construction costs.</w:t>
      </w:r>
    </w:p>
    <w:bookmarkStart w:id="8" w:name="_Toc203009292"/>
    <w:p>
      <w:pPr>
        <w:pStyle w:val="style94"/>
        <w:spacing w:before="0" w:beforeAutospacing="false" w:after="0" w:afterAutospacing="false" w:lineRule="auto" w:line="480"/>
        <w:jc w:val="both"/>
        <w:outlineLvl w:val="0"/>
        <w:rPr>
          <w:b/>
          <w:bCs/>
          <w:color w:val="000000"/>
        </w:rPr>
      </w:pPr>
      <w:r>
        <w:rPr>
          <w:b/>
          <w:bCs/>
          <w:color w:val="000000"/>
        </w:rPr>
        <w:t>1.2</w:t>
      </w:r>
      <w:r>
        <w:rPr>
          <w:b/>
          <w:bCs/>
          <w:color w:val="000000"/>
        </w:rPr>
        <w:tab/>
      </w:r>
      <w:r>
        <w:rPr>
          <w:b/>
          <w:bCs/>
          <w:color w:val="000000"/>
        </w:rPr>
        <w:t>Statement of the Problem</w:t>
      </w:r>
      <w:bookmarkEnd w:id="8"/>
    </w:p>
    <w:p>
      <w:pPr>
        <w:pStyle w:val="style94"/>
        <w:spacing w:before="0" w:beforeAutospacing="false" w:after="0" w:afterAutospacing="false" w:lineRule="auto" w:line="480"/>
        <w:jc w:val="both"/>
        <w:rPr/>
      </w:pPr>
      <w:r>
        <w:t>Building regulations are designed to ensure structural integrity, safety, and sustainability in the construction industry. However, compliance with these regulations often leads to increased construction costs, creating financial burdens for developers, contractors, and end-users (Okoye &amp; Emmanuel, 2021). In Nigeria, the impact of building regulations on construction costs is particularly significant due to the high cost of regulatory compliance, inefficient enforcement mechanisms, and the country’s economic constraints (Adedeji, 2020).</w:t>
      </w:r>
    </w:p>
    <w:p>
      <w:pPr>
        <w:pStyle w:val="style94"/>
        <w:spacing w:before="0" w:beforeAutospacing="false" w:after="0" w:afterAutospacing="false" w:lineRule="auto" w:line="480"/>
        <w:jc w:val="both"/>
        <w:rPr/>
      </w:pPr>
      <w:r>
        <w:t>The major problem with the Nigerian codes is that most of the codes stipulated for building constructions are not backed by laws and are also outdated (</w:t>
      </w:r>
      <w:r>
        <w:t>Omenihu</w:t>
      </w:r>
      <w:r>
        <w:t xml:space="preserve"> et al. 2016). According to Ruya et al. (2017), in practice, the problems are categorized into unsound regulations and unused regulations; unsound regulations arise as a result of not well-written regulations, whereas unused regulations arise when specifications are not followed or used, and the causes of unsound regulations are misuse or misreporting of standards, non-compliance with regulations, quasi specifications and conflicting drawings. Additionally, inefficient regulatory </w:t>
      </w:r>
      <w:r>
        <w:t>enforcement marked by corruption, arbitrary fees, and approval delays exacerbates financial strain, disrupting project timelines and cost control.</w:t>
      </w:r>
    </w:p>
    <w:p>
      <w:pPr>
        <w:pStyle w:val="style94"/>
        <w:spacing w:before="0" w:beforeAutospacing="false" w:after="0" w:afterAutospacing="false" w:lineRule="auto" w:line="480"/>
        <w:jc w:val="both"/>
        <w:rPr/>
      </w:pPr>
      <w:r>
        <w:t xml:space="preserve">Previous studies have highlighted the challenges posed by stringent building regulations, yet there remains a gap in understanding the extent of their impact on construction costs in Nigeria </w:t>
      </w:r>
      <w:r>
        <w:t xml:space="preserve">  </w:t>
      </w:r>
      <w:r>
        <w:t xml:space="preserve">  </w:t>
      </w:r>
      <w:r>
        <w:t>(Ogundele &amp; Owoeye, 2023). Many developers face difficulties in balancing compliance with cost efficiency, leading to delays, abandoned projects, and affordability issues within the housing sector. Furthermore, regulatory barriers hinder sustainable construction practices, as developers often prioritize cost reduction over environmental considerations (Eze &amp; Udo, 2022).</w:t>
      </w:r>
    </w:p>
    <w:p>
      <w:pPr>
        <w:pStyle w:val="style94"/>
        <w:spacing w:before="0" w:beforeAutospacing="false" w:after="0" w:afterAutospacing="false" w:lineRule="auto" w:line="480"/>
        <w:jc w:val="both"/>
        <w:rPr/>
      </w:pPr>
      <w:r>
        <w:t>Given these challenges, this study seeks to analyze the financial impact of building regulations on construction projects in Nigeria, focusing on how compliance requirements influence overall project costs. The study will also examine the role of quantity surveyors in mitigating these financial pressures and explore strategies for optimizing cost management while ensuring regulatory adherence.</w:t>
      </w:r>
    </w:p>
    <w:bookmarkStart w:id="9" w:name="_Toc203009293"/>
    <w:p>
      <w:pPr>
        <w:pStyle w:val="style1"/>
        <w:spacing w:before="0" w:lineRule="auto" w:line="480"/>
        <w:rPr>
          <w:rFonts w:ascii="Times New Roman" w:eastAsia="Times New Roman" w:hAnsi="Times New Roman"/>
          <w:b/>
          <w:bCs/>
          <w:color w:val="000000"/>
          <w:sz w:val="24"/>
          <w:szCs w:val="24"/>
        </w:rPr>
      </w:pPr>
      <w:r>
        <w:rPr>
          <w:rFonts w:ascii="Times New Roman" w:hAnsi="Times New Roman"/>
          <w:b/>
          <w:bCs/>
          <w:color w:val="000000"/>
          <w:sz w:val="24"/>
          <w:szCs w:val="24"/>
        </w:rPr>
        <w:t>1.3</w:t>
      </w:r>
      <w:r>
        <w:rPr>
          <w:rFonts w:ascii="Times New Roman" w:hAnsi="Times New Roman"/>
          <w:b/>
          <w:bCs/>
          <w:color w:val="000000"/>
          <w:sz w:val="24"/>
          <w:szCs w:val="24"/>
        </w:rPr>
        <w:tab/>
      </w:r>
      <w:r>
        <w:rPr>
          <w:rFonts w:ascii="Times New Roman" w:eastAsia="Times New Roman" w:hAnsi="Times New Roman"/>
          <w:b/>
          <w:bCs/>
          <w:color w:val="000000"/>
          <w:sz w:val="24"/>
          <w:szCs w:val="24"/>
        </w:rPr>
        <w:t>Research Questions</w:t>
      </w:r>
      <w:bookmarkEnd w:id="9"/>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factors affecting compliance with building regulations in Nigeria construction industry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effect of these factors on the overall construction cost of building in Nigeria</w:t>
      </w:r>
      <w:r>
        <w:rPr>
          <w:rFonts w:ascii="Times New Roman" w:cs="Times New Roman" w:eastAsia="Times New Roman" w:hAnsi="Times New Roman"/>
          <w:sz w:val="24"/>
          <w:szCs w:val="24"/>
        </w:rPr>
        <w:t>?</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can the</w:t>
      </w:r>
      <w:r>
        <w:rPr>
          <w:rFonts w:ascii="Times New Roman" w:cs="Times New Roman" w:eastAsia="Times New Roman" w:hAnsi="Times New Roman"/>
          <w:sz w:val="24"/>
          <w:szCs w:val="24"/>
        </w:rPr>
        <w:t xml:space="preserve"> effects of building regulation compliance on construction cost be minimized in Nigeria</w:t>
      </w:r>
      <w:r>
        <w:rPr>
          <w:rFonts w:ascii="Times New Roman" w:cs="Times New Roman" w:eastAsia="Times New Roman" w:hAnsi="Times New Roman"/>
          <w:sz w:val="24"/>
          <w:szCs w:val="24"/>
        </w:rPr>
        <w:t>?</w:t>
      </w:r>
    </w:p>
    <w:p>
      <w:pPr>
        <w:pStyle w:val="style0"/>
        <w:tabs>
          <w:tab w:val="left" w:leader="none" w:pos="720"/>
        </w:tabs>
        <w:spacing w:after="0" w:lineRule="auto" w:line="480"/>
        <w:jc w:val="both"/>
        <w:rPr>
          <w:rFonts w:ascii="Times New Roman" w:cs="Times New Roman" w:eastAsia="Times New Roman" w:hAnsi="Times New Roman"/>
          <w:sz w:val="24"/>
          <w:szCs w:val="24"/>
        </w:rPr>
      </w:pPr>
    </w:p>
    <w:p>
      <w:pPr>
        <w:pStyle w:val="style0"/>
        <w:tabs>
          <w:tab w:val="left" w:leader="none" w:pos="720"/>
        </w:tabs>
        <w:spacing w:after="0" w:lineRule="auto" w:line="480"/>
        <w:jc w:val="both"/>
        <w:rPr>
          <w:rFonts w:ascii="Times New Roman" w:cs="Times New Roman" w:eastAsia="Times New Roman" w:hAnsi="Times New Roman"/>
          <w:sz w:val="24"/>
          <w:szCs w:val="24"/>
        </w:rPr>
      </w:pPr>
    </w:p>
    <w:bookmarkStart w:id="10" w:name="_Toc203009294"/>
    <w:p>
      <w:pPr>
        <w:pStyle w:val="style94"/>
        <w:spacing w:before="0" w:beforeAutospacing="false" w:after="0" w:afterAutospacing="false" w:lineRule="auto" w:line="480"/>
        <w:jc w:val="both"/>
        <w:outlineLvl w:val="0"/>
        <w:rPr/>
      </w:pPr>
    </w:p>
    <w:p>
      <w:pPr>
        <w:pStyle w:val="style94"/>
        <w:spacing w:before="0" w:beforeAutospacing="false" w:after="0" w:afterAutospacing="false" w:lineRule="auto" w:line="480"/>
        <w:jc w:val="both"/>
        <w:outlineLvl w:val="0"/>
        <w:rPr/>
      </w:pPr>
    </w:p>
    <w:p>
      <w:pPr>
        <w:pStyle w:val="style94"/>
        <w:spacing w:before="0" w:beforeAutospacing="false" w:after="0" w:afterAutospacing="false" w:lineRule="auto" w:line="480"/>
        <w:jc w:val="both"/>
        <w:outlineLvl w:val="0"/>
        <w:rPr/>
      </w:pPr>
    </w:p>
    <w:p>
      <w:pPr>
        <w:pStyle w:val="style94"/>
        <w:spacing w:before="0" w:beforeAutospacing="false" w:after="0" w:afterAutospacing="false" w:lineRule="auto" w:line="480"/>
        <w:jc w:val="both"/>
        <w:outlineLvl w:val="0"/>
        <w:rPr>
          <w:b/>
          <w:bCs/>
          <w:color w:val="000000"/>
        </w:rPr>
      </w:pPr>
      <w:r>
        <w:rPr>
          <w:b/>
          <w:bCs/>
          <w:color w:val="000000"/>
        </w:rPr>
        <w:t>1.4</w:t>
      </w:r>
      <w:r>
        <w:rPr>
          <w:b/>
          <w:bCs/>
          <w:color w:val="000000"/>
        </w:rPr>
        <w:tab/>
      </w:r>
      <w:r>
        <w:rPr>
          <w:b/>
          <w:bCs/>
          <w:color w:val="000000"/>
        </w:rPr>
        <w:t>Aim and Objectives of the Study</w:t>
      </w:r>
      <w:bookmarkEnd w:id="10"/>
    </w:p>
    <w:p>
      <w:pPr>
        <w:pStyle w:val="style94"/>
        <w:spacing w:before="0" w:beforeAutospacing="false" w:after="0" w:afterAutospacing="false" w:lineRule="auto" w:line="480"/>
        <w:jc w:val="both"/>
        <w:rPr>
          <w:b/>
          <w:bCs/>
        </w:rPr>
      </w:pPr>
      <w:r>
        <w:rPr>
          <w:b/>
          <w:bCs/>
        </w:rPr>
        <w:t>1.4.1</w:t>
      </w:r>
      <w:r>
        <w:rPr>
          <w:b/>
          <w:bCs/>
        </w:rPr>
        <w:tab/>
      </w:r>
      <w:r>
        <w:rPr>
          <w:b/>
          <w:bCs/>
        </w:rPr>
        <w:t xml:space="preserve">Aim </w:t>
      </w:r>
    </w:p>
    <w:p>
      <w:pPr>
        <w:pStyle w:val="style94"/>
        <w:spacing w:before="0" w:beforeAutospacing="false" w:after="0" w:afterAutospacing="false" w:lineRule="auto" w:line="480"/>
        <w:jc w:val="both"/>
        <w:rPr/>
      </w:pPr>
      <w:r>
        <w:t xml:space="preserve">The aim of this study is to evaluate the impact of </w:t>
      </w:r>
      <w:r>
        <w:t xml:space="preserve">building regulation compliance </w:t>
      </w:r>
      <w:r>
        <w:t xml:space="preserve">on </w:t>
      </w:r>
      <w:r>
        <w:t xml:space="preserve">construction cost </w:t>
      </w:r>
      <w:r>
        <w:t>building regulation compliance on construction building project</w:t>
      </w:r>
      <w:r>
        <w:tab/>
      </w:r>
      <w:r>
        <w:rPr>
          <w:b/>
          <w:bCs/>
        </w:rPr>
        <w:t xml:space="preserve">, </w:t>
      </w:r>
      <w:r>
        <w:t>with a focus on identifying challenges and providing strategies to improve cost efficiency while ensuring regulatory compliance.</w:t>
      </w:r>
    </w:p>
    <w:p>
      <w:pPr>
        <w:pStyle w:val="style0"/>
        <w:spacing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Objectives </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and analyze the factors affecting compliance with building regulation in Nigeria construction industry</w:t>
      </w:r>
      <w:r>
        <w:rPr>
          <w:rFonts w:ascii="Times New Roman" w:cs="Times New Roman" w:eastAsia="Times New Roman" w:hAnsi="Times New Roman"/>
          <w:sz w:val="24"/>
          <w:szCs w:val="24"/>
        </w:rPr>
        <w:t>.</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w:t>
      </w:r>
      <w:r>
        <w:rPr>
          <w:rFonts w:ascii="Times New Roman" w:cs="Times New Roman" w:eastAsia="Times New Roman" w:hAnsi="Times New Roman"/>
          <w:sz w:val="24"/>
          <w:szCs w:val="24"/>
        </w:rPr>
        <w:t xml:space="preserve"> the effect of the compliance factors on the overall construction cost of buildings in Nigeria.</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pr</w:t>
      </w:r>
      <w:r>
        <w:rPr>
          <w:rFonts w:ascii="Times New Roman" w:cs="Times New Roman" w:eastAsia="Times New Roman" w:hAnsi="Times New Roman"/>
          <w:sz w:val="24"/>
          <w:szCs w:val="24"/>
        </w:rPr>
        <w:t>opose strategies and measures to minimize the adverse effects of building regulation compliance on construction cost in Nigeria</w:t>
      </w:r>
      <w:r>
        <w:rPr>
          <w:rFonts w:ascii="Times New Roman" w:cs="Times New Roman" w:eastAsia="Times New Roman" w:hAnsi="Times New Roman"/>
          <w:sz w:val="24"/>
          <w:szCs w:val="24"/>
        </w:rPr>
        <w:t>.</w:t>
      </w:r>
    </w:p>
    <w:p>
      <w:pPr>
        <w:pStyle w:val="style0"/>
        <w:tabs>
          <w:tab w:val="left" w:leader="none" w:pos="720"/>
        </w:tabs>
        <w:spacing w:after="0" w:lineRule="auto" w:line="480"/>
        <w:ind w:left="720"/>
        <w:jc w:val="both"/>
        <w:rPr>
          <w:rFonts w:ascii="Times New Roman" w:cs="Times New Roman" w:eastAsia="Times New Roman" w:hAnsi="Times New Roman"/>
          <w:sz w:val="24"/>
          <w:szCs w:val="24"/>
        </w:rPr>
      </w:pPr>
    </w:p>
    <w:bookmarkStart w:id="11" w:name="_Toc203009295"/>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1.5</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Justification of the Study</w:t>
      </w:r>
      <w:bookmarkEnd w:id="11"/>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implementation of building regulations plays a critical role in ensuring safety, sustainability, and structural integrity in Nigeria’s construction industry. However, compliance with these regulations often leads to increased construction costs, creating financial burdens for developers and contractors (</w:t>
      </w:r>
      <w:r>
        <w:rPr>
          <w:rFonts w:ascii="Times New Roman" w:cs="Times New Roman" w:eastAsia="Times New Roman" w:hAnsi="Times New Roman"/>
          <w:color w:val="000000"/>
          <w:sz w:val="24"/>
          <w:szCs w:val="24"/>
        </w:rPr>
        <w:t>Osuizugbo</w:t>
      </w:r>
      <w:r>
        <w:rPr>
          <w:rFonts w:ascii="Times New Roman" w:cs="Times New Roman" w:eastAsia="Times New Roman" w:hAnsi="Times New Roman"/>
          <w:color w:val="000000"/>
          <w:sz w:val="24"/>
          <w:szCs w:val="24"/>
        </w:rPr>
        <w:t>, 2019). This study is essential for various stakeholders, including quantity surveyors, policymakers, developers, and contractors, as it provides empirical insights into how regulatory compliance influences construction costs and identifies strategies to mitigate financial burdens.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For quantity surveyors, the cost implications of building regulations enhances budgeting and cost management strategies, enabling them to optimize project expenditures while ensuring </w:t>
      </w:r>
      <w:r>
        <w:rPr>
          <w:rFonts w:ascii="Times New Roman" w:cs="Times New Roman" w:eastAsia="Times New Roman" w:hAnsi="Times New Roman"/>
          <w:color w:val="000000"/>
          <w:sz w:val="24"/>
          <w:szCs w:val="24"/>
        </w:rPr>
        <w:t>compliance. Research has shown that regulatory frameworks significantly affect project planning and material selection, influencing overall construction affordability (Bello &amp; Rotimi, 2022). Developers and contractors, who often struggle with financial constraints due to high regulatory costs, will benefit from this study’s recommendations on reducing expenses through efficient material selection, sustainable construction methods, and improved project planning.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Economically, the study contributes to Nigeria’s construction sector by identifying cost-saving strategies that can lead to increased investments, job creation, and improved infrastructure development. Furthermore, by examining energy efficiency regulations and their cost implications, the study aligns with the broader goal of promoting sustainable and environmentally responsible building practices in Nigeria (Bello &amp; Rotimi, 2022). Additionally, by addressing the housing deficit, the findings will assist in making homeownership more accessible, thereby improving citizens' quality of life and promoting sustainable urban growth.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Academically, this research bridges the gap between regulatory policies and construction cost management, offering a foundation for future studies on cost-efficient and sustainable building practices in developing economies. By exploring the financial implications of compliance, the study provides a valuable resource for scholars and industry practitioners seeking to balance regulation with economic feasibility</w:t>
      </w:r>
      <w:r>
        <w:rPr>
          <w:rFonts w:ascii="Times New Roman" w:cs="Times New Roman" w:eastAsia="Times New Roman" w:hAnsi="Times New Roman"/>
          <w:sz w:val="24"/>
          <w:szCs w:val="24"/>
        </w:rPr>
        <w:t>.</w:t>
      </w:r>
    </w:p>
    <w:bookmarkStart w:id="12" w:name="_Toc203009296"/>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1.6</w:t>
      </w:r>
      <w:r>
        <w:rPr>
          <w:rFonts w:ascii="Times New Roman" w:hAnsi="Times New Roman"/>
          <w:b/>
          <w:bCs/>
          <w:color w:val="000000"/>
          <w:sz w:val="24"/>
          <w:szCs w:val="24"/>
        </w:rPr>
        <w:tab/>
      </w:r>
      <w:r>
        <w:rPr>
          <w:rFonts w:ascii="Times New Roman" w:hAnsi="Times New Roman"/>
          <w:b/>
          <w:bCs/>
          <w:color w:val="000000"/>
          <w:sz w:val="24"/>
          <w:szCs w:val="24"/>
        </w:rPr>
        <w:t>Scope of the Study</w:t>
      </w:r>
      <w:bookmarkEnd w:id="12"/>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study focuses on examining the impact of building regulations on construction costs in Nigeria, using Ilorin, the capital city of Kwara State, as a case study.  The study will focus on using experiences construction professionals like Site Engineering, Quantity Surveyor, Estate Management, and Builders. This research will be limited to Ilorin metropolis as geographical scope to make the research achievable.</w:t>
      </w:r>
    </w:p>
    <w:bookmarkStart w:id="13" w:name="_Toc203009297"/>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1.7</w:t>
      </w:r>
      <w:r>
        <w:rPr>
          <w:rFonts w:ascii="Times New Roman" w:hAnsi="Times New Roman"/>
          <w:b/>
          <w:bCs/>
          <w:color w:val="000000"/>
          <w:sz w:val="24"/>
          <w:szCs w:val="24"/>
        </w:rPr>
        <w:tab/>
      </w:r>
      <w:r>
        <w:rPr>
          <w:rFonts w:ascii="Times New Roman" w:hAnsi="Times New Roman"/>
          <w:b/>
          <w:bCs/>
          <w:color w:val="000000"/>
          <w:sz w:val="24"/>
          <w:szCs w:val="24"/>
        </w:rPr>
        <w:t>Definition of Terms</w:t>
      </w:r>
      <w:bookmarkEnd w:id="13"/>
    </w:p>
    <w:p>
      <w:pPr>
        <w:pStyle w:val="style94"/>
        <w:numPr>
          <w:ilvl w:val="0"/>
          <w:numId w:val="4"/>
        </w:numPr>
        <w:spacing w:before="0" w:beforeAutospacing="false" w:after="0" w:afterAutospacing="false" w:lineRule="auto" w:line="480"/>
        <w:jc w:val="both"/>
        <w:rPr/>
      </w:pPr>
      <w:r>
        <w:rPr>
          <w:rStyle w:val="style87"/>
        </w:rPr>
        <w:t xml:space="preserve">Building Regulations: </w:t>
      </w:r>
      <w:r>
        <w:t>A set of legal requirements governing the design, construction, and alteration of buildings to ensure safety, health, and environmental standards are met.</w:t>
      </w:r>
    </w:p>
    <w:p>
      <w:pPr>
        <w:pStyle w:val="style94"/>
        <w:numPr>
          <w:ilvl w:val="0"/>
          <w:numId w:val="4"/>
        </w:numPr>
        <w:spacing w:before="0" w:beforeAutospacing="false" w:after="0" w:afterAutospacing="false" w:lineRule="auto" w:line="480"/>
        <w:jc w:val="both"/>
        <w:rPr/>
      </w:pPr>
      <w:r>
        <w:rPr>
          <w:rStyle w:val="style87"/>
        </w:rPr>
        <w:t xml:space="preserve">Construction Costs: </w:t>
      </w:r>
      <w:r>
        <w:t>The total expenses involved in a building project, including materials, labor, equipment, and regulatory fees, with a focus on costs driven by compliance with building regulations.</w:t>
      </w:r>
    </w:p>
    <w:p>
      <w:pPr>
        <w:pStyle w:val="style94"/>
        <w:numPr>
          <w:ilvl w:val="0"/>
          <w:numId w:val="4"/>
        </w:numPr>
        <w:spacing w:before="0" w:beforeAutospacing="false" w:after="0" w:afterAutospacing="false" w:lineRule="auto" w:line="480"/>
        <w:jc w:val="both"/>
        <w:rPr/>
      </w:pPr>
      <w:r>
        <w:rPr>
          <w:rStyle w:val="style87"/>
        </w:rPr>
        <w:t xml:space="preserve">Regulatory Enforcement: </w:t>
      </w:r>
      <w:r>
        <w:t>The process of ensuring compliance with building regulations through inspections, approvals, and penalties by local authorities or regulatory bodies.</w:t>
      </w:r>
    </w:p>
    <w:p>
      <w:pPr>
        <w:pStyle w:val="style94"/>
        <w:numPr>
          <w:ilvl w:val="0"/>
          <w:numId w:val="4"/>
        </w:numPr>
        <w:spacing w:before="0" w:beforeAutospacing="false" w:after="0" w:afterAutospacing="false" w:lineRule="auto" w:line="480"/>
        <w:jc w:val="both"/>
        <w:rPr/>
      </w:pPr>
      <w:r>
        <w:rPr>
          <w:rStyle w:val="style87"/>
        </w:rPr>
        <w:t xml:space="preserve">Sustainable Construction: </w:t>
      </w:r>
      <w:r>
        <w:t>Building practices aimed at minimizing environmental impact through energy-efficient designs, sustainable materials, and resource conservation.</w:t>
      </w:r>
    </w:p>
    <w:p>
      <w:pPr>
        <w:pStyle w:val="style94"/>
        <w:numPr>
          <w:ilvl w:val="0"/>
          <w:numId w:val="4"/>
        </w:numPr>
        <w:spacing w:before="0" w:beforeAutospacing="false" w:after="0" w:afterAutospacing="false" w:lineRule="auto" w:line="480"/>
        <w:jc w:val="both"/>
        <w:rPr/>
      </w:pPr>
      <w:r>
        <w:rPr>
          <w:rStyle w:val="style87"/>
        </w:rPr>
        <w:t xml:space="preserve">Cost Efficiency: </w:t>
      </w:r>
      <w:r>
        <w:t>Achieving desired project quality while minimizing unnecessary expenses, balancing regulatory compliance and budget constraints.</w:t>
      </w:r>
    </w:p>
    <w:p>
      <w:pPr>
        <w:pStyle w:val="style94"/>
        <w:numPr>
          <w:ilvl w:val="0"/>
          <w:numId w:val="4"/>
        </w:numPr>
        <w:spacing w:before="0" w:beforeAutospacing="false" w:after="0" w:afterAutospacing="false" w:lineRule="auto" w:line="480"/>
        <w:jc w:val="both"/>
        <w:rPr/>
      </w:pPr>
      <w:r>
        <w:rPr>
          <w:rStyle w:val="style87"/>
        </w:rPr>
        <w:t xml:space="preserve">Building Codes: </w:t>
      </w:r>
      <w:r>
        <w:t>Detailed guidelines within building regulations specifying the standards for design, materials, and construction methods to ensure safety and sustainability.</w:t>
      </w:r>
    </w:p>
    <w:p>
      <w:pPr>
        <w:pStyle w:val="style94"/>
        <w:numPr>
          <w:ilvl w:val="0"/>
          <w:numId w:val="4"/>
        </w:numPr>
        <w:spacing w:before="0" w:beforeAutospacing="false" w:after="0" w:afterAutospacing="false" w:lineRule="auto" w:line="480"/>
        <w:jc w:val="both"/>
        <w:rPr/>
      </w:pPr>
      <w:r>
        <w:rPr>
          <w:rStyle w:val="style87"/>
        </w:rPr>
        <w:t xml:space="preserve">Compliance Costs: </w:t>
      </w:r>
      <w:r>
        <w:t>The costs incurred by developers to meet regulatory requirements, such as purchasing specialized materials or implementing additional safety measures.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14" w:name="_Toc203009298"/>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CHAPTER TWO</w:t>
      </w:r>
      <w:bookmarkEnd w:id="14"/>
    </w:p>
    <w:bookmarkStart w:id="15" w:name="_Toc203009299"/>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LITERATURE REVIEW</w:t>
      </w:r>
      <w:bookmarkEnd w:id="15"/>
    </w:p>
    <w:bookmarkStart w:id="16" w:name="_Toc203009300"/>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2.1</w:t>
      </w:r>
      <w:r>
        <w:rPr>
          <w:rFonts w:ascii="Times New Roman" w:hAnsi="Times New Roman"/>
          <w:b/>
          <w:bCs/>
          <w:color w:val="000000"/>
          <w:sz w:val="24"/>
          <w:szCs w:val="24"/>
        </w:rPr>
        <w:tab/>
      </w:r>
      <w:r>
        <w:rPr>
          <w:rFonts w:ascii="Times New Roman" w:hAnsi="Times New Roman"/>
          <w:b/>
          <w:bCs/>
          <w:color w:val="000000"/>
          <w:sz w:val="24"/>
          <w:szCs w:val="24"/>
        </w:rPr>
        <w:t>Historical Background</w:t>
      </w:r>
      <w:bookmarkEnd w:id="16"/>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regulations play a critical role in shaping the construction industry globally, and Nigeria is no exception. These regulations, which encompass zoning laws, safety standards, design approvals, environmental compliance, and materials specifications, are aimed at ensuring safety, structural integrity, sustainability, and orderly urban development. However, while these regulations are designed with the public interest in mind, they often introduce complexities and cost implications that can significantly affect the overall cost of construction projects. The impact of building regulation on construction cost in Nigeria has gained increasing attention from researchers and professionals due to the growing demand for affordable housing and infrastructural development amid rising costs. As noted by Afolabi et al. (2019), building regulations in Nigeria, although crucial for maintaining standards, often lack clarity and consistency across regions, which creates room for arbitrary interpretations and additional compliance costs that inflate construction expenses. Moreover, the administrative bottlenecks involved in obtaining regulatory approvals can cause project delays, which further escalate costs due to time-related factors such as inflation and extended labor periods (Nduka et al., 2020).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scholars have argued that the inefficiency in regulatory enforcement and inconsistencies in policy implementation significantly contribute to rising construction costs in Nigeria. According to Adegoke et al. (2021), the multiplicity of approval agencies, some of which demand informal payments or operate with bureaucratic inefficiency, complicates the construction process and adds to developers' financial burdens. These challenges are more pronounced in urban centers like Lagos, Abuja, and Port Harcourt, where building regulations are stricter and the pressure on land use is high. Additionally, the disparity in enforcement </w:t>
      </w:r>
      <w:r>
        <w:rPr>
          <w:rFonts w:ascii="Times New Roman" w:cs="Times New Roman" w:eastAsia="Times New Roman" w:hAnsi="Times New Roman"/>
          <w:sz w:val="24"/>
          <w:szCs w:val="24"/>
        </w:rPr>
        <w:t>practices among different states often leads to confusion and non-compliance, which eventually attracts penalties and extra costs (Adamu et al., 2019). These systemic issues have made regulatory compliance not only a legal requirement but also a costly affair. The introduction of new environmental and safety regulations, though necessary for sustainable development, often comes without adequate sensitization or capacity building for stakeholders, leading to implementation inefficiencies and cost overruns (Okonkwo &amp; Ike, 2020).</w:t>
      </w:r>
    </w:p>
    <w:bookmarkStart w:id="17" w:name="_Toc203009301"/>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2.2</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The Review</w:t>
      </w:r>
      <w:bookmarkEnd w:id="1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influence of building regulations on construction cost is not only administrative but also material-based. Regulations stipulate the type, quality, and sources of construction materials, which can limit the freedom of contractors and developers to explore cheaper alternatives. In a study by Yusuf et al. (2020), it was revealed that mandatory adherence to specific building codes, such as those related to fire resistance, seismic stability, and thermal efficiency, often necessitates the use of high-grade, imported materials, which are more expensive than locally available substitutes. This regulatory imposition on materials selection inadvertently inflates costs and sometimes discourages investment, particularly among small-scale developers. Furthermore, regulatory requirements for environmental impact assessments (EIAs) and soil tests add professional consultancy fees and lab testing costs to the overall project budget. While these assessments are essential for safety and sustainability, their implementation in Nigeria is often poorly coordinated and lacks standardized costing, leading to unpredictable financial implications for developers (Oluwole et al., 2022). Such unstructured costing dynamics further complicate budget planning and financial forecasting in construction projects.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significant area where building regulation affects construction cost is through project delays induced by prolonged approval timelines. Approval processes in Nigeria can take weeks or even months due to inefficient bureaucratic procedures, limited digitalization of services, and frequent inter-agency overlaps. According to </w:t>
      </w:r>
      <w:r>
        <w:rPr>
          <w:rFonts w:ascii="Times New Roman" w:cs="Times New Roman" w:eastAsia="Times New Roman" w:hAnsi="Times New Roman"/>
          <w:sz w:val="24"/>
          <w:szCs w:val="24"/>
        </w:rPr>
        <w:t>Ezeokoli</w:t>
      </w:r>
      <w:r>
        <w:rPr>
          <w:rFonts w:ascii="Times New Roman" w:cs="Times New Roman" w:eastAsia="Times New Roman" w:hAnsi="Times New Roman"/>
          <w:sz w:val="24"/>
          <w:szCs w:val="24"/>
        </w:rPr>
        <w:t xml:space="preserve"> et al. (2018), delays in approvals </w:t>
      </w:r>
      <w:r>
        <w:rPr>
          <w:rFonts w:ascii="Times New Roman" w:cs="Times New Roman" w:eastAsia="Times New Roman" w:hAnsi="Times New Roman"/>
          <w:sz w:val="24"/>
          <w:szCs w:val="24"/>
        </w:rPr>
        <w:t>for building plans, environmental permits, and structural assessments often result in downtime, during which project sites remain inactive while costs such as security, rent, and labor standby continue to accrue. In instances where construction commences without proper documentation due to delays, projects are often halted by regulatory agencies, resulting in further losses. The unpredictability of these approval timelines makes it difficult for developers to adhere to project schedules and leads to increased costs due to contractual penalties and interest on project financing (Chukwuemeka et al., 2019). Furthermore, legal battles or government enforcement actions following non-compliance due to delayed approvals may attract substantial fines and legal fees, compounding overall project expenditure.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Notably, regulatory compliance has also been linked to increased costs due to the mandatory engagement of certified professionals such as architects, structural engineers, environmental consultants, and quantity surveyors. While professional oversight is crucial for ensuring quality and safety, the cost of hiring these experts, which is enforced by regulation, can be prohibitive, especially for small and medium-scale construction projects. Ajayi et al. (2020) argue that although the involvement of professionals improves construction outcomes and reduces future maintenance costs, their services are often beyond the financial reach of individual homeowners and informal developers. Moreover, the cost of periodic site inspections, monitoring reports, and compliance certifications, which are often demanded by regulatory agencies, adds further financial pressure to project budgets. In some instances, contractors are forced to incur unofficial expenses to expedite inspection schedules or secure regulatory endorsements. These unofficial costs, often unaccounted for in initial project planning, can significantly distort cost estimations and affect profitability (Olatunji &amp; Olalekan, 2021). As a result, developers may be tempted to cut corners or evade regulations entirely, which undermines the core purpose of regulatory frameworks.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broader context of sustainable urban development, building regulations are intended to drive green building practices and reduce environmental degradation. However, the cost implications of such sustainable practices in the Nigerian construction context have raised concerns among stakeholders. For example, the requirement for sustainable drainage systems, energy-efficient appliances, or renewable energy installations, as stipulated in some urban development guidelines, often comes with higher initial investment costs. In a study conducted by Bamidele et al. (2022), it was found that compliance with green building codes in Nigeria could increase construction costs by up to 20% compared to conventional practices. While these investments offer long-term benefits in terms of energy savings and environmental preservation, the high upfront costs serve as a barrier to adoption. This is particularly true in low-income and informal housing developments, where affordability remains a key concern. The challenge, therefore, lies in balancing regulatory intent with economic feasibility, ensuring that building codes promote sustainability without making housing unaffordable for the average Nigerian (Ogunyemi &amp; Afolayan,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a review of policy literature indicates that the lack of periodic review and modernization of building regulations contributes to increased construction costs. Many of Nigeria's building codes were adapted from colonial-era laws or imported models that do not fully consider local contexts, materials, and socioeconomic realities. As highlighted by Ilesanmi et al. (2021), the failure to update building codes in line with technological advancements and market conditions results in obsolete standards that are difficult to implement and costly to comply with. In cases where developers seek innovative construction techniques such as modular housing or alternative materials, existing regulations may not provide adequate guidelines, forcing developers to undergo expensive special approvals. Additionally, weak institutional capacity among regulatory bodies affects enforcement, often leading to inconsistent application of the rules, thereby creating cost variability across similar </w:t>
      </w:r>
      <w:r>
        <w:rPr>
          <w:rFonts w:ascii="Times New Roman" w:cs="Times New Roman" w:eastAsia="Times New Roman" w:hAnsi="Times New Roman"/>
          <w:sz w:val="24"/>
          <w:szCs w:val="24"/>
        </w:rPr>
        <w:t>projects. This lack of uniformity discourages investment and undermines confidence in the construction regulatory system (Ogundele et al., 2018). It also increases the risk of project abandonment, as cost overruns from poorly managed regulatory compliance can exhaust project funding prematurely.</w:t>
      </w:r>
    </w:p>
    <w:bookmarkStart w:id="18" w:name="_Toc203009302"/>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2.3</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Current Literature Based</w:t>
      </w:r>
      <w:bookmarkEnd w:id="18"/>
      <w:r>
        <w:rPr>
          <w:rFonts w:ascii="Times New Roman" w:eastAsia="Times New Roman" w:hAnsi="Times New Roman"/>
          <w:b/>
          <w:bCs/>
          <w:color w:val="000000"/>
          <w:sz w:val="24"/>
          <w:szCs w:val="24"/>
        </w:rPr>
        <w:t xml:space="preserve"> </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ab/>
      </w:r>
      <w:r>
        <w:rPr>
          <w:rFonts w:ascii="Times New Roman" w:cs="Times New Roman" w:eastAsia="Times New Roman" w:hAnsi="Times New Roman"/>
          <w:b/>
          <w:bCs/>
          <w:sz w:val="24"/>
          <w:szCs w:val="24"/>
        </w:rPr>
        <w:t>Factors Affecting Compliance with Building Regulation in Nigeria Construction Industry</w:t>
      </w:r>
      <w:r>
        <w:rPr>
          <w:rFonts w:ascii="Times New Roman" w:cs="Times New Roman" w:eastAsia="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Building regulations in Nigeria, while necessary for ensuring safety, structural integrity, and environmental sustainability, often result in significant financial burdens for developers and contractors. The challenges stemming from regulatory compliance can be categorized into several factors that increase construction costs, primarily due to bureaucratic inefficiencies, corruption, inconsistencies in enforcement, the cost of quality standards, and the lack of technology adoption in regulatory processes (Adedeji &amp; Cooker, 2019; Olawale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2.3.1.1 </w:t>
      </w:r>
      <w:r>
        <w:rPr>
          <w:rFonts w:ascii="Times New Roman" w:cs="Times New Roman" w:hAnsi="Times New Roman"/>
          <w:b/>
          <w:bCs/>
          <w:sz w:val="24"/>
          <w:szCs w:val="24"/>
        </w:rPr>
        <w:t>Bureaucratic Inefficiencies in Approval Processes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bureaucratic inefficiencies involved in obtaining building permits in Nigeria are one of the most significant challenges developers face. Regulatory approval processes are slow, sometimes taking up to six months or even a year in some states, primarily due to outdated administrative procedures, poor staffing, and manual documentation systems (Okonkwo &amp; Adewole, 2022). These delays directly affect project timelines and inflate overall costs, as developers incur idle costs in financing and labor during the waiting period. The lack of an automated, centralized system exacerbates the situation, leading to repeated errors and lost documents (Adewumi et al., 2021).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regulatory bodies are often under-resourced, resulting in further delays due to insufficient personnel or technical expertise (Adedeji &amp; Cooker, 2019). The consequences are compounded by inflation during this waiting period, increasing the costs of materials and labor, </w:t>
      </w:r>
      <w:r>
        <w:rPr>
          <w:rFonts w:ascii="Times New Roman" w:cs="Times New Roman" w:hAnsi="Times New Roman"/>
          <w:sz w:val="24"/>
          <w:szCs w:val="24"/>
        </w:rPr>
        <w:t>thus further burdening the developer’s budget (Oladimeji et al., 2022). These inefficiencies make Nigeria's regulatory environment unpredictable and discourage new investments, ultimately stalling the progress of the construction industry. Modernizing the approval system by adopting digital platforms and enhancing the efficiency of regulatory bodies could significantly streamline processes, reduce delays, and mitigate unnecessary costs (Akinyemi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2.3.1.2 </w:t>
      </w:r>
      <w:r>
        <w:rPr>
          <w:rFonts w:ascii="Times New Roman" w:cs="Times New Roman" w:hAnsi="Times New Roman"/>
          <w:b/>
          <w:bCs/>
          <w:sz w:val="24"/>
          <w:szCs w:val="24"/>
        </w:rPr>
        <w:t>Corruption and Informal Payments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Corruption is a pervasive issue in Nigeria’s construction industry, significantly increasing construction costs and undermining regulatory processes. Developers often face demands for bribes to expedite the approval of permits, bypass regulatory requirements, or overlook safety violations (Olawale et al., 2020). These informal payments, which are undocumented and unregulated, create financial unpredictability and inflate construction budgets. The corruption culture is further exacerbated by low public sector salaries, inadequate oversight, and a lack of accountability within regulatory bodies (Adedeji &amp; Cooker, 2019). Developers who refuse to participate in such corrupt practices often experience delays in receiving approvals or face outright rejection of their applications (Ilesanmi et al., 2021). These delays not only inflate the costs due to extended financing periods but also compromise the quality of construction as non-compliant builders are often given a free pass (Okonkwo &amp; Adewole, 2022). Corruption fosters a system in which non-compliance is rewarded, discouraging honest investment and encouraging the use of substandard materials and labor.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absence of transparency and accountability leads to inefficient project delivery, which raises overall construction costs and contributes to the high prices of housing and infrastructure (Akinola et al., 2019). Thus, eliminating corruption through transparent regulatory reforms is critical for reducing unnecessary costs and promoting fair competition in the sector.</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2.3.1.3 </w:t>
      </w:r>
      <w:r>
        <w:rPr>
          <w:rFonts w:ascii="Times New Roman" w:cs="Times New Roman" w:hAnsi="Times New Roman"/>
          <w:b/>
          <w:bCs/>
          <w:sz w:val="24"/>
          <w:szCs w:val="24"/>
        </w:rPr>
        <w:t>Regulatory Inconsistencies Across States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construction industry in Nigeria is the inconsistent enforcement of building regulations across states. While the National Building Code provides a general framework, each state often adopts its own set of regulations, leading to discrepancies in construction standards, approvals, and enforcement mechanisms (Adewumi et al., 2021). For example, stricter regulations in states like Lagos demand higher-quality materials, more detailed designs, and additional permits, which increases construction costs for developers operating in these regions (Afolabi &amp; Adekunle, 2020). In contrast, states with more lenient regulations may allow cost-saving construction practices, leading to significant differences in building expenses.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inconsistency creates confusion for developers working in multiple states, as they must adjust their plans, designs, and procurement strategies to meet local requirements, often resulting in higher administrative and logistical costs (Okafor et al., 2020). The lack of uniformity also hampers the ability of national developers to scale projects across the country effectively, as each state requires different sets of approvals and materials. Furthermore, developers may face penalties or additional costs when local authorities impose unforeseen changes to regulations during construction (Ogunyemi &amp; Afolayan,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2.3.1.4 </w:t>
      </w:r>
      <w:r>
        <w:rPr>
          <w:rFonts w:ascii="Times New Roman" w:cs="Times New Roman" w:hAnsi="Times New Roman"/>
          <w:b/>
          <w:bCs/>
          <w:sz w:val="24"/>
          <w:szCs w:val="24"/>
        </w:rPr>
        <w:t>High Costs of Mandatory Quality Standards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challenges developers face in Nigeria’s construction industry is the high cost associated with adhering to mandatory quality standards set by the National Building Code (NBC) and local regulations. These regulations mandate the use of high-quality, certified materials and skilled labor to ensure that buildings meet safety, durability, and environmental standards (Adedeji et al., 2021). For example, developers are often required to use certified cement, steel, and other materials approved by the Standards Organization of Nigeria (SON), which are typically more expensive than locally sourced or unregulated alternatives (Okonkwo &amp; Adewole, 2022). While these quality standards are critical for ensuring the safety and </w:t>
      </w:r>
      <w:r>
        <w:rPr>
          <w:rFonts w:ascii="Times New Roman" w:cs="Times New Roman" w:hAnsi="Times New Roman"/>
          <w:sz w:val="24"/>
          <w:szCs w:val="24"/>
        </w:rPr>
        <w:t>longevity of buildings, they significantly increase procurement costs, especially when high-quality materials are scarce or imported. Additionally, compliance with the regulations often requires developers to hire specialized labor, further increasing labor costs (Oladimeji et al., 2022). Although adherence to these quality standards is crucial for reducing the risk of structural failures and accidents, it imposes a financial burden on developers, particularly in a market where margins are already tight. To address this, there is a need for better access to affordable quality materials and a more competitive local manufacturing industry that can meet the standards without driving up costs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2.3.1.5 </w:t>
      </w:r>
      <w:r>
        <w:rPr>
          <w:rFonts w:ascii="Times New Roman" w:cs="Times New Roman" w:hAnsi="Times New Roman"/>
          <w:b/>
          <w:bCs/>
          <w:sz w:val="24"/>
          <w:szCs w:val="24"/>
        </w:rPr>
        <w:t>Limited Adoption of Technology for 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slow pace of adopting modern technologies for regulatory compliance is another significant barrier to reducing construction costs in Nigeria. Despite the potential of digital tools like Building Information Modeling (BIM) and online permit systems to streamline regulatory processes, their adoption in the Nigerian construction industry remains limited (Eze et al., 2023). Many regulatory agencies still rely on outdated paper-based systems and manual inspections, leading to inefficiencies, errors, and delays in processing applications (Oladimeji et al., 2022). This inefficiency often results in increased costs for developers, who are forced to navigate a cumbersome approval system that could be expedited with the use of technology. For example, without digital platforms, developers must physically submit paperwork, which takes longer to process, increasing waiting times and causing project delays (Adedeji &amp; Cooker, 2019). Furthermore, regulatory bodies lack the technical infrastructure and personnel to effectively implement and manage digital systems. Consequently, the construction industry continues to suffer from unnecessary delays, miscommunications, and errors that elevate costs. To overcome these challenges, there must be a concerted effort to integrate technology into the regulatory framework, including the training of officials and the provision of digital tools to facilitate faster, more accurate compliance processes (Akinyemi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2.3.1.6 Regulatory Overlap and Multiplicity of Authorities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Regulatory overlap and the multiplicity of authorities in Nigeria significantly contribute to the rising construction costs developers face. In many instances, developers are required to obtain permits from multiple government agencies, including federal, state, and local authorities, which often perform similar functions (Akinyemi et al., 2020). For example, a developer might need to seek planning approval from a state ministry and environmental clearance from a local government agency, both of which may require similar documentation and incur separate fees. This redundancy creates confusion, delays, and added administrative costs as developers must navigate through various levels of bureaucracy, often facing conflicting requirements (Ogunyemi &amp; Afolayan, 2023). Such duplication of roles also causes inefficiencies, as developers are often forced to repeat processes or submit the same documents to different authorities. Furthermore, these overlaps lead to delays, as developers may need to resubmit paperwork or wait for approvals from multiple bodies, thereby inflating construction timelines and costs (Okafor et al., 2020). Streamlining the regulatory process by consolidating approvals and eliminating unnecessary overlaps would help reduce administrative burdens, lower costs, and accelerate project timelines for developers in Nigeria (Adewumi et al., 2021).</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2.3.1.7 Lack of Capacity Among Regulatory Officials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capacity of regulatory officials in Nigeria is often insufficient, leading to delays and inefficiencies that increase construction costs. Many regulatory bodies suffer from a shortage of skilled personnel, inadequate training, and limited resources to carry out their duties effectively (Ilesanmi et al., 2021). This lack of capacity results in slow processing of applications, errors in inspections, and delayed site visits, all of which disrupt project timelines and inflate costs (Yusuf &amp; Ibrahim, 2019). For example, due to understaffing, regulatory agencies may not have enough officers to carry out inspections in a timely manner, leaving developers with unresolved issues that halt progress. In some cases, the lack of technical </w:t>
      </w:r>
      <w:r>
        <w:rPr>
          <w:rFonts w:ascii="Times New Roman" w:cs="Times New Roman" w:hAnsi="Times New Roman"/>
          <w:sz w:val="24"/>
          <w:szCs w:val="24"/>
        </w:rPr>
        <w:t>expertise in rural areas further compounds the problem, as local officials may not be equipped to properly assess construction plans or ensure compliance with national standards (Adewumi et al., 2021). Additionally, poorly trained officials may make errors in documentation, which can lead to delays in approvals or necessitate costly revisions to construction plans (Oladimeji et al., 2022). To address this challenge, there is an urgent need for capacity-building programs aimed at training regulatory officials, improving resource allocation, and equipping agencies with the necessary tools to perform their duties effectively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2.3.1.8 Frequent Changes in Regulatory Policies and Standards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Frequent changes in regulatory policies and standards create significant uncertainty in the construction industry, often leading to increased costs for developers. In Nigeria, building regulations and policies, such as zoning laws, setback requirements, and materials standards, are frequently updated without adequate consultation with industry stakeholders (Ajayi et al., 2021). These changes can disrupt ongoing projects, as developers are forced to redesign plans, procure new materials, or restart the approval process altogether. In some cases, developers may incur penalties for failing to comply with new regulations, further adding to the financial burden (Okafor et al., 2020). For instance, developers who are in the midst of construction may have to halt work to meet newly imposed requirements, incurring additional costs for labor, equipment, and materials (Akinola et al., 2019). The lack of transition periods or clear communication about regulatory changes makes it difficult for developers to stay up to date with the evolving requirements. To mitigate these challenges, regulators should establish more stable policies and provide adequate timeframes for developers to comply with new standards, ensuring smoother project execution and reducing unnecessary costs (Ogunyemi &amp; Afolayan, 2023).</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2.3.1.9 Inadequate Stakeholder Engagement and Awareness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Inadequate stakeholder engagement and a lack of awareness campaigns are significant barriers to effective regulatory compliance in Nigeria’s construction industry. Many developers, contractors, and artisans are often unaware of new regulations or changes to existing policies, leading to unintentional violations that incur fines or require costly corrective actions (</w:t>
      </w:r>
      <w:r>
        <w:rPr>
          <w:rFonts w:ascii="Times New Roman" w:cs="Times New Roman" w:hAnsi="Times New Roman"/>
          <w:sz w:val="24"/>
          <w:szCs w:val="24"/>
        </w:rPr>
        <w:t>Ezeokoli</w:t>
      </w:r>
      <w:r>
        <w:rPr>
          <w:rFonts w:ascii="Times New Roman" w:cs="Times New Roman" w:hAnsi="Times New Roman"/>
          <w:sz w:val="24"/>
          <w:szCs w:val="24"/>
        </w:rPr>
        <w:t xml:space="preserve"> et al., 2022). This knowledge gap is primarily due to poor communication between regulatory bodies and industry stakeholders. As a result, stakeholders may fail to understand the rationale behind certain regulations or how to properly implement them, leading to confusion and increased compliance costs (Akinola et al., 2019). Moreover, when stakeholders are not actively involved in the formulation of regulations, there is a risk that the standards imposed may be impractical or economically burdensome, particularly for small-scale developers who may lack the resources to comply (Adewumi et al., 2021). Enhanced communication, public awareness campaigns, and stakeholder consultations are essential to ensure that regulatory expectations align with industry capabilities.</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ab/>
      </w:r>
      <w:r>
        <w:rPr>
          <w:rFonts w:ascii="Times New Roman" w:cs="Times New Roman" w:eastAsia="Times New Roman" w:hAnsi="Times New Roman"/>
          <w:b/>
          <w:bCs/>
          <w:sz w:val="24"/>
          <w:szCs w:val="24"/>
        </w:rPr>
        <w:t>Effect of the Compliance Factors on the Overall Construction Cost of Buildings in Nigeria.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impact of regulatory requirements on construction costs is influenced by multiple factors that either directly or indirectly raise expenses. These factors include high fees, imported materials, delays due to regulatory processes, and the financial burden of adhering to green building regulations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2.3.2.1 </w:t>
      </w:r>
      <w:r>
        <w:rPr>
          <w:rFonts w:ascii="Times New Roman" w:cs="Times New Roman" w:hAnsi="Times New Roman"/>
          <w:b/>
          <w:bCs/>
          <w:sz w:val="24"/>
          <w:szCs w:val="24"/>
        </w:rPr>
        <w:t xml:space="preserve">Impact of </w:t>
      </w:r>
      <w:r>
        <w:rPr>
          <w:rFonts w:ascii="Times New Roman" w:cs="Times New Roman" w:hAnsi="Times New Roman"/>
          <w:b/>
          <w:bCs/>
          <w:sz w:val="24"/>
          <w:szCs w:val="24"/>
        </w:rPr>
        <w:t>High Fees for Permit Approvals and Inspections</w:t>
      </w:r>
      <w:r>
        <w:rPr>
          <w:rFonts w:ascii="Times New Roman" w:cs="Times New Roman" w:hAnsi="Times New Roman"/>
          <w:b/>
          <w:bCs/>
          <w:sz w:val="24"/>
          <w:szCs w:val="24"/>
        </w:rPr>
        <w:t xml:space="preserve"> on Construction cost.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most significant drivers of increased construction costs in Nigeria is the high fees associated with obtaining building permits and approvals. These fees encompass a wide range of regulatory requirements, including zoning fees, environmental impact assessments, structural integrity checks, fire safety approvals, and health and safety certifications (Okonkwo </w:t>
      </w:r>
      <w:r>
        <w:rPr>
          <w:rFonts w:ascii="Times New Roman" w:cs="Times New Roman" w:hAnsi="Times New Roman"/>
          <w:sz w:val="24"/>
          <w:szCs w:val="24"/>
        </w:rPr>
        <w:t xml:space="preserve">&amp; Adewole, 2022). Research by Eze et al. (2023) highlights that these regulatory costs alone can account for 10–15% of the total project cost, significantly increasing financial burdens on developers.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complexity and unpredictability of these fees further exacerbate the issue. Developers often face non-transparent fee structures, where the costs fluctuate without prior notice, leading to budget overruns and financial strain (Afolabi et al., 2021). Additionally, some local authorities impose exorbitant or unnecessary charges, making it difficult for developers to predict the true cost of regulatory compliance. This unpredictability in the fee structures compounds the overall financial strain, especially for small- and medium-scale developers who already struggle with limited financial resources (Afolabi et al., 2023). While these fees are intended to ensure public safety and compliance with national standards, they nonetheless contribute significantly to cost overruns, particularly in projects with tight budgets.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2.3.2.2 </w:t>
      </w:r>
      <w:r>
        <w:rPr>
          <w:rFonts w:ascii="Times New Roman" w:cs="Times New Roman" w:hAnsi="Times New Roman"/>
          <w:b/>
          <w:bCs/>
          <w:sz w:val="24"/>
          <w:szCs w:val="24"/>
        </w:rPr>
        <w:t xml:space="preserve">Economic impact on </w:t>
      </w:r>
      <w:r>
        <w:rPr>
          <w:rFonts w:ascii="Times New Roman" w:cs="Times New Roman" w:hAnsi="Times New Roman"/>
          <w:b/>
          <w:bCs/>
          <w:sz w:val="24"/>
          <w:szCs w:val="24"/>
        </w:rPr>
        <w:t>Dependence on Imported 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Another major factor influencing the rising cost of construction in Nigeria is the country’s dependence on imported materials such as cement, steel, and various construction products. This reliance arises due to shortages of locally produced materials that meet the required quality standards (Adedeji et al., 2021). The National Building Code mandates the use of certified materials that meet specific quality and safety standards, which often necessitate the importation of products (Olawale et al., 2020). The high tariffs, currency fluctuations, and import duties on these products significantly increase their cost, further driving up the overall cost of construction.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reliance on imported materials is compounded by a lack of domestic manufacturing capabilities to produce these materials at competitive prices. For instance, fluctuations in exchange rates, such as the devaluation of the Nigerian Naira, can cause sudden increases in the cost of imported materials, further straining the budgets of construction projects (Oladimeji </w:t>
      </w:r>
      <w:r>
        <w:rPr>
          <w:rFonts w:ascii="Times New Roman" w:cs="Times New Roman" w:hAnsi="Times New Roman"/>
          <w:sz w:val="24"/>
          <w:szCs w:val="24"/>
        </w:rPr>
        <w:t>et al., 2023). Moreover, with local manufacturers struggling to meet the demand for high-quality materials, developers are left with no choice but to purchase expensive imported products. These rising material costs significantly increase construction costs and present challenges for developers, especially in the context of Nigeria's economic volatility.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2.3.2.3 </w:t>
      </w:r>
      <w:r>
        <w:rPr>
          <w:rFonts w:ascii="Times New Roman" w:cs="Times New Roman" w:hAnsi="Times New Roman"/>
          <w:b/>
          <w:bCs/>
          <w:sz w:val="24"/>
          <w:szCs w:val="24"/>
        </w:rPr>
        <w:t xml:space="preserve">Effect of Regulatory Approval Delays on Project Cost and Timelines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Regulatory delays in obtaining permits, approvals, and inspections can substantially increase the cost of construction projects in Nigeria. These delays often result in periods of project stagnation, which incur additional costs, such as financing charges, labor costs, and equipment rental fees (Afolabi et al., 2023). Developers often rely on loans to finance construction projects, and when there are delays in regulatory processes, the interest on these loans continues to accumulate, further driving up the overall cost of the project. According to Adewumi et al. (2021), these regulatory delays can increase total project costs by as much as 20–30%, considering both direct financial penalties and the indirect effects on project scheduling.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Additionally, when construction projects are delayed due to the lengthy approval processes, the workforce may need to be temporarily laid off or reassigned, resulting in inefficiencies and downtime. Equipment that was originally scheduled to be used in a particular phase may also remain idle, leading to increased rental costs (Afolabi et al., 2023). These delays, while necessary for ensuring regulatory compliance, contribute to significant cost overruns, causing a strain on the project’s budget and timeline. The construction industry in Nigeria must explore solutions for streamlining regulatory processes to reduce such delays and mitigate the resulting financial impacts.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2.3.2.4 Cost Burdens Imposed by Green building and sustainability regulation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increasing emphasis on sustainability in Nigeria's construction industry has led to the incorporation of green building regulations, which are intended to improve energy efficiency, reduce environmental impact, and promote the use of sustainable materials (Adedeji &amp; Cooker, </w:t>
      </w:r>
      <w:r>
        <w:rPr>
          <w:rFonts w:ascii="Times New Roman" w:cs="Times New Roman" w:hAnsi="Times New Roman"/>
          <w:sz w:val="24"/>
          <w:szCs w:val="24"/>
        </w:rPr>
        <w:t xml:space="preserve">2019). These regulations typically mandate the inclusion of features such as solar energy systems, rainwater harvesting facilities, and the use of eco-friendly construction materials, all of which contribute to higher construction costs. According to Eze et al. (2023), the financial burden of complying with these green standards can range from 10% to 30% of the total project budget, depending on the scale and scope of the building. Although these sustainable practices are valuable for long-term environmental and economic benefits, their upfront costs are a significant challenge for many developers, particularly in the context of Nigeria’s economic constraints.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added costs of purchasing renewable energy equipment, eco-friendly materials, and implementing energy-efficient technologies can be prohibitive, especially for small and medium-sized developers (Akinola et al., 2021). As a result, while green building regulations are an essential part of promoting sustainability, they place a financial strain on developers who may already be struggling with other cost-related challenges. These regulations need to be better balanced with practical, cost-effective solutions that can be more widely implemented across the industry (Oladimeji et al.,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 xml:space="preserve">3.2.5 Consequences of Regulatory Inconsistencies on Project Financials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One of the significant but frequently underestimated drivers of increased construction costs in Nigeria is the inconsistency in policy implementation across different government levels and the duplication of functions by various regulatory agencies. Developers are often entangled in a complex web of approvals and permits required from federal, state, and local government bodies, each operating under different regulatory frameworks (Adewumi Sunday, Aluko Tunde, &amp; Ogunleye Bamidele, 2021). This situation creates overlapping jurisdictions, which not only cause confusion but also extend project timelines due to the need to satisfy repetitive requirements. For example, a developer may obtain environmental clearance at the federal level only to be mandated to go through a similar but slightly different process at the state level.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inconsistencies are further exacerbated by the absence of a centralized system or digital platform to streamline the approval process, leading to redundant efforts, lost documents, and repeated inspections (Okonkwo Chibuzo &amp; Adewole Timothy, 2022). In some cases, what is acceptable building practice or material in Lagos State may be rejected in Ogun or Rivers State, compelling developers to revise architectural drawings or construction methods, which incur additional consultancy and design costs.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2.3.2.6 </w:t>
      </w:r>
      <w:r>
        <w:rPr>
          <w:rFonts w:ascii="Times New Roman" w:cs="Times New Roman" w:hAnsi="Times New Roman"/>
          <w:b/>
          <w:bCs/>
          <w:sz w:val="24"/>
          <w:szCs w:val="24"/>
        </w:rPr>
        <w:t xml:space="preserve">Effect of </w:t>
      </w:r>
      <w:r>
        <w:rPr>
          <w:rFonts w:ascii="Times New Roman" w:cs="Times New Roman" w:hAnsi="Times New Roman"/>
          <w:b/>
          <w:bCs/>
          <w:sz w:val="24"/>
          <w:szCs w:val="24"/>
        </w:rPr>
        <w:t xml:space="preserve">Lack </w:t>
      </w:r>
      <w:r>
        <w:rPr>
          <w:rFonts w:ascii="Times New Roman" w:cs="Times New Roman" w:hAnsi="Times New Roman"/>
          <w:b/>
          <w:bCs/>
          <w:sz w:val="24"/>
          <w:szCs w:val="24"/>
        </w:rPr>
        <w:t xml:space="preserve">of </w:t>
      </w:r>
      <w:r>
        <w:rPr>
          <w:rFonts w:ascii="Times New Roman" w:cs="Times New Roman" w:hAnsi="Times New Roman"/>
          <w:b/>
          <w:bCs/>
          <w:sz w:val="24"/>
          <w:szCs w:val="24"/>
        </w:rPr>
        <w:t xml:space="preserve">Incentives </w:t>
      </w:r>
      <w:r>
        <w:rPr>
          <w:rFonts w:ascii="Times New Roman" w:cs="Times New Roman" w:hAnsi="Times New Roman"/>
          <w:b/>
          <w:bCs/>
          <w:sz w:val="24"/>
          <w:szCs w:val="24"/>
        </w:rPr>
        <w:t xml:space="preserve">for </w:t>
      </w:r>
      <w:r>
        <w:rPr>
          <w:rFonts w:ascii="Times New Roman" w:cs="Times New Roman" w:hAnsi="Times New Roman"/>
          <w:b/>
          <w:bCs/>
          <w:sz w:val="24"/>
          <w:szCs w:val="24"/>
        </w:rPr>
        <w:t>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Nigeria, the regulatory framework governing the construction sector largely operates on a punitive basis, with minimal emphasis on positive reinforcement. Unlike developed countries where incentives such as tax rebates, fast-track processing, land allocation benefits, or grants are offered to developers who meet regulatory and green compliance standards, Nigerian developers often receive no such encouragement (Afolabi Michael, Ajayi Kehinde, &amp; </w:t>
      </w:r>
      <w:r>
        <w:rPr>
          <w:rFonts w:ascii="Times New Roman" w:cs="Times New Roman" w:hAnsi="Times New Roman"/>
          <w:sz w:val="24"/>
          <w:szCs w:val="24"/>
        </w:rPr>
        <w:t>Odetola</w:t>
      </w:r>
      <w:r>
        <w:rPr>
          <w:rFonts w:ascii="Times New Roman" w:cs="Times New Roman" w:hAnsi="Times New Roman"/>
          <w:sz w:val="24"/>
          <w:szCs w:val="24"/>
        </w:rPr>
        <w:t xml:space="preserve"> Samuel, 2023). This lack of reward structure significantly reduces motivation for voluntary compliance and discourages innovation in areas such as sustainable building practices, energy-efficient designs, or environmentally responsible construction methods.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absence of financial or procedural incentives means developers are left to bear the full brunt of high regulatory compliance costs, which often include fees for documentation, inspections, material certification, and additional engineering consultations to meet updated codes (Oladimeji Babatunde &amp; Adeyemo Joseph, 2023).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2.3.2.7</w:t>
      </w:r>
      <w:r>
        <w:rPr>
          <w:rFonts w:ascii="Times New Roman" w:cs="Times New Roman" w:hAnsi="Times New Roman"/>
          <w:b/>
          <w:bCs/>
          <w:sz w:val="24"/>
          <w:szCs w:val="24"/>
        </w:rPr>
        <w:t xml:space="preserve"> </w:t>
      </w:r>
      <w:r>
        <w:rPr>
          <w:rFonts w:ascii="Times New Roman" w:cs="Times New Roman" w:hAnsi="Times New Roman"/>
          <w:b/>
          <w:bCs/>
        </w:rPr>
        <w:t xml:space="preserve">Implication of </w:t>
      </w:r>
      <w:r>
        <w:rPr>
          <w:rFonts w:ascii="Times New Roman" w:cs="Times New Roman" w:hAnsi="Times New Roman"/>
          <w:b/>
          <w:bCs/>
        </w:rPr>
        <w:t xml:space="preserve">Limited Access </w:t>
      </w:r>
      <w:r>
        <w:rPr>
          <w:rFonts w:ascii="Times New Roman" w:cs="Times New Roman" w:hAnsi="Times New Roman"/>
          <w:b/>
          <w:bCs/>
        </w:rPr>
        <w:t xml:space="preserve">to </w:t>
      </w:r>
      <w:r>
        <w:rPr>
          <w:rFonts w:ascii="Times New Roman" w:cs="Times New Roman" w:hAnsi="Times New Roman"/>
          <w:b/>
          <w:bCs/>
        </w:rPr>
        <w:t xml:space="preserve">Regulatory Information </w:t>
      </w:r>
      <w:r>
        <w:rPr>
          <w:rFonts w:ascii="Times New Roman" w:cs="Times New Roman" w:hAnsi="Times New Roman"/>
          <w:b/>
          <w:bCs/>
        </w:rPr>
        <w:t xml:space="preserve">and </w:t>
      </w:r>
      <w:r>
        <w:rPr>
          <w:rFonts w:ascii="Times New Roman" w:cs="Times New Roman" w:hAnsi="Times New Roman"/>
          <w:b/>
          <w:bCs/>
        </w:rPr>
        <w:t>Professional Guidance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addition to the above factors, limited access to accurate regulatory information and professional advisory services also contributes significantly to cost escalations in construction. Many developers, especially those operating in rural or semi-urban areas, are unaware of the specific requirements needed for full regulatory compliance. This lack of information often leads to submission errors, application rejections, and unnecessary delays all of which add up </w:t>
      </w:r>
      <w:r>
        <w:rPr>
          <w:rFonts w:ascii="Times New Roman" w:cs="Times New Roman" w:hAnsi="Times New Roman"/>
          <w:sz w:val="24"/>
          <w:szCs w:val="24"/>
        </w:rPr>
        <w:t>in time and financial loss (Okonkwo Chibuzo &amp; Adewole Timothy, 2022). Furthermore, due to the lack of centralized digital platforms, regulatory updates are not easily accessible to stakeholders, meaning developers may unknowingly operate using outdated codes or standards.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Additionally, smaller developers who cannot afford the services of professional consultants such as architects, civil engineers, urban planners, and legal advisors are more prone to making costly regulatory mistakes (Adedeji Olumide &amp; Cooker Adebayo, 2021). The absence of government-provided support units or public advisory desks within construction.</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2.3.3 </w:t>
      </w:r>
      <w:r>
        <w:rPr>
          <w:rFonts w:ascii="Times New Roman" w:cs="Times New Roman" w:eastAsia="Times New Roman" w:hAnsi="Times New Roman"/>
          <w:b/>
          <w:bCs/>
          <w:sz w:val="24"/>
          <w:szCs w:val="24"/>
        </w:rPr>
        <w:t>Strategies and Measures to Minimize the Adverse Effects of Building Regulation Compliance on Construction Cost in Nigeria.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rising financial burden imposed by the complex regulatory frameworks on construction projects in Nigeria has emerged as a major concern for developers, policymakers, and other key stakeholders within the real estate and construction sectors. While regulatory compliance remains essential for ensuring safety, environmental sustainability, and urban order, the cost implications, when left unchecked, can suppress innovation, discourage investment, and significantly hinder urban development. </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2.3.3.1 Streamlining Approval Processes through Digitalization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persistent issues that developers face is the lengthy and often convoluted approval process for building permits and development plans. These processes typically involve multiple layers of bureaucracy and slow manual procedures that unnecessarily delay construction projects. However, the introduction of a digitalized, centralized approval system could significantly transform this landscape. By adopting digital platforms such as online portals for permit applications, automated inspection scheduling, and advanced technologies like Building Information Modeling (BIM), regulatory agencies can streamline the review and approval process, reducing the time and complexity involved (Eze Chinedu, </w:t>
      </w:r>
      <w:r>
        <w:rPr>
          <w:rFonts w:ascii="Times New Roman" w:cs="Times New Roman" w:eastAsia="Times New Roman" w:hAnsi="Times New Roman"/>
          <w:sz w:val="24"/>
          <w:szCs w:val="24"/>
        </w:rPr>
        <w:t>Onwuzuruike</w:t>
      </w:r>
      <w:r>
        <w:rPr>
          <w:rFonts w:ascii="Times New Roman" w:cs="Times New Roman" w:eastAsia="Times New Roman" w:hAnsi="Times New Roman"/>
          <w:sz w:val="24"/>
          <w:szCs w:val="24"/>
        </w:rPr>
        <w:t xml:space="preserve"> Paul, &amp; Nwachukwu Ernest,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implementation of digital tools can significantly enhance operational efficiency, facilitating quicker processing times for permits and approvals. Moreover, automated systems provide real-time feedback, allowing developers to receive immediate notifications about inconsistencies in plans, thereby preventing costly redesigns or delays later in the construction process. Real-time document tracking and audit trails not only increase transparency but also promote accountability within regulatory agencies. These technological innovations can also flag issues early, reducing the likelihood of costly mistakes and enabling developers to anticipate and address potential regulatory challenges proactively.</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2.3.3.2 Promoting the Use of Locally Available Building Materials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strategy that can help mitigate regulatory cost challenges involves encouraging the use of locally sourced building materials. Importing construction materials from abroad is not only expensive, but it is also exacerbated by fluctuating exchange rates and rising import duties, all of which contribute to inflated construction costs. To address this issue, the Nigerian government can incentivize developers to use indigenous materials, such as locally sourced laterite bricks, bamboo, clay tiles, and recycled aggregates. These materials are not only cost-effective but also sustainable, promoting a reduction in the carbon footprint of construction projects (Adewumi, Aluko, &amp; Ogunleye,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government could support this initiative by offering tax exemptions, subsidies, or grants to manufacturers and developers who adopt these materials. Moreover, the promotion of indigenous materials also creates opportunities for local businesses, boosting the economy and fostering job creation within the construction sector. By focusing on locally available materials, developers can lower their overall material costs while contributing to environmental sustainability and reducing dependency on imports.</w:t>
      </w: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2.3.3.3 Strengthening Regulatory Institutions to Curb Corruption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Corruption remains one of the most pervasive challenges within Nigeria’s regulatory enforcement framework, driving up compliance costs and creating an environment where bribery and other forms of illicit payments are normalized. Strengthening the institutional framework responsible for enforcing building regulations is critical in curbing this issue. Establishing a more transparent and accountable regulatory system would go a long way in reducing the frequency of illegal payments and fostering a fairer system of building law enforcement (Adedeji Olumide &amp; Cooker Adebayo, 2019).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can be achieved by implementing measures such as the recruitment and continuous training of qualified professionals, automation of inspection logs, and public access to enforcement data. The introduction of whistleblower policies within regulatory bodies would help deter corrupt practices, as would the establishment of anti-corruption units that monitor the activities of enforcement officers. Additionally, enforcing regular rotations for field enforcement officers and instituting strict disciplinary measures for corrupt officials would contribute to building a culture of accountability. Such measures would enhance developers' confidence in the regulatory environment, reducing the financial burden of illicit costs associated with bribery.</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2.3.3.4 Incentivizing Green and Sustainable Construction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line with global trends towards sustainability, Nigeria must explore ways to encourage developers to adopt green and sustainable construction practices. Sustainable buildings not only contribute to environmental protection but also offer long-term operational cost savings by reducing energy consumption and improving water efficiency. To encourage green building initiatives, the Nigerian government can offer various incentives such as tax credits, reduced permit fees, or access to green construction grants (Adewumi Sunday, Aluko Tunde, &amp; Ogunleye Bamidele,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incentivizing developers to incorporate energy-efficient systems, water recycling technologies, and renewable energy sources into their projects, the government would reduce the overall regulatory costs while simultaneously fostering a greener economy. Sustainable buildings are also attractive to premium buyers and investors who are increasingly prioritizing environmental consciousness in their investment decisions. This provides developers with an opportunity to offset the initial cost of compliance by attracting investors interested in environmentally responsible construction practices.</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2.3.3.5 Establishing One-Stop Regulatory Centers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address regulatory inefficiencies and streamline the approval process, Nigeria should consider establishing one-stop-shop regulatory centers. These centers would house representatives from all relevant regulatory bodies under one roof, including urban planning departments, environmental agencies, fire service departments, and building control units. The integration of these agencies into a single point of contact would help minimize bureaucratic hurdles, reduce regulatory overlaps, and significantly cut down on approval timelines (Olawale Richard, Nwosu Johnson, &amp; Ganiyu Ibrahim, 2020).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centers should be designed to facilitate seamless coordination between the various regulatory bodies involved in construction approvals, ensuring that developers only need to engage with a single entity. The establishment of standardized checklists and process timelines would further ensure consistency and reduce delays caused by the need to visit multiple agencies. The successful implementation of these centers would not only reduce the regulatory cost burden but also improve the ease of doing business in the construction sector, which could attract more investment and facilitate faster urban development.</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2.3.3.6 Public-Private Partnerships in Regulatory Reform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Collaboration between the public sector and private developers is essential in addressing regulatory challenges. Public-Private Partnerships (PPPs) can play a crucial role in reforming </w:t>
      </w:r>
      <w:r>
        <w:rPr>
          <w:rFonts w:ascii="Times New Roman" w:cs="Times New Roman" w:eastAsia="Times New Roman" w:hAnsi="Times New Roman"/>
          <w:sz w:val="24"/>
          <w:szCs w:val="24"/>
        </w:rPr>
        <w:t>the regulatory landscape by facilitating the co-financing of digital transformation efforts and the co-development of training programs for regulatory personnel (Oladimeji Babatunde &amp; Adeyemo Joseph, 2023). These collaborations enable both sectors to share resources, expertise, and technology, ensuring that regulatory reforms are practical and aligned with industry needs.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PPP models, private developers can bring valuable insight into the realities of the construction industry, while the public sector can ensure that regulatory policies serve the greater public interest. Additionally, PPPs can help foster better communication and cooperation between developers and regulatory bodies, ensuring that regulations are not only enforceable but also reflective of current market conditions. By involving both the public and private sectors in the regulatory reform process, Nigeria can achieve a balanced regulatory environment that promotes both compliance and innovation.</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2.3.3.7 Enhancing Legal and Dispute Resolution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certainty is essential for reducing the financial risks associated with regulatory disputes. When developers face regulatory challenges, such as disputes over penalties, construction permits, or building codes, prolonged litigation can lead to substantial cost escalations and delays. To address this, Nigeria should establish fast-track administrative tribunals and alternative dispute resolution (ADR) mechanisms that allow developers to resolve regulatory disagreements quickly and efficiently without resorting to lengthy and expensive court processes (Okonkwo Chibuzo &amp; Adewole Timothy,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Clear and defined timelines for the resolution of construction-related disputes would further enhance predictability and stability within the construction industry. Additionally, the introduction of digital platforms for tracking the progress of legal cases would ensure transparency and improve trust in the dispute resolution process. By reducing downtime and legal fees, these systems would help developers maintain project timelines and keep costs under control, contributing to a more stable and predictable regulatory environment</w:t>
      </w:r>
      <w:r>
        <w:rPr>
          <w:rFonts w:ascii="Times New Roman" w:cs="Times New Roman" w:hAnsi="Times New Roman"/>
          <w:sz w:val="24"/>
          <w:szCs w:val="24"/>
        </w:rPr>
        <w:t>.</w:t>
      </w:r>
    </w:p>
    <w:bookmarkStart w:id="19" w:name="_Toc203009303"/>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2.3</w:t>
      </w:r>
      <w:r>
        <w:rPr>
          <w:rFonts w:ascii="Times New Roman" w:hAnsi="Times New Roman"/>
          <w:b/>
          <w:bCs/>
          <w:color w:val="000000"/>
          <w:sz w:val="24"/>
          <w:szCs w:val="24"/>
        </w:rPr>
        <w:tab/>
      </w:r>
      <w:r>
        <w:rPr>
          <w:rFonts w:ascii="Times New Roman" w:hAnsi="Times New Roman"/>
          <w:b/>
          <w:bCs/>
          <w:color w:val="000000"/>
          <w:sz w:val="24"/>
          <w:szCs w:val="24"/>
        </w:rPr>
        <w:t>Summary of Chapter</w:t>
      </w:r>
      <w:bookmarkEnd w:id="19"/>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review by Aliyu and Abdulazeez (2022) on Sustainable development has become very important in the world we live in today, prompting building and construction designs to be energy efficient, particularly, in the face of anthropogenic climate change. This study evaluates the regulations in Nigeria governing building energy efficiency compared to international standards, specifically the regulations found in the United Kingdom. Furthermore, this paper employed and </w:t>
      </w:r>
      <w:r>
        <w:rPr>
          <w:rFonts w:ascii="Times New Roman" w:cs="Times New Roman" w:hAnsi="Times New Roman"/>
          <w:sz w:val="24"/>
          <w:szCs w:val="24"/>
        </w:rPr>
        <w:t>analysed</w:t>
      </w:r>
      <w:r>
        <w:rPr>
          <w:rFonts w:ascii="Times New Roman" w:cs="Times New Roman" w:hAnsi="Times New Roman"/>
          <w:sz w:val="24"/>
          <w:szCs w:val="24"/>
        </w:rPr>
        <w:t xml:space="preserve"> data obtained from different and relevant construction professionals to investigate the extent to which professional building firms in Abuja, Nigeria implements the different energy efficiency design strategies at their disposal. A mixed method (quantitative and qualitative) analysis approach was employed with a structured questionnaire used to gather and </w:t>
      </w:r>
      <w:r>
        <w:rPr>
          <w:rFonts w:ascii="Times New Roman" w:cs="Times New Roman" w:hAnsi="Times New Roman"/>
          <w:sz w:val="24"/>
          <w:szCs w:val="24"/>
        </w:rPr>
        <w:t>analyse</w:t>
      </w:r>
      <w:r>
        <w:rPr>
          <w:rFonts w:ascii="Times New Roman" w:cs="Times New Roman" w:hAnsi="Times New Roman"/>
          <w:sz w:val="24"/>
          <w:szCs w:val="24"/>
        </w:rPr>
        <w:t xml:space="preserve"> data from 120 professionals in various architectural and engineering firms in Abuja, Nigeria. The results indicated that both the awareness and implementation levels of energy efficiency design strategies by the firms were encouraging. However, there is a need for a structured framework governing energy efficiency, especially in the high cost and luxury market. Moreover, the study result, indicated that the energy efficiency strategies that the firms were most familiar with were site planning, natural ventilation and building orientation.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Further more</w:t>
      </w:r>
      <w:r>
        <w:rPr>
          <w:rFonts w:ascii="Times New Roman" w:cs="Times New Roman" w:hAnsi="Times New Roman"/>
          <w:sz w:val="24"/>
          <w:szCs w:val="24"/>
        </w:rPr>
        <w:t xml:space="preserve">, a studied by </w:t>
      </w:r>
      <w:r>
        <w:rPr>
          <w:rFonts w:ascii="Times New Roman" w:cs="Times New Roman" w:hAnsi="Times New Roman"/>
          <w:sz w:val="24"/>
          <w:szCs w:val="24"/>
        </w:rPr>
        <w:t>Ukpali</w:t>
      </w:r>
      <w:r>
        <w:rPr>
          <w:rFonts w:ascii="Times New Roman" w:cs="Times New Roman" w:hAnsi="Times New Roman"/>
          <w:sz w:val="24"/>
          <w:szCs w:val="24"/>
        </w:rPr>
        <w:t xml:space="preserve"> et al., (2021) on the building regulations enforcement and housing development in Calabar South. It also involved assessing the quality of buildings and their compliance with minimum building standards as enshrined in the Cross River State building regulations of 1984 as amended in 1987. Three hundred (300) questionnaires were administered to capture information such as building regulations enforcement activities on housing quality, buildings with and without approval from 2008 to 2014, and materials used in building and types of structures. The analysis using the Product Moment Correlation Coefficient revealed that there is a relationship between building approval and quality of housing. This implies that most of these buildings were built without planning permission. The </w:t>
      </w:r>
      <w:r>
        <w:rPr>
          <w:rFonts w:ascii="Times New Roman" w:cs="Times New Roman" w:hAnsi="Times New Roman"/>
          <w:sz w:val="24"/>
          <w:szCs w:val="24"/>
        </w:rPr>
        <w:t xml:space="preserve">study shows that about 114 buildings from the selected Streets were built from 2008 to 2014 without obtaining planning permission and many of which are substandard and </w:t>
      </w:r>
      <w:r>
        <w:rPr>
          <w:rFonts w:ascii="Times New Roman" w:cs="Times New Roman" w:hAnsi="Times New Roman"/>
          <w:sz w:val="24"/>
          <w:szCs w:val="24"/>
        </w:rPr>
        <w:t>semi permanent</w:t>
      </w:r>
      <w:r>
        <w:rPr>
          <w:rFonts w:ascii="Times New Roman" w:cs="Times New Roman" w:hAnsi="Times New Roman"/>
          <w:sz w:val="24"/>
          <w:szCs w:val="24"/>
        </w:rPr>
        <w:t xml:space="preserve"> whereas, only 86 buildings were erected with planning permission within the same years. Although, many of the housing built without approval were found to be standard with materials such as concrete blocks, aluminum roofing sheets and good finishing, appropriate setbacks, building lines and space coverage with those that obtained approval before development making a total of 125. It is therefore, recommends among others a policy frame work that would help improve enforcement activities in the Local Government Area. This will help improve the situation of the area.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opined by Ikenna and Bons (2022) emphasized on Cost Management and Control of Building Projects in Nigeria; The Role of the Architect. Building projects entail numerous closely connected tasks. The management of such tasks is highly difficult, which makes it challenging for clients. According to </w:t>
      </w:r>
      <w:r>
        <w:rPr>
          <w:rFonts w:ascii="Times New Roman" w:cs="Times New Roman" w:hAnsi="Times New Roman"/>
          <w:sz w:val="24"/>
          <w:szCs w:val="24"/>
        </w:rPr>
        <w:t>Shamsudeen</w:t>
      </w:r>
      <w:r>
        <w:rPr>
          <w:rFonts w:ascii="Times New Roman" w:cs="Times New Roman" w:hAnsi="Times New Roman"/>
          <w:sz w:val="24"/>
          <w:szCs w:val="24"/>
        </w:rPr>
        <w:t xml:space="preserve">, 2009, such intricate and interconnected operations lead to cost issues that call for efficient cost management and control procedures. One of the most crucial activities in a building project is cost management and control, which begins at the conceptual stage of every project by giving clients and the design team cost recommendations to help the design be completed within the allocated budget (Cunningham, 2015). This research seeks to address the role of architects in cost management and control of building projects in Nigeria by thoroughly examining the following topics—cost management, cost control, the significance of cost management in a building project, a review of the members of the building team and their roles, and enumerating the statutory role and responsibilities of Architects in building projects in Nigeria. Every client hopes for a building project to be completed on time and within budget. The biggest problem an architect faces is controlling and managing cost of building project's during planning and execution to prevent cost overruns. This study focused on architects and their role in cost management and control of building </w:t>
      </w:r>
      <w:r>
        <w:rPr>
          <w:rFonts w:ascii="Times New Roman" w:cs="Times New Roman" w:hAnsi="Times New Roman"/>
          <w:sz w:val="24"/>
          <w:szCs w:val="24"/>
        </w:rPr>
        <w:t>projects in Nigeria. This study suggests that the architect, who serves as the prime consultant in building projects, takes the lead in cost management and control.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review by Innocent (2019) on an appraisal of building control and regulations practice in Nigeria: Project managers’ perspectives. Development and certification of buildings for health and safety of building users necessitated the building control and regulations agencies in Nigeria, and the protection of the built-up regions from human injuries is man’s major obligation. The article aims to determine and assess the level of practice of building control and regulations in the country with a view to advance their practice. A questionnaire instrument was used, and 35 building control performance indicators were recognized, and </w:t>
      </w:r>
      <w:r>
        <w:rPr>
          <w:rFonts w:ascii="Times New Roman" w:cs="Times New Roman" w:hAnsi="Times New Roman"/>
          <w:sz w:val="24"/>
          <w:szCs w:val="24"/>
        </w:rPr>
        <w:t>categorised</w:t>
      </w:r>
      <w:r>
        <w:rPr>
          <w:rFonts w:ascii="Times New Roman" w:cs="Times New Roman" w:hAnsi="Times New Roman"/>
          <w:sz w:val="24"/>
          <w:szCs w:val="24"/>
        </w:rPr>
        <w:t xml:space="preserve"> into four groups and assessed. A total of 117 questionnaires were distributed to survey participants. Statistical tools of mean, chi-square, Kendall’s coefficient of concordance and Kruskal–Wallis test by Statistical Package for the Social Sciences v.23 were used. The result obtained revealed that the level of practice of the four groups of building control performance indicators is average. On the basis of the survey findings, the top most five building control performance indicators as considered by the participants are as follows: zero tolerance to illegal development and building collapse, enforcement of building control regulations, processing and scrutinizing of building plans for approval, cooperation among staff members and public enlightenment on building control and regulations. The degree of agreement between the participants concerning the performance indicators that influence building control and regulations practice in Nigeria was established. The result obtained revealed that there is a statistically significant degree of agreement among the three different classes of project managers regarding their responses. The study also revealed the drawback in the implementation and enforcement of building control and regulations in the country. Recommendations were also made to improve the practice.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20" w:name="_Toc141179492"/>
    <w:bookmarkStart w:id="21" w:name="_Toc203009304"/>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CHAPTER THREE</w:t>
      </w:r>
      <w:bookmarkEnd w:id="20"/>
      <w:bookmarkEnd w:id="21"/>
    </w:p>
    <w:bookmarkStart w:id="22" w:name="_Toc141179493"/>
    <w:bookmarkStart w:id="23" w:name="_Toc203009305"/>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RESEARCH METHODOLOGY</w:t>
      </w:r>
      <w:bookmarkEnd w:id="22"/>
      <w:bookmarkEnd w:id="23"/>
    </w:p>
    <w:bookmarkStart w:id="24" w:name="_Toc141179494"/>
    <w:bookmarkStart w:id="25" w:name="_Toc203009306"/>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 xml:space="preserve">3.1 </w:t>
      </w:r>
      <w:bookmarkEnd w:id="24"/>
      <w:r>
        <w:rPr>
          <w:rFonts w:ascii="Times New Roman" w:hAnsi="Times New Roman"/>
          <w:b/>
          <w:bCs/>
          <w:color w:val="000000"/>
          <w:sz w:val="24"/>
          <w:szCs w:val="24"/>
        </w:rPr>
        <w:t>A Brief Outline of the Chapter</w:t>
      </w:r>
      <w:bookmarkEnd w:id="25"/>
    </w:p>
    <w:bookmarkStart w:id="26" w:name="_Toc141179495"/>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outlines the methodology adopted for the study. It includes the research design, study population, sample size determination, sampling techniques, data collection method, administration of instrument, and techniques for data analysis. The methodology provides a clear framework for how data will be gathered, processed, and analyzed to achieve the research objectives.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adopts the survey method, which is appropriate for eliciting responses from a defined group of professionals using a structured online questionnaire as the primary data collection tool.</w:t>
      </w:r>
    </w:p>
    <w:bookmarkStart w:id="27" w:name="_Toc203009307"/>
    <w:p>
      <w:pPr>
        <w:pStyle w:val="style1"/>
        <w:spacing w:before="0" w:lineRule="auto" w:line="480"/>
        <w:rPr>
          <w:rFonts w:ascii="Times New Roman" w:hAnsi="Times New Roman"/>
          <w:b/>
          <w:bCs/>
          <w:color w:val="000000"/>
          <w:sz w:val="24"/>
          <w:szCs w:val="24"/>
        </w:rPr>
      </w:pPr>
      <w:r>
        <w:rPr>
          <w:rFonts w:ascii="Times New Roman" w:eastAsia="Times New Roman" w:hAnsi="Times New Roman"/>
          <w:b/>
          <w:bCs/>
          <w:color w:val="000000"/>
          <w:sz w:val="24"/>
          <w:szCs w:val="24"/>
        </w:rPr>
        <w:t>3.2</w:t>
      </w:r>
      <w:r>
        <w:rPr>
          <w:rFonts w:ascii="Times New Roman" w:eastAsia="Times New Roman" w:hAnsi="Times New Roman"/>
          <w:b/>
          <w:bCs/>
          <w:color w:val="000000"/>
          <w:sz w:val="24"/>
          <w:szCs w:val="24"/>
        </w:rPr>
        <w:tab/>
      </w:r>
      <w:r>
        <w:rPr>
          <w:rFonts w:ascii="Times New Roman" w:hAnsi="Times New Roman"/>
          <w:b/>
          <w:bCs/>
          <w:color w:val="000000"/>
          <w:sz w:val="24"/>
          <w:szCs w:val="24"/>
        </w:rPr>
        <w:t>Restatement of the Research Questions</w:t>
      </w:r>
      <w:bookmarkEnd w:id="2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investigates the impact of building regulations on construction costs in Nigeria. The research is guided by the following key questions:</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challenges do building regulations pose to construction costs in Nigeria?</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factors cause increased construction costs due to regulatory requirements?</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strategies can address cost challenges while ensuring regulatory compliance?</w:t>
      </w:r>
    </w:p>
    <w:bookmarkStart w:id="28" w:name="_Toc203009308"/>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3.3 Research Design</w:t>
      </w:r>
      <w:bookmarkEnd w:id="26"/>
      <w:bookmarkEnd w:id="28"/>
    </w:p>
    <w:bookmarkStart w:id="29" w:name="_Toc141179496"/>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design refers to the structured framework for conducting the study, specifying the type of data to be collected, the sources, and the procedures for collecting and analyzing the data. This study employs the quantitative approach, which allows the researcher to collect data from a predefined group of respondents through an online questionnaire, analyze their opinions and perceptions, and draw meaningful conclusions.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design is suitable for capturing current practices and viewpoints of professionals involved in public building projects and aligns with the study's objective of understanding practical field perspectives.</w:t>
      </w:r>
    </w:p>
    <w:bookmarkStart w:id="30" w:name="_Toc203009309"/>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3.4 Population of the Study</w:t>
      </w:r>
      <w:bookmarkEnd w:id="29"/>
      <w:bookmarkEnd w:id="30"/>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eastAsia="Times New Roman" w:hAnsi="Times New Roman"/>
          <w:sz w:val="24"/>
          <w:szCs w:val="24"/>
        </w:rPr>
        <w:t>The target population for this research consists of 50 construction professionals, including Quantity Surveyors, Architects, Project Managers, and Builders with a minimum of three years of field experience. These individuals were selected from various public building projects within the Ilorin metropolis and are considered suitable due to their experience and direct involvement in construction supervision and management</w:t>
      </w:r>
      <w:r>
        <w:rPr>
          <w:rFonts w:ascii="Times New Roman" w:cs="Times New Roman" w:hAnsi="Times New Roman"/>
          <w:color w:val="000000"/>
          <w:sz w:val="24"/>
          <w:szCs w:val="24"/>
        </w:rPr>
        <w:t>.</w:t>
      </w:r>
    </w:p>
    <w:bookmarkStart w:id="31" w:name="_Toc203009310"/>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3.5</w:t>
      </w:r>
      <w:r>
        <w:rPr>
          <w:rFonts w:ascii="Times New Roman" w:hAnsi="Times New Roman"/>
          <w:b/>
          <w:bCs/>
          <w:color w:val="000000"/>
          <w:sz w:val="24"/>
          <w:szCs w:val="24"/>
        </w:rPr>
        <w:tab/>
      </w:r>
      <w:r>
        <w:rPr>
          <w:rFonts w:ascii="Times New Roman" w:hAnsi="Times New Roman"/>
          <w:b/>
          <w:bCs/>
          <w:color w:val="000000"/>
          <w:sz w:val="24"/>
          <w:szCs w:val="24"/>
        </w:rPr>
        <w:t>Sample Frame</w:t>
      </w:r>
      <w:bookmarkEnd w:id="31"/>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sz w:val="24"/>
          <w:szCs w:val="24"/>
        </w:rPr>
        <w:t>The sample frame for this study comprises experienced professionals in environmental studies and construction fields, specifically Quantity Surveyors, Architects, Builders, and Project Managers with at least three years of active involvement in public building projects. These professionals were drawn from both private and public sector firms operating within the Ilorin metropolis. The selection was guided by their direct engagement with regulatory processes and cost management in construction, making them suitable to provide informed responses on the influence of building regulations on construction costs. The sample frame ensures the inclusion of individuals with practical knowledge and relevant expertise necessary for achieving the objectives of the study.</w:t>
      </w:r>
    </w:p>
    <w:bookmarkStart w:id="32" w:name="_Toc141179497"/>
    <w:bookmarkStart w:id="33" w:name="_Toc203009311"/>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3.6 Sample Size</w:t>
      </w:r>
      <w:bookmarkEnd w:id="32"/>
      <w:bookmarkEnd w:id="33"/>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target respondents representing the total population of 50 for this study were limited to Quantity Surveyors, Architects, and Contractors within the Ilorin metropolis, due to their specialized knowledge and experience in the construction industry. Their perspectives and insights are valuable for understanding the subject matter of the research, as they are directly involved in public building projects and possess a deep understanding of the associated </w:t>
      </w:r>
      <w:r>
        <w:rPr>
          <w:rFonts w:ascii="Times New Roman" w:cs="Times New Roman" w:hAnsi="Times New Roman"/>
          <w:color w:val="000000"/>
          <w:sz w:val="24"/>
          <w:szCs w:val="24"/>
        </w:rPr>
        <w:t>challenges and dynamics. This selection was based on the researcher's ability to easily access the required data from the target audience, which undoubtedly enhances the success of the investigation.</w:t>
      </w:r>
    </w:p>
    <w:bookmarkStart w:id="34" w:name="_Toc141179498"/>
    <w:bookmarkStart w:id="35" w:name="_Toc203009312"/>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3.7 Sampling Technique</w:t>
      </w:r>
      <w:bookmarkEnd w:id="34"/>
      <w:bookmarkEnd w:id="35"/>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A combination of purposive sampling and convenience sampling techniques was employed to select the participants for this study. By combining these techniques, the researchers aimed to strike a balance between selecting participants with the desired expertise and ensuring practicality in data collection. Quantity Surveyors, Architects, and Contractors within the Ilorin metropolis were purposefully selected as the target population. This sampling technique was chosen because these professionals possess the specific expertise and experience relevant to the study, allowing the researchers to gather insights and data from key stakeholders involved in public building projects, who can provide valuable perspectives on the impact of new media on the development of young people in the context of construction.</w:t>
      </w:r>
    </w:p>
    <w:bookmarkStart w:id="36" w:name="_Toc203009313"/>
    <w:bookmarkStart w:id="37" w:name="_Toc141179500"/>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3.8  Method</w:t>
      </w:r>
      <w:r>
        <w:rPr>
          <w:rFonts w:ascii="Times New Roman" w:eastAsia="Times New Roman" w:hAnsi="Times New Roman"/>
          <w:b/>
          <w:bCs/>
          <w:color w:val="000000"/>
          <w:sz w:val="24"/>
          <w:szCs w:val="24"/>
        </w:rPr>
        <w:t xml:space="preserve"> of Data Collection and Test of Validity and Reliability of the Instrument</w:t>
      </w:r>
      <w:bookmarkEnd w:id="36"/>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employed online data collection, using a structured questionnaire administered electronically. No physical interaction or observation was conducted; instead, the researcher relied solely on digital responses from the target participants. The questionnaire was carefully developed to capture relevant information regarding the research objectives, and its online format facilitated timely distribution, ease of access, and broader reach among busy professionals.</w:t>
      </w:r>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Ensuring the reliability and validity of the data is crucial for this study, as it aims to generalize its findings. Validity refers to the ability to generalize the results of an experiment to individuals within and outside the population, as stated by </w:t>
      </w:r>
      <w:r>
        <w:rPr>
          <w:rFonts w:ascii="Times New Roman" w:cs="Times New Roman" w:hAnsi="Times New Roman"/>
          <w:color w:val="000000"/>
          <w:sz w:val="24"/>
          <w:szCs w:val="24"/>
        </w:rPr>
        <w:t>Orcher</w:t>
      </w:r>
      <w:r>
        <w:rPr>
          <w:rFonts w:ascii="Times New Roman" w:cs="Times New Roman" w:hAnsi="Times New Roman"/>
          <w:color w:val="000000"/>
          <w:sz w:val="24"/>
          <w:szCs w:val="24"/>
        </w:rPr>
        <w:t xml:space="preserve"> (2005). Kumar (2005) emphasizes that the greater the consistency and stability of an instrument, the higher its </w:t>
      </w:r>
      <w:r>
        <w:rPr>
          <w:rFonts w:ascii="Times New Roman" w:cs="Times New Roman" w:hAnsi="Times New Roman"/>
          <w:color w:val="000000"/>
          <w:sz w:val="24"/>
          <w:szCs w:val="24"/>
        </w:rPr>
        <w:t>reliability. The project supervisor also made corrections to the instrument before the researcher proceeded with the final distribution of the questionnaire to the actual sample respondents.</w:t>
      </w: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3.8.1 Online Questionnaire (Quantitative Method)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structured online questionnaire was the only data collection instrument used. The questionnaire was hosted on a digital platform (e.g., Google Forms or Microsoft Forms) and distributed via email and social media platforms to the selected participants.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consisted primarily of closed-ended questions, with a few optional open-ended questions to allow respondents to provide further insights. This method supports the deductive research approach, which involves testing theories or hypotheses based on numerical data. The responses were automatically coded and stored for analysis.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mode of data collection was adopted due to its convenience, cost-effectiveness, speed, and the ability to reach geographically dispersed professionals without physical interaction.</w:t>
      </w:r>
    </w:p>
    <w:bookmarkStart w:id="38" w:name="_Toc203009314"/>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3.9</w:t>
      </w:r>
      <w:bookmarkEnd w:id="37"/>
      <w:r>
        <w:rPr>
          <w:rFonts w:ascii="Times New Roman" w:hAnsi="Times New Roman"/>
          <w:b/>
          <w:bCs/>
          <w:color w:val="000000"/>
          <w:sz w:val="24"/>
          <w:szCs w:val="24"/>
        </w:rPr>
        <w:tab/>
      </w:r>
      <w:r>
        <w:rPr>
          <w:rFonts w:ascii="Times New Roman" w:hAnsi="Times New Roman"/>
          <w:b/>
          <w:bCs/>
          <w:color w:val="000000"/>
          <w:sz w:val="24"/>
          <w:szCs w:val="24"/>
        </w:rPr>
        <w:t>Procedure for Data Collection and Processing of Collected Data</w:t>
      </w:r>
      <w:bookmarkEnd w:id="38"/>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Data for this study was collected through the administration of hardcopy questionnaires to the selected participants. The questionnaires were personally distributed to the participants at convenient locations, such as their workplaces or professional events. The researchers explained the purpose of the study, provided necessary clarifications, and answered any questions the participants had regarding the questionnaire. The researchers contacted and approached the selected professionals (Quantity Surveyors, Architects, and Contractors) within the Ilorin metropolis. Sufficient copies of the questionnaires were printed to accommodate the targeted sample size. The questionnaires were thoroughly checked for accuracy and clarity before printing.</w:t>
      </w:r>
    </w:p>
    <w:bookmarkStart w:id="39" w:name="_Toc203009315"/>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3.10 Limitation of the Methodology</w:t>
      </w:r>
      <w:bookmarkEnd w:id="39"/>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Despite the structured approach adopted in this study, certain limitations were encountered. Firstly, the reliance on an online questionnaire restricted responses to only those with internet </w:t>
      </w:r>
      <w:r>
        <w:rPr>
          <w:rFonts w:ascii="Times New Roman" w:cs="Times New Roman" w:hAnsi="Times New Roman"/>
          <w:color w:val="000000"/>
          <w:sz w:val="24"/>
          <w:szCs w:val="24"/>
        </w:rPr>
        <w:t>access and adequate digital literacy, potentially excluding qualified professionals who prefer traditional methods. Secondly, the use of purposive and convenience sampling may limit the generalizability of the findings, as the sample may not fully represent all construction professionals across Nigeria. Thirdly, the self-reported nature of the data collected could introduce response bias, as participants may provide socially desirable answers rather than factual responses. Lastly, time and resource constraints limited the study to professionals within the Ilorin metropolis, thereby narrowing the geographic scope of the research.</w:t>
      </w:r>
      <w:r>
        <w:rPr>
          <w:rFonts w:ascii="Times New Roman" w:cs="Times New Roman" w:hAnsi="Times New Roman"/>
          <w:color w:val="000000"/>
          <w:sz w:val="24"/>
          <w:szCs w:val="24"/>
        </w:rPr>
        <w:br w:type="page"/>
      </w:r>
    </w:p>
    <w:bookmarkStart w:id="40" w:name="_Toc171505167"/>
    <w:bookmarkStart w:id="41" w:name="_Toc203009316"/>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CHAPTER FOUR</w:t>
      </w:r>
      <w:bookmarkEnd w:id="40"/>
      <w:bookmarkEnd w:id="41"/>
    </w:p>
    <w:bookmarkStart w:id="42" w:name="_Toc171505168"/>
    <w:bookmarkStart w:id="43" w:name="_Toc203009317"/>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DATA PRESENTATION, ANALYSIS AND FINDINGS</w:t>
      </w:r>
      <w:bookmarkEnd w:id="42"/>
      <w:bookmarkEnd w:id="43"/>
    </w:p>
    <w:bookmarkStart w:id="44" w:name="_Toc171505169"/>
    <w:bookmarkStart w:id="45" w:name="_Toc203009318"/>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4.1 Introduction</w:t>
      </w:r>
      <w:bookmarkEnd w:id="44"/>
      <w:bookmarkEnd w:id="45"/>
      <w:r>
        <w:rPr>
          <w:rFonts w:ascii="Times New Roman" w:eastAsia="Times New Roman" w:hAnsi="Times New Roman"/>
          <w:b/>
          <w:bCs/>
          <w:color w:val="000000"/>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bookmarkStart w:id="46" w:name="_Toc171505170"/>
    <w:bookmarkStart w:id="47" w:name="_Toc203009319"/>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4.2 Respondent’s Profile</w:t>
      </w:r>
      <w:bookmarkEnd w:id="46"/>
      <w:bookmarkEnd w:id="47"/>
      <w:r>
        <w:rPr>
          <w:rFonts w:ascii="Times New Roman" w:eastAsia="Times New Roman" w:hAnsi="Times New Roman"/>
          <w:b/>
          <w:bCs/>
          <w:color w:val="000000"/>
          <w:sz w:val="24"/>
          <w:szCs w:val="24"/>
        </w:rPr>
        <w:t xml:space="preserve">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 shows that 38% of the respondents have HND, 38% have </w:t>
      </w:r>
      <w:r>
        <w:rPr>
          <w:rFonts w:ascii="Times New Roman" w:cs="Times New Roman" w:eastAsia="Times New Roman" w:hAnsi="Times New Roman"/>
          <w:sz w:val="24"/>
          <w:szCs w:val="24"/>
        </w:rPr>
        <w:t>B.Tech</w:t>
      </w:r>
      <w:r>
        <w:rPr>
          <w:rFonts w:ascii="Times New Roman" w:cs="Times New Roman" w:eastAsia="Times New Roman" w:hAnsi="Times New Roman"/>
          <w:sz w:val="24"/>
          <w:szCs w:val="24"/>
        </w:rPr>
        <w:t xml:space="preserve">, 4% have </w:t>
      </w:r>
      <w:r>
        <w:rPr>
          <w:rFonts w:ascii="Times New Roman" w:cs="Times New Roman" w:eastAsia="Times New Roman" w:hAnsi="Times New Roman"/>
          <w:sz w:val="24"/>
          <w:szCs w:val="24"/>
        </w:rPr>
        <w:t>B.Sc</w:t>
      </w:r>
      <w:r>
        <w:rPr>
          <w:rFonts w:ascii="Times New Roman" w:cs="Times New Roman" w:eastAsia="Times New Roman" w:hAnsi="Times New Roman"/>
          <w:sz w:val="24"/>
          <w:szCs w:val="24"/>
        </w:rPr>
        <w:t>, and 20% hold MSc/PGD qualifications.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4.2.1 Educational background of respondent</w:t>
      </w:r>
    </w:p>
    <w:tbl>
      <w:tblPr>
        <w:tblStyle w:val="style154"/>
        <w:tblW w:w="5000" w:type="pct"/>
        <w:tblLook w:val="05A0" w:firstRow="1" w:lastRow="0" w:firstColumn="1" w:lastColumn="1" w:noHBand="0" w:noVBand="1"/>
      </w:tblPr>
      <w:tblGrid>
        <w:gridCol w:w="2533"/>
        <w:gridCol w:w="2729"/>
        <w:gridCol w:w="3767"/>
      </w:tblGrid>
      <w:tr>
        <w:trPr/>
        <w:tc>
          <w:tcPr>
            <w:tcW w:w="1403"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511"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2086"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40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HND</w:t>
            </w:r>
          </w:p>
        </w:tc>
        <w:tc>
          <w:tcPr>
            <w:tcW w:w="151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086"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r>
      <w:tr>
        <w:tblPrEx/>
        <w:trPr/>
        <w:tc>
          <w:tcPr>
            <w:tcW w:w="140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B.Tech</w:t>
            </w:r>
          </w:p>
        </w:tc>
        <w:tc>
          <w:tcPr>
            <w:tcW w:w="151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086"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r>
      <w:tr>
        <w:tblPrEx/>
        <w:trPr/>
        <w:tc>
          <w:tcPr>
            <w:tcW w:w="140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B.Sc</w:t>
            </w:r>
          </w:p>
        </w:tc>
        <w:tc>
          <w:tcPr>
            <w:tcW w:w="151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2086"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1403" w:type="pct"/>
            <w:tcBorders>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MSc/PGD</w:t>
            </w:r>
          </w:p>
        </w:tc>
        <w:tc>
          <w:tcPr>
            <w:tcW w:w="1511" w:type="pct"/>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2086" w:type="pct"/>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140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51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2086"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4.2.2 shows that 22% of the respondents work in other firms, 20% each in consulting and architectural firms, 16% in construction firms, 14% in real estate, and 8% in geotechnical firms.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4.2.2 Which of the following organizations do you work?</w:t>
      </w:r>
    </w:p>
    <w:tbl>
      <w:tblPr>
        <w:tblStyle w:val="style154"/>
        <w:tblW w:w="5000" w:type="pct"/>
        <w:tblLook w:val="04A0" w:firstRow="1" w:lastRow="0" w:firstColumn="1" w:lastColumn="0" w:noHBand="0" w:noVBand="1"/>
      </w:tblPr>
      <w:tblGrid>
        <w:gridCol w:w="3637"/>
        <w:gridCol w:w="2264"/>
        <w:gridCol w:w="3128"/>
      </w:tblGrid>
      <w:tr>
        <w:trPr/>
        <w:tc>
          <w:tcPr>
            <w:tcW w:w="201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25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32"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014"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Construction Firms</w:t>
            </w:r>
          </w:p>
        </w:tc>
        <w:tc>
          <w:tcPr>
            <w:tcW w:w="1254"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732"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Consultants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Real Estate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Architectural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Geotechnical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4.2.3 shows that 30% of the respondents are Quantity Surveyors, 26% Project Engineers, 12% each are Architects, Builders, or Town Planners, and 8% are Project Managers.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4.2.3 Which of the following project participants are you?</w:t>
      </w:r>
    </w:p>
    <w:tbl>
      <w:tblPr>
        <w:tblStyle w:val="style154"/>
        <w:tblW w:w="5000" w:type="pct"/>
        <w:tblLook w:val="04A0" w:firstRow="1" w:lastRow="0" w:firstColumn="1" w:lastColumn="0" w:noHBand="0" w:noVBand="1"/>
      </w:tblPr>
      <w:tblGrid>
        <w:gridCol w:w="3523"/>
        <w:gridCol w:w="2313"/>
        <w:gridCol w:w="3193"/>
      </w:tblGrid>
      <w:tr>
        <w:trPr/>
        <w:tc>
          <w:tcPr>
            <w:tcW w:w="1951"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281"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68"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951"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Project Manager</w:t>
            </w:r>
          </w:p>
        </w:tc>
        <w:tc>
          <w:tcPr>
            <w:tcW w:w="128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768"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Project Engineer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Architect</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Quantity Surveyor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Builder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bottom w:val="nil"/>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Town Planner</w:t>
            </w:r>
          </w:p>
        </w:tc>
        <w:tc>
          <w:tcPr>
            <w:tcW w:w="1281" w:type="pct"/>
            <w:tcBorders>
              <w:bottom w:val="nil"/>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bottom w:val="nil"/>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top w:val="nil"/>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281" w:type="pct"/>
            <w:tcBorders>
              <w:top w:val="nil"/>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1768" w:type="pct"/>
            <w:tcBorders>
              <w:top w:val="nil"/>
              <w:bottom w:val="single" w:sz="4" w:space="0" w:color="auto"/>
            </w:tcBorders>
            <w:hideMark/>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4.2.4 shows that 34% of respondents have less than 3 years of experience, 32% have 6–9 years, 18% have 10 years and above, and 16% have 3–5 </w:t>
      </w:r>
      <w:r>
        <w:rPr>
          <w:rFonts w:ascii="Times New Roman" w:cs="Times New Roman" w:eastAsia="Times New Roman" w:hAnsi="Times New Roman"/>
          <w:sz w:val="24"/>
          <w:szCs w:val="24"/>
        </w:rPr>
        <w:t>years.</w:t>
      </w:r>
      <w:r>
        <w:rPr>
          <w:rFonts w:ascii="Times New Roman" w:cs="Times New Roman" w:eastAsia="Times New Roman" w:hAnsi="Times New Roman"/>
          <w:b/>
          <w:bCs/>
          <w:sz w:val="24"/>
          <w:szCs w:val="24"/>
        </w:rPr>
        <w:t>Table</w:t>
      </w:r>
      <w:r>
        <w:rPr>
          <w:rFonts w:ascii="Times New Roman" w:cs="Times New Roman" w:eastAsia="Times New Roman" w:hAnsi="Times New Roman"/>
          <w:b/>
          <w:bCs/>
          <w:sz w:val="24"/>
          <w:szCs w:val="24"/>
        </w:rPr>
        <w:t xml:space="preserve"> 4.2.4 What is your year(s) of experience?</w:t>
      </w:r>
    </w:p>
    <w:tbl>
      <w:tblPr>
        <w:tblStyle w:val="style154"/>
        <w:tblW w:w="5000" w:type="pct"/>
        <w:tblLook w:val="04A0" w:firstRow="1" w:lastRow="0" w:firstColumn="1" w:lastColumn="0" w:noHBand="0" w:noVBand="1"/>
      </w:tblPr>
      <w:tblGrid>
        <w:gridCol w:w="3707"/>
        <w:gridCol w:w="2357"/>
        <w:gridCol w:w="2965"/>
      </w:tblGrid>
      <w:tr>
        <w:trPr/>
        <w:tc>
          <w:tcPr>
            <w:tcW w:w="2053"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305"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642"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05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Less than 3 years</w:t>
            </w:r>
          </w:p>
        </w:tc>
        <w:tc>
          <w:tcPr>
            <w:tcW w:w="1305"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42"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3 - 5 years</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6 - 9 years</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 years and above</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Field Survey, 2025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Table 4.2.5 shows an equal distribution of 32% each in managing residential and commercial projects, 24% manage industrial buildings, and 12% manage all types.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4.2.5 Which of the following types of </w:t>
      </w:r>
      <w:r>
        <w:rPr>
          <w:rFonts w:ascii="Times New Roman" w:cs="Times New Roman" w:eastAsia="Times New Roman" w:hAnsi="Times New Roman"/>
          <w:b/>
          <w:bCs/>
          <w:sz w:val="24"/>
          <w:szCs w:val="24"/>
        </w:rPr>
        <w:t>project</w:t>
      </w:r>
      <w:r>
        <w:rPr>
          <w:rFonts w:ascii="Times New Roman" w:cs="Times New Roman" w:eastAsia="Times New Roman" w:hAnsi="Times New Roman"/>
          <w:b/>
          <w:bCs/>
          <w:sz w:val="24"/>
          <w:szCs w:val="24"/>
        </w:rPr>
        <w:t xml:space="preserve"> do you manage?</w:t>
      </w:r>
    </w:p>
    <w:tbl>
      <w:tblPr>
        <w:tblStyle w:val="style154"/>
        <w:tblW w:w="5035" w:type="pct"/>
        <w:tblLook w:val="04A0" w:firstRow="1" w:lastRow="0" w:firstColumn="1" w:lastColumn="0" w:noHBand="0" w:noVBand="1"/>
      </w:tblPr>
      <w:tblGrid>
        <w:gridCol w:w="4610"/>
        <w:gridCol w:w="1984"/>
        <w:gridCol w:w="2498"/>
      </w:tblGrid>
      <w:tr>
        <w:trPr>
          <w:trHeight w:val="387" w:hRule="atLeast"/>
        </w:trPr>
        <w:tc>
          <w:tcPr>
            <w:tcW w:w="2535"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091"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37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rHeight w:val="399" w:hRule="atLeast"/>
        </w:trPr>
        <w:tc>
          <w:tcPr>
            <w:tcW w:w="2535"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Residential Building Project</w:t>
            </w:r>
          </w:p>
        </w:tc>
        <w:tc>
          <w:tcPr>
            <w:tcW w:w="109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374"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Commercial Building Project</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rHeight w:val="399"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Industrial Building Project</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All of the above</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4.2.6 indicates that 28% manage medium projects, 26% small projects, 24% all types, and 22% large-scale projects.</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4.2.6 What is the size of the project managed by you?</w:t>
      </w:r>
    </w:p>
    <w:tbl>
      <w:tblPr>
        <w:tblStyle w:val="style154"/>
        <w:tblW w:w="5000" w:type="pct"/>
        <w:tblLook w:val="04A0" w:firstRow="1" w:lastRow="0" w:firstColumn="1" w:lastColumn="0" w:noHBand="0" w:noVBand="1"/>
      </w:tblPr>
      <w:tblGrid>
        <w:gridCol w:w="3380"/>
        <w:gridCol w:w="2501"/>
        <w:gridCol w:w="3148"/>
      </w:tblGrid>
      <w:tr>
        <w:trPr/>
        <w:tc>
          <w:tcPr>
            <w:tcW w:w="1871"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385"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43"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Small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Medium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Large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All of the above</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4.2.7</w:t>
      </w:r>
      <w:r>
        <w:rPr>
          <w:rFonts w:ascii="Times New Roman" w:cs="Times New Roman" w:hAnsi="Times New Roman"/>
          <w:sz w:val="24"/>
          <w:szCs w:val="24"/>
        </w:rPr>
        <w:t xml:space="preserve"> highlights the major factor </w:t>
      </w:r>
      <w:r>
        <w:rPr>
          <w:rFonts w:ascii="Times New Roman" w:cs="Times New Roman" w:hAnsi="Times New Roman"/>
          <w:sz w:val="24"/>
          <w:szCs w:val="24"/>
        </w:rPr>
        <w:t>linked with building regulations and how they contribute to increased construction costs. The highest-ranked factor is “corruption and informal payments” with a Relative Importance Index (R.I.I) of 0.812, showing that underhand dealings such as bribery and unofficial payments are seen as a dominant cost driver in construction. Closely following is “bureaucratic inefficiencies” (R.I.I = 0.808), indicating that delays in obtaining regulatory approvals—often due to lengthy or unclear administrative processes—significantly impact timelines and result in financial losses. “Regulatory inconsistencies across states” also scored high (R.I.I = 0.804), suggesting that variations in laws, requirements, or enforcement methods from one region to another create confusion for developers and add costs related to interpretation, compliance, or legal consultations.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Other notable challenges include “mandatory quality standards” (R.I.I = 0.760) and “lack of technology adoption” (R.I.I = 0.748), which further complicate the compliance process. While quality standards are essential for safety, they often require expensive materials or specialized labor, thus driving up total construction costs. Meanwhile, limited use of digital platforms or e-governance tools by regulatory bodies hinders the speed and ease of processing approvals or verifying documentation, leading to inefficiencies and extended project durations. Overall, these results indicate that a combination of systemic inefficiencies, regional inconsistencies, </w:t>
      </w:r>
      <w:r>
        <w:rPr>
          <w:rFonts w:ascii="Times New Roman" w:cs="Times New Roman" w:hAnsi="Times New Roman"/>
          <w:sz w:val="24"/>
          <w:szCs w:val="24"/>
        </w:rPr>
        <w:t>and outdated procedures contributes to the regulatory cost burden in the construction sector, underscoring the need for institutional reforms, transparency, and digital innovation in regulatory frameworks.</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Style w:val="style87"/>
          <w:rFonts w:ascii="Times New Roman" w:cs="Times New Roman" w:hAnsi="Times New Roman"/>
          <w:sz w:val="24"/>
          <w:szCs w:val="24"/>
        </w:rPr>
        <w:t xml:space="preserve">4.2.7 </w:t>
      </w:r>
      <w:r>
        <w:rPr>
          <w:rFonts w:ascii="Times New Roman" w:cs="Times New Roman" w:eastAsia="Times New Roman" w:hAnsi="Times New Roman"/>
          <w:b/>
          <w:bCs/>
          <w:sz w:val="24"/>
          <w:szCs w:val="24"/>
        </w:rPr>
        <w:t>FACTORS AFFECTING COMPLIANCE WITH BUILDING REGULATION IN NIGERIA CONSTRUCTION INDUSTRY</w:t>
      </w:r>
      <w:r>
        <w:rPr>
          <w:rFonts w:ascii="Times New Roman" w:cs="Times New Roman" w:eastAsia="Times New Roman" w:hAnsi="Times New Roman"/>
          <w:sz w:val="24"/>
          <w:szCs w:val="24"/>
        </w:rPr>
        <w:t>.</w:t>
      </w:r>
    </w:p>
    <w:tbl>
      <w:tblPr>
        <w:tblStyle w:val="style154"/>
        <w:tblW w:w="5000" w:type="pct"/>
        <w:tblInd w:w="-5" w:type="dxa"/>
        <w:tblLook w:val="04A0" w:firstRow="1" w:lastRow="0" w:firstColumn="1" w:lastColumn="0" w:noHBand="0" w:noVBand="1"/>
      </w:tblPr>
      <w:tblGrid>
        <w:gridCol w:w="634"/>
        <w:gridCol w:w="4761"/>
        <w:gridCol w:w="485"/>
        <w:gridCol w:w="485"/>
        <w:gridCol w:w="353"/>
        <w:gridCol w:w="353"/>
        <w:gridCol w:w="353"/>
        <w:gridCol w:w="816"/>
        <w:gridCol w:w="776"/>
      </w:tblGrid>
      <w:tr>
        <w:trPr/>
        <w:tc>
          <w:tcPr>
            <w:tcW w:w="327"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2759"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253"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253"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419"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R.I.I</w:t>
            </w:r>
          </w:p>
        </w:tc>
        <w:tc>
          <w:tcPr>
            <w:tcW w:w="431"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327" w:type="pct"/>
            <w:tcBorders>
              <w:top w:val="single" w:sz="4" w:space="0" w:color="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2759"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Regulatory inconsistencies across states complicate compliance</w:t>
            </w:r>
          </w:p>
        </w:tc>
        <w:tc>
          <w:tcPr>
            <w:tcW w:w="253"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253"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0.804</w:t>
            </w:r>
          </w:p>
        </w:tc>
        <w:tc>
          <w:tcPr>
            <w:tcW w:w="431"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Lack of technology adoption slows regulatory compliance</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0.748</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vertAlign w:val="superscript"/>
              </w:rPr>
              <w:t>th</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Corruption and informal payments increase construction costs</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24</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0.812</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2759"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Mandatory quality standards significantly increase building costs</w:t>
            </w:r>
          </w:p>
        </w:tc>
        <w:tc>
          <w:tcPr>
            <w:tcW w:w="253"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253"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419"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0.760</w:t>
            </w:r>
          </w:p>
        </w:tc>
        <w:tc>
          <w:tcPr>
            <w:tcW w:w="431"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Bureaucratic inefficiencies delay construction approval processes</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22</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0.808</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tc>
      </w:tr>
    </w:tbl>
    <w:p>
      <w:pPr>
        <w:pStyle w:val="style94"/>
        <w:spacing w:before="0" w:beforeAutospacing="false" w:after="0" w:afterAutospacing="false" w:lineRule="auto" w:line="480"/>
        <w:rPr/>
      </w:pPr>
      <w:r>
        <w:rPr>
          <w:rStyle w:val="style87"/>
        </w:rPr>
        <w:t>Source: Field Survey, 2025</w:t>
      </w:r>
    </w:p>
    <w:p>
      <w:pPr>
        <w:pStyle w:val="style94"/>
        <w:spacing w:before="0" w:beforeAutospacing="false" w:after="0" w:afterAutospacing="false" w:lineRule="auto" w:line="480"/>
        <w:jc w:val="both"/>
        <w:rPr/>
      </w:pPr>
      <w:r>
        <w:t>The data presented in Table 4.2.8 shows that the factor ranked highest among the causes of increased construction costs due to regulatory requirements is the imposition of high fees for permit approvals and inspections, with an R.I.I of 0.808. This finding highlights the financial pressure faced by developers in securing regulatory approvals, a critical phase before project execution. Such costs, though meant to enhance compliance and quality assurance, tend to burden small and medium-scale developers more severely, affecting the pace and affordability of housing development projects.</w:t>
      </w:r>
    </w:p>
    <w:p>
      <w:pPr>
        <w:pStyle w:val="style94"/>
        <w:spacing w:before="0" w:beforeAutospacing="false" w:after="0" w:afterAutospacing="false" w:lineRule="auto" w:line="480"/>
        <w:jc w:val="both"/>
        <w:rPr/>
      </w:pPr>
      <w:r>
        <w:t>Closely following this is the issue of regulatory approval delays, which ranked second with an R.I.I of 0.796. Respondents emphasized that unnecessary bureaucratic processes result in time wastage and lead to cost overruns as project timelines are extended. This often results in an increase in labor and material costs due to inflation or changing economic conditions. The delay in regulatory processing may also discourage investor confidence and lead to the abandonment of ongoing projects, especially in urban development initiatives.</w:t>
      </w:r>
    </w:p>
    <w:p>
      <w:pPr>
        <w:pStyle w:val="style94"/>
        <w:spacing w:before="0" w:beforeAutospacing="false" w:after="0" w:afterAutospacing="false" w:lineRule="auto" w:line="480"/>
        <w:jc w:val="both"/>
        <w:rPr/>
      </w:pPr>
      <w:r>
        <w:t>Other notable contributors include the dependence on imported materials (R.I.I = 0.768) and overlapping policy frameworks (R.I.I = 0.770), both of which reveal systemic inefficiencies in the construction regulation ecosystem. Imported materials are often subject to multiple layers of inspection and clearance, adding both time and financial strain to the project. Furthermore, green building regulations, though necessary for sustainability, were found to impose extra financial burdens, especially when there are no subsidies or incentives provided to cushion the associated costs. Collectively, these factors illustrate the need for harmonization, cost reform, and process automation in Nigeria’s building regulation system to enhance project affordability and execution efficiency.</w:t>
      </w:r>
    </w:p>
    <w:p>
      <w:pPr>
        <w:pStyle w:val="style0"/>
        <w:rPr>
          <w:rStyle w:val="style87"/>
          <w:rFonts w:ascii="Times New Roman" w:cs="Times New Roman" w:hAnsi="Times New Roman"/>
          <w:sz w:val="24"/>
          <w:szCs w:val="24"/>
        </w:rPr>
      </w:pPr>
      <w:r>
        <w:rPr>
          <w:rStyle w:val="style87"/>
          <w:rFonts w:ascii="Times New Roman" w:cs="Times New Roman" w:hAnsi="Times New Roman"/>
          <w:sz w:val="24"/>
          <w:szCs w:val="24"/>
        </w:rPr>
        <w:br w:type="page"/>
      </w:r>
    </w:p>
    <w:p>
      <w:pPr>
        <w:pStyle w:val="style0"/>
        <w:tabs>
          <w:tab w:val="left" w:leader="none" w:pos="720"/>
        </w:tabs>
        <w:spacing w:after="0" w:lineRule="auto" w:line="480"/>
        <w:jc w:val="both"/>
        <w:rPr>
          <w:rFonts w:ascii="Times New Roman" w:cs="Times New Roman" w:eastAsia="Times New Roman" w:hAnsi="Times New Roman"/>
          <w:sz w:val="24"/>
          <w:szCs w:val="24"/>
        </w:rPr>
      </w:pPr>
      <w:r>
        <w:rPr>
          <w:rStyle w:val="style87"/>
          <w:rFonts w:ascii="Times New Roman" w:cs="Times New Roman" w:hAnsi="Times New Roman"/>
          <w:sz w:val="24"/>
          <w:szCs w:val="24"/>
        </w:rPr>
        <w:t xml:space="preserve">4.2.8 </w:t>
      </w:r>
      <w:r>
        <w:rPr>
          <w:rFonts w:ascii="Times New Roman" w:cs="Times New Roman" w:eastAsia="Times New Roman" w:hAnsi="Times New Roman"/>
          <w:b/>
          <w:bCs/>
          <w:sz w:val="24"/>
          <w:szCs w:val="24"/>
        </w:rPr>
        <w:t>EFFECT OF THE COMPLIANCE FACTORS ON THE OVERALL CONSTRUCTION COST OF BUILDINGS IN NIGERIA.</w:t>
      </w:r>
    </w:p>
    <w:tbl>
      <w:tblPr>
        <w:tblStyle w:val="style154"/>
        <w:tblW w:w="0" w:type="auto"/>
        <w:tblInd w:w="-5" w:type="dxa"/>
        <w:tblLook w:val="04A0" w:firstRow="1" w:lastRow="0" w:firstColumn="1" w:lastColumn="0" w:noHBand="0" w:noVBand="1"/>
      </w:tblPr>
      <w:tblGrid>
        <w:gridCol w:w="634"/>
        <w:gridCol w:w="4665"/>
        <w:gridCol w:w="485"/>
        <w:gridCol w:w="485"/>
        <w:gridCol w:w="485"/>
        <w:gridCol w:w="353"/>
        <w:gridCol w:w="353"/>
        <w:gridCol w:w="816"/>
        <w:gridCol w:w="758"/>
      </w:tblGrid>
      <w:tr>
        <w:trPr/>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R.I.I</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Green building regulations impose financial burdens on developers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0.758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Delays in obtaining regulatory approvals lead to cost overruns</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22</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0.796</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Overlapping and inconsistent policies increase compliance costs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0.770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Dependence on imported building materials increases regulatory burden</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0.768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fees for permit approvals and inspections raise total project costs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tc>
      </w:tr>
    </w:tbl>
    <w:p>
      <w:pPr>
        <w:pStyle w:val="style94"/>
        <w:spacing w:before="0" w:beforeAutospacing="false" w:after="0" w:afterAutospacing="false" w:lineRule="auto" w:line="480"/>
        <w:rPr/>
      </w:pPr>
      <w:r>
        <w:rPr>
          <w:rStyle w:val="style87"/>
        </w:rPr>
        <w:t>Source: Field Survey, 2025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Table 4.2.9 reveals the most effective strategies as perceived by respondents for reducing the burden of regulatory costs while maintaining compliance. Ranked highest is the recommendation to streamline approval processes through digital platforms, which achieved a relative importance index (R.I.I) of 0.844. This result clearly emphasizes the role of digital transformation in improving efficiency and cutting down delays. Implementing e-governance platforms for permits and inspections could significantly limit the time and resources spent navigating traditional paper-based approval systems.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highest-ranked strategy is strengthening institutional frameworks to curb corruption in enforcement processes, with an R.I.I of 0.826. This reflects growing concerns among stakeholders about the impact of bribery, favoritism, and manipulation within regulatory bodies. A more robust and accountable institutional environment, backed by </w:t>
      </w:r>
      <w:r>
        <w:rPr>
          <w:rFonts w:ascii="Times New Roman" w:cs="Times New Roman" w:hAnsi="Times New Roman"/>
          <w:color w:val="000000"/>
          <w:sz w:val="24"/>
          <w:szCs w:val="24"/>
        </w:rPr>
        <w:t>transparent processes and effective oversight, is seen as essential for lowering hidden costs and promoting fair play in the industry. When institutions operate without bias and in line with best practices, developers are more likely to comply and less likely to inflate their project budgets.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 addition, the establishment of one-stop regulatory centers came third (R.I.I = 0.812), suggesting that centralizing the approval process could reduce redundancy and streamline inter-agency coordination. Other strategies like promoting the use of locally sourced materials (R.I.I = 0.792) and offering incentives for sustainable construction practices (R.I.I = 0.790) are also considered viable. These approaches not only reduce overall regulatory and importation-related costs but also encourage environmentally responsible development. The findings highlight that an integrated mix of digital innovation, policy reform, and institutional accountability is critical in solving the regulatory cost challenges faced by the Nigerian construction sector.</w:t>
      </w:r>
    </w:p>
    <w:p>
      <w:pPr>
        <w:pStyle w:val="style0"/>
        <w:spacing w:lineRule="auto" w:line="480"/>
        <w:rPr>
          <w:rFonts w:ascii="Times New Roman" w:cs="Times New Roman" w:hAnsi="Times New Roman"/>
        </w:rPr>
      </w:pPr>
      <w:r>
        <w:rPr>
          <w:rStyle w:val="style87"/>
          <w:rFonts w:ascii="Times New Roman" w:cs="Times New Roman" w:hAnsi="Times New Roman"/>
          <w:sz w:val="24"/>
          <w:szCs w:val="24"/>
        </w:rPr>
        <w:t xml:space="preserve">4.2.9 </w:t>
      </w:r>
      <w:r>
        <w:rPr>
          <w:rFonts w:ascii="Times New Roman" w:cs="Times New Roman" w:eastAsia="Times New Roman" w:hAnsi="Times New Roman"/>
          <w:b/>
          <w:bCs/>
          <w:sz w:val="24"/>
          <w:szCs w:val="24"/>
        </w:rPr>
        <w:t>STRATEGIES AND MEASURES TO MINIMIZE THE ADVERSE EFFECTS OF BUILDING REGULATION COMPLIANCE ON CONSTRUCTION COST IN NIGERIA</w:t>
      </w:r>
    </w:p>
    <w:tbl>
      <w:tblPr>
        <w:tblStyle w:val="style154"/>
        <w:tblW w:w="0" w:type="auto"/>
        <w:tblInd w:w="-5" w:type="dxa"/>
        <w:tblLook w:val="04A0" w:firstRow="1" w:lastRow="0" w:firstColumn="1" w:lastColumn="0" w:noHBand="0" w:noVBand="1"/>
      </w:tblPr>
      <w:tblGrid>
        <w:gridCol w:w="634"/>
        <w:gridCol w:w="4797"/>
        <w:gridCol w:w="485"/>
        <w:gridCol w:w="485"/>
        <w:gridCol w:w="353"/>
        <w:gridCol w:w="353"/>
        <w:gridCol w:w="353"/>
        <w:gridCol w:w="816"/>
        <w:gridCol w:w="758"/>
      </w:tblGrid>
      <w:tr>
        <w:trPr/>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R.I.I</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Streamlining approval processes through digital platforms reduces delays</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28</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0.844</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Incentives encourage developers to adopt sustainable building practices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Promoting locally sourced materials helps reduce regulatory cost burdens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One-stop regulatory centers simplify the approval process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0.812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Strengthening institutions helps reduce corruption in regulatory enforcement</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0.826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tc>
      </w:tr>
    </w:tbl>
    <w:p>
      <w:pPr>
        <w:pStyle w:val="style94"/>
        <w:spacing w:before="0" w:beforeAutospacing="false" w:after="0" w:afterAutospacing="false" w:lineRule="auto" w:line="480"/>
        <w:rPr/>
      </w:pPr>
      <w:r>
        <w:rPr>
          <w:rStyle w:val="style87"/>
        </w:rPr>
        <w:t>Source: Field Survey, 2025</w:t>
      </w:r>
    </w:p>
    <w:bookmarkStart w:id="48" w:name="_Toc203009320"/>
    <w:p>
      <w:pPr>
        <w:pStyle w:val="style94"/>
        <w:spacing w:before="0" w:beforeAutospacing="false" w:after="0" w:afterAutospacing="false" w:lineRule="auto" w:line="480"/>
        <w:jc w:val="both"/>
        <w:outlineLvl w:val="0"/>
        <w:rPr>
          <w:color w:val="000000"/>
        </w:rPr>
      </w:pPr>
      <w:r>
        <w:rPr>
          <w:b/>
          <w:bCs/>
          <w:color w:val="000000"/>
        </w:rPr>
        <w:t>4.3</w:t>
      </w:r>
      <w:r>
        <w:rPr>
          <w:color w:val="000000"/>
        </w:rPr>
        <w:tab/>
      </w:r>
      <w:r>
        <w:rPr>
          <w:b/>
          <w:bCs/>
          <w:color w:val="000000"/>
        </w:rPr>
        <w:t>Discussion of Findings</w:t>
      </w:r>
      <w:bookmarkEnd w:id="4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of this research offer valuable insights into the challenges of building regulations and their impact on construction costs, particularly from the perspective of professionals with diverse experiences in Nigeria’s construction industry. Respondents’ profiles revealed a well-educated group, with 76% holding HND or </w:t>
      </w:r>
      <w:r>
        <w:rPr>
          <w:rFonts w:ascii="Times New Roman" w:cs="Times New Roman" w:eastAsia="Times New Roman" w:hAnsi="Times New Roman"/>
          <w:sz w:val="24"/>
          <w:szCs w:val="24"/>
        </w:rPr>
        <w:t>B.Tech</w:t>
      </w:r>
      <w:r>
        <w:rPr>
          <w:rFonts w:ascii="Times New Roman" w:cs="Times New Roman" w:eastAsia="Times New Roman" w:hAnsi="Times New Roman"/>
          <w:sz w:val="24"/>
          <w:szCs w:val="24"/>
        </w:rPr>
        <w:t xml:space="preserve"> qualifications, and a wide spread of industry professionals including quantity surveyors, project engineers, architects, and town planners. This diversity in respondent background adds credibility and depth to the interpretations drawn from the data. Furthermore, with a blend of experience levels and varying project types and sizes managed by the respondents, the data reflects practical realities from different operational standpoints in the construction field.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results from Table 4.2.7 clearly identify the mos</w:t>
      </w:r>
      <w:r>
        <w:rPr>
          <w:rFonts w:ascii="Times New Roman" w:cs="Times New Roman" w:eastAsia="Times New Roman" w:hAnsi="Times New Roman"/>
          <w:sz w:val="24"/>
          <w:szCs w:val="24"/>
        </w:rPr>
        <w:t>t pressing regulatory factors</w:t>
      </w:r>
      <w:r>
        <w:rPr>
          <w:rFonts w:ascii="Times New Roman" w:cs="Times New Roman" w:eastAsia="Times New Roman" w:hAnsi="Times New Roman"/>
          <w:sz w:val="24"/>
          <w:szCs w:val="24"/>
        </w:rPr>
        <w:t xml:space="preserve"> contributing to construction cost increases. Corruption and informal payments ranked highest, showing that non-transparent practices within the approval and compliance processes inflate project budgets. This aligns with previous literature that links corruption to inefficiencies and increased financial risk for developers. Bureaucratic inefficiencies and regulatory inconsistencies were also major concerns, suggesting that administrative bottlenecks and varying laws across states complicate project execution. These systemic issues not only delay progress but force contractors to allocate more resources to overcome them, ultimately driving up the cost of construction.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analysis in Table 4.2.8 further supports this narrative, with high approval and inspection fees identified as a primary driver of rising costs. This is particularly problematic for small to medium-scale developers who may struggle to meet these regulatory financial demands. The </w:t>
      </w:r>
      <w:r>
        <w:rPr>
          <w:rFonts w:ascii="Times New Roman" w:cs="Times New Roman" w:eastAsia="Times New Roman" w:hAnsi="Times New Roman"/>
          <w:sz w:val="24"/>
          <w:szCs w:val="24"/>
        </w:rPr>
        <w:t>study also found that delays in obtaining approvals contribute significantly to cost overruns, often leading to project delays and escalated prices for materials and labor. In addition, the reliance on imported materials and overlapping policy frameworks underscore the challenges in regulatory coherence, while green building regulations, though beneficial, impose financial stress when not balanced with adequate support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Encouragingly, Table 4.2.9 highlights a range of strategies for mitigating regulatory cost burdens. Most notably, digital platforms for streamlining approval processes ranked highest. This suggests a strong professional consensus on the benefits of digital transformation in reducing delays and promoting transparency. The adoption of e-governance tools is likely to ease navigation through complex regulatory systems and minimize personal contacts that foster corruption. Respondents also supported institutional strengthening, which points to the urgent need for effective monitoring and ethical governance in regulatory bodies.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 highly ranked strategies include the creation of one-stop approval centers to reduce fragmentation and inefficiency in the regulatory process. This approach would likely cut down inter-agency delays and provide a centralized system for faster service delivery. Furthermore, promoting locally sourced materials and offering incentives for sustainable practices are seen as dual solutions that reduce regulatory-related costs and support environmentally responsible construction. These findings point to a growing awareness of the value in integrating sustainability, affordability, and innovation within the regulatory framework.</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bookmarkStart w:id="49" w:name="_Toc203009321"/>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CHAPTER FIVE</w:t>
      </w:r>
      <w:bookmarkEnd w:id="49"/>
    </w:p>
    <w:bookmarkStart w:id="50" w:name="_Toc203009322"/>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SUMMARY, CONCLUSION AND RECOMMENDATIONS</w:t>
      </w:r>
      <w:bookmarkEnd w:id="50"/>
    </w:p>
    <w:bookmarkStart w:id="51" w:name="_Toc203009323"/>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5.1</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Summary</w:t>
      </w:r>
      <w:bookmarkEnd w:id="5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critically examined the impact of building regulation compliance on the construction costs of building projects within Ilorin Metropolis. The aim was to identify how regulatory frameworks, enforcement practices, and compliance requirements contribute to cost implications in the local construction industry. The research adopted a quantitative approach using structured questionnaires administered to industry professionals, including quantity surveyors, architects, engineers, builders, and project managers across various construction-related firms.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revealed that several regulatory-related factors significantly increase the cost of construction. Notably, corruption and informal payments, bureaucratic inefficiencies in the approval process, and inconsistent regulations across jurisdictions emerged as top-ranking contributors to project cost escalation. Furthermore, mandatory quality standards and slow adoption of technology further compounded these challenges. Respondents also identified causes of increased costs such as high permit fees, delays in obtaining approvals, and the burden of green building regulations.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these issues, the research identified viable strategies to address the regulatory cost burdens while maintaining compliance. These include the digitization of approval processes, strengthening institutional transparency, simplifying procedures through one-stop regulatory centers, encouraging the use of local building materials, and incentivizing sustainable building practices. The study thus highlights a clear relationship between regulatory compliance mechanisms and construction cost outcomes in Ilorin’s building sector.</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bookmarkStart w:id="52" w:name="_Toc203009324"/>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5.2</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Conclusion</w:t>
      </w:r>
      <w:bookmarkEnd w:id="5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analysis and findings, it is evident that compliance with building regulations in Ilorin Metropolis has a significant impact on construction costs. While regulatory frameworks are essential for ensuring safety, quality, and sustainability in construction, their implementation in the current form tends to increase the financial burden on developers and stakeholders due to systemic inefficiencies, corruption, and adminis</w:t>
      </w:r>
      <w:r>
        <w:rPr>
          <w:rFonts w:ascii="Times New Roman" w:cs="Times New Roman" w:eastAsia="Times New Roman" w:hAnsi="Times New Roman"/>
          <w:sz w:val="24"/>
          <w:szCs w:val="24"/>
        </w:rPr>
        <w:t>trative delays. These factors</w:t>
      </w:r>
      <w:r>
        <w:rPr>
          <w:rFonts w:ascii="Times New Roman" w:cs="Times New Roman" w:eastAsia="Times New Roman" w:hAnsi="Times New Roman"/>
          <w:sz w:val="24"/>
          <w:szCs w:val="24"/>
        </w:rPr>
        <w:t xml:space="preserve"> not only elevate project costs but also contribute to project delays, discourage investment, and reduce access to affordable housing.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the study concludes that while building regulations serve an important function in the industry, the current compliance system in Ilorin requires urgent reform. The goal should be to maintain regulatory standards without imposing excessive financial or procedural burdens on developers and professionals. Improving transparency, institutional efficiency, and leveraging technology are central to achieving this balance.</w:t>
      </w:r>
    </w:p>
    <w:bookmarkStart w:id="53" w:name="_Toc203009325"/>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5.3</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Recommendations</w:t>
      </w:r>
      <w:bookmarkEnd w:id="53"/>
    </w:p>
    <w:p>
      <w:pPr>
        <w:pStyle w:val="style0"/>
        <w:spacing w:after="0" w:lineRule="auto" w:line="480"/>
        <w:ind w:left="9" w:right="281"/>
        <w:jc w:val="both"/>
        <w:rPr>
          <w:rFonts w:ascii="Times New Roman" w:cs="Times New Roman" w:hAnsi="Times New Roman"/>
          <w:sz w:val="24"/>
          <w:szCs w:val="24"/>
        </w:rPr>
      </w:pPr>
      <w:r>
        <w:rPr>
          <w:rFonts w:ascii="Times New Roman" w:cs="Times New Roman" w:hAnsi="Times New Roman"/>
          <w:sz w:val="24"/>
          <w:szCs w:val="24"/>
        </w:rPr>
        <w:t xml:space="preserve">The following recommendations are deducted from this study: </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Digitize the Regulatory Approval Process</w:t>
      </w:r>
      <w:r>
        <w:rPr>
          <w:rFonts w:ascii="Times New Roman" w:cs="Times New Roman" w:eastAsia="Times New Roman" w:hAnsi="Times New Roman"/>
          <w:sz w:val="24"/>
          <w:szCs w:val="24"/>
        </w:rPr>
        <w:t>: Government agencies should implement e-governance platforms for planning permits, inspections, and documentation. This will reduce time delays, cut down on corruption, and lower processing costs.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Strengthen Institutional Integrity</w:t>
      </w:r>
      <w:r>
        <w:rPr>
          <w:rFonts w:ascii="Times New Roman" w:cs="Times New Roman" w:eastAsia="Times New Roman" w:hAnsi="Times New Roman"/>
          <w:sz w:val="24"/>
          <w:szCs w:val="24"/>
        </w:rPr>
        <w:t>: Anti-corruption measures must be embedded within regulatory bodies to eliminate informal payments and favoritism. Regular audits and accountability frameworks should be enforced.</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Establish One-Stop Regulatory Centers</w:t>
      </w:r>
      <w:r>
        <w:rPr>
          <w:rFonts w:ascii="Times New Roman" w:cs="Times New Roman" w:eastAsia="Times New Roman" w:hAnsi="Times New Roman"/>
          <w:sz w:val="24"/>
          <w:szCs w:val="24"/>
        </w:rPr>
        <w:t>: By consolidating approval processes under one roof, developers can save time, reduce confusion from conflicting policies, and streamline communication with authorities.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 the Use of Local Materials</w:t>
      </w:r>
      <w:r>
        <w:rPr>
          <w:rFonts w:ascii="Times New Roman" w:cs="Times New Roman" w:eastAsia="Times New Roman" w:hAnsi="Times New Roman"/>
          <w:sz w:val="24"/>
          <w:szCs w:val="24"/>
        </w:rPr>
        <w:t>: Policies that support and incentivize the use of locally available materials will reduce import costs and simplify compliance procedures associated with material sourcing.</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Provide Incentives for Sustainable Building</w:t>
      </w:r>
      <w:r>
        <w:rPr>
          <w:rFonts w:ascii="Times New Roman" w:cs="Times New Roman" w:eastAsia="Times New Roman" w:hAnsi="Times New Roman"/>
          <w:sz w:val="24"/>
          <w:szCs w:val="24"/>
        </w:rPr>
        <w:t>: While green regulations are necessary, the government should offer financial incentives, tax reliefs, or technical support to help developers offset additional costs associated with sustainability.</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Regular Policy Review and Harmonization</w:t>
      </w:r>
      <w:r>
        <w:rPr>
          <w:rFonts w:ascii="Times New Roman" w:cs="Times New Roman" w:eastAsia="Times New Roman" w:hAnsi="Times New Roman"/>
          <w:sz w:val="24"/>
          <w:szCs w:val="24"/>
        </w:rPr>
        <w:t>: Building regulations should be periodically reviewed and harmonized across different jurisdictions to eliminate inconsistencies and ensure a more uniform and predictable compliance process.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Capacity Building and Training</w:t>
      </w:r>
      <w:r>
        <w:rPr>
          <w:rFonts w:ascii="Times New Roman" w:cs="Times New Roman" w:eastAsia="Times New Roman" w:hAnsi="Times New Roman"/>
          <w:sz w:val="24"/>
          <w:szCs w:val="24"/>
        </w:rPr>
        <w:t>: Continuous training should be provided to professionals and regulatory staff to improve awareness, reduce errors in submission, and ensure better enforcement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color w:val="000000"/>
          <w:sz w:val="24"/>
          <w:szCs w:val="24"/>
        </w:rPr>
        <w:br w:type="page"/>
      </w:r>
    </w:p>
    <w:bookmarkStart w:id="54" w:name="_Toc203009326"/>
    <w:p>
      <w:pPr>
        <w:pStyle w:val="style1"/>
        <w:spacing w:before="0" w:lineRule="auto" w:line="480"/>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REFERENCES</w:t>
      </w:r>
      <w:bookmarkEnd w:id="54"/>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Adamu, A., Musa, K., &amp; Yusuf, B. (2019). Assessment of regulatory challenges in the Nigerian construction industry. </w:t>
      </w:r>
      <w:r>
        <w:rPr>
          <w:rFonts w:ascii="Times New Roman" w:cs="Times New Roman" w:eastAsia="Times New Roman" w:hAnsi="Times New Roman"/>
          <w:i/>
          <w:iCs/>
          <w:sz w:val="24"/>
          <w:szCs w:val="24"/>
        </w:rPr>
        <w:t>Nigerian Journal of Construction Research</w:t>
      </w:r>
      <w:r>
        <w:rPr>
          <w:rFonts w:ascii="Times New Roman" w:cs="Times New Roman" w:eastAsia="Times New Roman" w:hAnsi="Times New Roman"/>
          <w:sz w:val="24"/>
          <w:szCs w:val="24"/>
        </w:rPr>
        <w:t>, 7(1), 45–52.​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O. O., &amp; Cooker, M. A. (2019). An appraisal of building regulatory enforcement in Nigeria. </w:t>
      </w:r>
      <w:r>
        <w:rPr>
          <w:rFonts w:ascii="Times New Roman" w:cs="Times New Roman" w:eastAsia="Times New Roman" w:hAnsi="Times New Roman"/>
          <w:i/>
          <w:iCs/>
          <w:sz w:val="24"/>
          <w:szCs w:val="24"/>
        </w:rPr>
        <w:t>Journal of Sustainable Built Environment</w:t>
      </w:r>
      <w:r>
        <w:rPr>
          <w:rFonts w:ascii="Times New Roman" w:cs="Times New Roman" w:eastAsia="Times New Roman" w:hAnsi="Times New Roman"/>
          <w:sz w:val="24"/>
          <w:szCs w:val="24"/>
        </w:rPr>
        <w:t>, 11(2), 101–109.​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O. O., Olalekan, T. M., &amp; Bakare, F. A. (2021). Compliance with quality standards in Nigerian construction projects: A cost implication perspective. </w:t>
      </w:r>
      <w:r>
        <w:rPr>
          <w:rFonts w:ascii="Times New Roman" w:cs="Times New Roman" w:eastAsia="Times New Roman" w:hAnsi="Times New Roman"/>
          <w:i/>
          <w:iCs/>
          <w:sz w:val="24"/>
          <w:szCs w:val="24"/>
        </w:rPr>
        <w:t>International Journal of Building Economics</w:t>
      </w:r>
      <w:r>
        <w:rPr>
          <w:rFonts w:ascii="Times New Roman" w:cs="Times New Roman" w:eastAsia="Times New Roman" w:hAnsi="Times New Roman"/>
          <w:sz w:val="24"/>
          <w:szCs w:val="24"/>
        </w:rPr>
        <w:t>, 6(1), 21–30.​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Y. M. D. (2020). Assessment of building regulations enforcement in Nigeria: Challenges and prospects. </w:t>
      </w:r>
      <w:r>
        <w:rPr>
          <w:rFonts w:ascii="Times New Roman" w:cs="Times New Roman" w:eastAsia="Times New Roman" w:hAnsi="Times New Roman"/>
          <w:i/>
          <w:iCs/>
          <w:sz w:val="24"/>
          <w:szCs w:val="24"/>
        </w:rPr>
        <w:t>Journal of Building Performance</w:t>
      </w:r>
      <w:r>
        <w:rPr>
          <w:rFonts w:ascii="Times New Roman" w:cs="Times New Roman" w:eastAsia="Times New Roman" w:hAnsi="Times New Roman"/>
          <w:sz w:val="24"/>
          <w:szCs w:val="24"/>
        </w:rPr>
        <w:t>, 11(2), 54–62.​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Adegoke, S. A., Kolawole, R. F., &amp; Ajayi, M. O. (2021). Regulatory inefficiencies and the burden of construction cost in Nigeria. </w:t>
      </w:r>
      <w:r>
        <w:rPr>
          <w:rFonts w:ascii="Times New Roman" w:cs="Times New Roman" w:eastAsia="Times New Roman" w:hAnsi="Times New Roman"/>
          <w:i/>
          <w:iCs/>
          <w:sz w:val="24"/>
          <w:szCs w:val="24"/>
        </w:rPr>
        <w:t>West African Journal of Civil Engineering</w:t>
      </w:r>
      <w:r>
        <w:rPr>
          <w:rFonts w:ascii="Times New Roman" w:cs="Times New Roman" w:eastAsia="Times New Roman" w:hAnsi="Times New Roman"/>
          <w:sz w:val="24"/>
          <w:szCs w:val="24"/>
        </w:rPr>
        <w:t>, 12(3), 67–79.​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Ademola, A., &amp; Kolawole, T. (2022). Safety compliance and cost-saving strategies in Nigerian construction projects. </w:t>
      </w:r>
      <w:r>
        <w:rPr>
          <w:rFonts w:ascii="Times New Roman" w:cs="Times New Roman" w:eastAsia="Times New Roman" w:hAnsi="Times New Roman"/>
          <w:i/>
          <w:iCs/>
          <w:sz w:val="24"/>
          <w:szCs w:val="24"/>
        </w:rPr>
        <w:t>Journal of Sustainable Built Environment</w:t>
      </w:r>
      <w:r>
        <w:rPr>
          <w:rFonts w:ascii="Times New Roman" w:cs="Times New Roman" w:eastAsia="Times New Roman" w:hAnsi="Times New Roman"/>
          <w:sz w:val="24"/>
          <w:szCs w:val="24"/>
        </w:rPr>
        <w:t>, 7(1),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Adewole, A. O., &amp; Okonkwo, C. C. (2021). Corruption and regulatory inefficiencies in Nigerian building permit systems. </w:t>
      </w:r>
      <w:r>
        <w:rPr>
          <w:rFonts w:ascii="Times New Roman" w:cs="Times New Roman" w:eastAsia="Times New Roman" w:hAnsi="Times New Roman"/>
          <w:i/>
          <w:iCs/>
          <w:sz w:val="24"/>
          <w:szCs w:val="24"/>
        </w:rPr>
        <w:t>Nigerian Journal of Urban Studies</w:t>
      </w:r>
      <w:r>
        <w:rPr>
          <w:rFonts w:ascii="Times New Roman" w:cs="Times New Roman" w:eastAsia="Times New Roman" w:hAnsi="Times New Roman"/>
          <w:sz w:val="24"/>
          <w:szCs w:val="24"/>
        </w:rPr>
        <w:t>, 9(3), 101–115.​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Adewumi, O., Ibrahim, L. A., &amp; Ojo, T. (2021). Building permit approval systems in Nigeria: A study of delays and reform strategies. </w:t>
      </w:r>
      <w:r>
        <w:rPr>
          <w:rFonts w:ascii="Times New Roman" w:cs="Times New Roman" w:eastAsia="Times New Roman" w:hAnsi="Times New Roman"/>
          <w:i/>
          <w:iCs/>
          <w:sz w:val="24"/>
          <w:szCs w:val="24"/>
        </w:rPr>
        <w:t>Journal of African Urban Studies</w:t>
      </w:r>
      <w:r>
        <w:rPr>
          <w:rFonts w:ascii="Times New Roman" w:cs="Times New Roman" w:eastAsia="Times New Roman" w:hAnsi="Times New Roman"/>
          <w:sz w:val="24"/>
          <w:szCs w:val="24"/>
        </w:rPr>
        <w:t>, 3(2), 56–72.​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&amp; Adekunle, A. (2020). Disparities in construction regulatory enforcement across Nigerian states. </w:t>
      </w:r>
      <w:r>
        <w:rPr>
          <w:rFonts w:ascii="Times New Roman" w:cs="Times New Roman" w:eastAsia="Times New Roman" w:hAnsi="Times New Roman"/>
          <w:i/>
          <w:iCs/>
          <w:sz w:val="24"/>
          <w:szCs w:val="24"/>
        </w:rPr>
        <w:t>International Journal of Regional Planning</w:t>
      </w:r>
      <w:r>
        <w:rPr>
          <w:rFonts w:ascii="Times New Roman" w:cs="Times New Roman" w:eastAsia="Times New Roman" w:hAnsi="Times New Roman"/>
          <w:sz w:val="24"/>
          <w:szCs w:val="24"/>
        </w:rPr>
        <w:t>, 4(1),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&amp; Aina, O. (2022). Challenges of regulatory compliance among SME contractors in the Nigerian construction industry. </w:t>
      </w:r>
      <w:r>
        <w:rPr>
          <w:rFonts w:ascii="Times New Roman" w:cs="Times New Roman" w:eastAsia="Times New Roman" w:hAnsi="Times New Roman"/>
          <w:i/>
          <w:iCs/>
          <w:sz w:val="24"/>
          <w:szCs w:val="24"/>
        </w:rPr>
        <w:t>International Journal of Construction Management</w:t>
      </w:r>
      <w:r>
        <w:rPr>
          <w:rFonts w:ascii="Times New Roman" w:cs="Times New Roman" w:eastAsia="Times New Roman" w:hAnsi="Times New Roman"/>
          <w:sz w:val="24"/>
          <w:szCs w:val="24"/>
        </w:rPr>
        <w:t>, 22(4), 333–344.​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Dada, M. O., &amp; </w:t>
      </w:r>
      <w:r>
        <w:rPr>
          <w:rFonts w:ascii="Times New Roman" w:cs="Times New Roman" w:eastAsia="Times New Roman" w:hAnsi="Times New Roman"/>
          <w:sz w:val="24"/>
          <w:szCs w:val="24"/>
        </w:rPr>
        <w:t>Ogunsemi</w:t>
      </w:r>
      <w:r>
        <w:rPr>
          <w:rFonts w:ascii="Times New Roman" w:cs="Times New Roman" w:eastAsia="Times New Roman" w:hAnsi="Times New Roman"/>
          <w:sz w:val="24"/>
          <w:szCs w:val="24"/>
        </w:rPr>
        <w:t xml:space="preserve">, D. R. (2019). Compliance with construction regulations in Lagos State: Issues and implications. </w:t>
      </w:r>
      <w:r>
        <w:rPr>
          <w:rFonts w:ascii="Times New Roman" w:cs="Times New Roman" w:eastAsia="Times New Roman" w:hAnsi="Times New Roman"/>
          <w:i/>
          <w:iCs/>
          <w:sz w:val="24"/>
          <w:szCs w:val="24"/>
        </w:rPr>
        <w:t>Journal of Environmental Design and Management</w:t>
      </w:r>
      <w:r>
        <w:rPr>
          <w:rFonts w:ascii="Times New Roman" w:cs="Times New Roman" w:eastAsia="Times New Roman" w:hAnsi="Times New Roman"/>
          <w:sz w:val="24"/>
          <w:szCs w:val="24"/>
        </w:rPr>
        <w:t>, 9(1), 15–25.​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Ajayi, A., Ogunlana, S., &amp; Sulaimon, O. (2020). Cost implications of professional engagement in construction project delivery. </w:t>
      </w:r>
      <w:r>
        <w:rPr>
          <w:rFonts w:ascii="Times New Roman" w:cs="Times New Roman" w:eastAsia="Times New Roman" w:hAnsi="Times New Roman"/>
          <w:i/>
          <w:iCs/>
          <w:sz w:val="24"/>
          <w:szCs w:val="24"/>
        </w:rPr>
        <w:t>Journal of Construction Project Management and Innovation</w:t>
      </w:r>
      <w:r>
        <w:rPr>
          <w:rFonts w:ascii="Times New Roman" w:cs="Times New Roman" w:eastAsia="Times New Roman" w:hAnsi="Times New Roman"/>
          <w:sz w:val="24"/>
          <w:szCs w:val="24"/>
        </w:rPr>
        <w:t>, 10(1), 143–160.​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Akinola, T. A., Balogun, J. O., &amp; Folarin, O. M. (2019). Impact of corruption on construction project delivery in Nigeria. </w:t>
      </w:r>
      <w:r>
        <w:rPr>
          <w:rFonts w:ascii="Times New Roman" w:cs="Times New Roman" w:eastAsia="Times New Roman" w:hAnsi="Times New Roman"/>
          <w:i/>
          <w:iCs/>
          <w:sz w:val="24"/>
          <w:szCs w:val="24"/>
        </w:rPr>
        <w:t>Journal of Construction in Developing Countries</w:t>
      </w:r>
      <w:r>
        <w:rPr>
          <w:rFonts w:ascii="Times New Roman" w:cs="Times New Roman" w:eastAsia="Times New Roman" w:hAnsi="Times New Roman"/>
          <w:sz w:val="24"/>
          <w:szCs w:val="24"/>
        </w:rPr>
        <w:t>, 24(1), 113–125.​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Akintoye, A., &amp; </w:t>
      </w:r>
      <w:r>
        <w:rPr>
          <w:rFonts w:ascii="Times New Roman" w:cs="Times New Roman" w:eastAsia="Times New Roman" w:hAnsi="Times New Roman"/>
          <w:sz w:val="24"/>
          <w:szCs w:val="24"/>
        </w:rPr>
        <w:t>Ogundiran</w:t>
      </w:r>
      <w:r>
        <w:rPr>
          <w:rFonts w:ascii="Times New Roman" w:cs="Times New Roman" w:eastAsia="Times New Roman" w:hAnsi="Times New Roman"/>
          <w:sz w:val="24"/>
          <w:szCs w:val="24"/>
        </w:rPr>
        <w:t xml:space="preserve">, S. (2021). Green building practices and their cost implications in Nigeria. </w:t>
      </w:r>
      <w:r>
        <w:rPr>
          <w:rFonts w:ascii="Times New Roman" w:cs="Times New Roman" w:eastAsia="Times New Roman" w:hAnsi="Times New Roman"/>
          <w:i/>
          <w:iCs/>
          <w:sz w:val="24"/>
          <w:szCs w:val="24"/>
        </w:rPr>
        <w:t>Journal of Environmental Design and Management</w:t>
      </w:r>
      <w:r>
        <w:rPr>
          <w:rFonts w:ascii="Times New Roman" w:cs="Times New Roman" w:eastAsia="Times New Roman" w:hAnsi="Times New Roman"/>
          <w:sz w:val="24"/>
          <w:szCs w:val="24"/>
        </w:rPr>
        <w:t>, 15(2), 72–84.​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Akinyemi, L., &amp; Ogunleye, R. (2023). Permit delays and their effect on construction costs in Lagos, Nigeria. </w:t>
      </w:r>
      <w:r>
        <w:rPr>
          <w:rFonts w:ascii="Times New Roman" w:cs="Times New Roman" w:eastAsia="Times New Roman" w:hAnsi="Times New Roman"/>
          <w:i/>
          <w:iCs/>
          <w:sz w:val="24"/>
          <w:szCs w:val="24"/>
        </w:rPr>
        <w:t>Journal of Construction Policy and Practice</w:t>
      </w:r>
      <w:r>
        <w:rPr>
          <w:rFonts w:ascii="Times New Roman" w:cs="Times New Roman" w:eastAsia="Times New Roman" w:hAnsi="Times New Roman"/>
          <w:sz w:val="24"/>
          <w:szCs w:val="24"/>
        </w:rPr>
        <w:t>, 18(1), 40–58.​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Akinyemi, L., Adeoti, B., &amp; Onabanjo, T. (2020). Adoption of digital platforms for construction regulatory approval in Nigeria. </w:t>
      </w:r>
      <w:r>
        <w:rPr>
          <w:rFonts w:ascii="Times New Roman" w:cs="Times New Roman" w:eastAsia="Times New Roman" w:hAnsi="Times New Roman"/>
          <w:i/>
          <w:iCs/>
          <w:sz w:val="24"/>
          <w:szCs w:val="24"/>
        </w:rPr>
        <w:t>Nigerian Journal of Digital Transformation</w:t>
      </w:r>
      <w:r>
        <w:rPr>
          <w:rFonts w:ascii="Times New Roman" w:cs="Times New Roman" w:eastAsia="Times New Roman" w:hAnsi="Times New Roman"/>
          <w:sz w:val="24"/>
          <w:szCs w:val="24"/>
        </w:rPr>
        <w:t>, 5(3), 23–34.​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Bamigboye</w:t>
      </w:r>
      <w:r>
        <w:rPr>
          <w:rFonts w:ascii="Times New Roman" w:cs="Times New Roman" w:eastAsia="Times New Roman" w:hAnsi="Times New Roman"/>
          <w:sz w:val="24"/>
          <w:szCs w:val="24"/>
        </w:rPr>
        <w:t xml:space="preserve">, G. O., &amp; Dada, R. O. (2021). Impact of building codes on construction cost management in Nigeria. </w:t>
      </w:r>
      <w:r>
        <w:rPr>
          <w:rFonts w:ascii="Times New Roman" w:cs="Times New Roman" w:eastAsia="Times New Roman" w:hAnsi="Times New Roman"/>
          <w:i/>
          <w:iCs/>
          <w:sz w:val="24"/>
          <w:szCs w:val="24"/>
        </w:rPr>
        <w:t>International Journal of Engineering Research and Applications</w:t>
      </w:r>
      <w:r>
        <w:rPr>
          <w:rFonts w:ascii="Times New Roman" w:cs="Times New Roman" w:eastAsia="Times New Roman" w:hAnsi="Times New Roman"/>
          <w:sz w:val="24"/>
          <w:szCs w:val="24"/>
        </w:rPr>
        <w:t>, 11(5), 12–20.​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Chukwuemeka, E. J., Eze, P. U., &amp; Okonkwo, C. M. (2019). Project delays and their cost implications in Nigerian construction: A regulatory perspective. </w:t>
      </w:r>
      <w:r>
        <w:rPr>
          <w:rFonts w:ascii="Times New Roman" w:cs="Times New Roman" w:eastAsia="Times New Roman" w:hAnsi="Times New Roman"/>
          <w:i/>
          <w:iCs/>
          <w:sz w:val="24"/>
          <w:szCs w:val="24"/>
        </w:rPr>
        <w:t>African Journal of Project Management</w:t>
      </w:r>
      <w:r>
        <w:rPr>
          <w:rFonts w:ascii="Times New Roman" w:cs="Times New Roman" w:eastAsia="Times New Roman" w:hAnsi="Times New Roman"/>
          <w:sz w:val="24"/>
          <w:szCs w:val="24"/>
        </w:rPr>
        <w:t>, 11(4), 85–97.​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N., Aliu, A., &amp; Salami, F. (2023). Technology and governance in Nigerian construction regulation. </w:t>
      </w:r>
      <w:r>
        <w:rPr>
          <w:rFonts w:ascii="Times New Roman" w:cs="Times New Roman" w:eastAsia="Times New Roman" w:hAnsi="Times New Roman"/>
          <w:i/>
          <w:iCs/>
          <w:sz w:val="24"/>
          <w:szCs w:val="24"/>
        </w:rPr>
        <w:t>Smart Infrastructure Journal</w:t>
      </w:r>
      <w:r>
        <w:rPr>
          <w:rFonts w:ascii="Times New Roman" w:cs="Times New Roman" w:eastAsia="Times New Roman" w:hAnsi="Times New Roman"/>
          <w:sz w:val="24"/>
          <w:szCs w:val="24"/>
        </w:rPr>
        <w:t>, 6(1), 44–56.​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P. O., &amp; Udo, M. A. (2022). Evaluating fire safety compliance and cost escalation in Nigerian commercial buildings. </w:t>
      </w:r>
      <w:r>
        <w:rPr>
          <w:rFonts w:ascii="Times New Roman" w:cs="Times New Roman" w:eastAsia="Times New Roman" w:hAnsi="Times New Roman"/>
          <w:i/>
          <w:iCs/>
          <w:sz w:val="24"/>
          <w:szCs w:val="24"/>
        </w:rPr>
        <w:t>African Journal of Architecture and Planning</w:t>
      </w:r>
      <w:r>
        <w:rPr>
          <w:rFonts w:ascii="Times New Roman" w:cs="Times New Roman" w:eastAsia="Times New Roman" w:hAnsi="Times New Roman"/>
          <w:sz w:val="24"/>
          <w:szCs w:val="24"/>
        </w:rPr>
        <w:t>, 10(2), 112–125.​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Ezeokoli</w:t>
      </w:r>
      <w:r>
        <w:rPr>
          <w:rFonts w:ascii="Times New Roman" w:cs="Times New Roman" w:eastAsia="Times New Roman" w:hAnsi="Times New Roman"/>
          <w:sz w:val="24"/>
          <w:szCs w:val="24"/>
        </w:rPr>
        <w:t xml:space="preserve">, F. O., Adeoye, A. O., &amp; Bello, T. (2018). Impacts of building regulation delays on construction cost escalation. </w:t>
      </w:r>
      <w:r>
        <w:rPr>
          <w:rFonts w:ascii="Times New Roman" w:cs="Times New Roman" w:eastAsia="Times New Roman" w:hAnsi="Times New Roman"/>
          <w:i/>
          <w:iCs/>
          <w:sz w:val="24"/>
          <w:szCs w:val="24"/>
        </w:rPr>
        <w:t>Nigerian Journal of Infrastructure Planning</w:t>
      </w:r>
      <w:r>
        <w:rPr>
          <w:rFonts w:ascii="Times New Roman" w:cs="Times New Roman" w:eastAsia="Times New Roman" w:hAnsi="Times New Roman"/>
          <w:sz w:val="24"/>
          <w:szCs w:val="24"/>
        </w:rPr>
        <w:t>, 3(2), 97–108.​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Fasakin</w:t>
      </w:r>
      <w:r>
        <w:rPr>
          <w:rFonts w:ascii="Times New Roman" w:cs="Times New Roman" w:eastAsia="Times New Roman" w:hAnsi="Times New Roman"/>
          <w:sz w:val="24"/>
          <w:szCs w:val="24"/>
        </w:rPr>
        <w:t xml:space="preserve">, J. O., &amp; Oyenuga, A. (2023). Building regulation and housing affordability: A Nigerian perspective. </w:t>
      </w:r>
      <w:r>
        <w:rPr>
          <w:rFonts w:ascii="Times New Roman" w:cs="Times New Roman" w:eastAsia="Times New Roman" w:hAnsi="Times New Roman"/>
          <w:i/>
          <w:iCs/>
          <w:sz w:val="24"/>
          <w:szCs w:val="24"/>
        </w:rPr>
        <w:t>Journal of Housing Studies in Africa</w:t>
      </w:r>
      <w:r>
        <w:rPr>
          <w:rFonts w:ascii="Times New Roman" w:cs="Times New Roman" w:eastAsia="Times New Roman" w:hAnsi="Times New Roman"/>
          <w:sz w:val="24"/>
          <w:szCs w:val="24"/>
        </w:rPr>
        <w:t>, 6(1), 25–39.​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 &amp; Lawal, A. A. (2022). The interplay of building regulations and market dynamics in Nigeria’s construction sector. </w:t>
      </w:r>
      <w:r>
        <w:rPr>
          <w:rFonts w:ascii="Times New Roman" w:cs="Times New Roman" w:eastAsia="Times New Roman" w:hAnsi="Times New Roman"/>
          <w:i/>
          <w:iCs/>
          <w:sz w:val="24"/>
          <w:szCs w:val="24"/>
        </w:rPr>
        <w:t>Nigerian Journal of Construction Economics</w:t>
      </w:r>
      <w:r>
        <w:rPr>
          <w:rFonts w:ascii="Times New Roman" w:cs="Times New Roman" w:eastAsia="Times New Roman" w:hAnsi="Times New Roman"/>
          <w:sz w:val="24"/>
          <w:szCs w:val="24"/>
        </w:rPr>
        <w:t>, 13(3), 50–65.​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Ilesanmi, A. O., Musa, L. A., &amp; Okorie, T. E. (2021). Obsolete building regulations and rising construction costs in Nigeria. </w:t>
      </w:r>
      <w:r>
        <w:rPr>
          <w:rFonts w:ascii="Times New Roman" w:cs="Times New Roman" w:eastAsia="Times New Roman" w:hAnsi="Times New Roman"/>
          <w:i/>
          <w:iCs/>
          <w:sz w:val="24"/>
          <w:szCs w:val="24"/>
        </w:rPr>
        <w:t>Journal of Sustainable Development in Africa</w:t>
      </w:r>
      <w:r>
        <w:rPr>
          <w:rFonts w:ascii="Times New Roman" w:cs="Times New Roman" w:eastAsia="Times New Roman" w:hAnsi="Times New Roman"/>
          <w:sz w:val="24"/>
          <w:szCs w:val="24"/>
        </w:rPr>
        <w:t>, 23(2), 50–62.​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D. O., Okafor, I. C., &amp; </w:t>
      </w:r>
      <w:r>
        <w:rPr>
          <w:rFonts w:ascii="Times New Roman" w:cs="Times New Roman" w:eastAsia="Times New Roman" w:hAnsi="Times New Roman"/>
          <w:sz w:val="24"/>
          <w:szCs w:val="24"/>
        </w:rPr>
        <w:t>Ezeanya</w:t>
      </w:r>
      <w:r>
        <w:rPr>
          <w:rFonts w:ascii="Times New Roman" w:cs="Times New Roman" w:eastAsia="Times New Roman" w:hAnsi="Times New Roman"/>
          <w:sz w:val="24"/>
          <w:szCs w:val="24"/>
        </w:rPr>
        <w:t xml:space="preserve">, N. A. (2020). Evaluating regulatory-induced project delays in Nigeria. </w:t>
      </w:r>
      <w:r>
        <w:rPr>
          <w:rFonts w:ascii="Times New Roman" w:cs="Times New Roman" w:eastAsia="Times New Roman" w:hAnsi="Times New Roman"/>
          <w:i/>
          <w:iCs/>
          <w:sz w:val="24"/>
          <w:szCs w:val="24"/>
        </w:rPr>
        <w:t>Nigerian Journal of Construction Economics and Management</w:t>
      </w:r>
      <w:r>
        <w:rPr>
          <w:rFonts w:ascii="Times New Roman" w:cs="Times New Roman" w:eastAsia="Times New Roman" w:hAnsi="Times New Roman"/>
          <w:sz w:val="24"/>
          <w:szCs w:val="24"/>
        </w:rPr>
        <w:t>, 7(2), 32–47.​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Ogundele, A. A., &amp; Owoeye, T. O. (2023). The cost of compliance: A study on regulatory burdens in Nigerian construction projects. </w:t>
      </w:r>
      <w:r>
        <w:rPr>
          <w:rFonts w:ascii="Times New Roman" w:cs="Times New Roman" w:eastAsia="Times New Roman" w:hAnsi="Times New Roman"/>
          <w:i/>
          <w:iCs/>
          <w:sz w:val="24"/>
          <w:szCs w:val="24"/>
        </w:rPr>
        <w:t>Journal of Infrastructure Development</w:t>
      </w:r>
      <w:r>
        <w:rPr>
          <w:rFonts w:ascii="Times New Roman" w:cs="Times New Roman" w:eastAsia="Times New Roman" w:hAnsi="Times New Roman"/>
          <w:sz w:val="24"/>
          <w:szCs w:val="24"/>
        </w:rPr>
        <w:t>, 11(1), 90–108.​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Ogundele, J., Aluko, B., &amp; </w:t>
      </w:r>
      <w:r>
        <w:rPr>
          <w:rFonts w:ascii="Times New Roman" w:cs="Times New Roman" w:eastAsia="Times New Roman" w:hAnsi="Times New Roman"/>
          <w:sz w:val="24"/>
          <w:szCs w:val="24"/>
        </w:rPr>
        <w:t>Olowolayemo</w:t>
      </w:r>
      <w:r>
        <w:rPr>
          <w:rFonts w:ascii="Times New Roman" w:cs="Times New Roman" w:eastAsia="Times New Roman" w:hAnsi="Times New Roman"/>
          <w:sz w:val="24"/>
          <w:szCs w:val="24"/>
        </w:rPr>
        <w:t xml:space="preserve">, S. (2018). Institutional challenges in enforcing Nigerian building regulations. </w:t>
      </w:r>
      <w:r>
        <w:rPr>
          <w:rFonts w:ascii="Times New Roman" w:cs="Times New Roman" w:eastAsia="Times New Roman" w:hAnsi="Times New Roman"/>
          <w:i/>
          <w:iCs/>
          <w:sz w:val="24"/>
          <w:szCs w:val="24"/>
        </w:rPr>
        <w:t>African Journal of Urban Management</w:t>
      </w:r>
      <w:r>
        <w:rPr>
          <w:rFonts w:ascii="Times New Roman" w:cs="Times New Roman" w:eastAsia="Times New Roman" w:hAnsi="Times New Roman"/>
          <w:sz w:val="24"/>
          <w:szCs w:val="24"/>
        </w:rPr>
        <w:t>, 5(1), 70–81.​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Ogunlana, S. A., &amp; Adejumo, K. O. (2023). Life cycle cost benefits of regulatory-compliant buildings in Nigeria. </w:t>
      </w:r>
      <w:r>
        <w:rPr>
          <w:rFonts w:ascii="Times New Roman" w:cs="Times New Roman" w:eastAsia="Times New Roman" w:hAnsi="Times New Roman"/>
          <w:i/>
          <w:iCs/>
          <w:sz w:val="24"/>
          <w:szCs w:val="24"/>
        </w:rPr>
        <w:t>West African Journal of Construction Economics</w:t>
      </w:r>
      <w:r>
        <w:rPr>
          <w:rFonts w:ascii="Times New Roman" w:cs="Times New Roman" w:eastAsia="Times New Roman" w:hAnsi="Times New Roman"/>
          <w:sz w:val="24"/>
          <w:szCs w:val="24"/>
        </w:rPr>
        <w:t>, 5(2), 19–31.​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Okafor, U., Ali, H., &amp; Bello, O. (2020). Navigating inter-state regulatory challenges in Nigeria’s construction sector. </w:t>
      </w:r>
      <w:r>
        <w:rPr>
          <w:rFonts w:ascii="Times New Roman" w:cs="Times New Roman" w:eastAsia="Times New Roman" w:hAnsi="Times New Roman"/>
          <w:i/>
          <w:iCs/>
          <w:sz w:val="24"/>
          <w:szCs w:val="24"/>
        </w:rPr>
        <w:t>Nigerian Journal of Architecture and Planning</w:t>
      </w:r>
      <w:r>
        <w:rPr>
          <w:rFonts w:ascii="Times New Roman" w:cs="Times New Roman" w:eastAsia="Times New Roman" w:hAnsi="Times New Roman"/>
          <w:sz w:val="24"/>
          <w:szCs w:val="24"/>
        </w:rPr>
        <w:t>, 8(2), 29–41.​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Okonkwo, H. U., &amp; Adewole, A. T. (2022). Building regulations and the cost of compliance in urban Nigeria. </w:t>
      </w:r>
      <w:r>
        <w:rPr>
          <w:rFonts w:ascii="Times New Roman" w:cs="Times New Roman" w:eastAsia="Times New Roman" w:hAnsi="Times New Roman"/>
          <w:i/>
          <w:iCs/>
          <w:sz w:val="24"/>
          <w:szCs w:val="24"/>
        </w:rPr>
        <w:t>Journal of Urban Development and Policy Studies</w:t>
      </w:r>
      <w:r>
        <w:rPr>
          <w:rFonts w:ascii="Times New Roman" w:cs="Times New Roman" w:eastAsia="Times New Roman" w:hAnsi="Times New Roman"/>
          <w:sz w:val="24"/>
          <w:szCs w:val="24"/>
        </w:rPr>
        <w:t>, 10(1), 63–77.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Okonkwo, H. U., &amp; Eze, P. O. (2023). The hidden cost of regulatory compliance in Nigeria’s construction sector. </w:t>
      </w:r>
      <w:r>
        <w:rPr>
          <w:rFonts w:ascii="Times New Roman" w:cs="Times New Roman" w:eastAsia="Times New Roman" w:hAnsi="Times New Roman"/>
          <w:i/>
          <w:iCs/>
          <w:sz w:val="24"/>
          <w:szCs w:val="24"/>
        </w:rPr>
        <w:t>Journal of African Infrastructure Policy</w:t>
      </w:r>
      <w:r>
        <w:rPr>
          <w:rFonts w:ascii="Times New Roman" w:cs="Times New Roman" w:eastAsia="Times New Roman" w:hAnsi="Times New Roman"/>
          <w:sz w:val="24"/>
          <w:szCs w:val="24"/>
        </w:rPr>
        <w:t>, 7(2), 55–68.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Okoye, V. C., &amp; Emmanuel, E. (2021). Building regulation compliance in Nigeria: Impacts on project delivery. </w:t>
      </w:r>
      <w:r>
        <w:rPr>
          <w:rFonts w:ascii="Times New Roman" w:cs="Times New Roman" w:eastAsia="Times New Roman" w:hAnsi="Times New Roman"/>
          <w:i/>
          <w:iCs/>
          <w:sz w:val="24"/>
          <w:szCs w:val="24"/>
        </w:rPr>
        <w:t>Nigerian Journal of Civil Engineering</w:t>
      </w:r>
      <w:r>
        <w:rPr>
          <w:rFonts w:ascii="Times New Roman" w:cs="Times New Roman" w:eastAsia="Times New Roman" w:hAnsi="Times New Roman"/>
          <w:sz w:val="24"/>
          <w:szCs w:val="24"/>
        </w:rPr>
        <w:t>, 18(2), 77–90.​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Olaleye, A., &amp; Balogun, A. (2019). Private sector financing and the compliance dilemma in Nigeria’s construction sector. </w:t>
      </w:r>
      <w:r>
        <w:rPr>
          <w:rFonts w:ascii="Times New Roman" w:cs="Times New Roman" w:eastAsia="Times New Roman" w:hAnsi="Times New Roman"/>
          <w:i/>
          <w:iCs/>
          <w:sz w:val="24"/>
          <w:szCs w:val="24"/>
        </w:rPr>
        <w:t>Journal of Building Economics</w:t>
      </w:r>
      <w:r>
        <w:rPr>
          <w:rFonts w:ascii="Times New Roman" w:cs="Times New Roman" w:eastAsia="Times New Roman" w:hAnsi="Times New Roman"/>
          <w:sz w:val="24"/>
          <w:szCs w:val="24"/>
        </w:rPr>
        <w:t>, 12(4), 61–70.​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Olawale, T. A., &amp; Aluko, B. T. (2020). Effects of regulatory compliance on property prices in Nigerian urban centers. </w:t>
      </w:r>
      <w:r>
        <w:rPr>
          <w:rFonts w:ascii="Times New Roman" w:cs="Times New Roman" w:eastAsia="Times New Roman" w:hAnsi="Times New Roman"/>
          <w:i/>
          <w:iCs/>
          <w:sz w:val="24"/>
          <w:szCs w:val="24"/>
        </w:rPr>
        <w:t>African Journal of Real Estate Research</w:t>
      </w:r>
      <w:r>
        <w:rPr>
          <w:rFonts w:ascii="Times New Roman" w:cs="Times New Roman" w:eastAsia="Times New Roman" w:hAnsi="Times New Roman"/>
          <w:sz w:val="24"/>
          <w:szCs w:val="24"/>
        </w:rPr>
        <w:t>, 9(2), 33–47.​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Olayemi, T. J., &amp; Sulaiman, R. O. (2019). Analysis of the impact of building permit delays on housing delivery in Nigeria. </w:t>
      </w:r>
      <w:r>
        <w:rPr>
          <w:rFonts w:ascii="Times New Roman" w:cs="Times New Roman" w:eastAsia="Times New Roman" w:hAnsi="Times New Roman"/>
          <w:i/>
          <w:iCs/>
          <w:sz w:val="24"/>
          <w:szCs w:val="24"/>
        </w:rPr>
        <w:t>Journal of Real Estate and Construction Studies</w:t>
      </w:r>
      <w:r>
        <w:rPr>
          <w:rFonts w:ascii="Times New Roman" w:cs="Times New Roman" w:eastAsia="Times New Roman" w:hAnsi="Times New Roman"/>
          <w:sz w:val="24"/>
          <w:szCs w:val="24"/>
        </w:rPr>
        <w:t>, 11(3), 101–115.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Olusegun, A., Folarin, D. O., &amp; Adeoti, T. B. (2020). Government policy inconsistencies and their implications for construction project financing. </w:t>
      </w:r>
      <w:r>
        <w:rPr>
          <w:rFonts w:ascii="Times New Roman" w:cs="Times New Roman" w:eastAsia="Times New Roman" w:hAnsi="Times New Roman"/>
          <w:i/>
          <w:iCs/>
          <w:sz w:val="24"/>
          <w:szCs w:val="24"/>
        </w:rPr>
        <w:t>West African Journal of Built Environment</w:t>
      </w:r>
      <w:r>
        <w:rPr>
          <w:rFonts w:ascii="Times New Roman" w:cs="Times New Roman" w:eastAsia="Times New Roman" w:hAnsi="Times New Roman"/>
          <w:sz w:val="24"/>
          <w:szCs w:val="24"/>
        </w:rPr>
        <w:t>, 9(1),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Omenihu</w:t>
      </w:r>
      <w:r>
        <w:rPr>
          <w:rFonts w:ascii="Times New Roman" w:cs="Times New Roman" w:eastAsia="Times New Roman" w:hAnsi="Times New Roman"/>
          <w:sz w:val="24"/>
          <w:szCs w:val="24"/>
        </w:rPr>
        <w:t xml:space="preserve">, M. C., </w:t>
      </w:r>
      <w:r>
        <w:rPr>
          <w:rFonts w:ascii="Times New Roman" w:cs="Times New Roman" w:eastAsia="Times New Roman" w:hAnsi="Times New Roman"/>
          <w:sz w:val="24"/>
          <w:szCs w:val="24"/>
        </w:rPr>
        <w:t>Onundi</w:t>
      </w:r>
      <w:r>
        <w:rPr>
          <w:rFonts w:ascii="Times New Roman" w:cs="Times New Roman" w:eastAsia="Times New Roman" w:hAnsi="Times New Roman"/>
          <w:sz w:val="24"/>
          <w:szCs w:val="24"/>
        </w:rPr>
        <w:t xml:space="preserve">, L. O., &amp; Alkali, A. U. (2016). Assessment of regulatory compliance challenges in Nigeria’s building industry. </w:t>
      </w:r>
      <w:r>
        <w:rPr>
          <w:rFonts w:ascii="Times New Roman" w:cs="Times New Roman" w:eastAsia="Times New Roman" w:hAnsi="Times New Roman"/>
          <w:i/>
          <w:iCs/>
          <w:sz w:val="24"/>
          <w:szCs w:val="24"/>
        </w:rPr>
        <w:t>International Journal of Civil Engineering and Technology</w:t>
      </w:r>
      <w:r>
        <w:rPr>
          <w:rFonts w:ascii="Times New Roman" w:cs="Times New Roman" w:eastAsia="Times New Roman" w:hAnsi="Times New Roman"/>
          <w:sz w:val="24"/>
          <w:szCs w:val="24"/>
        </w:rPr>
        <w:t>, 7(3), 100–110.​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Omotayo, T., &amp; Ajayi, M. (2022). Incorporating sustainability into Nigerian building codes: Opportunities and barriers. </w:t>
      </w:r>
      <w:r>
        <w:rPr>
          <w:rFonts w:ascii="Times New Roman" w:cs="Times New Roman" w:eastAsia="Times New Roman" w:hAnsi="Times New Roman"/>
          <w:i/>
          <w:iCs/>
          <w:sz w:val="24"/>
          <w:szCs w:val="24"/>
        </w:rPr>
        <w:t>Journal of Green Building</w:t>
      </w:r>
      <w:r>
        <w:rPr>
          <w:rFonts w:ascii="Times New Roman" w:cs="Times New Roman" w:eastAsia="Times New Roman" w:hAnsi="Times New Roman"/>
          <w:sz w:val="24"/>
          <w:szCs w:val="24"/>
        </w:rPr>
        <w:t>, 17(1), 91–109.​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Onyema, J. N., Okafor, K. C., &amp; Chika, E. C. (2021). Barriers to efficient construction regulation enforcement in Nigerian cities. </w:t>
      </w:r>
      <w:r>
        <w:rPr>
          <w:rFonts w:ascii="Times New Roman" w:cs="Times New Roman" w:eastAsia="Times New Roman" w:hAnsi="Times New Roman"/>
          <w:i/>
          <w:iCs/>
          <w:sz w:val="24"/>
          <w:szCs w:val="24"/>
        </w:rPr>
        <w:t>Journal of Urban and Regional Development</w:t>
      </w:r>
      <w:r>
        <w:rPr>
          <w:rFonts w:ascii="Times New Roman" w:cs="Times New Roman" w:eastAsia="Times New Roman" w:hAnsi="Times New Roman"/>
          <w:sz w:val="24"/>
          <w:szCs w:val="24"/>
        </w:rPr>
        <w:t>, 6(2), 77–89.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Onyinyechi, A. I., &amp; Chukwuemeka, J. C. (2020). Assessing the effectiveness of regulatory reforms in the Nigerian construction industry. </w:t>
      </w:r>
      <w:r>
        <w:rPr>
          <w:rFonts w:ascii="Times New Roman" w:cs="Times New Roman" w:eastAsia="Times New Roman" w:hAnsi="Times New Roman"/>
          <w:i/>
          <w:iCs/>
          <w:sz w:val="24"/>
          <w:szCs w:val="24"/>
        </w:rPr>
        <w:t>Journal of Building and Environmental Management</w:t>
      </w:r>
      <w:r>
        <w:rPr>
          <w:rFonts w:ascii="Times New Roman" w:cs="Times New Roman" w:eastAsia="Times New Roman" w:hAnsi="Times New Roman"/>
          <w:sz w:val="24"/>
          <w:szCs w:val="24"/>
        </w:rPr>
        <w:t>, 14(2), 92–105.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Osagie, I. O., &amp; </w:t>
      </w:r>
      <w:r>
        <w:rPr>
          <w:rFonts w:ascii="Times New Roman" w:cs="Times New Roman" w:eastAsia="Times New Roman" w:hAnsi="Times New Roman"/>
          <w:sz w:val="24"/>
          <w:szCs w:val="24"/>
        </w:rPr>
        <w:t>Obayemi</w:t>
      </w:r>
      <w:r>
        <w:rPr>
          <w:rFonts w:ascii="Times New Roman" w:cs="Times New Roman" w:eastAsia="Times New Roman" w:hAnsi="Times New Roman"/>
          <w:sz w:val="24"/>
          <w:szCs w:val="24"/>
        </w:rPr>
        <w:t xml:space="preserve">, T. O. (2019). Digital transformation and e-permit systems in Nigerian construction regulation. </w:t>
      </w:r>
      <w:r>
        <w:rPr>
          <w:rFonts w:ascii="Times New Roman" w:cs="Times New Roman" w:eastAsia="Times New Roman" w:hAnsi="Times New Roman"/>
          <w:i/>
          <w:iCs/>
          <w:sz w:val="24"/>
          <w:szCs w:val="24"/>
        </w:rPr>
        <w:t>International Journal of Construction ICT</w:t>
      </w:r>
      <w:r>
        <w:rPr>
          <w:rFonts w:ascii="Times New Roman" w:cs="Times New Roman" w:eastAsia="Times New Roman" w:hAnsi="Times New Roman"/>
          <w:sz w:val="24"/>
          <w:szCs w:val="24"/>
        </w:rPr>
        <w:t>, 3(1), 39–52.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Oyekanmi</w:t>
      </w:r>
      <w:r>
        <w:rPr>
          <w:rFonts w:ascii="Times New Roman" w:cs="Times New Roman" w:eastAsia="Times New Roman" w:hAnsi="Times New Roman"/>
          <w:sz w:val="24"/>
          <w:szCs w:val="24"/>
        </w:rPr>
        <w:t xml:space="preserve">, M. A., &amp; Adebanjo, L. A. (2021). Comparative analysis of urban planning regulations and cost impact in major Nigerian cities. </w:t>
      </w:r>
      <w:r>
        <w:rPr>
          <w:rFonts w:ascii="Times New Roman" w:cs="Times New Roman" w:eastAsia="Times New Roman" w:hAnsi="Times New Roman"/>
          <w:i/>
          <w:iCs/>
          <w:sz w:val="24"/>
          <w:szCs w:val="24"/>
        </w:rPr>
        <w:t>Journal of African Urbanism</w:t>
      </w:r>
      <w:r>
        <w:rPr>
          <w:rFonts w:ascii="Times New Roman" w:cs="Times New Roman" w:eastAsia="Times New Roman" w:hAnsi="Times New Roman"/>
          <w:sz w:val="24"/>
          <w:szCs w:val="24"/>
        </w:rPr>
        <w:t>, 8(4), 66–80.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Ruya, K., Audu, A. A., &amp; Abubakar, M. (2017). A framework for identifying regulatory inefficiencies in building practices in Nigeria. </w:t>
      </w:r>
      <w:r>
        <w:rPr>
          <w:rFonts w:ascii="Times New Roman" w:cs="Times New Roman" w:eastAsia="Times New Roman" w:hAnsi="Times New Roman"/>
          <w:i/>
          <w:iCs/>
          <w:sz w:val="24"/>
          <w:szCs w:val="24"/>
        </w:rPr>
        <w:t>Nigerian Journal of Construction Technology and Management</w:t>
      </w:r>
      <w:r>
        <w:rPr>
          <w:rFonts w:ascii="Times New Roman" w:cs="Times New Roman" w:eastAsia="Times New Roman" w:hAnsi="Times New Roman"/>
          <w:sz w:val="24"/>
          <w:szCs w:val="24"/>
        </w:rPr>
        <w:t>, 4(1), 25–34.​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Uche, M. N., &amp; Ogbonna, E. A. (2022). Legal constraints and cost implications in the implementation of Nigerian building codes. </w:t>
      </w:r>
      <w:r>
        <w:rPr>
          <w:rFonts w:ascii="Times New Roman" w:cs="Times New Roman" w:eastAsia="Times New Roman" w:hAnsi="Times New Roman"/>
          <w:i/>
          <w:iCs/>
          <w:sz w:val="24"/>
          <w:szCs w:val="24"/>
        </w:rPr>
        <w:t>African Journal of Legal Studies in Built Environment</w:t>
      </w:r>
      <w:r>
        <w:rPr>
          <w:rFonts w:ascii="Times New Roman" w:cs="Times New Roman" w:eastAsia="Times New Roman" w:hAnsi="Times New Roman"/>
          <w:sz w:val="24"/>
          <w:szCs w:val="24"/>
        </w:rPr>
        <w:t>, 4(1), 25–37.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Yahaya, S. B., &amp; Idris, M. A. (2023). Administrative bottlenecks in Nigerian urban construction permit processes. </w:t>
      </w:r>
      <w:r>
        <w:rPr>
          <w:rFonts w:ascii="Times New Roman" w:cs="Times New Roman" w:eastAsia="Times New Roman" w:hAnsi="Times New Roman"/>
          <w:i/>
          <w:iCs/>
          <w:sz w:val="24"/>
          <w:szCs w:val="24"/>
        </w:rPr>
        <w:t>Journal of African Governance and Infrastructure</w:t>
      </w:r>
      <w:r>
        <w:rPr>
          <w:rFonts w:ascii="Times New Roman" w:cs="Times New Roman" w:eastAsia="Times New Roman" w:hAnsi="Times New Roman"/>
          <w:sz w:val="24"/>
          <w:szCs w:val="24"/>
        </w:rPr>
        <w:t>, 10(3), 71–84.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Yusuf, L. A., &amp; Bala, H. S. (2021). Influence of institutional corruption on construction quality control in Nigeria. </w:t>
      </w:r>
      <w:r>
        <w:rPr>
          <w:rFonts w:ascii="Times New Roman" w:cs="Times New Roman" w:eastAsia="Times New Roman" w:hAnsi="Times New Roman"/>
          <w:i/>
          <w:iCs/>
          <w:sz w:val="24"/>
          <w:szCs w:val="24"/>
        </w:rPr>
        <w:t>Journal of Building Regulation and Ethics</w:t>
      </w:r>
      <w:r>
        <w:rPr>
          <w:rFonts w:ascii="Times New Roman" w:cs="Times New Roman" w:eastAsia="Times New Roman" w:hAnsi="Times New Roman"/>
          <w:sz w:val="24"/>
          <w:szCs w:val="24"/>
        </w:rPr>
        <w:t>, 7(2), 43–57.</w:t>
      </w:r>
    </w:p>
    <w:p>
      <w:pPr>
        <w:pStyle w:val="style0"/>
        <w:spacing w:after="0" w:lineRule="auto" w:line="480"/>
        <w:ind w:left="720" w:hanging="720"/>
        <w:jc w:val="both"/>
        <w:rPr>
          <w:rFonts w:ascii="Times New Roman" w:cs="Times New Roman" w:eastAsia="Times New Roman" w:hAnsi="Times New Roman"/>
          <w:sz w:val="24"/>
          <w:szCs w:val="24"/>
        </w:rPr>
      </w:pPr>
    </w:p>
    <w:p>
      <w:pPr>
        <w:pStyle w:val="style0"/>
        <w:spacing w:after="0" w:lineRule="auto" w:line="480"/>
        <w:ind w:left="720" w:hanging="720"/>
        <w:jc w:val="both"/>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left"/>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Dear Respondent,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am a student of the Quantity Surveying Department at Kwara State Polytechnic, conducting a research study titled:</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"Evaluating the Impact of Building Regulation Compliance on Construction Cost on the Construction of Building Projects in Nigeria."</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questionnaire is part of my academic work, and all responses will remain confidential and used solely for research purposes. There is no need to write your name or provide any personal information. Kindly respond to the questions as honestly and accurately as possible.</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Your participation in this study is highly valued and will contribute significantly to the success of this research.</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 for your time and cooperation.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Sincerely,</w:t>
      </w:r>
      <w:r>
        <w:rPr>
          <w:rFonts w:ascii="Times New Roman" w:cs="Times New Roman" w:eastAsia="Times New Roman" w:hAnsi="Times New Roman"/>
          <w:sz w:val="24"/>
          <w:szCs w:val="24"/>
        </w:rPr>
        <w:br/>
      </w:r>
    </w:p>
    <w:p>
      <w:pPr>
        <w:pStyle w:val="style0"/>
        <w:spacing w:after="0" w:lineRule="auto" w:line="480"/>
        <w:ind w:firstLine="72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0"/>
        <w:spacing w:after="0" w:lineRule="auto" w:line="36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QUESTIONNAIRES</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INSTRUCTION: </w:t>
      </w:r>
      <w:r>
        <w:rPr>
          <w:rFonts w:ascii="Times New Roman" w:cs="Times New Roman" w:hAnsi="Times New Roman"/>
          <w:color w:val="000000"/>
          <w:sz w:val="24"/>
          <w:szCs w:val="24"/>
        </w:rPr>
        <w:t>Please tick (√) the answer which you consider as most appropriate. The questionnaire will be into two parts. Section A and Section B</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SECTION A: BIO DATA</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Educational background of respondent: (a) </w:t>
      </w:r>
      <w:r>
        <w:rPr>
          <w:rFonts w:ascii="Times New Roman" w:cs="Times New Roman" w:hAnsi="Times New Roman"/>
          <w:color w:val="000000"/>
          <w:sz w:val="24"/>
          <w:szCs w:val="24"/>
        </w:rPr>
        <w:t>Hnd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(b) </w:t>
      </w:r>
      <w:r>
        <w:rPr>
          <w:rFonts w:ascii="Times New Roman" w:cs="Times New Roman" w:hAnsi="Times New Roman"/>
          <w:color w:val="000000"/>
          <w:sz w:val="24"/>
          <w:szCs w:val="24"/>
        </w:rPr>
        <w:t>B.tech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(c) B.sc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(d) </w:t>
      </w:r>
      <w:r>
        <w:rPr>
          <w:rFonts w:ascii="Times New Roman" w:cs="Times New Roman" w:hAnsi="Times New Roman"/>
          <w:color w:val="000000"/>
          <w:sz w:val="24"/>
          <w:szCs w:val="24"/>
        </w:rPr>
        <w:t>Msc</w:t>
      </w:r>
      <w:r>
        <w:rPr>
          <w:rFonts w:ascii="Times New Roman" w:cs="Times New Roman" w:hAnsi="Times New Roman"/>
          <w:color w:val="000000"/>
          <w:sz w:val="24"/>
          <w:szCs w:val="24"/>
        </w:rPr>
        <w:t xml:space="preserve">/PGD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Which of the following organizations do you work? (a) Construction Firms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(b) Consultants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(c) Real Estate Firms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Architectural Firms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(e) Geotechnical Firms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f) Others _____________________</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Which of the following project participants are you? (Please choose one). (a) Project Manager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Project Engineer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Architect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Quantity Surveyor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(e) Builder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(f) Town Planner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What is your year(s) of experience? (a) Less than 3 years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3 - 5 years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6 - 9 years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d) 10 years and above </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Which of the following types of </w:t>
      </w:r>
      <w:r>
        <w:rPr>
          <w:rFonts w:ascii="Times New Roman" w:cs="Times New Roman" w:hAnsi="Times New Roman"/>
          <w:color w:val="000000"/>
          <w:sz w:val="24"/>
          <w:szCs w:val="24"/>
        </w:rPr>
        <w:t>project</w:t>
      </w:r>
      <w:r>
        <w:rPr>
          <w:rFonts w:ascii="Times New Roman" w:cs="Times New Roman" w:hAnsi="Times New Roman"/>
          <w:color w:val="000000"/>
          <w:sz w:val="24"/>
          <w:szCs w:val="24"/>
        </w:rPr>
        <w:t xml:space="preserve"> do you manage? (a) Residential Building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Commercial Building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Industrial Building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All of the above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(e) Others (Please </w:t>
      </w:r>
      <w:r>
        <w:rPr>
          <w:rFonts w:ascii="Times New Roman" w:cs="Times New Roman" w:hAnsi="Times New Roman"/>
          <w:color w:val="000000"/>
          <w:sz w:val="24"/>
          <w:szCs w:val="24"/>
        </w:rPr>
        <w:t>specify)…</w:t>
      </w:r>
      <w:r>
        <w:rPr>
          <w:rFonts w:ascii="Times New Roman" w:cs="Times New Roman" w:hAnsi="Times New Roman"/>
          <w:color w:val="000000"/>
          <w:sz w:val="24"/>
          <w:szCs w:val="24"/>
        </w:rPr>
        <w:t>…………………………………</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What is the size of the project managed by you? (a) Small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Medium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Large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All of the above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(e) Others (Please </w:t>
      </w:r>
      <w:r>
        <w:rPr>
          <w:rFonts w:ascii="Times New Roman" w:cs="Times New Roman" w:hAnsi="Times New Roman"/>
          <w:color w:val="000000"/>
          <w:sz w:val="24"/>
          <w:szCs w:val="24"/>
        </w:rPr>
        <w:t>specify)…</w:t>
      </w:r>
      <w:r>
        <w:rPr>
          <w:rFonts w:ascii="Times New Roman" w:cs="Times New Roman" w:hAnsi="Times New Roman"/>
          <w:color w:val="000000"/>
          <w:sz w:val="24"/>
          <w:szCs w:val="24"/>
        </w:rPr>
        <w:t>…………………………………</w:t>
      </w:r>
    </w:p>
    <w:p>
      <w:pPr>
        <w:pStyle w:val="style0"/>
        <w:spacing w:after="0" w:lineRule="auto" w:line="240"/>
        <w:jc w:val="both"/>
        <w:rPr>
          <w:rFonts w:ascii="Times New Roman" w:cs="Times New Roman" w:hAnsi="Times New Roman"/>
          <w:color w:val="000000"/>
          <w:sz w:val="20"/>
          <w:szCs w:val="20"/>
        </w:rPr>
      </w:pP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hAnsi="Times New Roman"/>
          <w:b/>
          <w:color w:val="000000"/>
          <w:sz w:val="24"/>
          <w:szCs w:val="24"/>
        </w:rPr>
        <w:t xml:space="preserve">Please tick [√] the extent to which you agreed on </w:t>
      </w:r>
      <w:r>
        <w:rPr>
          <w:rFonts w:ascii="Times New Roman" w:cs="Times New Roman" w:eastAsia="Times New Roman" w:hAnsi="Times New Roman"/>
          <w:b/>
          <w:bCs/>
          <w:sz w:val="24"/>
          <w:szCs w:val="24"/>
        </w:rPr>
        <w:t>factors affecting compliance with building regulation in Nigeria construction industry</w:t>
      </w:r>
      <w:r>
        <w:rPr>
          <w:rFonts w:ascii="Times New Roman" w:cs="Times New Roman" w:eastAsia="Times New Roman" w:hAnsi="Times New Roman"/>
          <w:sz w:val="24"/>
          <w:szCs w:val="24"/>
        </w:rPr>
        <w:t>.</w:t>
      </w:r>
    </w:p>
    <w:tbl>
      <w:tblPr>
        <w:tblStyle w:val="style154"/>
        <w:tblW w:w="0" w:type="auto"/>
        <w:tblInd w:w="-5" w:type="dxa"/>
        <w:tblLook w:val="04A0" w:firstRow="1" w:lastRow="0" w:firstColumn="1" w:lastColumn="0" w:noHBand="0" w:noVBand="1"/>
      </w:tblPr>
      <w:tblGrid>
        <w:gridCol w:w="634"/>
        <w:gridCol w:w="6221"/>
        <w:gridCol w:w="521"/>
        <w:gridCol w:w="377"/>
        <w:gridCol w:w="389"/>
        <w:gridCol w:w="374"/>
        <w:gridCol w:w="518"/>
      </w:tblGrid>
      <w:tr>
        <w:trPr/>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S/N</w:t>
            </w:r>
          </w:p>
        </w:tc>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Statement</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SA</w:t>
            </w: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Bureaucratic inefficiencies delay construction approval processes.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2</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Corruption and informal payments increase construction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Regulatory inconsistencies across states complicate compliance.</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4</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Mandatory quality standards significantly increase building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Lack of technology adoption slows regulatory compliance.</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bl>
    <w:p>
      <w:pPr>
        <w:pStyle w:val="style3"/>
        <w:spacing w:before="0" w:beforeAutospacing="false" w:after="0" w:afterAutospacing="false" w:lineRule="auto" w:line="360"/>
        <w:rPr>
          <w:color w:val="000000"/>
          <w:sz w:val="24"/>
          <w:szCs w:val="24"/>
        </w:rPr>
      </w:pPr>
    </w:p>
    <w:p>
      <w:pPr>
        <w:pStyle w:val="style3"/>
        <w:spacing w:before="0" w:beforeAutospacing="false" w:after="0" w:afterAutospacing="false" w:lineRule="auto" w:line="360"/>
        <w:rPr>
          <w:color w:val="000000"/>
          <w:sz w:val="24"/>
          <w:szCs w:val="24"/>
        </w:rPr>
      </w:pPr>
    </w:p>
    <w:p>
      <w:pPr>
        <w:pStyle w:val="style0"/>
        <w:tabs>
          <w:tab w:val="left" w:leader="none" w:pos="720"/>
        </w:tabs>
        <w:spacing w:after="0" w:lineRule="auto" w:line="480"/>
        <w:jc w:val="both"/>
        <w:rPr>
          <w:rFonts w:ascii="Times New Roman" w:cs="Times New Roman" w:eastAsia="Times New Roman" w:hAnsi="Times New Roman"/>
          <w:b/>
          <w:bCs/>
          <w:sz w:val="24"/>
          <w:szCs w:val="24"/>
        </w:rPr>
      </w:pPr>
      <w:r>
        <w:rPr>
          <w:rFonts w:ascii="Times New Roman" w:cs="Times New Roman" w:hAnsi="Times New Roman"/>
          <w:b/>
          <w:bCs/>
          <w:color w:val="000000"/>
          <w:sz w:val="24"/>
          <w:szCs w:val="24"/>
        </w:rPr>
        <w:t xml:space="preserve">Please tick [√] the extent to which you agreed on </w:t>
      </w:r>
      <w:r>
        <w:rPr>
          <w:rFonts w:ascii="Times New Roman" w:cs="Times New Roman" w:hAnsi="Times New Roman"/>
          <w:b/>
          <w:bCs/>
          <w:sz w:val="24"/>
          <w:szCs w:val="24"/>
        </w:rPr>
        <w:t xml:space="preserve">the </w:t>
      </w:r>
      <w:r>
        <w:rPr>
          <w:rFonts w:ascii="Times New Roman" w:cs="Times New Roman" w:eastAsia="Times New Roman" w:hAnsi="Times New Roman"/>
          <w:b/>
          <w:bCs/>
          <w:sz w:val="24"/>
          <w:szCs w:val="24"/>
        </w:rPr>
        <w:t>effect of the compliance factors on the overall construction cost of buildings in Nigeria.</w:t>
      </w:r>
    </w:p>
    <w:tbl>
      <w:tblPr>
        <w:tblStyle w:val="style154"/>
        <w:tblW w:w="0" w:type="auto"/>
        <w:tblInd w:w="-5" w:type="dxa"/>
        <w:tblLook w:val="04A0" w:firstRow="1" w:lastRow="0" w:firstColumn="1" w:lastColumn="0" w:noHBand="0" w:noVBand="1"/>
      </w:tblPr>
      <w:tblGrid>
        <w:gridCol w:w="634"/>
        <w:gridCol w:w="6221"/>
        <w:gridCol w:w="521"/>
        <w:gridCol w:w="377"/>
        <w:gridCol w:w="389"/>
        <w:gridCol w:w="374"/>
        <w:gridCol w:w="518"/>
      </w:tblGrid>
      <w:tr>
        <w:trPr/>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S/N</w:t>
            </w:r>
          </w:p>
        </w:tc>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Statement</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SA</w:t>
            </w: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6</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High fees for permit approvals and inspections raise total project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Dependence on imported building materials increases regulatory burden.</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8</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Delays in obtaining regulatory approvals lead to cost overruns.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9</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Green building regulations impose financial burdens on developers.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Overlapping and inconsistent policies increase compliance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bl>
    <w:p>
      <w:pPr>
        <w:pStyle w:val="style3"/>
        <w:spacing w:before="0" w:beforeAutospacing="false" w:after="0" w:afterAutospacing="false" w:lineRule="auto" w:line="360"/>
        <w:rPr>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color w:val="000000"/>
          <w:sz w:val="24"/>
          <w:szCs w:val="24"/>
        </w:rPr>
        <w:t xml:space="preserve">Please tick [√] the extent to which you agreed on </w:t>
      </w:r>
      <w:r>
        <w:rPr>
          <w:rFonts w:ascii="Times New Roman" w:cs="Times New Roman" w:hAnsi="Times New Roman"/>
          <w:sz w:val="24"/>
          <w:szCs w:val="24"/>
        </w:rPr>
        <w:t xml:space="preserve">the </w:t>
      </w:r>
      <w:r>
        <w:rPr>
          <w:rFonts w:ascii="Times New Roman" w:cs="Times New Roman" w:eastAsia="Times New Roman" w:hAnsi="Times New Roman"/>
          <w:b/>
          <w:bCs/>
          <w:sz w:val="24"/>
          <w:szCs w:val="24"/>
        </w:rPr>
        <w:t>strategies and measures to minimize the adverse effects of building regulation compliance on construction cost in Nigeria</w:t>
      </w:r>
    </w:p>
    <w:tbl>
      <w:tblPr>
        <w:tblStyle w:val="style154"/>
        <w:tblW w:w="0" w:type="auto"/>
        <w:tblInd w:w="-5" w:type="dxa"/>
        <w:tblLook w:val="04A0" w:firstRow="1" w:lastRow="0" w:firstColumn="1" w:lastColumn="0" w:noHBand="0" w:noVBand="1"/>
      </w:tblPr>
      <w:tblGrid>
        <w:gridCol w:w="634"/>
        <w:gridCol w:w="6221"/>
        <w:gridCol w:w="521"/>
        <w:gridCol w:w="377"/>
        <w:gridCol w:w="389"/>
        <w:gridCol w:w="374"/>
        <w:gridCol w:w="518"/>
      </w:tblGrid>
      <w:tr>
        <w:trPr/>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S/N</w:t>
            </w:r>
          </w:p>
        </w:tc>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Statement</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SA</w:t>
            </w: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Streamlining approval processes through digital platforms reduces delays.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12</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Promoting locally sourced materials helps reduce regulatory cost burdens.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13</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Strengthening institutions helps reduce corruption in regulatory enforcement.</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Incentives encourage developers to adopt sustainable building practices.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One-stop regulatory centers simplify the approval process.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bl>
    <w:p>
      <w:pPr>
        <w:pStyle w:val="style0"/>
        <w:spacing w:after="0" w:lineRule="auto" w:line="360"/>
        <w:ind w:left="720" w:hanging="720"/>
        <w:jc w:val="both"/>
        <w:rPr>
          <w:rFonts w:ascii="Times New Roman" w:cs="Times New Roman" w:eastAsia="Times New Roman" w:hAnsi="Times New Roman"/>
          <w:sz w:val="24"/>
          <w:szCs w:val="24"/>
        </w:rPr>
      </w:pPr>
    </w:p>
    <w:p>
      <w:pPr>
        <w:pStyle w:val="style0"/>
        <w:rPr/>
      </w:pPr>
    </w:p>
    <w:p>
      <w:pPr>
        <w:pStyle w:val="style0"/>
        <w:spacing w:after="0" w:lineRule="auto" w:line="480"/>
        <w:ind w:left="720" w:hanging="720"/>
        <w:jc w:val="both"/>
        <w:rPr>
          <w:rFonts w:ascii="Times New Roman" w:cs="Times New Roman" w:eastAsia="Times New Roman" w:hAnsi="Times New Roman"/>
          <w:sz w:val="24"/>
          <w:szCs w:val="24"/>
        </w:rPr>
      </w:pPr>
    </w:p>
    <w:p>
      <w:pPr>
        <w:pStyle w:val="style0"/>
        <w:spacing w:lineRule="auto" w:line="480"/>
        <w:rPr>
          <w:rFonts w:ascii="Times New Roman" w:cs="Times New Roman" w:hAnsi="Times New Roman"/>
          <w:color w:val="000000"/>
          <w:sz w:val="24"/>
          <w:szCs w:val="24"/>
        </w:rPr>
      </w:pPr>
    </w:p>
    <w:sectPr>
      <w:pgSz w:w="11909" w:h="16834"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A00002BF" w:usb1="68C7FCFB" w:usb2="00000010"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2F0DB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FBA0B5B2"/>
    <w:lvl w:ilvl="0" w:tplc="064E2DC6">
      <w:start w:val="1"/>
      <w:numFmt w:val="decimal"/>
      <w:lvlText w:val="%1."/>
      <w:lvlJc w:val="left"/>
      <w:pPr>
        <w:ind w:left="360" w:hanging="360"/>
      </w:pPr>
      <w:rPr>
        <w:rFonts w:ascii="Times New Roman" w:cs="Times New Roman" w:hAnsi="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2"/>
    <w:multiLevelType w:val="multilevel"/>
    <w:tmpl w:val="65F62B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BF89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multilevel"/>
    <w:tmpl w:val="5BF89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hybridMultilevel"/>
    <w:tmpl w:val="093A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6306D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BA48D0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4BAC8F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8B30559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multilevel"/>
    <w:tmpl w:val="9A78832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0ED08D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F14CA4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9A28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BA48D00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D910DD8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2212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E250CF5A"/>
    <w:lvl w:ilvl="0">
      <w:start w:val="3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hybridMultilevel"/>
    <w:tmpl w:val="FBA0B5B2"/>
    <w:lvl w:ilvl="0" w:tplc="064E2DC6">
      <w:start w:val="1"/>
      <w:numFmt w:val="decimal"/>
      <w:lvlText w:val="%1."/>
      <w:lvlJc w:val="left"/>
      <w:pPr>
        <w:ind w:left="360" w:hanging="360"/>
      </w:pPr>
      <w:rPr>
        <w:rFonts w:ascii="Times New Roman" w:cs="Times New Roman" w:hAnsi="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00000014"/>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9"/>
  </w:num>
  <w:num w:numId="2">
    <w:abstractNumId w:val="8"/>
  </w:num>
  <w:num w:numId="3">
    <w:abstractNumId w:val="13"/>
  </w:num>
  <w:num w:numId="4">
    <w:abstractNumId w:val="14"/>
  </w:num>
  <w:num w:numId="5">
    <w:abstractNumId w:val="11"/>
  </w:num>
  <w:num w:numId="6">
    <w:abstractNumId w:val="5"/>
  </w:num>
  <w:num w:numId="7">
    <w:abstractNumId w:val="17"/>
  </w:num>
  <w:num w:numId="8">
    <w:abstractNumId w:val="10"/>
  </w:num>
  <w:num w:numId="9">
    <w:abstractNumId w:val="16"/>
  </w:num>
  <w:num w:numId="10">
    <w:abstractNumId w:val="3"/>
  </w:num>
  <w:num w:numId="11">
    <w:abstractNumId w:val="4"/>
  </w:num>
  <w:num w:numId="12">
    <w:abstractNumId w:val="15"/>
  </w:num>
  <w:num w:numId="13">
    <w:abstractNumId w:val="7"/>
  </w:num>
  <w:num w:numId="14">
    <w:abstractNumId w:val="2"/>
  </w:num>
  <w:num w:numId="15">
    <w:abstractNumId w:val="1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
  </w:num>
  <w:num w:numId="20">
    <w:abstractNumId w:val="0"/>
  </w:num>
  <w:num w:numId="21">
    <w:abstractNumId w:val="21"/>
  </w:num>
  <w:num w:numId="22">
    <w:abstractNumId w:val="22"/>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Times New Roman" w:eastAsia="SimSun" w:hAnsi="Calibri Light"/>
      <w:color w:val="2e74b5"/>
      <w:sz w:val="32"/>
      <w:szCs w:val="32"/>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Times New Roman" w:eastAsia="SimSun" w:hAnsi="Calibri Light"/>
      <w:i/>
      <w:iCs/>
      <w:color w:val="2e74b5"/>
    </w:rPr>
  </w:style>
  <w:style w:type="paragraph" w:styleId="style5">
    <w:name w:val="heading 5"/>
    <w:basedOn w:val="style0"/>
    <w:next w:val="style0"/>
    <w:link w:val="style4101"/>
    <w:qFormat/>
    <w:uiPriority w:val="9"/>
    <w:pPr>
      <w:keepNext/>
      <w:keepLines/>
      <w:spacing w:before="40" w:after="0"/>
      <w:outlineLvl w:val="4"/>
    </w:pPr>
    <w:rPr>
      <w:rFonts w:ascii="Calibri Light" w:cs="Times New Roman" w:eastAsia="SimSun"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Heading 3 Char_55c48202-69f7-47a4-831e-2a838c8ff108"/>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8">
    <w:name w:val="Heading 4 Char_a43d9cbe-ab05-4130-ab73-21fc0c210a29"/>
    <w:basedOn w:val="style65"/>
    <w:next w:val="style4098"/>
    <w:link w:val="style4"/>
    <w:uiPriority w:val="9"/>
    <w:rPr>
      <w:rFonts w:ascii="Calibri Light" w:cs="Times New Roman" w:eastAsia="SimSun" w:hAnsi="Calibri Light"/>
      <w:i/>
      <w:iCs/>
      <w:color w:val="2e74b5"/>
    </w:rPr>
  </w:style>
  <w:style w:type="character" w:customStyle="1" w:styleId="style4099">
    <w:name w:val="Heading 1 Char_4db4e3d1-4888-4c80-9a3b-35d36447bba5"/>
    <w:basedOn w:val="style65"/>
    <w:next w:val="style4099"/>
    <w:link w:val="style1"/>
    <w:uiPriority w:val="9"/>
    <w:rPr>
      <w:rFonts w:ascii="Calibri Light" w:cs="Times New Roman" w:eastAsia="SimSun" w:hAnsi="Calibri Light"/>
      <w:color w:val="2e74b5"/>
      <w:sz w:val="32"/>
      <w:szCs w:val="32"/>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character" w:customStyle="1" w:styleId="style4101">
    <w:name w:val="Heading 5 Char_1629edbd-17ba-4002-8e12-cd8305fe6d73"/>
    <w:basedOn w:val="style65"/>
    <w:next w:val="style4101"/>
    <w:link w:val="style5"/>
    <w:uiPriority w:val="9"/>
    <w:rPr>
      <w:rFonts w:ascii="Calibri Light" w:cs="Times New Roman" w:eastAsia="SimSun" w:hAnsi="Calibri Light"/>
      <w:color w:val="2e74b5"/>
    </w:rPr>
  </w:style>
  <w:style w:type="character" w:styleId="style88">
    <w:name w:val="Emphasis"/>
    <w:basedOn w:val="style65"/>
    <w:next w:val="style88"/>
    <w:qFormat/>
    <w:uiPriority w:val="20"/>
    <w:rPr>
      <w:i/>
      <w:iCs/>
    </w:rPr>
  </w:style>
  <w:style w:type="character" w:customStyle="1" w:styleId="style4102">
    <w:name w:val="relative"/>
    <w:basedOn w:val="style65"/>
    <w:next w:val="style4102"/>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39"/>
    <w:pPr>
      <w:spacing w:after="0" w:lineRule="auto" w:line="240"/>
    </w:pPr>
    <w:rPr/>
    <w:tblPr>
      <w:tblBorders>
        <w:top w:val="single" w:sz="6" w:space="0" w:color="auto"/>
        <w:bottom w:val="single" w:sz="6" w:space="0" w:color="auto"/>
      </w:tblBorders>
    </w:tblPr>
    <w:tcPr>
      <w:tcBorders/>
    </w:tc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be4ed579-f90e-4596-92ab-77117f7efba4"/>
    <w:basedOn w:val="style65"/>
    <w:next w:val="style4104"/>
    <w:link w:val="style31"/>
    <w:uiPriority w:val="99"/>
  </w:style>
  <w:style w:type="paragraph" w:styleId="style32">
    <w:name w:val="footer"/>
    <w:basedOn w:val="style0"/>
    <w:next w:val="style32"/>
    <w:link w:val="style4105"/>
    <w:uiPriority w:val="99"/>
    <w:pPr>
      <w:tabs>
        <w:tab w:val="center" w:leader="none" w:pos="4680"/>
        <w:tab w:val="right" w:leader="none" w:pos="9360"/>
      </w:tabs>
      <w:spacing w:after="0" w:lineRule="auto" w:line="240"/>
    </w:pPr>
    <w:rPr/>
  </w:style>
  <w:style w:type="character" w:customStyle="1" w:styleId="style4105">
    <w:name w:val="Footer Char_87cb26a4-3f8c-429a-b783-fad2a375f74a"/>
    <w:basedOn w:val="style65"/>
    <w:next w:val="style4105"/>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lineRule="auto" w:line="240"/>
    </w:pPr>
    <w:rPr>
      <w:sz w:val="20"/>
      <w:szCs w:val="20"/>
    </w:rPr>
  </w:style>
  <w:style w:type="character" w:customStyle="1" w:styleId="style4106">
    <w:name w:val="Comment Text Char"/>
    <w:basedOn w:val="style65"/>
    <w:next w:val="style4106"/>
    <w:link w:val="style30"/>
    <w:uiPriority w:val="99"/>
    <w:rPr>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b/>
      <w:bCs/>
      <w:sz w:val="20"/>
      <w:szCs w:val="20"/>
    </w:rPr>
  </w:style>
  <w:style w:type="paragraph" w:styleId="style19">
    <w:name w:val="toc 1"/>
    <w:basedOn w:val="style0"/>
    <w:next w:val="style0"/>
    <w:uiPriority w:val="39"/>
    <w:pPr>
      <w:spacing w:after="100" w:lineRule="auto" w:line="276"/>
    </w:pPr>
    <w:rPr>
      <w:rFonts w:cs="SimSun"/>
    </w:rPr>
  </w:style>
  <w:style w:type="character" w:styleId="style85">
    <w:name w:val="Hyperlink"/>
    <w:basedOn w:val="style65"/>
    <w:next w:val="style85"/>
    <w:uiPriority w:val="99"/>
    <w:rPr>
      <w:color w:val="0563c1"/>
      <w:u w:val="single"/>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B855-B17E-46FE-AEB7-6503E1D2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15116</Words>
  <Pages>66</Pages>
  <Characters>93545</Characters>
  <Application>WPS Office</Application>
  <DocSecurity>0</DocSecurity>
  <Paragraphs>940</Paragraphs>
  <ScaleCrop>false</ScaleCrop>
  <LinksUpToDate>false</LinksUpToDate>
  <CharactersWithSpaces>108011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2025-08-13T19:09:00Z</dcterms:created>
  <dc:creator>OLAXYTECH CONCEPT</dc:creator>
  <lastModifiedBy>22120RN86G</lastModifiedBy>
  <lastPrinted>2025-05-28T09:28:00Z</lastPrinted>
  <dcterms:modified xsi:type="dcterms:W3CDTF">2025-08-18T10:29:41Z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99f4111f3ad74e1eb41423f70d972c6b</vt:lpwstr>
  </property>
</Properties>
</file>