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CA787F" w:rsidRPr="00CA787F" w:rsidRDefault="00C4184B" w:rsidP="00CA787F">
      <w:pPr>
        <w:pStyle w:val="NormalWeb"/>
        <w:spacing w:after="150" w:line="18" w:lineRule="atLeast"/>
        <w:jc w:val="center"/>
        <w:rPr>
          <w:rFonts w:eastAsiaTheme="minorHAnsi"/>
          <w:b/>
          <w:bCs/>
          <w:color w:val="000000" w:themeColor="text1"/>
          <w:sz w:val="28"/>
          <w:szCs w:val="28"/>
        </w:rPr>
      </w:pPr>
      <w:r>
        <w:rPr>
          <w:rFonts w:eastAsiaTheme="minorHAnsi"/>
          <w:b/>
          <w:bCs/>
          <w:color w:val="000000" w:themeColor="text1"/>
          <w:sz w:val="28"/>
          <w:szCs w:val="28"/>
        </w:rPr>
        <w:t xml:space="preserve">YAKUB </w:t>
      </w:r>
      <w:r w:rsidR="0084613B">
        <w:rPr>
          <w:rFonts w:eastAsiaTheme="minorHAnsi"/>
          <w:b/>
          <w:bCs/>
          <w:color w:val="000000" w:themeColor="text1"/>
          <w:sz w:val="28"/>
          <w:szCs w:val="28"/>
        </w:rPr>
        <w:t>H</w:t>
      </w:r>
      <w:bookmarkStart w:id="0" w:name="_GoBack"/>
      <w:bookmarkEnd w:id="0"/>
      <w:r>
        <w:rPr>
          <w:rFonts w:eastAsiaTheme="minorHAnsi"/>
          <w:b/>
          <w:bCs/>
          <w:color w:val="000000" w:themeColor="text1"/>
          <w:sz w:val="28"/>
          <w:szCs w:val="28"/>
        </w:rPr>
        <w:t>ALIMAT SADIAT</w:t>
      </w:r>
    </w:p>
    <w:p w:rsidR="00FD4BE3" w:rsidRDefault="00C4184B" w:rsidP="00CA787F">
      <w:pPr>
        <w:pStyle w:val="NormalWeb"/>
        <w:spacing w:beforeAutospacing="0" w:after="150" w:afterAutospacing="0" w:line="18" w:lineRule="atLeast"/>
        <w:jc w:val="center"/>
        <w:rPr>
          <w:rFonts w:eastAsiaTheme="minorHAnsi"/>
          <w:b/>
          <w:bCs/>
          <w:color w:val="000000" w:themeColor="text1"/>
          <w:sz w:val="28"/>
          <w:szCs w:val="28"/>
        </w:rPr>
      </w:pPr>
      <w:r>
        <w:rPr>
          <w:rFonts w:eastAsiaTheme="minorHAnsi"/>
          <w:b/>
          <w:bCs/>
          <w:color w:val="000000" w:themeColor="text1"/>
          <w:sz w:val="28"/>
          <w:szCs w:val="28"/>
        </w:rPr>
        <w:t>HND/23/SLT/FT/1265</w:t>
      </w:r>
    </w:p>
    <w:p w:rsidR="00CA787F" w:rsidRPr="00F6151A" w:rsidRDefault="00CA787F" w:rsidP="00CA787F">
      <w:pPr>
        <w:pStyle w:val="NormalWeb"/>
        <w:spacing w:beforeAutospacing="0" w:after="150" w:afterAutospacing="0" w:line="18" w:lineRule="atLeast"/>
        <w:jc w:val="center"/>
        <w:rPr>
          <w:rFonts w:eastAsia="-webkit-standard"/>
          <w:b/>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C4184B" w:rsidRPr="00C4184B">
        <w:rPr>
          <w:rFonts w:ascii="Times New Roman" w:hAnsi="Times New Roman" w:cs="Times New Roman"/>
          <w:b/>
          <w:color w:val="000000" w:themeColor="text1"/>
          <w:sz w:val="28"/>
          <w:szCs w:val="28"/>
        </w:rPr>
        <w:t xml:space="preserve">YAKUB </w:t>
      </w:r>
      <w:r w:rsidR="0084613B">
        <w:rPr>
          <w:rFonts w:ascii="Times New Roman" w:hAnsi="Times New Roman" w:cs="Times New Roman"/>
          <w:b/>
          <w:color w:val="000000" w:themeColor="text1"/>
          <w:sz w:val="28"/>
          <w:szCs w:val="28"/>
        </w:rPr>
        <w:t>H</w:t>
      </w:r>
      <w:r w:rsidR="00C4184B" w:rsidRPr="00C4184B">
        <w:rPr>
          <w:rFonts w:ascii="Times New Roman" w:hAnsi="Times New Roman" w:cs="Times New Roman"/>
          <w:b/>
          <w:color w:val="000000" w:themeColor="text1"/>
          <w:sz w:val="28"/>
          <w:szCs w:val="28"/>
        </w:rPr>
        <w:t>ALIMAT SADIAT</w:t>
      </w:r>
      <w:r w:rsidR="00C4184B">
        <w:rPr>
          <w:rFonts w:ascii="Times New Roman" w:hAnsi="Times New Roman" w:cs="Times New Roman"/>
          <w:b/>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C4184B">
        <w:rPr>
          <w:rFonts w:ascii="Times New Roman" w:hAnsi="Times New Roman" w:cs="Times New Roman"/>
          <w:b/>
          <w:bCs/>
          <w:color w:val="000000" w:themeColor="text1"/>
          <w:sz w:val="28"/>
          <w:szCs w:val="28"/>
        </w:rPr>
        <w:t xml:space="preserve"> HND/23/SLT/FT/1265</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w:t>
      </w:r>
      <w:r w:rsidR="00C4184B">
        <w:rPr>
          <w:rFonts w:ascii="Times New Roman" w:hAnsi="Times New Roman" w:cs="Times New Roman"/>
          <w:color w:val="000000" w:themeColor="text1"/>
          <w:sz w:val="28"/>
          <w:szCs w:val="28"/>
        </w:rPr>
        <w:t xml:space="preserve"> Higher National Diploma (HND) i</w:t>
      </w:r>
      <w:r w:rsidRPr="00F6151A">
        <w:rPr>
          <w:rFonts w:ascii="Times New Roman" w:hAnsi="Times New Roman" w:cs="Times New Roman"/>
          <w:color w:val="000000" w:themeColor="text1"/>
          <w:sz w:val="28"/>
          <w:szCs w:val="28"/>
        </w:rPr>
        <w:t>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M</w:t>
      </w:r>
      <w:r w:rsidR="00C4184B">
        <w:rPr>
          <w:rFonts w:ascii="Times New Roman" w:hAnsi="Times New Roman" w:cs="Times New Roman"/>
          <w:b/>
          <w:color w:val="000000" w:themeColor="text1"/>
          <w:sz w:val="28"/>
          <w:szCs w:val="28"/>
        </w:rPr>
        <w:t>IS</w:t>
      </w:r>
      <w:r w:rsidRPr="00F6151A">
        <w:rPr>
          <w:rFonts w:ascii="Times New Roman" w:hAnsi="Times New Roman" w:cs="Times New Roman"/>
          <w:b/>
          <w:color w:val="000000" w:themeColor="text1"/>
          <w:sz w:val="28"/>
          <w:szCs w:val="28"/>
        </w:rPr>
        <w:t xml:space="preserve">S. AHMED T. </w:t>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CA787F" w:rsidRPr="00CA787F" w:rsidRDefault="00542166" w:rsidP="00CA787F">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DEDICATION</w:t>
      </w:r>
    </w:p>
    <w:p w:rsidR="00542166" w:rsidRPr="00F6151A" w:rsidRDefault="00103186" w:rsidP="00103186">
      <w:pPr>
        <w:spacing w:after="0" w:line="480" w:lineRule="auto"/>
        <w:jc w:val="both"/>
        <w:rPr>
          <w:rFonts w:ascii="Times New Roman" w:hAnsi="Times New Roman" w:cs="Times New Roman"/>
          <w:b/>
          <w:bCs/>
          <w:color w:val="000000" w:themeColor="text1"/>
          <w:sz w:val="28"/>
          <w:szCs w:val="28"/>
        </w:rPr>
      </w:pPr>
      <w:r w:rsidRPr="00103186">
        <w:rPr>
          <w:rFonts w:ascii="Times New Roman" w:hAnsi="Times New Roman" w:cs="Times New Roman"/>
          <w:color w:val="000000" w:themeColor="text1"/>
          <w:sz w:val="28"/>
          <w:szCs w:val="28"/>
        </w:rPr>
        <w:t>This project is dedicated to ALMIGHTY ALLAH,our creator,our source of inspiration, wisdom, knowledge and understanding.He has been the source of our strength through these  programme.Also dedicated to my parents for their moral, financial,and spiritual support during this project THANKS so very much for the earnest and support.</w:t>
      </w: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103186" w:rsidRPr="00103186" w:rsidRDefault="00542166" w:rsidP="00103186">
      <w:pPr>
        <w:spacing w:after="0" w:line="480" w:lineRule="auto"/>
        <w:jc w:val="center"/>
        <w:rPr>
          <w:rFonts w:ascii="Times New Roman" w:hAnsi="Times New Roman" w:cs="Times New Roman"/>
          <w:color w:val="000000" w:themeColor="text1"/>
          <w:sz w:val="28"/>
          <w:szCs w:val="28"/>
        </w:rPr>
      </w:pPr>
      <w:r w:rsidRPr="00F6151A">
        <w:rPr>
          <w:rFonts w:ascii="Times New Roman" w:hAnsi="Times New Roman" w:cs="Times New Roman"/>
          <w:b/>
          <w:bCs/>
          <w:color w:val="000000" w:themeColor="text1"/>
          <w:sz w:val="28"/>
          <w:szCs w:val="28"/>
        </w:rPr>
        <w:t>ACKNOWLEDGEMENTS</w:t>
      </w:r>
    </w:p>
    <w:p w:rsidR="00103186" w:rsidRDefault="00103186" w:rsidP="00103186">
      <w:pPr>
        <w:spacing w:line="360" w:lineRule="auto"/>
        <w:jc w:val="both"/>
        <w:rPr>
          <w:rFonts w:ascii="Times New Roman" w:hAnsi="Times New Roman" w:cs="Times New Roman"/>
          <w:color w:val="000000" w:themeColor="text1"/>
          <w:sz w:val="28"/>
          <w:szCs w:val="28"/>
        </w:rPr>
      </w:pPr>
      <w:r w:rsidRPr="00103186">
        <w:rPr>
          <w:rFonts w:ascii="Times New Roman" w:hAnsi="Times New Roman" w:cs="Times New Roman"/>
          <w:color w:val="000000" w:themeColor="text1"/>
          <w:sz w:val="28"/>
          <w:szCs w:val="28"/>
        </w:rPr>
        <w:t>I THANKS ALMIGHTY ALLAH for His guidance,</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my beloved parents and my two lovely brothers for t</w:t>
      </w:r>
      <w:r>
        <w:rPr>
          <w:rFonts w:ascii="Times New Roman" w:hAnsi="Times New Roman" w:cs="Times New Roman"/>
          <w:color w:val="000000" w:themeColor="text1"/>
          <w:sz w:val="28"/>
          <w:szCs w:val="28"/>
        </w:rPr>
        <w:t xml:space="preserve">heir support, our (HOD) DR.USMAN </w:t>
      </w:r>
      <w:r w:rsidRPr="00103186">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w:t>
      </w:r>
      <w:r w:rsidRPr="001031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our (HOU) M</w:t>
      </w:r>
      <w:r>
        <w:rPr>
          <w:rFonts w:ascii="Times New Roman" w:hAnsi="Times New Roman" w:cs="Times New Roman"/>
          <w:color w:val="000000" w:themeColor="text1"/>
          <w:sz w:val="28"/>
          <w:szCs w:val="28"/>
        </w:rPr>
        <w:t>IS</w:t>
      </w:r>
      <w:r w:rsidRPr="00103186">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 xml:space="preserve"> AHMED </w:t>
      </w:r>
      <w:r w:rsidRPr="00103186">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w:t>
      </w:r>
      <w:r w:rsidRPr="001031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my supervisor MRS.</w:t>
      </w:r>
      <w:r>
        <w:rPr>
          <w:rFonts w:ascii="Times New Roman" w:hAnsi="Times New Roman" w:cs="Times New Roman"/>
          <w:color w:val="000000" w:themeColor="text1"/>
          <w:sz w:val="28"/>
          <w:szCs w:val="28"/>
        </w:rPr>
        <w:t xml:space="preserve"> ABDULLAHI </w:t>
      </w:r>
      <w:r w:rsidRPr="00103186">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J</w:t>
      </w:r>
      <w:r>
        <w:rPr>
          <w:rFonts w:ascii="Times New Roman" w:hAnsi="Times New Roman" w:cs="Times New Roman"/>
          <w:color w:val="000000" w:themeColor="text1"/>
          <w:sz w:val="28"/>
          <w:szCs w:val="28"/>
        </w:rPr>
        <w:t>.</w:t>
      </w:r>
      <w:r w:rsidRPr="001031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and all the staff in our </w:t>
      </w:r>
      <w:r w:rsidRPr="00103186">
        <w:rPr>
          <w:rFonts w:ascii="Times New Roman" w:hAnsi="Times New Roman" w:cs="Times New Roman"/>
          <w:color w:val="000000" w:themeColor="text1"/>
          <w:sz w:val="28"/>
          <w:szCs w:val="28"/>
        </w:rPr>
        <w:t>for their invaluable contributions to the successful completion of our project.</w:t>
      </w:r>
      <w:r>
        <w:rPr>
          <w:rFonts w:ascii="Times New Roman" w:hAnsi="Times New Roman" w:cs="Times New Roman"/>
          <w:color w:val="000000" w:themeColor="text1"/>
          <w:sz w:val="28"/>
          <w:szCs w:val="28"/>
        </w:rPr>
        <w:t xml:space="preserve"> JAZAKUMULAHU KHAIRAN (Ameen).And also, </w:t>
      </w:r>
      <w:r w:rsidRPr="00103186">
        <w:rPr>
          <w:rFonts w:ascii="Times New Roman" w:hAnsi="Times New Roman" w:cs="Times New Roman"/>
          <w:color w:val="000000" w:themeColor="text1"/>
          <w:sz w:val="28"/>
          <w:szCs w:val="28"/>
        </w:rPr>
        <w:t>i humbly acknowledge the successful completion of my project with gratitude and pride.</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ALHAMDULLILAH ROBIHALAMEEN</w:t>
      </w:r>
    </w:p>
    <w:p w:rsidR="00103186" w:rsidRDefault="0010318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542166" w:rsidRPr="00300B10" w:rsidRDefault="00542166" w:rsidP="00103186">
      <w:pPr>
        <w:spacing w:line="36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iv</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971082">
          <w:pPr>
            <w:pStyle w:val="TOC1"/>
            <w:tabs>
              <w:tab w:val="right" w:leader="dot" w:pos="9350"/>
            </w:tabs>
            <w:rPr>
              <w:rFonts w:ascii="Times New Roman" w:hAnsi="Times New Roman" w:cs="Times New Roman"/>
              <w:noProof/>
              <w:sz w:val="28"/>
              <w:szCs w:val="28"/>
            </w:rPr>
          </w:pPr>
          <w:r w:rsidRPr="00300B10">
            <w:rPr>
              <w:rFonts w:ascii="Times New Roman" w:hAnsi="Times New Roman" w:cs="Times New Roman"/>
              <w:sz w:val="28"/>
              <w:szCs w:val="28"/>
            </w:rPr>
            <w:fldChar w:fldCharType="begin"/>
          </w:r>
          <w:r w:rsidRPr="00300B10">
            <w:rPr>
              <w:rFonts w:ascii="Times New Roman" w:hAnsi="Times New Roman" w:cs="Times New Roman"/>
              <w:sz w:val="28"/>
              <w:szCs w:val="28"/>
            </w:rPr>
            <w:instrText xml:space="preserve"> TOC \o "1-3" \h \z \u </w:instrText>
          </w:r>
          <w:r w:rsidRPr="00300B10">
            <w:rPr>
              <w:rFonts w:ascii="Times New Roman" w:hAnsi="Times New Roman" w:cs="Times New Roman"/>
              <w:sz w:val="28"/>
              <w:szCs w:val="28"/>
            </w:rPr>
            <w:fldChar w:fldCharType="separate"/>
          </w:r>
          <w:hyperlink w:anchor="_Toc202856874" w:history="1">
            <w:r w:rsidRPr="00300B10">
              <w:rPr>
                <w:rStyle w:val="Hyperlink"/>
                <w:rFonts w:ascii="Times New Roman" w:hAnsi="Times New Roman" w:cs="Times New Roman"/>
                <w:b/>
                <w:noProof/>
                <w:sz w:val="28"/>
                <w:szCs w:val="28"/>
              </w:rPr>
              <w:t>CHAPTER ONE</w:t>
            </w:r>
            <w:r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9</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17</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19</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22</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25</w:t>
            </w:r>
            <w:r w:rsidR="00971082" w:rsidRPr="00300B10">
              <w:rPr>
                <w:rFonts w:ascii="Times New Roman" w:hAnsi="Times New Roman" w:cs="Times New Roman"/>
                <w:noProof/>
                <w:webHidden/>
                <w:sz w:val="28"/>
                <w:szCs w:val="28"/>
              </w:rPr>
              <w:fldChar w:fldCharType="end"/>
            </w:r>
          </w:hyperlink>
        </w:p>
        <w:p w:rsidR="00971082" w:rsidRPr="00300B10" w:rsidRDefault="009117E3">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84613B">
              <w:rPr>
                <w:rFonts w:ascii="Times New Roman" w:hAnsi="Times New Roman" w:cs="Times New Roman"/>
                <w:noProof/>
                <w:webHidden/>
                <w:sz w:val="28"/>
                <w:szCs w:val="28"/>
              </w:rPr>
              <w:t>27</w:t>
            </w:r>
            <w:r w:rsidR="00971082" w:rsidRPr="00300B10">
              <w:rPr>
                <w:rFonts w:ascii="Times New Roman" w:hAnsi="Times New Roman" w:cs="Times New Roman"/>
                <w:noProof/>
                <w:webHidden/>
                <w:sz w:val="28"/>
                <w:szCs w:val="28"/>
              </w:rPr>
              <w:fldChar w:fldCharType="end"/>
            </w:r>
          </w:hyperlink>
        </w:p>
        <w:p w:rsidR="00971082" w:rsidRDefault="00971082">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r w:rsidRPr="00300B10">
        <w:rPr>
          <w:rFonts w:ascii="Times New Roman" w:hAnsi="Times New Roman" w:cs="Times New Roman"/>
          <w:b/>
          <w:i/>
          <w:sz w:val="28"/>
          <w:szCs w:val="28"/>
        </w:rPr>
        <w:t>Azadirachta indica</w:t>
      </w:r>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Neem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8"/>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r w:rsidRPr="00542166">
        <w:rPr>
          <w:rFonts w:ascii="Times New Roman" w:hAnsi="Times New Roman" w:cs="Times New Roman"/>
          <w:i/>
          <w:iCs/>
          <w:sz w:val="28"/>
          <w:szCs w:val="28"/>
        </w:rPr>
        <w:t>Azadirachta indica</w:t>
      </w:r>
      <w:r w:rsidRPr="00542166">
        <w:rPr>
          <w:rFonts w:ascii="Times New Roman" w:hAnsi="Times New Roman" w:cs="Times New Roman"/>
          <w:i/>
          <w:sz w:val="28"/>
          <w:szCs w:val="28"/>
        </w:rPr>
        <w:t xml:space="preserve"> (Neem) seed extracts against skin-infecting bacteria, using </w:t>
      </w:r>
      <w:r w:rsidRPr="00542166">
        <w:rPr>
          <w:rFonts w:ascii="Times New Roman" w:hAnsi="Times New Roman" w:cs="Times New Roman"/>
          <w:i/>
          <w:iCs/>
          <w:sz w:val="28"/>
          <w:szCs w:val="28"/>
        </w:rPr>
        <w:t>Staphylococcus aureus</w:t>
      </w:r>
      <w:r w:rsidRPr="00542166">
        <w:rPr>
          <w:rFonts w:ascii="Times New Roman" w:hAnsi="Times New Roman" w:cs="Times New Roman"/>
          <w:i/>
          <w:sz w:val="28"/>
          <w:szCs w:val="28"/>
        </w:rPr>
        <w:t xml:space="preserve"> and </w:t>
      </w:r>
      <w:r w:rsidRPr="00542166">
        <w:rPr>
          <w:rFonts w:ascii="Times New Roman" w:hAnsi="Times New Roman" w:cs="Times New Roman"/>
          <w:i/>
          <w:iCs/>
          <w:sz w:val="28"/>
          <w:szCs w:val="28"/>
        </w:rPr>
        <w:t>Klebsiella spp.</w:t>
      </w:r>
      <w:r w:rsidRPr="00542166">
        <w:rPr>
          <w:rFonts w:ascii="Times New Roman" w:hAnsi="Times New Roman" w:cs="Times New Roman"/>
          <w:i/>
          <w:sz w:val="28"/>
          <w:szCs w:val="28"/>
        </w:rPr>
        <w:t xml:space="preserve"> as surrogates. Phytochemical analysis of the methanol extract revealed high levels of phenolics (42.1 mg/g), tannins (34.5 mg/g), and flavonoids (28.3 mg/g). Among the tested extracts, ethanol showed the highest antibacterial activity with inhibition zones up to 0.4 mm. The findings support Neem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Neem seeds, leaves, bark, and oil contain numerous bioactive compounds including azadirachtin, nimbin, and nimbolide, which exhibit antimicrobial, antifungal, antiviral, and anti-inflammatory properties (Patel et al., 2023). The use of Neem in traditional medicine to treat skin diseases is 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This makes Neem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14:anchorId="15BCBA22" wp14:editId="043D56B7">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Sources: (Jain and Khurana,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are Gram-positive cocci responsible for a variety of skin infections characterized by erythema, swelling, and pus formation (Smith et al., 2022). Group A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Neem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Neem seeds, such as flavonoids, tannins, and phenolic compounds, contribute significantly to their antibacterial activity (Verma et al., 2024). These compounds disrupt bacterial cell walls, inhibit protein synthesis, and interfere with bacterial metabolism (Chaudhary et al., 2023). Recent studies have demonstrated that Neem seed extracts can inhibit the growth of multiple pathogenic bacteria, including Staphylococcus aureus and Escherichia coli (Khan et al., 2023). However, limited research exists 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Neem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Neem extracts in combating bacterial infections. Moreover, Neem’s anti-inflammatory properties help in reducing the symptoms associated with skin infections, such as redness and swelling (Reddy et al., 2022). Such dual action makes Neem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Neem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Neem seeds often possess stronger antibacterial activity than aqueous extracts due to better solubility of phytochemicals (Gupta et al., 2024). Optimization of extraction protocols is essential for maximizing the therapeutic potential of Neem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Neem seed extracts on bacterial growth. Recent research applying these assays has reported significant zones of inhibition for Neem extracts against various Gram-positive bacteria (Singh et al., 2024). Application of these techniques will enable precise determination of the antibacterial potential of Neem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Neem provide a reservoir of diverse chemical entities that bacteria have not yet adapted to resist (Chaudhary et al., 2023). This makes Neem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Ethnobotanical evidence strongly supports the traditional use of Neem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Communities in Asia and Africa have long utilized Neem seed paste or oil topically to heal infected skin lesions (Patel et al., 2023). These traditional practices have motivated scientific inquiry into the antimicrobial properties of Neem seeds. Validating such ethnomedicinal claims through laboratory studies will facilitate the integration of Neem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Neem seeds demonstrate antioxidant properties, which may protect skin cells from oxidative damage during infection (Reddy et al., 2022). The antioxidant activity further enhances skin healing and reduces scarring (Verma et al., 2024). By combining antibacterial and antioxidant mechanisms, Neem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Clinical implications of Neem seed antibacterial activity extend beyond topical applications. The development of Neem-based creams, ointments, or lotions could provide accessible, cost-effective treatments for skin infections, particularly in low-resource settings (Singh et al., 2021). Neem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Neem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Neem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Neem seed compounds. For example, nimbolide has been shown to inhibit bacterial DNA gyrase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Neem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Neem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Neem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Neem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isolates 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neem seed extracts contain bioactive compounds such as azadirachtin, nimbin, and salannin that possess antibacterial, antifungal, and anti-inflammatory effects (Kumar et al., 2022). These compounds interfere with bacterial cell walls, disrupting cellular integrity and inhibiting the growth of pathogens. Recent research by Singh et al. (2023) confirmed that neem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neem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gram-positive cocci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neem seed extract emerging as one of the most promising candidates due to its broad-spectrum activity. Moreover, neem-based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neem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neem seeds contain terpenoids, flavonoids, tannins, and alkaloids, which contribute to their antimicrobial efficacy (Rahman et al., 2021). These phytochemicals disrupt the bacterial membrane, inhibit nucleic acid synthesis, and affect energy metabolism. A study conducted by Afolayan and Olajide (2020) found that ethanol extracts of neem seeds significantly reduced the colony-forming units of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neem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neem also possesses anti-inflammatory and wound-healing properties, which enhance its value in treating skin infections. The use of neem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Ramaswamy,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pus formation, and tissue damage. Topical formulations of neem oil or seed extract can thus provide a holistic approach to healing, reducing both infection and associated symptoms. As modern medicine increasingly incorporates ethnopharmacological knowledge, neem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Despite the promising results, variations in extraction methods, solvents used, and concentrations of active compounds can significantly affect the antimicrobial outcomes of neem seed assays. Studies comparing aqueous, ethanolic, and methanolic extracts of neem seeds have revealed that ethanol tends to yield higher antibacterial efficacy, possibly due to better solubility of bioactive components (Okonkwo et al., 2023). Furthermore, synergy between neem seed extract and conventional antibiotics has also been reported, suggesting that neem can enhance the effectiveness of standard drugs while minimizing the required dosage. However, further clinical trials and standardized formulations are necessary before neem seed extract can be recommended for widespread medical use. Future research should focus on identifying the exact molecular pathways involved in the antibacterial action of neem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The aim of this project is to evaluate the antibacterial activity of Neem (</w:t>
      </w:r>
      <w:r w:rsidR="00333839" w:rsidRPr="00971082">
        <w:rPr>
          <w:rStyle w:val="Emphasis"/>
          <w:rFonts w:ascii="Times New Roman" w:hAnsi="Times New Roman" w:cs="Times New Roman"/>
          <w:sz w:val="28"/>
          <w:szCs w:val="28"/>
        </w:rPr>
        <w:t>Azadirachta indica</w:t>
      </w:r>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To evaluate the antibacterial activity of Neem (</w:t>
      </w:r>
      <w:r w:rsidR="00333839" w:rsidRPr="00971082">
        <w:rPr>
          <w:rFonts w:ascii="Times New Roman" w:eastAsia="Times New Roman" w:hAnsi="Times New Roman" w:cs="Times New Roman"/>
          <w:bCs/>
          <w:i/>
          <w:sz w:val="28"/>
          <w:szCs w:val="28"/>
        </w:rPr>
        <w:t>Azadirachta indica</w:t>
      </w:r>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Neem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To identify and analyze the phytochemical components present in Neem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Neem seeds, solvents (n-hexane, ethanol, and distilled water), Petri dishes, conical flasks, filter paper, measuring cylinders, beakers, cork borer, syringes, scalpels, sterile water bottles (e.g., Ragolis bottles), sterile cotton wool, aluminum foil, autoclave, incubator, nutrient agar, and MacConkey agar. Bacterial isolates used for this assay include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xml:space="preserve">, which served as surrogate organisms to preliminarily assess the antimicrobial potential of Neem extracts. Although the primary target was </w:t>
      </w:r>
      <w:r w:rsidRPr="00971082">
        <w:rPr>
          <w:rStyle w:val="Emphasis"/>
          <w:sz w:val="28"/>
          <w:szCs w:val="28"/>
        </w:rPr>
        <w:t>Streptococcus spp</w:t>
      </w:r>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r w:rsidRPr="00971082">
        <w:rPr>
          <w:rStyle w:val="Emphasis"/>
          <w:sz w:val="28"/>
          <w:szCs w:val="28"/>
        </w:rPr>
        <w:t>Azadirachta indica</w:t>
      </w:r>
      <w:r w:rsidRPr="00971082">
        <w:rPr>
          <w:sz w:val="28"/>
          <w:szCs w:val="28"/>
        </w:rPr>
        <w:t xml:space="preserve"> (Neem)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Two types of culture media were used: Nutrient Agar (NA) and MacConkey Agar (MA). For NA, 7 grams of the powder were dissolved in 250 ml of distilled water, while for MA, 12.5 grams of the powder were similarly 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The Neem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Whatman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were cultured on the prepared Nutrient Agar and MacConkey Agar plates. Each organism was inoculated into three Petri dishes per medium. A sterile swab stick was used to evenly spread the bacterial suspension across the agar surface. Wells were made on each agar plate using a sterile cork borer or scalpel. Into each well, 0.1 ml of the Neem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Neem extract was evaluated based on the size of these 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Determined using Harborne's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Estimated using the aluminum chloride colorimetric method with quercetin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Measured by the Folin-Denis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Saponins</w:t>
      </w:r>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Estimated using the Folin–Ciocalteu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Terpenoids and Steroids</w:t>
      </w:r>
      <w:r w:rsidRPr="00971082">
        <w:rPr>
          <w:sz w:val="28"/>
          <w:szCs w:val="28"/>
        </w:rPr>
        <w:t>: Extracted and weighed gravimetrically following Soxhlet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Reducing Sugars</w:t>
      </w:r>
      <w:r w:rsidRPr="00971082">
        <w:rPr>
          <w:sz w:val="28"/>
          <w:szCs w:val="28"/>
        </w:rPr>
        <w:t>: Estimated using the dinitrosalicylic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r w:rsidRPr="00971082">
        <w:rPr>
          <w:rFonts w:ascii="Times New Roman" w:eastAsia="Times New Roman" w:hAnsi="Times New Roman" w:cs="Times New Roman"/>
          <w:b/>
          <w:i/>
          <w:color w:val="auto"/>
          <w:sz w:val="28"/>
          <w:szCs w:val="28"/>
        </w:rPr>
        <w:t>Azadirachta indica</w:t>
      </w:r>
      <w:bookmarkEnd w:id="18"/>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r w:rsidRPr="00971082">
        <w:rPr>
          <w:rFonts w:ascii="Times New Roman" w:eastAsia="Times New Roman" w:hAnsi="Times New Roman" w:cs="Times New Roman"/>
          <w:i/>
          <w:color w:val="auto"/>
          <w:sz w:val="28"/>
          <w:szCs w:val="28"/>
        </w:rPr>
        <w:t>Azadirachta indica</w:t>
      </w:r>
      <w:bookmarkEnd w:id="19"/>
    </w:p>
    <w:tbl>
      <w:tblPr>
        <w:tblW w:w="10205" w:type="dxa"/>
        <w:tblInd w:w="-57" w:type="dxa"/>
        <w:tblCellMar>
          <w:left w:w="115" w:type="dxa"/>
          <w:right w:w="115" w:type="dxa"/>
        </w:tblCellMar>
        <w:tblLook w:val="04A0" w:firstRow="1" w:lastRow="0" w:firstColumn="1" w:lastColumn="0" w:noHBand="0" w:noVBand="1"/>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Saponins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Phenolics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Terpenoids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t>3.2 Neem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Table 3.2:  Neem Seed Extract Antibacterial Assay</w:t>
      </w:r>
      <w:bookmarkEnd w:id="21"/>
    </w:p>
    <w:tbl>
      <w:tblPr>
        <w:tblStyle w:val="ListTable6Colorful"/>
        <w:tblW w:w="0" w:type="auto"/>
        <w:tblLook w:val="04A0" w:firstRow="1" w:lastRow="0" w:firstColumn="1" w:lastColumn="0" w:noHBand="0" w:noVBand="1"/>
      </w:tblPr>
      <w:tblGrid>
        <w:gridCol w:w="979"/>
        <w:gridCol w:w="1367"/>
        <w:gridCol w:w="1414"/>
        <w:gridCol w:w="4292"/>
      </w:tblGrid>
      <w:tr w:rsidR="00971082" w:rsidRPr="00B05BDE" w:rsidTr="00B0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r w:rsidRPr="00971082">
        <w:rPr>
          <w:i/>
          <w:iCs/>
          <w:sz w:val="28"/>
          <w:szCs w:val="28"/>
        </w:rPr>
        <w:t>Azadirachta indica</w:t>
      </w:r>
      <w:r w:rsidRPr="00971082">
        <w:rPr>
          <w:sz w:val="28"/>
          <w:szCs w:val="28"/>
        </w:rPr>
        <w:t xml:space="preserve"> seeds, as presented in Table 3.1, reveals a rich composition of bioactive secondary metabolites. The most prominent among these are </w:t>
      </w:r>
      <w:r w:rsidRPr="00971082">
        <w:rPr>
          <w:bCs/>
          <w:sz w:val="28"/>
          <w:szCs w:val="28"/>
        </w:rPr>
        <w:t>phenolics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r w:rsidRPr="00971082">
        <w:rPr>
          <w:bCs/>
          <w:sz w:val="28"/>
          <w:szCs w:val="28"/>
        </w:rPr>
        <w:t>terpenoids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r w:rsidRPr="00971082">
        <w:rPr>
          <w:bCs/>
          <w:sz w:val="28"/>
          <w:szCs w:val="28"/>
        </w:rPr>
        <w:t>Akinmoladun et al. (2020)</w:t>
      </w:r>
      <w:r w:rsidRPr="00971082">
        <w:rPr>
          <w:sz w:val="28"/>
          <w:szCs w:val="28"/>
        </w:rPr>
        <w:t>, who highlighted the membrane-disrupting and protein-denaturing effects of phenolics.</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Staphylococcus aureus</w:t>
      </w:r>
      <w:r w:rsidRPr="00971082">
        <w:rPr>
          <w:sz w:val="28"/>
          <w:szCs w:val="28"/>
        </w:rPr>
        <w:t xml:space="preserve"> and </w:t>
      </w:r>
      <w:r w:rsidRPr="00971082">
        <w:rPr>
          <w:i/>
          <w:iCs/>
          <w:sz w:val="28"/>
          <w:szCs w:val="28"/>
        </w:rPr>
        <w:t>Klebsiella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aqueous extracts showed minimal inhibition, often below </w:t>
      </w:r>
      <w:r w:rsidRPr="00971082">
        <w:rPr>
          <w:bCs/>
          <w:sz w:val="28"/>
          <w:szCs w:val="28"/>
        </w:rPr>
        <w:t>0.3 mm</w:t>
      </w:r>
      <w:r w:rsidRPr="00971082">
        <w:rPr>
          <w:sz w:val="28"/>
          <w:szCs w:val="28"/>
        </w:rPr>
        <w:t xml:space="preserve">, or none at all (e.g., MAC with aqueous extract against </w:t>
      </w:r>
      <w:r w:rsidRPr="00971082">
        <w:rPr>
          <w:i/>
          <w:iCs/>
          <w:sz w:val="28"/>
          <w:szCs w:val="28"/>
        </w:rPr>
        <w:t>Staph</w:t>
      </w:r>
      <w:r w:rsidRPr="00971082">
        <w:rPr>
          <w:sz w:val="28"/>
          <w:szCs w:val="28"/>
        </w:rPr>
        <w:t>). This suggests that ethanol is a more effective solvent for extracting the active antimicrobial compounds from Neem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r w:rsidRPr="00971082">
        <w:rPr>
          <w:bCs/>
          <w:sz w:val="28"/>
          <w:szCs w:val="28"/>
        </w:rPr>
        <w:t>saponins (19.6 ± 0.8 mg/g)</w:t>
      </w:r>
      <w:r w:rsidRPr="00971082">
        <w:rPr>
          <w:sz w:val="28"/>
          <w:szCs w:val="28"/>
        </w:rPr>
        <w:t xml:space="preserve"> and </w:t>
      </w:r>
      <w:r w:rsidRPr="00971082">
        <w:rPr>
          <w:bCs/>
          <w:sz w:val="28"/>
          <w:szCs w:val="28"/>
        </w:rPr>
        <w:t>alkaloids (15.8 ± 0.5 mg/g)</w:t>
      </w:r>
      <w:r w:rsidRPr="00971082">
        <w:rPr>
          <w:sz w:val="28"/>
          <w:szCs w:val="28"/>
        </w:rPr>
        <w:t xml:space="preserve">. Saponins are known to enhance membrane permeability in microbial cells, making them more susceptible to other antimicrobial agents, as suggested by </w:t>
      </w:r>
      <w:r w:rsidRPr="00971082">
        <w:rPr>
          <w:bCs/>
          <w:sz w:val="28"/>
          <w:szCs w:val="28"/>
        </w:rPr>
        <w:t>Eze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Staphylococcus aureus</w:t>
      </w:r>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r w:rsidRPr="00971082">
        <w:rPr>
          <w:bCs/>
          <w:sz w:val="28"/>
          <w:szCs w:val="28"/>
        </w:rPr>
        <w:t>Fatokun et al., 2021</w:t>
      </w:r>
      <w:r w:rsidRPr="00971082">
        <w:rPr>
          <w:sz w:val="28"/>
          <w:szCs w:val="28"/>
        </w:rPr>
        <w:t>), while glycosides, although less studied, often act synergistically with other bioactive compounds (</w:t>
      </w:r>
      <w:r w:rsidRPr="00971082">
        <w:rPr>
          <w:bCs/>
          <w:sz w:val="28"/>
          <w:szCs w:val="28"/>
        </w:rPr>
        <w:t>Chukwuma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r w:rsidRPr="00971082">
        <w:rPr>
          <w:bCs/>
          <w:sz w:val="28"/>
          <w:szCs w:val="28"/>
        </w:rPr>
        <w:t>Okoye et al. (2020)</w:t>
      </w:r>
      <w:r w:rsidRPr="00971082">
        <w:rPr>
          <w:sz w:val="28"/>
          <w:szCs w:val="28"/>
        </w:rPr>
        <w:t>, who observed that methanol and ethanol extracts of Neem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r w:rsidRPr="00971082">
        <w:rPr>
          <w:i/>
          <w:iCs/>
          <w:sz w:val="28"/>
          <w:szCs w:val="28"/>
        </w:rPr>
        <w:t>Azadirachta indica</w:t>
      </w:r>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r w:rsidRPr="00971082">
        <w:rPr>
          <w:i/>
          <w:iCs/>
          <w:sz w:val="28"/>
          <w:szCs w:val="28"/>
        </w:rPr>
        <w:t>Azadirachta indica</w:t>
      </w:r>
      <w:r w:rsidRPr="00971082">
        <w:rPr>
          <w:sz w:val="28"/>
          <w:szCs w:val="28"/>
        </w:rPr>
        <w:t xml:space="preserve"> seeds shows 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Afolayan, A. J., and Olajide, O. A. (2020). Antibacterial efficacy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0"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Farombi,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1"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Komolafe,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Verma,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Journal of Ethnopharmacology</w:t>
      </w:r>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Ibrahim, M. A., Erukainure, O. L., &amp; Chukwuma, E. C. (2023). Bioactive glycosides in medicinal plants: Structure, activity and mechanisms. </w:t>
      </w:r>
      <w:r w:rsidRPr="00971082">
        <w:rPr>
          <w:rFonts w:ascii="Times New Roman" w:eastAsia="Times New Roman" w:hAnsi="Times New Roman" w:cs="Times New Roman"/>
          <w:i/>
          <w:iCs/>
          <w:sz w:val="28"/>
          <w:szCs w:val="28"/>
        </w:rPr>
        <w:t>Phytomedicine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A. C., Onyeka, C. A., &amp; Njoku, C. J. (2020). </w:t>
      </w:r>
      <w:r w:rsidRPr="00971082">
        <w:rPr>
          <w:rFonts w:ascii="Times New Roman" w:eastAsia="Times New Roman" w:hAnsi="Times New Roman" w:cs="Times New Roman"/>
          <w:i/>
          <w:iCs/>
          <w:sz w:val="28"/>
          <w:szCs w:val="28"/>
        </w:rPr>
        <w:t>Antibacterial activities of saponin-rich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E. A., Uzoeto, H. O., &amp; Okoroafor, O. N. (2020). Antibacterial and phytochemical properties of Azadirachta indica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A. A., Olorundare, T. O., &amp; Ajayi,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O., Adebayo, J. O., &amp; Osuagwu,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Gupta, N., Patel, K., and Shah, S. (2024). Extraction techniques and their influence on the antibacterial activity of Neem seed extracts. </w:t>
      </w:r>
      <w:r w:rsidRPr="00971082">
        <w:rPr>
          <w:rFonts w:ascii="Times New Roman" w:eastAsia="Times New Roman" w:hAnsi="Times New Roman" w:cs="Times New Roman"/>
          <w:i/>
          <w:iCs/>
          <w:sz w:val="28"/>
          <w:szCs w:val="28"/>
        </w:rPr>
        <w:t>Phytochemistry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Omogbai, E. K. I., &amp; Akinmoladun, F. O. (2021). Evaluation of the antimicrobial activity and phytochemical constituents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Omonigho, S. E., &amp; Erhabor, J. O. (2021). </w:t>
      </w:r>
      <w:r w:rsidRPr="00971082">
        <w:rPr>
          <w:rFonts w:ascii="Times New Roman" w:eastAsia="Times New Roman" w:hAnsi="Times New Roman" w:cs="Times New Roman"/>
          <w:i/>
          <w:iCs/>
          <w:sz w:val="28"/>
          <w:szCs w:val="28"/>
        </w:rPr>
        <w:t>Phytochemical screening and antibacterial potential of Azadirachta indica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Khurana, S. (2020). Ethnomedicinal uses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Johnson, B., and Brown, C. (2021). Pathogenesis of Group A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Ramaswamy, K. (2021). Wound healing and anti-inflammatory properties of neem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Neem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neem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Okonkwo, I. E., Nduka, S. O., and Umeh, S. C. (2023). Comparative study of different neem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C. O., Nworu, C. S., &amp; Esimone, C. O. (2020). </w:t>
      </w:r>
      <w:r w:rsidRPr="00971082">
        <w:rPr>
          <w:rFonts w:ascii="Times New Roman" w:eastAsia="Times New Roman" w:hAnsi="Times New Roman" w:cs="Times New Roman"/>
          <w:i/>
          <w:iCs/>
          <w:sz w:val="28"/>
          <w:szCs w:val="28"/>
        </w:rPr>
        <w:t>Comparative phytochemical and antimicrobial evaluation of leaf and seed extracts of Neem</w:t>
      </w:r>
      <w:r w:rsidRPr="00971082">
        <w:rPr>
          <w:rFonts w:ascii="Times New Roman" w:eastAsia="Times New Roman" w:hAnsi="Times New Roman" w:cs="Times New Roman"/>
          <w:sz w:val="28"/>
          <w:szCs w:val="28"/>
        </w:rPr>
        <w:t xml:space="preserve">. International Journal of Pharmacognosy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E. L., Nwachukwu, C. O., &amp; Onyeka, J. O. (2020). Comparative phytochemical and antibacterial screening of leaf and seed extracts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Neem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Patel, P., Singh, R., and Verma, N. (2023). Neem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comprehensive review of its pharmacological and therapeutic properties. </w:t>
      </w:r>
      <w:r w:rsidRPr="00971082">
        <w:rPr>
          <w:rFonts w:ascii="Times New Roman" w:eastAsia="Times New Roman" w:hAnsi="Times New Roman" w:cs="Times New Roman"/>
          <w:i/>
          <w:iCs/>
          <w:sz w:val="28"/>
          <w:szCs w:val="28"/>
        </w:rPr>
        <w:t>Phytotherapy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Neem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Neem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2"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Neem: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Verma, A., and Kumar, R. (2024). Antibacterial efficacy of Neem seed ethanol extracts against Gram-positive bacteria. </w:t>
      </w:r>
      <w:r w:rsidRPr="00971082">
        <w:rPr>
          <w:rFonts w:ascii="Times New Roman" w:eastAsia="Times New Roman" w:hAnsi="Times New Roman" w:cs="Times New Roman"/>
          <w:i/>
          <w:iCs/>
          <w:sz w:val="28"/>
          <w:szCs w:val="28"/>
        </w:rPr>
        <w:t>Microbial 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Verma, A., Chaudhary, S., and Singh, P. (2024). Antioxidant activities of phytochemicals from Neem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3"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4"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Lawal, A., &amp; Sadiq, A. (2022). </w:t>
      </w:r>
      <w:r w:rsidRPr="00971082">
        <w:rPr>
          <w:rFonts w:ascii="Times New Roman" w:eastAsia="Times New Roman" w:hAnsi="Times New Roman" w:cs="Times New Roman"/>
          <w:i/>
          <w:iCs/>
          <w:sz w:val="28"/>
          <w:szCs w:val="28"/>
        </w:rPr>
        <w:t>Evaluation of antibacterial activities of alkaloid fractions from Neem (Azadirachta indica)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B. A., Ibrahim, S. O., &amp; Garba, Z. N. (2022). Alkaloid-rich extract from Neem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E3" w:rsidRDefault="009117E3" w:rsidP="00333839">
      <w:pPr>
        <w:spacing w:after="0" w:line="240" w:lineRule="auto"/>
      </w:pPr>
      <w:r>
        <w:separator/>
      </w:r>
    </w:p>
  </w:endnote>
  <w:endnote w:type="continuationSeparator" w:id="0">
    <w:p w:rsidR="009117E3" w:rsidRDefault="009117E3" w:rsidP="0033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9370"/>
      <w:docPartObj>
        <w:docPartGallery w:val="Page Numbers (Bottom of Page)"/>
        <w:docPartUnique/>
      </w:docPartObj>
    </w:sdtPr>
    <w:sdtEndPr>
      <w:rPr>
        <w:noProof/>
      </w:rPr>
    </w:sdtEndPr>
    <w:sdtContent>
      <w:p w:rsidR="00971082" w:rsidRDefault="00971082">
        <w:pPr>
          <w:pStyle w:val="Footer"/>
          <w:jc w:val="center"/>
        </w:pPr>
        <w:r>
          <w:fldChar w:fldCharType="begin"/>
        </w:r>
        <w:r>
          <w:instrText xml:space="preserve"> PAGE   \* MERGEFORMAT </w:instrText>
        </w:r>
        <w:r>
          <w:fldChar w:fldCharType="separate"/>
        </w:r>
        <w:r w:rsidR="009117E3">
          <w:rPr>
            <w:noProof/>
          </w:rPr>
          <w:t>i</w:t>
        </w:r>
        <w:r>
          <w:rPr>
            <w:noProof/>
          </w:rPr>
          <w:fldChar w:fldCharType="end"/>
        </w:r>
      </w:p>
    </w:sdtContent>
  </w:sdt>
  <w:p w:rsidR="00971082" w:rsidRDefault="0097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E3" w:rsidRDefault="009117E3" w:rsidP="00333839">
      <w:pPr>
        <w:spacing w:after="0" w:line="240" w:lineRule="auto"/>
      </w:pPr>
      <w:r>
        <w:separator/>
      </w:r>
    </w:p>
  </w:footnote>
  <w:footnote w:type="continuationSeparator" w:id="0">
    <w:p w:rsidR="009117E3" w:rsidRDefault="009117E3" w:rsidP="00333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B"/>
    <w:rsid w:val="000D315F"/>
    <w:rsid w:val="00103186"/>
    <w:rsid w:val="00107089"/>
    <w:rsid w:val="00124CEB"/>
    <w:rsid w:val="00191234"/>
    <w:rsid w:val="001A37E7"/>
    <w:rsid w:val="00280381"/>
    <w:rsid w:val="002B0BB5"/>
    <w:rsid w:val="002E375A"/>
    <w:rsid w:val="00300B10"/>
    <w:rsid w:val="00333839"/>
    <w:rsid w:val="003A5786"/>
    <w:rsid w:val="003B58E2"/>
    <w:rsid w:val="00442FE7"/>
    <w:rsid w:val="0048754B"/>
    <w:rsid w:val="00542166"/>
    <w:rsid w:val="00645FF4"/>
    <w:rsid w:val="006C2EC7"/>
    <w:rsid w:val="007448BB"/>
    <w:rsid w:val="00751630"/>
    <w:rsid w:val="0078606D"/>
    <w:rsid w:val="007A5C16"/>
    <w:rsid w:val="0084613B"/>
    <w:rsid w:val="008C556F"/>
    <w:rsid w:val="008E05E5"/>
    <w:rsid w:val="008F377F"/>
    <w:rsid w:val="009117E3"/>
    <w:rsid w:val="00940E14"/>
    <w:rsid w:val="00971082"/>
    <w:rsid w:val="00982645"/>
    <w:rsid w:val="0098466D"/>
    <w:rsid w:val="00A3290F"/>
    <w:rsid w:val="00A6773E"/>
    <w:rsid w:val="00B05BDE"/>
    <w:rsid w:val="00B52347"/>
    <w:rsid w:val="00B84C9E"/>
    <w:rsid w:val="00BA403D"/>
    <w:rsid w:val="00C4184B"/>
    <w:rsid w:val="00C77AD7"/>
    <w:rsid w:val="00CA787F"/>
    <w:rsid w:val="00D415F8"/>
    <w:rsid w:val="00DA0F41"/>
    <w:rsid w:val="00E2185A"/>
    <w:rsid w:val="00E71726"/>
    <w:rsid w:val="00F57D6E"/>
    <w:rsid w:val="00F6651D"/>
    <w:rsid w:val="00FB3D52"/>
    <w:rsid w:val="00FD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4FDB-47E2-4DEE-AE50-E41D824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 w:type="paragraph" w:styleId="BalloonText">
    <w:name w:val="Balloon Text"/>
    <w:basedOn w:val="Normal"/>
    <w:link w:val="BalloonTextChar"/>
    <w:uiPriority w:val="99"/>
    <w:semiHidden/>
    <w:unhideWhenUsed/>
    <w:rsid w:val="00103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1/acs.jnatprod.3c01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ar.2023.11763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map.2020.100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010/ajtcam.v17i5.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979BE-9C3D-408F-8FE6-012E0B466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5675</Words>
  <Characters>32350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2025-08-18T10:28:00Z</cp:lastPrinted>
  <dcterms:created xsi:type="dcterms:W3CDTF">2025-08-18T10:18:00Z</dcterms:created>
  <dcterms:modified xsi:type="dcterms:W3CDTF">2025-08-18T10:29:00Z</dcterms:modified>
</cp:coreProperties>
</file>