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EFFECT OF FUNGICIDE APPLICATION ON SOIL MYCOBIOME</w:t>
      </w:r>
    </w:p>
    <w:p>
      <w:pPr>
        <w:pStyle w:val="style0"/>
        <w:spacing w:after="0" w:lineRule="auto" w:line="480"/>
        <w:jc w:val="center"/>
        <w:rPr>
          <w:rFonts w:ascii="Times New Roman" w:cs="Times New Roman" w:hAnsi="Times New Roman"/>
          <w:b/>
          <w:bCs/>
          <w:sz w:val="32"/>
          <w:szCs w:val="32"/>
        </w:rPr>
      </w:pPr>
      <w:r>
        <w:rPr>
          <w:rFonts w:ascii="Times New Roman" w:cs="Times New Roman" w:hAnsi="Times New Roman"/>
          <w:b/>
          <w:bCs/>
          <w:sz w:val="32"/>
          <w:szCs w:val="32"/>
        </w:rPr>
        <w:t>BY</w:t>
      </w:r>
    </w:p>
    <w:p>
      <w:pPr>
        <w:pStyle w:val="style0"/>
        <w:spacing w:after="0" w:lineRule="auto" w:line="480"/>
        <w:jc w:val="center"/>
        <w:rPr>
          <w:rFonts w:ascii="Times New Roman" w:cs="Times New Roman" w:hAnsi="Times New Roman"/>
          <w:b/>
          <w:bCs/>
          <w:sz w:val="32"/>
          <w:szCs w:val="32"/>
        </w:rPr>
      </w:pPr>
      <w:r>
        <w:rPr>
          <w:rFonts w:ascii="Times New Roman" w:cs="Times New Roman" w:hAnsi="Times New Roman"/>
          <w:b/>
          <w:bCs/>
          <w:sz w:val="32"/>
          <w:szCs w:val="32"/>
        </w:rPr>
        <w:t>AKOLADE BUKOLA OLAJUMOKE</w:t>
      </w:r>
    </w:p>
    <w:p>
      <w:pPr>
        <w:pStyle w:val="style0"/>
        <w:spacing w:after="0" w:lineRule="auto" w:line="480"/>
        <w:jc w:val="center"/>
        <w:rPr>
          <w:rFonts w:ascii="Times New Roman" w:cs="Times New Roman" w:hAnsi="Times New Roman"/>
          <w:b/>
          <w:bCs/>
          <w:sz w:val="32"/>
          <w:szCs w:val="32"/>
        </w:rPr>
      </w:pPr>
      <w:r>
        <w:rPr>
          <w:rFonts w:ascii="Times New Roman" w:cs="Times New Roman" w:hAnsi="Times New Roman"/>
          <w:b/>
          <w:bCs/>
          <w:sz w:val="32"/>
          <w:szCs w:val="32"/>
        </w:rPr>
        <w:t>HND/23/SLT/FT/0510</w:t>
      </w:r>
    </w:p>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A PROJECT SUBMITTED TO THE DEPARTMENT OF SCIENCE LABORATORY TECHNOLOGY, INSTITUTE OF APPLIED SCIENCES (IAS), KWARA STATE POLYTECHNIC, ILORIN,</w:t>
      </w:r>
    </w:p>
    <w:p>
      <w:pPr>
        <w:pStyle w:val="style94"/>
        <w:spacing w:after="150" w:afterAutospacing="false" w:lineRule="atLeast" w:line="21"/>
        <w:jc w:val="center"/>
        <w:rPr>
          <w:b/>
          <w:sz w:val="28"/>
          <w:szCs w:val="28"/>
        </w:rPr>
      </w:pPr>
      <w:r>
        <w:rPr>
          <w:b/>
          <w:sz w:val="28"/>
          <w:szCs w:val="28"/>
        </w:rPr>
        <w:t>IN PARTIAL FULFILMENT OF THE REQUIREMENTS FOR THE AWARD OF HIGHER NATIONAL DIPLOMA (HND) IN SCIENCE LABORATORY TECHNOLOGY, INSTITUTE OF APPLIED SCIENCES (IAS),</w:t>
      </w:r>
      <w:r>
        <w:rPr>
          <w:b/>
          <w:sz w:val="28"/>
          <w:szCs w:val="28"/>
        </w:rPr>
        <w:t xml:space="preserve"> </w:t>
      </w:r>
      <w:r>
        <w:rPr>
          <w:b/>
          <w:sz w:val="28"/>
          <w:szCs w:val="28"/>
        </w:rPr>
        <w:t>MICROBIOLOGY UNIT</w:t>
      </w:r>
    </w:p>
    <w:p>
      <w:pPr>
        <w:pStyle w:val="style94"/>
        <w:spacing w:after="150" w:afterAutospacing="false" w:lineRule="atLeast" w:line="21"/>
        <w:jc w:val="center"/>
        <w:rPr>
          <w:b/>
          <w:sz w:val="28"/>
          <w:szCs w:val="28"/>
        </w:rPr>
      </w:pPr>
      <w:r>
        <w:rPr>
          <w:b/>
          <w:sz w:val="28"/>
          <w:szCs w:val="28"/>
        </w:rPr>
        <w:t>KWARA STATE POLYTECHNIC ILORIN</w:t>
      </w:r>
    </w:p>
    <w:p>
      <w:pPr>
        <w:pStyle w:val="style94"/>
        <w:spacing w:after="150" w:afterAutospacing="false" w:lineRule="atLeast" w:line="21"/>
        <w:ind w:left="6480" w:firstLine="720"/>
        <w:jc w:val="center"/>
        <w:rPr>
          <w:b/>
          <w:sz w:val="28"/>
          <w:szCs w:val="28"/>
        </w:rPr>
      </w:pPr>
      <w:r>
        <w:rPr>
          <w:b/>
          <w:sz w:val="28"/>
          <w:szCs w:val="28"/>
        </w:rPr>
        <w:t>JULY, 2025</w:t>
      </w:r>
    </w:p>
    <w:p>
      <w:pPr>
        <w:pStyle w:val="style94"/>
        <w:spacing w:after="150" w:afterAutospacing="false" w:lineRule="atLeast" w:line="21"/>
        <w:jc w:val="center"/>
        <w:rPr>
          <w:sz w:val="26"/>
          <w:szCs w:val="26"/>
        </w:rPr>
      </w:pPr>
      <w:r>
        <w:rPr>
          <w:rFonts w:eastAsia="-webkit-standard"/>
          <w:sz w:val="28"/>
          <w:szCs w:val="28"/>
        </w:rPr>
        <w:t> </w:t>
      </w: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8"/>
          <w:szCs w:val="28"/>
        </w:rPr>
      </w:pPr>
    </w:p>
    <w:p>
      <w:pPr>
        <w:pStyle w:val="style0"/>
        <w:spacing w:after="0" w:lineRule="auto" w:line="480"/>
        <w:jc w:val="left"/>
        <w:rPr>
          <w:rFonts w:ascii="Times New Roman" w:cs="Times New Roman" w:hAnsi="Times New Roman"/>
          <w:b/>
          <w:bCs/>
          <w:sz w:val="28"/>
          <w:szCs w:val="28"/>
        </w:rPr>
      </w:pPr>
      <w:r>
        <w:rPr/>
        <w:drawing>
          <wp:inline distL="114300" distT="0" distB="0" distR="114300">
            <wp:extent cx="6084508" cy="8730231"/>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2" cstate="print"/>
                    <a:srcRect l="0" t="0" r="0" b="0"/>
                    <a:stretch/>
                  </pic:blipFill>
                  <pic:spPr>
                    <a:xfrm rot="0">
                      <a:off x="0" y="0"/>
                      <a:ext cx="6084508" cy="8730231"/>
                    </a:xfrm>
                    <a:prstGeom prst="rect"/>
                  </pic:spPr>
                </pic:pic>
              </a:graphicData>
            </a:graphic>
          </wp:inline>
        </w:drawing>
      </w:r>
    </w:p>
    <w:p>
      <w:pPr>
        <w:pStyle w:val="style0"/>
        <w:jc w:val="center"/>
        <w:rPr>
          <w:rFonts w:ascii="Times New Roman" w:cs="Times New Roman" w:hAnsi="Times New Roman"/>
          <w:b/>
          <w:bCs/>
          <w:color w:val="000000"/>
          <w:sz w:val="28"/>
          <w:szCs w:val="28"/>
        </w:rPr>
      </w:pPr>
      <w:r>
        <w:rPr>
          <w:rFonts w:ascii="Times New Roman" w:cs="Times New Roman" w:hAnsi="Times New Roman"/>
          <w:b/>
          <w:bCs/>
          <w:sz w:val="28"/>
          <w:szCs w:val="28"/>
        </w:rPr>
        <w:br w:type="page"/>
      </w:r>
      <w:r>
        <w:rPr>
          <w:rFonts w:ascii="Times New Roman" w:cs="Times New Roman" w:hAnsi="Times New Roman"/>
          <w:b/>
          <w:bCs/>
          <w:color w:val="000000"/>
          <w:sz w:val="28"/>
          <w:szCs w:val="28"/>
        </w:rPr>
        <w:t>DEDICATION</w:t>
      </w:r>
    </w:p>
    <w:p>
      <w:pPr>
        <w:pStyle w:val="style0"/>
        <w:rPr>
          <w:rFonts w:ascii="Times New Roman" w:cs="Times New Roman" w:hAnsi="Times New Roman"/>
          <w:color w:val="000000"/>
          <w:sz w:val="28"/>
          <w:szCs w:val="28"/>
        </w:rPr>
      </w:pPr>
      <w:r>
        <w:rPr>
          <w:rFonts w:ascii="Times New Roman" w:cs="Times New Roman" w:hAnsi="Times New Roman"/>
          <w:color w:val="000000"/>
          <w:sz w:val="28"/>
          <w:szCs w:val="28"/>
        </w:rPr>
        <w:t>This project wor</w:t>
      </w:r>
      <w:r>
        <w:rPr>
          <w:rFonts w:ascii="Times New Roman" w:cs="Times New Roman" w:hAnsi="Times New Roman"/>
          <w:color w:val="000000"/>
          <w:sz w:val="28"/>
          <w:szCs w:val="28"/>
        </w:rPr>
        <w:t>k is dedicated to Almighty God, T</w:t>
      </w:r>
      <w:r>
        <w:rPr>
          <w:rFonts w:ascii="Times New Roman" w:cs="Times New Roman" w:hAnsi="Times New Roman"/>
          <w:color w:val="000000"/>
          <w:sz w:val="28"/>
          <w:szCs w:val="28"/>
        </w:rPr>
        <w:t>he most gracious and merciful,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who is worthy to be praise, that </w:t>
      </w:r>
      <w:r>
        <w:rPr>
          <w:rFonts w:ascii="Times New Roman" w:cs="Times New Roman" w:hAnsi="Times New Roman"/>
          <w:color w:val="000000"/>
          <w:sz w:val="28"/>
          <w:szCs w:val="28"/>
        </w:rPr>
        <w:t>give</w:t>
      </w:r>
      <w:r>
        <w:rPr>
          <w:rFonts w:ascii="Times New Roman" w:cs="Times New Roman" w:hAnsi="Times New Roman"/>
          <w:color w:val="000000"/>
          <w:sz w:val="28"/>
          <w:szCs w:val="28"/>
        </w:rPr>
        <w:t xml:space="preserve"> me the wisdom, privilege and strength to pass through this programme</w:t>
      </w:r>
    </w:p>
    <w:p>
      <w:pPr>
        <w:pStyle w:val="style0"/>
        <w:spacing w:after="0" w:lineRule="auto" w:line="480"/>
        <w:rPr>
          <w:rFonts w:ascii="Times New Roman" w:cs="Times New Roman" w:hAnsi="Times New Roman"/>
          <w:color w:val="000000"/>
          <w:sz w:val="28"/>
          <w:szCs w:val="28"/>
        </w:rPr>
      </w:pPr>
    </w:p>
    <w:p>
      <w:pPr>
        <w:pStyle w:val="style0"/>
        <w:spacing w:after="0" w:lineRule="auto" w:line="480"/>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ACKNOWLEDGEMENTS</w:t>
      </w:r>
    </w:p>
    <w:p>
      <w:pPr>
        <w:pStyle w:val="style0"/>
        <w:spacing w:after="0" w:lineRule="auto" w:line="480"/>
        <w:rPr>
          <w:rFonts w:ascii="Times New Roman" w:cs="Times New Roman" w:hAnsi="Times New Roman"/>
          <w:b/>
          <w:bCs/>
          <w:color w:val="000000"/>
          <w:sz w:val="28"/>
          <w:szCs w:val="28"/>
        </w:rPr>
      </w:pPr>
      <w:r>
        <w:rPr>
          <w:rFonts w:ascii="Times New Roman" w:cs="Times New Roman" w:hAnsi="Times New Roman"/>
          <w:color w:val="000000"/>
          <w:sz w:val="28"/>
          <w:szCs w:val="28"/>
        </w:rPr>
        <w:t xml:space="preserve">All </w:t>
      </w:r>
      <w:r>
        <w:rPr>
          <w:rFonts w:ascii="Times New Roman" w:cs="Times New Roman" w:hAnsi="Times New Roman"/>
          <w:color w:val="000000"/>
          <w:sz w:val="28"/>
          <w:szCs w:val="28"/>
        </w:rPr>
        <w:t>praises</w:t>
      </w:r>
      <w:r>
        <w:rPr>
          <w:rFonts w:ascii="Times New Roman" w:cs="Times New Roman" w:hAnsi="Times New Roman"/>
          <w:color w:val="000000"/>
          <w:sz w:val="28"/>
          <w:szCs w:val="28"/>
        </w:rPr>
        <w:t>,honor</w:t>
      </w:r>
      <w:r>
        <w:rPr>
          <w:rFonts w:ascii="Times New Roman" w:cs="Times New Roman" w:hAnsi="Times New Roman"/>
          <w:color w:val="000000"/>
          <w:sz w:val="28"/>
          <w:szCs w:val="28"/>
        </w:rPr>
        <w:t xml:space="preserve"> and glory goes to Almighty God for his abundant blessings and protection over me and for giving me the oppo</w:t>
      </w:r>
      <w:r>
        <w:rPr>
          <w:rFonts w:ascii="Times New Roman" w:cs="Times New Roman" w:hAnsi="Times New Roman"/>
          <w:color w:val="000000"/>
          <w:sz w:val="28"/>
          <w:szCs w:val="28"/>
        </w:rPr>
        <w:t>rtunity to produce this project</w:t>
      </w:r>
    </w:p>
    <w:p>
      <w:pPr>
        <w:pStyle w:val="style0"/>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t xml:space="preserve">To my loving </w:t>
      </w:r>
      <w:r>
        <w:rPr>
          <w:rFonts w:ascii="Times New Roman" w:cs="Times New Roman" w:hAnsi="Times New Roman"/>
          <w:color w:val="000000"/>
          <w:sz w:val="28"/>
          <w:szCs w:val="28"/>
        </w:rPr>
        <w:t>parents</w:t>
      </w:r>
      <w:r>
        <w:rPr>
          <w:rFonts w:ascii="Times New Roman" w:cs="Times New Roman" w:hAnsi="Times New Roman"/>
          <w:color w:val="000000"/>
          <w:sz w:val="28"/>
          <w:szCs w:val="28"/>
        </w:rPr>
        <w:t>,Mr</w:t>
      </w:r>
      <w:r>
        <w:rPr>
          <w:rFonts w:ascii="Times New Roman" w:cs="Times New Roman" w:hAnsi="Times New Roman"/>
          <w:color w:val="000000"/>
          <w:sz w:val="28"/>
          <w:szCs w:val="28"/>
        </w:rPr>
        <w:t xml:space="preserve"> and </w:t>
      </w:r>
      <w:r>
        <w:rPr>
          <w:rFonts w:ascii="Times New Roman" w:cs="Times New Roman" w:hAnsi="Times New Roman"/>
          <w:color w:val="000000"/>
          <w:sz w:val="28"/>
          <w:szCs w:val="28"/>
        </w:rPr>
        <w:t>Mrs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AKOLADE,i</w:t>
      </w:r>
      <w:r>
        <w:rPr>
          <w:rFonts w:ascii="Times New Roman" w:cs="Times New Roman" w:hAnsi="Times New Roman"/>
          <w:color w:val="000000"/>
          <w:sz w:val="28"/>
          <w:szCs w:val="28"/>
        </w:rPr>
        <w:t xml:space="preserve"> owe u an </w:t>
      </w:r>
      <w:r>
        <w:rPr>
          <w:rFonts w:ascii="Times New Roman" w:cs="Times New Roman" w:hAnsi="Times New Roman"/>
          <w:color w:val="000000"/>
          <w:sz w:val="28"/>
          <w:szCs w:val="28"/>
        </w:rPr>
        <w:t>unpayable</w:t>
      </w:r>
      <w:r>
        <w:rPr>
          <w:rFonts w:ascii="Times New Roman" w:cs="Times New Roman" w:hAnsi="Times New Roman"/>
          <w:color w:val="000000"/>
          <w:sz w:val="28"/>
          <w:szCs w:val="28"/>
        </w:rPr>
        <w:t xml:space="preserve"> debt of </w:t>
      </w:r>
      <w:r>
        <w:rPr>
          <w:rFonts w:ascii="Times New Roman" w:cs="Times New Roman" w:hAnsi="Times New Roman"/>
          <w:color w:val="000000"/>
          <w:sz w:val="28"/>
          <w:szCs w:val="28"/>
        </w:rPr>
        <w:t>gratitude.Your</w:t>
      </w:r>
      <w:r>
        <w:rPr>
          <w:rFonts w:ascii="Times New Roman" w:cs="Times New Roman" w:hAnsi="Times New Roman"/>
          <w:color w:val="000000"/>
          <w:sz w:val="28"/>
          <w:szCs w:val="28"/>
        </w:rPr>
        <w:t xml:space="preserve"> selfless sacrifices, unconditional love and unwavering support have brought me to this </w:t>
      </w:r>
      <w:r>
        <w:rPr>
          <w:rFonts w:ascii="Times New Roman" w:cs="Times New Roman" w:hAnsi="Times New Roman"/>
          <w:color w:val="000000"/>
          <w:sz w:val="28"/>
          <w:szCs w:val="28"/>
        </w:rPr>
        <w:t>milestone.Every</w:t>
      </w:r>
      <w:r>
        <w:rPr>
          <w:rFonts w:ascii="Times New Roman" w:cs="Times New Roman" w:hAnsi="Times New Roman"/>
          <w:color w:val="000000"/>
          <w:sz w:val="28"/>
          <w:szCs w:val="28"/>
        </w:rPr>
        <w:t xml:space="preserve"> step </w:t>
      </w:r>
      <w:r>
        <w:rPr>
          <w:rFonts w:ascii="Times New Roman" w:cs="Times New Roman" w:hAnsi="Times New Roman"/>
          <w:color w:val="000000"/>
          <w:sz w:val="28"/>
          <w:szCs w:val="28"/>
        </w:rPr>
        <w:t>i</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take,every</w:t>
      </w:r>
      <w:r>
        <w:rPr>
          <w:rFonts w:ascii="Times New Roman" w:cs="Times New Roman" w:hAnsi="Times New Roman"/>
          <w:color w:val="000000"/>
          <w:sz w:val="28"/>
          <w:szCs w:val="28"/>
        </w:rPr>
        <w:t xml:space="preserve"> achievement </w:t>
      </w:r>
      <w:r>
        <w:rPr>
          <w:rFonts w:ascii="Times New Roman" w:cs="Times New Roman" w:hAnsi="Times New Roman"/>
          <w:color w:val="000000"/>
          <w:sz w:val="28"/>
          <w:szCs w:val="28"/>
        </w:rPr>
        <w:t>i</w:t>
      </w:r>
      <w:r>
        <w:rPr>
          <w:rFonts w:ascii="Times New Roman" w:cs="Times New Roman" w:hAnsi="Times New Roman"/>
          <w:color w:val="000000"/>
          <w:sz w:val="28"/>
          <w:szCs w:val="28"/>
        </w:rPr>
        <w:t xml:space="preserve"> make is a testament to your dedication and hard </w:t>
      </w:r>
      <w:r>
        <w:rPr>
          <w:rFonts w:ascii="Times New Roman" w:cs="Times New Roman" w:hAnsi="Times New Roman"/>
          <w:color w:val="000000"/>
          <w:sz w:val="28"/>
          <w:szCs w:val="28"/>
        </w:rPr>
        <w:t>work.Thank</w:t>
      </w:r>
      <w:r>
        <w:rPr>
          <w:rFonts w:ascii="Times New Roman" w:cs="Times New Roman" w:hAnsi="Times New Roman"/>
          <w:color w:val="000000"/>
          <w:sz w:val="28"/>
          <w:szCs w:val="28"/>
        </w:rPr>
        <w:t xml:space="preserve"> you for believing in me and providing me with the opportunities to pursue my </w:t>
      </w:r>
      <w:r>
        <w:rPr>
          <w:rFonts w:ascii="Times New Roman" w:cs="Times New Roman" w:hAnsi="Times New Roman"/>
          <w:color w:val="000000"/>
          <w:sz w:val="28"/>
          <w:szCs w:val="28"/>
        </w:rPr>
        <w:t>dre</w:t>
      </w:r>
      <w:r>
        <w:rPr>
          <w:rFonts w:ascii="Times New Roman" w:cs="Times New Roman" w:hAnsi="Times New Roman"/>
          <w:color w:val="000000"/>
          <w:sz w:val="28"/>
          <w:szCs w:val="28"/>
        </w:rPr>
        <w:t>ams.Thank</w:t>
      </w:r>
      <w:r>
        <w:rPr>
          <w:rFonts w:ascii="Times New Roman" w:cs="Times New Roman" w:hAnsi="Times New Roman"/>
          <w:color w:val="000000"/>
          <w:sz w:val="28"/>
          <w:szCs w:val="28"/>
        </w:rPr>
        <w:t xml:space="preserve"> you for being my rock</w:t>
      </w:r>
    </w:p>
    <w:p>
      <w:pPr>
        <w:pStyle w:val="style0"/>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t xml:space="preserve">To my esteemed project </w:t>
      </w:r>
      <w:r>
        <w:rPr>
          <w:rFonts w:ascii="Times New Roman" w:cs="Times New Roman" w:hAnsi="Times New Roman"/>
          <w:color w:val="000000"/>
          <w:sz w:val="28"/>
          <w:szCs w:val="28"/>
        </w:rPr>
        <w:t>supervisor</w:t>
      </w:r>
      <w:r>
        <w:rPr>
          <w:rFonts w:ascii="Times New Roman" w:cs="Times New Roman" w:hAnsi="Times New Roman"/>
          <w:color w:val="000000"/>
          <w:sz w:val="28"/>
          <w:szCs w:val="28"/>
        </w:rPr>
        <w:t>,Mrs</w:t>
      </w:r>
      <w:r>
        <w:rPr>
          <w:rFonts w:ascii="Times New Roman" w:cs="Times New Roman" w:hAnsi="Times New Roman"/>
          <w:color w:val="000000"/>
          <w:sz w:val="28"/>
          <w:szCs w:val="28"/>
        </w:rPr>
        <w:t xml:space="preserve"> Ahmed T(HOU)</w:t>
      </w:r>
      <w:r>
        <w:rPr>
          <w:rFonts w:ascii="Times New Roman" w:cs="Times New Roman" w:hAnsi="Times New Roman"/>
          <w:color w:val="000000"/>
          <w:sz w:val="28"/>
          <w:szCs w:val="28"/>
        </w:rPr>
        <w:t>i</w:t>
      </w:r>
      <w:r>
        <w:rPr>
          <w:rFonts w:ascii="Times New Roman" w:cs="Times New Roman" w:hAnsi="Times New Roman"/>
          <w:color w:val="000000"/>
          <w:sz w:val="28"/>
          <w:szCs w:val="28"/>
        </w:rPr>
        <w:t xml:space="preserve"> am grateful for your expert guidance, patience and unwavering support throughout this </w:t>
      </w:r>
      <w:r>
        <w:rPr>
          <w:rFonts w:ascii="Times New Roman" w:cs="Times New Roman" w:hAnsi="Times New Roman"/>
          <w:color w:val="000000"/>
          <w:sz w:val="28"/>
          <w:szCs w:val="28"/>
        </w:rPr>
        <w:t>journey.You</w:t>
      </w:r>
      <w:r>
        <w:rPr>
          <w:rFonts w:ascii="Times New Roman" w:cs="Times New Roman" w:hAnsi="Times New Roman"/>
          <w:color w:val="000000"/>
          <w:sz w:val="28"/>
          <w:szCs w:val="28"/>
        </w:rPr>
        <w:t xml:space="preserve"> have been the source of inspiration to me for your unrelenting efforts, guidance and support towards the completion of this project </w:t>
      </w:r>
      <w:r>
        <w:rPr>
          <w:rFonts w:ascii="Times New Roman" w:cs="Times New Roman" w:hAnsi="Times New Roman"/>
          <w:color w:val="000000"/>
          <w:sz w:val="28"/>
          <w:szCs w:val="28"/>
        </w:rPr>
        <w:t>work.Special</w:t>
      </w:r>
      <w:r>
        <w:rPr>
          <w:rFonts w:ascii="Times New Roman" w:cs="Times New Roman" w:hAnsi="Times New Roman"/>
          <w:color w:val="000000"/>
          <w:sz w:val="28"/>
          <w:szCs w:val="28"/>
        </w:rPr>
        <w:t xml:space="preserve"> thanks go to all the lectures in institute of Applied science for their impact and the great job they have done to make me who I'm </w:t>
      </w:r>
      <w:r>
        <w:rPr>
          <w:rFonts w:ascii="Times New Roman" w:cs="Times New Roman" w:hAnsi="Times New Roman"/>
          <w:color w:val="000000"/>
          <w:sz w:val="28"/>
          <w:szCs w:val="28"/>
        </w:rPr>
        <w:t>today.May</w:t>
      </w:r>
      <w:r>
        <w:rPr>
          <w:rFonts w:ascii="Times New Roman" w:cs="Times New Roman" w:hAnsi="Times New Roman"/>
          <w:color w:val="000000"/>
          <w:sz w:val="28"/>
          <w:szCs w:val="28"/>
        </w:rPr>
        <w:t xml:space="preserve"> Almighty increase and enrich yo</w:t>
      </w:r>
      <w:r>
        <w:rPr>
          <w:rFonts w:ascii="Times New Roman" w:cs="Times New Roman" w:hAnsi="Times New Roman"/>
          <w:color w:val="000000"/>
          <w:sz w:val="28"/>
          <w:szCs w:val="28"/>
        </w:rPr>
        <w:t>ur intellectual reservoir(Amen)</w:t>
      </w:r>
    </w:p>
    <w:p>
      <w:pPr>
        <w:pStyle w:val="style0"/>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t xml:space="preserve">I am also indebted to my siblings </w:t>
      </w:r>
      <w:r>
        <w:rPr>
          <w:rFonts w:ascii="Times New Roman" w:cs="Times New Roman" w:hAnsi="Times New Roman"/>
          <w:color w:val="000000"/>
          <w:sz w:val="28"/>
          <w:szCs w:val="28"/>
        </w:rPr>
        <w:t>Oluwatosin</w:t>
      </w:r>
      <w:r>
        <w:rPr>
          <w:rFonts w:ascii="Times New Roman" w:cs="Times New Roman" w:hAnsi="Times New Roman"/>
          <w:color w:val="000000"/>
          <w:sz w:val="28"/>
          <w:szCs w:val="28"/>
        </w:rPr>
        <w:t>,Omowumi,Modupeola</w:t>
      </w:r>
      <w:r>
        <w:rPr>
          <w:rFonts w:ascii="Times New Roman" w:cs="Times New Roman" w:hAnsi="Times New Roman"/>
          <w:color w:val="000000"/>
          <w:sz w:val="28"/>
          <w:szCs w:val="28"/>
        </w:rPr>
        <w:t xml:space="preserve"> and </w:t>
      </w:r>
      <w:r>
        <w:rPr>
          <w:rFonts w:ascii="Times New Roman" w:cs="Times New Roman" w:hAnsi="Times New Roman"/>
          <w:color w:val="000000"/>
          <w:sz w:val="28"/>
          <w:szCs w:val="28"/>
        </w:rPr>
        <w:t>Ademola</w:t>
      </w:r>
      <w:r>
        <w:rPr>
          <w:rFonts w:ascii="Times New Roman" w:cs="Times New Roman" w:hAnsi="Times New Roman"/>
          <w:color w:val="000000"/>
          <w:sz w:val="28"/>
          <w:szCs w:val="28"/>
        </w:rPr>
        <w:t xml:space="preserve"> for their support and valuable impaction and useful advices offer to me as a </w:t>
      </w:r>
      <w:r>
        <w:rPr>
          <w:rFonts w:ascii="Times New Roman" w:cs="Times New Roman" w:hAnsi="Times New Roman"/>
          <w:color w:val="000000"/>
          <w:sz w:val="28"/>
          <w:szCs w:val="28"/>
        </w:rPr>
        <w:t>student.Your</w:t>
      </w:r>
      <w:r>
        <w:rPr>
          <w:rFonts w:ascii="Times New Roman" w:cs="Times New Roman" w:hAnsi="Times New Roman"/>
          <w:color w:val="000000"/>
          <w:sz w:val="28"/>
          <w:szCs w:val="28"/>
        </w:rPr>
        <w:t xml:space="preserve"> encouragement has given me the strength to overcome challenges a</w:t>
      </w:r>
      <w:r>
        <w:rPr>
          <w:rFonts w:ascii="Times New Roman" w:cs="Times New Roman" w:hAnsi="Times New Roman"/>
          <w:color w:val="000000"/>
          <w:sz w:val="28"/>
          <w:szCs w:val="28"/>
        </w:rPr>
        <w:t>nd pursue excellence in my work</w:t>
      </w:r>
    </w:p>
    <w:p>
      <w:pPr>
        <w:pStyle w:val="style0"/>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t xml:space="preserve">I want to take a moment to express my deepest appreciation to my friend, Hammed </w:t>
      </w:r>
      <w:r>
        <w:rPr>
          <w:rFonts w:ascii="Times New Roman" w:cs="Times New Roman" w:hAnsi="Times New Roman"/>
          <w:color w:val="000000"/>
          <w:sz w:val="28"/>
          <w:szCs w:val="28"/>
        </w:rPr>
        <w:t>semihat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Ajike</w:t>
      </w:r>
      <w:r>
        <w:rPr>
          <w:rFonts w:ascii="Times New Roman" w:cs="Times New Roman" w:hAnsi="Times New Roman"/>
          <w:color w:val="000000"/>
          <w:sz w:val="28"/>
          <w:szCs w:val="28"/>
        </w:rPr>
        <w:t xml:space="preserve"> for her endless love and </w:t>
      </w:r>
      <w:r>
        <w:rPr>
          <w:rFonts w:ascii="Times New Roman" w:cs="Times New Roman" w:hAnsi="Times New Roman"/>
          <w:color w:val="000000"/>
          <w:sz w:val="28"/>
          <w:szCs w:val="28"/>
        </w:rPr>
        <w:t>support.Your</w:t>
      </w:r>
      <w:r>
        <w:rPr>
          <w:rFonts w:ascii="Times New Roman" w:cs="Times New Roman" w:hAnsi="Times New Roman"/>
          <w:color w:val="000000"/>
          <w:sz w:val="28"/>
          <w:szCs w:val="28"/>
        </w:rPr>
        <w:t xml:space="preserve"> believe in me has been a source of strength and </w:t>
      </w:r>
      <w:r>
        <w:rPr>
          <w:rFonts w:ascii="Times New Roman" w:cs="Times New Roman" w:hAnsi="Times New Roman"/>
          <w:color w:val="000000"/>
          <w:sz w:val="28"/>
          <w:szCs w:val="28"/>
        </w:rPr>
        <w:t>i</w:t>
      </w:r>
      <w:r>
        <w:rPr>
          <w:rFonts w:ascii="Times New Roman" w:cs="Times New Roman" w:hAnsi="Times New Roman"/>
          <w:color w:val="000000"/>
          <w:sz w:val="28"/>
          <w:szCs w:val="28"/>
        </w:rPr>
        <w:t xml:space="preserve"> am grateful for your encouragement through every </w:t>
      </w:r>
      <w:r>
        <w:rPr>
          <w:rFonts w:ascii="Times New Roman" w:cs="Times New Roman" w:hAnsi="Times New Roman"/>
          <w:color w:val="000000"/>
          <w:sz w:val="28"/>
          <w:szCs w:val="28"/>
        </w:rPr>
        <w:t>challenge.You</w:t>
      </w:r>
      <w:r>
        <w:rPr>
          <w:rFonts w:ascii="Times New Roman" w:cs="Times New Roman" w:hAnsi="Times New Roman"/>
          <w:color w:val="000000"/>
          <w:sz w:val="28"/>
          <w:szCs w:val="28"/>
        </w:rPr>
        <w:t xml:space="preserve"> have made this </w:t>
      </w:r>
      <w:r>
        <w:rPr>
          <w:rFonts w:ascii="Times New Roman" w:cs="Times New Roman" w:hAnsi="Times New Roman"/>
          <w:color w:val="000000"/>
          <w:sz w:val="28"/>
          <w:szCs w:val="28"/>
        </w:rPr>
        <w:t>journey memorable and enjoyable</w:t>
      </w:r>
    </w:p>
    <w:p>
      <w:pPr>
        <w:pStyle w:val="style0"/>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t xml:space="preserve">I own a lot of gratitude to numerous individuals which is fully </w:t>
      </w:r>
      <w:r>
        <w:rPr>
          <w:rFonts w:ascii="Times New Roman" w:cs="Times New Roman" w:hAnsi="Times New Roman"/>
          <w:color w:val="000000"/>
          <w:sz w:val="28"/>
          <w:szCs w:val="28"/>
        </w:rPr>
        <w:t>appreciated.I</w:t>
      </w:r>
      <w:r>
        <w:rPr>
          <w:rFonts w:ascii="Times New Roman" w:cs="Times New Roman" w:hAnsi="Times New Roman"/>
          <w:color w:val="000000"/>
          <w:sz w:val="28"/>
          <w:szCs w:val="28"/>
        </w:rPr>
        <w:t xml:space="preserve"> acknowledge with thanks.</w:t>
      </w:r>
    </w:p>
    <w:p>
      <w:pPr>
        <w:pStyle w:val="style0"/>
        <w:spacing w:lineRule="auto" w:line="480"/>
        <w:rPr>
          <w:rFonts w:ascii="Times New Roman" w:cs="Times New Roman" w:hAnsi="Times New Roman"/>
          <w:color w:val="000000"/>
          <w:sz w:val="28"/>
          <w:szCs w:val="28"/>
        </w:rPr>
      </w:pPr>
    </w:p>
    <w:p>
      <w:pPr>
        <w:pStyle w:val="style0"/>
        <w:spacing w:lineRule="auto" w:line="480"/>
        <w:rPr>
          <w:rFonts w:ascii="Times New Roman" w:cs="Times New Roman" w:hAnsi="Times New Roman"/>
          <w:color w:val="000000"/>
          <w:sz w:val="28"/>
          <w:szCs w:val="28"/>
        </w:rPr>
      </w:pPr>
    </w:p>
    <w:p>
      <w:pPr>
        <w:pStyle w:val="style0"/>
        <w:spacing w:lineRule="auto" w:line="480"/>
        <w:rPr>
          <w:rFonts w:ascii="Times New Roman" w:cs="Times New Roman" w:hAnsi="Times New Roman"/>
          <w:color w:val="000000"/>
          <w:sz w:val="28"/>
          <w:szCs w:val="28"/>
        </w:rPr>
      </w:pPr>
    </w:p>
    <w:p>
      <w:pPr>
        <w:pStyle w:val="style0"/>
        <w:spacing w:lineRule="auto" w:line="480"/>
        <w:rPr>
          <w:rFonts w:ascii="Times New Roman" w:cs="Times New Roman" w:hAnsi="Times New Roman"/>
          <w:color w:val="000000"/>
          <w:sz w:val="28"/>
          <w:szCs w:val="28"/>
        </w:rPr>
      </w:pPr>
    </w:p>
    <w:p>
      <w:pPr>
        <w:pStyle w:val="style0"/>
        <w:spacing w:lineRule="auto" w:line="480"/>
        <w:rPr>
          <w:rFonts w:ascii="Times New Roman" w:cs="Times New Roman" w:hAnsi="Times New Roman"/>
          <w:color w:val="000000"/>
          <w:sz w:val="28"/>
          <w:szCs w:val="28"/>
        </w:rPr>
      </w:pPr>
    </w:p>
    <w:p>
      <w:pPr>
        <w:pStyle w:val="style266"/>
        <w:jc w:val="center"/>
        <w:rPr>
          <w:rFonts w:ascii="Times New Roman" w:cs="Times New Roman" w:eastAsia="Calibri" w:hAnsi="Times New Roman"/>
          <w:color w:val="auto"/>
          <w:sz w:val="28"/>
          <w:szCs w:val="28"/>
        </w:rPr>
      </w:pPr>
    </w:p>
    <w:p>
      <w:pPr>
        <w:pStyle w:val="style266"/>
        <w:jc w:val="center"/>
        <w:rPr>
          <w:rFonts w:ascii="Times New Roman" w:cs="Times New Roman" w:hAnsi="Times New Roman"/>
          <w:b/>
          <w:color w:val="auto"/>
          <w:sz w:val="28"/>
          <w:szCs w:val="28"/>
        </w:rPr>
      </w:pPr>
      <w:r>
        <w:rPr>
          <w:rFonts w:ascii="Times New Roman" w:cs="Times New Roman" w:hAnsi="Times New Roman"/>
          <w:b/>
          <w:color w:val="auto"/>
          <w:sz w:val="28"/>
          <w:szCs w:val="28"/>
        </w:rPr>
        <w:t>TABLE OF CONTENTS</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TITLE PAGE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CERTIFICATION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DEDICATION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ACKNOWLEDGEMENTS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iv</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TABLE OF CONTENTS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v-vi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LIST OF TABLES                                                                              </w:t>
      </w:r>
      <w:r>
        <w:rPr>
          <w:rFonts w:ascii="Times New Roman" w:cs="Times New Roman" w:hAnsi="Times New Roman"/>
          <w:color w:val="000000"/>
          <w:sz w:val="28"/>
          <w:szCs w:val="28"/>
        </w:rPr>
        <w:tab/>
      </w:r>
      <w:r>
        <w:rPr>
          <w:rFonts w:ascii="Times New Roman" w:cs="Times New Roman" w:hAnsi="Times New Roman"/>
          <w:color w:val="000000"/>
          <w:sz w:val="28"/>
          <w:szCs w:val="28"/>
        </w:rPr>
        <w:t>vii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ABSTRACT                                                                                  </w:t>
      </w:r>
      <w:r>
        <w:rPr>
          <w:rFonts w:ascii="Times New Roman" w:cs="Times New Roman" w:hAnsi="Times New Roman"/>
          <w:color w:val="000000"/>
          <w:sz w:val="28"/>
          <w:szCs w:val="28"/>
        </w:rPr>
        <w:tab/>
      </w:r>
      <w:r>
        <w:rPr>
          <w:rFonts w:ascii="Times New Roman" w:cs="Times New Roman" w:hAnsi="Times New Roman"/>
          <w:color w:val="000000"/>
          <w:sz w:val="28"/>
          <w:szCs w:val="28"/>
        </w:rPr>
        <w:t>viii</w:t>
      </w:r>
    </w:p>
    <w:p>
      <w:pPr>
        <w:pStyle w:val="style19"/>
        <w:tabs>
          <w:tab w:val="right" w:leader="dot" w:pos="9350"/>
        </w:tabs>
        <w:rPr>
          <w:rFonts w:ascii="Times New Roman" w:cs="Times New Roman" w:hAnsi="Times New Roman"/>
          <w:noProof/>
          <w:sz w:val="28"/>
          <w:szCs w:val="28"/>
        </w:rPr>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TOC \o "1-3" \h \z \u </w:instrText>
      </w:r>
      <w:r>
        <w:rPr>
          <w:rFonts w:ascii="Times New Roman" w:cs="Times New Roman" w:hAnsi="Times New Roman"/>
          <w:sz w:val="28"/>
          <w:szCs w:val="28"/>
        </w:rPr>
        <w:fldChar w:fldCharType="separate"/>
      </w:r>
      <w:r>
        <w:rPr/>
        <w:fldChar w:fldCharType="begin"/>
      </w:r>
      <w:r>
        <w:instrText xml:space="preserve"> HYPERLINK \l "_Toc202976447" </w:instrText>
      </w:r>
      <w:r>
        <w:rPr/>
        <w:fldChar w:fldCharType="separate"/>
      </w:r>
      <w:r>
        <w:rPr>
          <w:rStyle w:val="style85"/>
          <w:rFonts w:ascii="Times New Roman" w:cs="Times New Roman" w:hAnsi="Times New Roman"/>
          <w:b/>
          <w:noProof/>
          <w:sz w:val="28"/>
          <w:szCs w:val="28"/>
        </w:rPr>
        <w:t>CHAPTER ONE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_Toc202976447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"_Toc202976448" </w:instrText>
      </w:r>
      <w:r>
        <w:rPr/>
        <w:fldChar w:fldCharType="separate"/>
      </w:r>
      <w:r>
        <w:rPr>
          <w:rStyle w:val="style85"/>
          <w:rFonts w:ascii="Times New Roman" w:cs="Times New Roman" w:hAnsi="Times New Roman"/>
          <w:b/>
          <w:noProof/>
          <w:sz w:val="28"/>
          <w:szCs w:val="28"/>
        </w:rPr>
        <w:t>1.0 INTRODUCTION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_Toc202976448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"_Toc202976449" </w:instrText>
      </w:r>
      <w:r>
        <w:rPr/>
        <w:fldChar w:fldCharType="separate"/>
      </w:r>
      <w:r>
        <w:rPr>
          <w:rStyle w:val="style85"/>
          <w:rFonts w:ascii="Times New Roman" w:cs="Times New Roman" w:hAnsi="Times New Roman"/>
          <w:b/>
          <w:noProof/>
          <w:sz w:val="28"/>
          <w:szCs w:val="28"/>
        </w:rPr>
        <w:t>1.1 Literature Review</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_Toc202976449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"_Toc202976450" </w:instrText>
      </w:r>
      <w:r>
        <w:rPr/>
        <w:fldChar w:fldCharType="separate"/>
      </w:r>
      <w:r>
        <w:rPr>
          <w:rStyle w:val="style85"/>
          <w:rFonts w:ascii="Times New Roman" w:cs="Times New Roman" w:hAnsi="Times New Roman"/>
          <w:b/>
          <w:noProof/>
          <w:sz w:val="28"/>
          <w:szCs w:val="28"/>
        </w:rPr>
        <w:t>1.2 Statement of Problem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10</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"_Toc202976451" </w:instrText>
      </w:r>
      <w:r>
        <w:rPr/>
        <w:fldChar w:fldCharType="separate"/>
      </w:r>
      <w:r>
        <w:rPr>
          <w:rStyle w:val="style85"/>
          <w:rFonts w:ascii="Times New Roman" w:cs="Times New Roman" w:eastAsia="Times New Roman" w:hAnsi="Times New Roman"/>
          <w:b/>
          <w:noProof/>
          <w:sz w:val="28"/>
          <w:szCs w:val="28"/>
        </w:rPr>
        <w:t xml:space="preserve">1.3 </w:t>
      </w:r>
      <w:r>
        <w:rPr>
          <w:rStyle w:val="style85"/>
          <w:rFonts w:ascii="Times New Roman" w:cs="Times New Roman" w:hAnsi="Times New Roman"/>
          <w:b/>
          <w:noProof/>
          <w:sz w:val="28"/>
          <w:szCs w:val="28"/>
        </w:rPr>
        <w:t>Aim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10</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"_Toc202976452" </w:instrText>
      </w:r>
      <w:r>
        <w:rPr/>
        <w:fldChar w:fldCharType="separate"/>
      </w:r>
      <w:r>
        <w:rPr>
          <w:rStyle w:val="style85"/>
          <w:rFonts w:ascii="Times New Roman" w:cs="Times New Roman" w:hAnsi="Times New Roman"/>
          <w:b/>
          <w:noProof/>
          <w:sz w:val="28"/>
          <w:szCs w:val="28"/>
        </w:rPr>
        <w:t>1.4 Objectives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"_Toc202976453" </w:instrText>
      </w:r>
      <w:r>
        <w:rPr/>
        <w:fldChar w:fldCharType="separate"/>
      </w:r>
      <w:r>
        <w:rPr>
          <w:rStyle w:val="style85"/>
          <w:rFonts w:ascii="Times New Roman" w:cs="Times New Roman" w:eastAsia="Times New Roman" w:hAnsi="Times New Roman"/>
          <w:b/>
          <w:noProof/>
          <w:sz w:val="28"/>
          <w:szCs w:val="28"/>
        </w:rPr>
        <w:t>CHAPTER TWO</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"_Toc202976454" </w:instrText>
      </w:r>
      <w:r>
        <w:rPr/>
        <w:fldChar w:fldCharType="separate"/>
      </w:r>
      <w:r>
        <w:rPr>
          <w:rStyle w:val="style85"/>
          <w:rFonts w:ascii="Times New Roman" w:cs="Times New Roman" w:eastAsia="Times New Roman" w:hAnsi="Times New Roman"/>
          <w:b/>
          <w:noProof/>
          <w:sz w:val="28"/>
          <w:szCs w:val="28"/>
        </w:rPr>
        <w:t>2.0 Materials and Methods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"_Toc202976455" </w:instrText>
      </w:r>
      <w:r>
        <w:rPr/>
        <w:fldChar w:fldCharType="separate"/>
      </w:r>
      <w:r>
        <w:rPr>
          <w:rStyle w:val="style85"/>
          <w:rFonts w:ascii="Times New Roman" w:cs="Times New Roman" w:eastAsia="Times New Roman" w:hAnsi="Times New Roman"/>
          <w:noProof/>
          <w:sz w:val="28"/>
          <w:szCs w:val="28"/>
        </w:rPr>
        <w:t>2.1 Materials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"_Toc202976456" </w:instrText>
      </w:r>
      <w:r>
        <w:rPr/>
        <w:fldChar w:fldCharType="separate"/>
      </w:r>
      <w:r>
        <w:rPr>
          <w:rStyle w:val="style85"/>
          <w:rFonts w:ascii="Times New Roman" w:cs="Times New Roman" w:eastAsia="Times New Roman" w:hAnsi="Times New Roman"/>
          <w:noProof/>
          <w:sz w:val="28"/>
          <w:szCs w:val="28"/>
        </w:rPr>
        <w:t>2.1.1 Media and Reagents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"_Toc202976457" </w:instrText>
      </w:r>
      <w:r>
        <w:rPr/>
        <w:fldChar w:fldCharType="separate"/>
      </w:r>
      <w:r>
        <w:rPr>
          <w:rStyle w:val="style85"/>
          <w:rFonts w:ascii="Times New Roman" w:cs="Times New Roman" w:eastAsia="Times New Roman" w:hAnsi="Times New Roman"/>
          <w:noProof/>
          <w:sz w:val="28"/>
          <w:szCs w:val="28"/>
        </w:rPr>
        <w:t>2.2 Sample Collection and Treatment</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"_Toc202976458" </w:instrText>
      </w:r>
      <w:r>
        <w:rPr/>
        <w:fldChar w:fldCharType="separate"/>
      </w:r>
      <w:r>
        <w:rPr>
          <w:rStyle w:val="style85"/>
          <w:rFonts w:ascii="Times New Roman" w:cs="Times New Roman" w:eastAsia="Times New Roman" w:hAnsi="Times New Roman"/>
          <w:noProof/>
          <w:sz w:val="28"/>
          <w:szCs w:val="28"/>
        </w:rPr>
        <w:t>2.3 pH Determination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"_Toc202976459" </w:instrText>
      </w:r>
      <w:r>
        <w:rPr/>
        <w:fldChar w:fldCharType="separate"/>
      </w:r>
      <w:r>
        <w:rPr>
          <w:rStyle w:val="style85"/>
          <w:rFonts w:ascii="Times New Roman" w:cs="Times New Roman" w:eastAsia="Times New Roman" w:hAnsi="Times New Roman"/>
          <w:noProof/>
          <w:sz w:val="28"/>
          <w:szCs w:val="28"/>
        </w:rPr>
        <w:t>2.4 Preparation of Media</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"_Toc202976460" </w:instrText>
      </w:r>
      <w:r>
        <w:rPr/>
        <w:fldChar w:fldCharType="separate"/>
      </w:r>
      <w:r>
        <w:rPr>
          <w:rStyle w:val="style85"/>
          <w:rFonts w:ascii="Times New Roman" w:cs="Times New Roman" w:eastAsia="Times New Roman" w:hAnsi="Times New Roman"/>
          <w:noProof/>
          <w:sz w:val="28"/>
          <w:szCs w:val="28"/>
        </w:rPr>
        <w:t>2.5 Isolation of Fungi</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15</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"_Toc202976461" </w:instrText>
      </w:r>
      <w:r>
        <w:rPr/>
        <w:fldChar w:fldCharType="separate"/>
      </w:r>
      <w:r>
        <w:rPr>
          <w:rStyle w:val="style85"/>
          <w:rFonts w:ascii="Times New Roman" w:cs="Times New Roman" w:eastAsia="Times New Roman" w:hAnsi="Times New Roman"/>
          <w:noProof/>
          <w:sz w:val="28"/>
          <w:szCs w:val="28"/>
        </w:rPr>
        <w:t>2.6 Identification of Fungal Growth</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15</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"_Toc202976463" </w:instrText>
      </w:r>
      <w:r>
        <w:rPr/>
        <w:fldChar w:fldCharType="separate"/>
      </w:r>
      <w:r>
        <w:rPr>
          <w:rStyle w:val="style85"/>
          <w:rFonts w:ascii="Times New Roman" w:cs="Times New Roman" w:eastAsia="Times New Roman" w:hAnsi="Times New Roman"/>
          <w:b/>
          <w:noProof/>
          <w:sz w:val="28"/>
          <w:szCs w:val="28"/>
        </w:rPr>
        <w:t>CHAPTER THREE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"_Toc202976464" </w:instrText>
      </w:r>
      <w:r>
        <w:rPr/>
        <w:fldChar w:fldCharType="separate"/>
      </w:r>
      <w:r>
        <w:rPr>
          <w:rStyle w:val="style85"/>
          <w:rFonts w:ascii="Times New Roman" w:cs="Times New Roman" w:hAnsi="Times New Roman"/>
          <w:b/>
          <w:noProof/>
          <w:sz w:val="28"/>
          <w:szCs w:val="28"/>
        </w:rPr>
        <w:t>3.0 RESULTS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"_Toc202976465" </w:instrText>
      </w:r>
      <w:r>
        <w:rPr/>
        <w:fldChar w:fldCharType="separate"/>
      </w:r>
      <w:r>
        <w:rPr>
          <w:rStyle w:val="style85"/>
          <w:rFonts w:ascii="Times New Roman" w:cs="Times New Roman" w:hAnsi="Times New Roman"/>
          <w:bCs/>
          <w:noProof/>
          <w:sz w:val="28"/>
          <w:szCs w:val="28"/>
        </w:rPr>
        <w:t>3.1 pH of Soil Samples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"_Toc202976467" </w:instrText>
      </w:r>
      <w:r>
        <w:rPr/>
        <w:fldChar w:fldCharType="separate"/>
      </w:r>
      <w:r>
        <w:rPr>
          <w:rStyle w:val="style85"/>
          <w:rFonts w:ascii="Times New Roman" w:cs="Times New Roman" w:hAnsi="Times New Roman"/>
          <w:bCs/>
          <w:noProof/>
          <w:sz w:val="28"/>
          <w:szCs w:val="28"/>
        </w:rPr>
        <w:t>3.2 Fungal Colony Characteristics and Enumeration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"_Toc202976469" </w:instrText>
      </w:r>
      <w:r>
        <w:rPr/>
        <w:fldChar w:fldCharType="separate"/>
      </w:r>
      <w:r>
        <w:rPr>
          <w:rStyle w:val="style85"/>
          <w:rFonts w:ascii="Times New Roman" w:cs="Times New Roman" w:hAnsi="Times New Roman"/>
          <w:noProof/>
          <w:sz w:val="28"/>
          <w:szCs w:val="28"/>
        </w:rPr>
        <w:t>3.3 Fungal Observation and Colony Count in Control Soil Samples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"_Toc202976471" </w:instrText>
      </w:r>
      <w:r>
        <w:rPr/>
        <w:fldChar w:fldCharType="separate"/>
      </w:r>
      <w:r>
        <w:rPr>
          <w:rStyle w:val="style85"/>
          <w:rFonts w:ascii="Times New Roman" w:cs="Times New Roman" w:hAnsi="Times New Roman"/>
          <w:b/>
          <w:noProof/>
          <w:sz w:val="28"/>
          <w:szCs w:val="28"/>
        </w:rPr>
        <w:t>CHAPTER FOUR</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_Toc202976471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"_Toc202976472" </w:instrText>
      </w:r>
      <w:r>
        <w:rPr/>
        <w:fldChar w:fldCharType="separate"/>
      </w:r>
      <w:r>
        <w:rPr>
          <w:rStyle w:val="style85"/>
          <w:rFonts w:ascii="Times New Roman" w:cs="Times New Roman" w:hAnsi="Times New Roman"/>
          <w:b/>
          <w:noProof/>
          <w:sz w:val="28"/>
          <w:szCs w:val="28"/>
        </w:rPr>
        <w:t>4.0 DISCUSSION AND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_Toc202976472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"_Toc202976473" </w:instrText>
      </w:r>
      <w:r>
        <w:rPr/>
        <w:fldChar w:fldCharType="separate"/>
      </w:r>
      <w:r>
        <w:rPr>
          <w:rStyle w:val="style85"/>
          <w:rFonts w:ascii="Times New Roman" w:cs="Times New Roman" w:hAnsi="Times New Roman"/>
          <w:b/>
          <w:noProof/>
          <w:sz w:val="28"/>
          <w:szCs w:val="28"/>
        </w:rPr>
        <w:t>4.1 DISCUSSION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_Toc202976473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"_Toc202976474" </w:instrText>
      </w:r>
      <w:r>
        <w:rPr/>
        <w:fldChar w:fldCharType="separate"/>
      </w:r>
      <w:r>
        <w:rPr>
          <w:rStyle w:val="style85"/>
          <w:rFonts w:ascii="Times New Roman" w:cs="Times New Roman" w:hAnsi="Times New Roman"/>
          <w:b/>
          <w:noProof/>
          <w:sz w:val="28"/>
          <w:szCs w:val="28"/>
        </w:rPr>
        <w:t>4.2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_Toc202976474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"_Toc202976475" </w:instrText>
      </w:r>
      <w:r>
        <w:rPr/>
        <w:fldChar w:fldCharType="separate"/>
      </w:r>
      <w:r>
        <w:rPr>
          <w:rStyle w:val="style85"/>
          <w:rFonts w:ascii="Times New Roman" w:cs="Times New Roman" w:hAnsi="Times New Roman"/>
          <w:b/>
          <w:noProof/>
          <w:sz w:val="28"/>
          <w:szCs w:val="28"/>
        </w:rPr>
        <w:t>REFERENCES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_Toc202976475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28</w:t>
      </w:r>
      <w:r>
        <w:rPr>
          <w:rFonts w:ascii="Times New Roman" w:cs="Times New Roman" w:hAnsi="Times New Roman"/>
          <w:noProof/>
          <w:webHidden/>
          <w:sz w:val="28"/>
          <w:szCs w:val="28"/>
        </w:rPr>
        <w:fldChar w:fldCharType="end"/>
      </w:r>
      <w:r>
        <w:rPr/>
        <w:fldChar w:fldCharType="end"/>
      </w:r>
    </w:p>
    <w:p>
      <w:pPr>
        <w:pStyle w:val="style0"/>
        <w:rPr/>
      </w:pPr>
      <w:r>
        <w:rPr>
          <w:rFonts w:ascii="Times New Roman" w:cs="Times New Roman" w:hAnsi="Times New Roman"/>
          <w:b/>
          <w:bCs/>
          <w:noProof/>
          <w:sz w:val="28"/>
          <w:szCs w:val="28"/>
        </w:rPr>
        <w:fldChar w:fldCharType="end"/>
      </w:r>
    </w:p>
    <w:p>
      <w:pPr>
        <w:pStyle w:val="style0"/>
        <w:jc w:val="both"/>
        <w:rPr>
          <w:rFonts w:ascii="Times New Roman" w:cs="Times New Roman" w:hAnsi="Times New Roman"/>
          <w:b/>
          <w:sz w:val="28"/>
          <w:szCs w:val="28"/>
        </w:rPr>
      </w:pP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LIST OF TABLES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Table 3.1: pH Values of Treated and Control Soil Samples……………18</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Table 3.2: Fungal Observation and Colony Count in Treated Soil Samples…………………………………………………………………….19</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Table 3.3: Fungal Observation and Colony Count in Control Soil Sample……………………………………………………………………21</w:t>
      </w:r>
    </w:p>
    <w:p>
      <w:pPr>
        <w:pStyle w:val="style0"/>
        <w:spacing w:lineRule="auto" w:line="480"/>
        <w:jc w:val="both"/>
        <w:rPr>
          <w:rFonts w:ascii="Times New Roman" w:cs="Times New Roman" w:hAnsi="Times New Roman"/>
          <w:b/>
          <w:sz w:val="28"/>
          <w:szCs w:val="28"/>
        </w:rPr>
      </w:pP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ABSTRACT</w:t>
      </w:r>
    </w:p>
    <w:p>
      <w:pPr>
        <w:pStyle w:val="style0"/>
        <w:spacing w:lineRule="auto" w:line="480"/>
        <w:jc w:val="both"/>
        <w:rPr>
          <w:rFonts w:ascii="Times New Roman" w:cs="Times New Roman" w:hAnsi="Times New Roman"/>
          <w:i/>
          <w:sz w:val="28"/>
          <w:szCs w:val="28"/>
        </w:rPr>
        <w:sectPr>
          <w:footerReference w:type="default" r:id="rId3"/>
          <w:pgSz w:w="11520" w:h="14400" w:orient="portrait"/>
          <w:pgMar w:top="1440" w:right="1440" w:bottom="1440" w:left="1440" w:header="706" w:footer="706" w:gutter="0"/>
          <w:pgNumType w:fmt="lowerRoman" w:start="1"/>
          <w:cols w:space="708"/>
          <w:docGrid w:linePitch="360"/>
        </w:sectPr>
      </w:pPr>
      <w:r>
        <w:rPr>
          <w:rFonts w:ascii="Times New Roman" w:cs="Times New Roman" w:hAnsi="Times New Roman"/>
          <w:i/>
          <w:sz w:val="28"/>
          <w:szCs w:val="28"/>
        </w:rPr>
        <w:t xml:space="preserve">Fungicides are widely used in agriculture to control plant diseases; however, their unintended effects on non-target soil fungi (the </w:t>
      </w:r>
      <w:r>
        <w:rPr>
          <w:rFonts w:ascii="Times New Roman" w:cs="Times New Roman" w:hAnsi="Times New Roman"/>
          <w:i/>
          <w:sz w:val="28"/>
          <w:szCs w:val="28"/>
        </w:rPr>
        <w:t>mycobiome</w:t>
      </w:r>
      <w:r>
        <w:rPr>
          <w:rFonts w:ascii="Times New Roman" w:cs="Times New Roman" w:hAnsi="Times New Roman"/>
          <w:i/>
          <w:sz w:val="28"/>
          <w:szCs w:val="28"/>
        </w:rPr>
        <w:t xml:space="preserve">) raise significant ecological concerns. This study assessed the impact of five fungicides—Blast Force, Stampede, </w:t>
      </w:r>
      <w:r>
        <w:rPr>
          <w:rFonts w:ascii="Times New Roman" w:cs="Times New Roman" w:hAnsi="Times New Roman"/>
          <w:i/>
          <w:sz w:val="28"/>
          <w:szCs w:val="28"/>
        </w:rPr>
        <w:t>Ultimax</w:t>
      </w:r>
      <w:r>
        <w:rPr>
          <w:rFonts w:ascii="Times New Roman" w:cs="Times New Roman" w:hAnsi="Times New Roman"/>
          <w:i/>
          <w:sz w:val="28"/>
          <w:szCs w:val="28"/>
        </w:rPr>
        <w:t xml:space="preserve"> Plus, Red Force, and Total Force—on soil fungal diversity and compo</w:t>
      </w:r>
      <w:bookmarkStart w:id="0" w:name="_GoBack"/>
      <w:bookmarkEnd w:id="0"/>
      <w:r>
        <w:rPr>
          <w:rFonts w:ascii="Times New Roman" w:cs="Times New Roman" w:hAnsi="Times New Roman"/>
          <w:i/>
          <w:sz w:val="28"/>
          <w:szCs w:val="28"/>
        </w:rPr>
        <w:t xml:space="preserve">sition across five locations. Both treated and control soil samples were analyzed for pH, fungal colony morphology, and species abundance using standard procedures. Results showed minimal changes in soil pH (ranging from 6.0 to 4.96). Fungal colony counts in treated soils ranged from 2 to 198 colonies, whereas control samples ranged from 2 to 36 colonies. Despite the variations in count, treated soils exhibited significant shifts in fungal community composition. A marked reduction was observed in the diversity of </w:t>
      </w:r>
      <w:r>
        <w:rPr>
          <w:rFonts w:ascii="Times New Roman" w:cs="Times New Roman" w:hAnsi="Times New Roman"/>
          <w:i/>
          <w:iCs/>
          <w:sz w:val="28"/>
          <w:szCs w:val="28"/>
        </w:rPr>
        <w:t>Penicillium</w:t>
      </w:r>
      <w:r>
        <w:rPr>
          <w:rFonts w:ascii="Times New Roman" w:cs="Times New Roman" w:hAnsi="Times New Roman"/>
          <w:i/>
          <w:sz w:val="28"/>
          <w:szCs w:val="28"/>
        </w:rPr>
        <w:t xml:space="preserve"> and </w:t>
      </w:r>
      <w:r>
        <w:rPr>
          <w:rFonts w:ascii="Times New Roman" w:cs="Times New Roman" w:hAnsi="Times New Roman"/>
          <w:i/>
          <w:iCs/>
          <w:sz w:val="28"/>
          <w:szCs w:val="28"/>
        </w:rPr>
        <w:t>Aspergillus</w:t>
      </w:r>
      <w:r>
        <w:rPr>
          <w:rFonts w:ascii="Times New Roman" w:cs="Times New Roman" w:hAnsi="Times New Roman"/>
          <w:i/>
          <w:sz w:val="28"/>
          <w:szCs w:val="28"/>
        </w:rPr>
        <w:t xml:space="preserve"> spp., while </w:t>
      </w:r>
      <w:r>
        <w:rPr>
          <w:rFonts w:ascii="Times New Roman" w:cs="Times New Roman" w:hAnsi="Times New Roman"/>
          <w:i/>
          <w:iCs/>
          <w:sz w:val="28"/>
          <w:szCs w:val="28"/>
        </w:rPr>
        <w:t>Yeast</w:t>
      </w:r>
      <w:r>
        <w:rPr>
          <w:rFonts w:ascii="Times New Roman" w:cs="Times New Roman" w:hAnsi="Times New Roman"/>
          <w:i/>
          <w:sz w:val="28"/>
          <w:szCs w:val="28"/>
        </w:rPr>
        <w:t xml:space="preserve"> and </w:t>
      </w:r>
      <w:r>
        <w:rPr>
          <w:rFonts w:ascii="Times New Roman" w:cs="Times New Roman" w:hAnsi="Times New Roman"/>
          <w:i/>
          <w:iCs/>
          <w:sz w:val="28"/>
          <w:szCs w:val="28"/>
        </w:rPr>
        <w:t>Rhizopus</w:t>
      </w:r>
      <w:r>
        <w:rPr>
          <w:rFonts w:ascii="Times New Roman" w:cs="Times New Roman" w:hAnsi="Times New Roman"/>
          <w:i/>
          <w:sz w:val="28"/>
          <w:szCs w:val="28"/>
        </w:rPr>
        <w:t xml:space="preserve"> spp. remained dominant. In contrast, control soils demonstrated a richer and more balanced fungal community. These findings highlight the potential of fungicide application to disrupt essential soil microbial functions and </w:t>
      </w:r>
      <w:r>
        <w:rPr>
          <w:rFonts w:ascii="Times New Roman" w:cs="Times New Roman" w:hAnsi="Times New Roman"/>
          <w:i/>
          <w:sz w:val="28"/>
          <w:szCs w:val="28"/>
        </w:rPr>
        <w:t>underscore the need for integrated pest management strategies to promote sustainable agriculture.</w:t>
      </w:r>
    </w:p>
    <w:bookmarkStart w:id="1" w:name="_Toc202976447"/>
    <w:p>
      <w:pPr>
        <w:pStyle w:val="style0"/>
        <w:jc w:val="center"/>
        <w:rPr>
          <w:rFonts w:ascii="Times New Roman" w:cs="Times New Roman" w:hAnsi="Times New Roman"/>
          <w:b/>
          <w:sz w:val="28"/>
          <w:szCs w:val="28"/>
        </w:rPr>
      </w:pPr>
      <w:r>
        <w:rPr>
          <w:rFonts w:ascii="Times New Roman" w:cs="Times New Roman" w:hAnsi="Times New Roman"/>
          <w:b/>
          <w:sz w:val="28"/>
          <w:szCs w:val="28"/>
        </w:rPr>
        <w:t>CHAPTER ONE</w:t>
      </w:r>
      <w:bookmarkEnd w:id="1"/>
    </w:p>
    <w:bookmarkStart w:id="2" w:name="_Toc202976448"/>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1.0 INTRODUCTION</w:t>
      </w:r>
      <w:bookmarkEnd w:id="2"/>
    </w:p>
    <w:p>
      <w:pPr>
        <w:pStyle w:val="style94"/>
        <w:spacing w:lineRule="auto" w:line="480"/>
        <w:jc w:val="both"/>
        <w:rPr>
          <w:sz w:val="28"/>
          <w:szCs w:val="28"/>
        </w:rPr>
      </w:pPr>
      <w:r>
        <w:rPr>
          <w:sz w:val="28"/>
          <w:szCs w:val="28"/>
        </w:rPr>
        <w:t xml:space="preserve">Fungicides are widely employed in agricultural systems to mitigate crop loss caused by fungal pathogens. While their benefits in disease control and yield improvement are acknowledged, growing evidence suggests that fungicides can negatively affect non-target organisms, including soil fungi that form the </w:t>
      </w:r>
      <w:r>
        <w:rPr>
          <w:sz w:val="28"/>
          <w:szCs w:val="28"/>
        </w:rPr>
        <w:t>mycobiome</w:t>
      </w:r>
      <w:r>
        <w:rPr>
          <w:sz w:val="28"/>
          <w:szCs w:val="28"/>
        </w:rPr>
        <w:t xml:space="preserve">. The </w:t>
      </w:r>
      <w:r>
        <w:rPr>
          <w:rStyle w:val="style87"/>
          <w:sz w:val="28"/>
          <w:szCs w:val="28"/>
        </w:rPr>
        <w:t xml:space="preserve">soil </w:t>
      </w:r>
      <w:r>
        <w:rPr>
          <w:rStyle w:val="style87"/>
          <w:sz w:val="28"/>
          <w:szCs w:val="28"/>
        </w:rPr>
        <w:t>mycobiome</w:t>
      </w:r>
      <w:r>
        <w:rPr>
          <w:sz w:val="28"/>
          <w:szCs w:val="28"/>
        </w:rPr>
        <w:t xml:space="preserve"> encompasses a diverse community of fungi, including </w:t>
      </w:r>
      <w:r>
        <w:rPr>
          <w:sz w:val="28"/>
          <w:szCs w:val="28"/>
        </w:rPr>
        <w:t>saprotrophs</w:t>
      </w:r>
      <w:r>
        <w:rPr>
          <w:sz w:val="28"/>
          <w:szCs w:val="28"/>
        </w:rPr>
        <w:t xml:space="preserve">, pathogens, and </w:t>
      </w:r>
      <w:r>
        <w:rPr>
          <w:sz w:val="28"/>
          <w:szCs w:val="28"/>
        </w:rPr>
        <w:t>mutualists</w:t>
      </w:r>
      <w:r>
        <w:rPr>
          <w:sz w:val="28"/>
          <w:szCs w:val="28"/>
        </w:rPr>
        <w:t xml:space="preserve"> such as </w:t>
      </w:r>
      <w:r>
        <w:rPr>
          <w:sz w:val="28"/>
          <w:szCs w:val="28"/>
        </w:rPr>
        <w:t>mycorrhizal</w:t>
      </w:r>
      <w:r>
        <w:rPr>
          <w:sz w:val="28"/>
          <w:szCs w:val="28"/>
        </w:rPr>
        <w:t xml:space="preserve"> fungi. These fungi perform critical ecological roles, including decomposition of organic matter, nutrient mineralization, and formation of symbiotic associations with plants. Interference with these functions due to fungicide exposure may threaten soil health and sustainability (</w:t>
      </w:r>
      <w:r>
        <w:rPr>
          <w:sz w:val="28"/>
          <w:szCs w:val="28"/>
        </w:rPr>
        <w:t>Francioli</w:t>
      </w:r>
      <w:r>
        <w:rPr>
          <w:sz w:val="28"/>
          <w:szCs w:val="28"/>
        </w:rPr>
        <w:t xml:space="preserve"> </w:t>
      </w:r>
      <w:r>
        <w:rPr>
          <w:i/>
          <w:sz w:val="28"/>
          <w:szCs w:val="28"/>
        </w:rPr>
        <w:t>et al</w:t>
      </w:r>
      <w:r>
        <w:rPr>
          <w:sz w:val="28"/>
          <w:szCs w:val="28"/>
        </w:rPr>
        <w:t>., 2022).</w:t>
      </w:r>
    </w:p>
    <w:p>
      <w:pPr>
        <w:pStyle w:val="style94"/>
        <w:spacing w:lineRule="auto" w:line="480"/>
        <w:jc w:val="both"/>
        <w:rPr>
          <w:sz w:val="28"/>
          <w:szCs w:val="28"/>
        </w:rPr>
      </w:pPr>
      <w:r>
        <w:rPr>
          <w:sz w:val="28"/>
          <w:szCs w:val="28"/>
        </w:rPr>
        <w:t xml:space="preserve">Soil fungi are particularly sensitive to chemical disturbances due to their intricate roles in maintaining ecosystem balance. Fungicide residues in the soil can alter fungal biomass, diversity, and enzymatic activity. Systemic fungicides, which penetrate plant tissues and persist longer in the soil, may have prolonged ecological effects compared to contact fungicides. These compounds can suppress not only harmful fungi but also beneficial ones </w:t>
      </w:r>
      <w:r>
        <w:rPr>
          <w:sz w:val="28"/>
          <w:szCs w:val="28"/>
        </w:rPr>
        <w:t xml:space="preserve">such as </w:t>
      </w:r>
      <w:r>
        <w:rPr>
          <w:rStyle w:val="style87"/>
          <w:sz w:val="28"/>
          <w:szCs w:val="28"/>
        </w:rPr>
        <w:t>arbuscular</w:t>
      </w:r>
      <w:r>
        <w:rPr>
          <w:rStyle w:val="style87"/>
          <w:sz w:val="28"/>
          <w:szCs w:val="28"/>
        </w:rPr>
        <w:t xml:space="preserve"> </w:t>
      </w:r>
      <w:r>
        <w:rPr>
          <w:rStyle w:val="style87"/>
          <w:sz w:val="28"/>
          <w:szCs w:val="28"/>
        </w:rPr>
        <w:t>mycorrhizal</w:t>
      </w:r>
      <w:r>
        <w:rPr>
          <w:rStyle w:val="style87"/>
          <w:sz w:val="28"/>
          <w:szCs w:val="28"/>
        </w:rPr>
        <w:t xml:space="preserve"> fungi (AMF)</w:t>
      </w:r>
      <w:r>
        <w:rPr>
          <w:sz w:val="28"/>
          <w:szCs w:val="28"/>
        </w:rPr>
        <w:t>, which are essential for phosphorus uptake and drought tolerance in plants (</w:t>
      </w:r>
      <w:r>
        <w:rPr>
          <w:sz w:val="28"/>
          <w:szCs w:val="28"/>
        </w:rPr>
        <w:t>Tosi</w:t>
      </w:r>
      <w:r>
        <w:rPr>
          <w:sz w:val="28"/>
          <w:szCs w:val="28"/>
        </w:rPr>
        <w:t xml:space="preserve"> </w:t>
      </w:r>
      <w:r>
        <w:rPr>
          <w:i/>
          <w:sz w:val="28"/>
          <w:szCs w:val="28"/>
        </w:rPr>
        <w:t>et al</w:t>
      </w:r>
      <w:r>
        <w:rPr>
          <w:sz w:val="28"/>
          <w:szCs w:val="28"/>
        </w:rPr>
        <w:t>., 2020). Such disturbances may lead to a decline in fungal biodiversity and the resilience of soil ecosystems.</w:t>
      </w:r>
    </w:p>
    <w:p>
      <w:pPr>
        <w:pStyle w:val="style94"/>
        <w:spacing w:lineRule="auto" w:line="480"/>
        <w:jc w:val="both"/>
        <w:rPr>
          <w:sz w:val="28"/>
          <w:szCs w:val="28"/>
        </w:rPr>
      </w:pPr>
      <w:r>
        <w:rPr>
          <w:sz w:val="28"/>
          <w:szCs w:val="28"/>
        </w:rPr>
        <w:t xml:space="preserve">Changes in fungal community structure due to fungicide application may also affect </w:t>
      </w:r>
      <w:r>
        <w:rPr>
          <w:rStyle w:val="style87"/>
          <w:sz w:val="28"/>
          <w:szCs w:val="28"/>
        </w:rPr>
        <w:t>plant-soil interactions</w:t>
      </w:r>
      <w:r>
        <w:rPr>
          <w:sz w:val="28"/>
          <w:szCs w:val="28"/>
        </w:rPr>
        <w:t>. Beneficial fungi involved in nutrient cycling or disease suppression may be reduced, while opportunistic or resistant fungi may proliferate. This imbalance can result in soil with reduced fertility and increased vulnerability to pathogen invasion. Over time, this may necessitate increased chemical input, creating a harmful cycle of soil degradation and chemical dependency (</w:t>
      </w:r>
      <w:r>
        <w:rPr>
          <w:sz w:val="28"/>
          <w:szCs w:val="28"/>
        </w:rPr>
        <w:t>Banerjee</w:t>
      </w:r>
      <w:r>
        <w:rPr>
          <w:sz w:val="28"/>
          <w:szCs w:val="28"/>
        </w:rPr>
        <w:t xml:space="preserve"> </w:t>
      </w:r>
      <w:r>
        <w:rPr>
          <w:i/>
          <w:sz w:val="28"/>
          <w:szCs w:val="28"/>
        </w:rPr>
        <w:t>et al</w:t>
      </w:r>
      <w:r>
        <w:rPr>
          <w:sz w:val="28"/>
          <w:szCs w:val="28"/>
        </w:rPr>
        <w:t>., 2020). Furthermore, repeated fungicide applications may exert selection pressure, leading to shifts in community dynamics that favor fungicide-tolerant species.</w:t>
      </w:r>
    </w:p>
    <w:p>
      <w:pPr>
        <w:pStyle w:val="style94"/>
        <w:spacing w:lineRule="auto" w:line="480"/>
        <w:jc w:val="both"/>
        <w:rPr>
          <w:sz w:val="28"/>
          <w:szCs w:val="28"/>
        </w:rPr>
      </w:pPr>
      <w:r>
        <w:rPr>
          <w:sz w:val="28"/>
          <w:szCs w:val="28"/>
        </w:rPr>
        <w:t xml:space="preserve">Advancements in molecular biology, particularly next-generation sequencing (NGS), have enabled detailed analysis of microbial community composition. Recent studies utilizing </w:t>
      </w:r>
      <w:r>
        <w:rPr>
          <w:rStyle w:val="style87"/>
          <w:sz w:val="28"/>
          <w:szCs w:val="28"/>
        </w:rPr>
        <w:t>metabarcoding</w:t>
      </w:r>
      <w:r>
        <w:rPr>
          <w:rStyle w:val="style87"/>
          <w:sz w:val="28"/>
          <w:szCs w:val="28"/>
        </w:rPr>
        <w:t xml:space="preserve"> techniques</w:t>
      </w:r>
      <w:r>
        <w:rPr>
          <w:sz w:val="28"/>
          <w:szCs w:val="28"/>
        </w:rPr>
        <w:t xml:space="preserve"> have </w:t>
      </w:r>
      <w:r>
        <w:rPr>
          <w:sz w:val="28"/>
          <w:szCs w:val="28"/>
        </w:rPr>
        <w:t xml:space="preserve">shown that fungicide application significantly modifies soil fungal diversity and abundance. These methods have revealed that even a single application can reduce rare </w:t>
      </w:r>
      <w:r>
        <w:rPr>
          <w:sz w:val="28"/>
          <w:szCs w:val="28"/>
        </w:rPr>
        <w:t>taxa</w:t>
      </w:r>
      <w:r>
        <w:rPr>
          <w:sz w:val="28"/>
          <w:szCs w:val="28"/>
        </w:rPr>
        <w:t xml:space="preserve"> and shift dominant fungal phyla, such as </w:t>
      </w:r>
      <w:r>
        <w:rPr>
          <w:sz w:val="28"/>
          <w:szCs w:val="28"/>
        </w:rPr>
        <w:t>Ascomycota</w:t>
      </w:r>
      <w:r>
        <w:rPr>
          <w:sz w:val="28"/>
          <w:szCs w:val="28"/>
        </w:rPr>
        <w:t xml:space="preserve"> and </w:t>
      </w:r>
      <w:r>
        <w:rPr>
          <w:sz w:val="28"/>
          <w:szCs w:val="28"/>
        </w:rPr>
        <w:t>Basidiomycota</w:t>
      </w:r>
      <w:r>
        <w:rPr>
          <w:sz w:val="28"/>
          <w:szCs w:val="28"/>
        </w:rPr>
        <w:t xml:space="preserve"> (He </w:t>
      </w:r>
      <w:r>
        <w:rPr>
          <w:i/>
          <w:sz w:val="28"/>
          <w:szCs w:val="28"/>
        </w:rPr>
        <w:t>et al</w:t>
      </w:r>
      <w:r>
        <w:rPr>
          <w:sz w:val="28"/>
          <w:szCs w:val="28"/>
        </w:rPr>
        <w:t>., 2021). These changes may have cascading effects on nutrient availability and plant productivity, thereby undermining the very goal of agricultural intensification.</w:t>
      </w:r>
    </w:p>
    <w:p>
      <w:pPr>
        <w:pStyle w:val="style94"/>
        <w:spacing w:lineRule="auto" w:line="480"/>
        <w:jc w:val="both"/>
        <w:rPr>
          <w:sz w:val="28"/>
          <w:szCs w:val="28"/>
        </w:rPr>
      </w:pPr>
      <w:r>
        <w:rPr>
          <w:sz w:val="28"/>
          <w:szCs w:val="28"/>
        </w:rPr>
        <w:t xml:space="preserve">The </w:t>
      </w:r>
      <w:r>
        <w:rPr>
          <w:rStyle w:val="style87"/>
          <w:sz w:val="28"/>
          <w:szCs w:val="28"/>
        </w:rPr>
        <w:t>frequency, dosage, and mode of fungicide application</w:t>
      </w:r>
      <w:r>
        <w:rPr>
          <w:sz w:val="28"/>
          <w:szCs w:val="28"/>
        </w:rPr>
        <w:t xml:space="preserve"> also determine the extent of impact on soil fungi. Excessive or routine use of broad-spectrum fungicides increases the likelihood of detrimental effects on non-target fungal communities. Additionally, environmental factors such as soil pH, moisture content, and organic matter influence the degradation and persistence of fungicides in the soil. Thus, soil-specific responses must be evaluated when assessing the ecological risks associated with fungicide use (</w:t>
      </w:r>
      <w:r>
        <w:rPr>
          <w:sz w:val="28"/>
          <w:szCs w:val="28"/>
        </w:rPr>
        <w:t>González-Pérez</w:t>
      </w:r>
      <w:r>
        <w:rPr>
          <w:sz w:val="28"/>
          <w:szCs w:val="28"/>
        </w:rPr>
        <w:t xml:space="preserve"> </w:t>
      </w:r>
      <w:r>
        <w:rPr>
          <w:i/>
          <w:sz w:val="28"/>
          <w:szCs w:val="28"/>
        </w:rPr>
        <w:t>et al</w:t>
      </w:r>
      <w:r>
        <w:rPr>
          <w:sz w:val="28"/>
          <w:szCs w:val="28"/>
        </w:rPr>
        <w:t>., 2020). A one-size-fits-all approach may overlook localized effects that accumulate over time.</w:t>
      </w:r>
    </w:p>
    <w:p>
      <w:pPr>
        <w:pStyle w:val="style94"/>
        <w:spacing w:lineRule="auto" w:line="480"/>
        <w:jc w:val="both"/>
        <w:rPr>
          <w:sz w:val="28"/>
          <w:szCs w:val="28"/>
        </w:rPr>
      </w:pPr>
      <w:r>
        <w:rPr>
          <w:sz w:val="28"/>
          <w:szCs w:val="28"/>
        </w:rPr>
        <w:t xml:space="preserve">Fungicide-induced shifts in the </w:t>
      </w:r>
      <w:r>
        <w:rPr>
          <w:sz w:val="28"/>
          <w:szCs w:val="28"/>
        </w:rPr>
        <w:t>mycobiome</w:t>
      </w:r>
      <w:r>
        <w:rPr>
          <w:sz w:val="28"/>
          <w:szCs w:val="28"/>
        </w:rPr>
        <w:t xml:space="preserve"> not only affect the soil </w:t>
      </w:r>
      <w:r>
        <w:rPr>
          <w:sz w:val="28"/>
          <w:szCs w:val="28"/>
        </w:rPr>
        <w:t>microbiota</w:t>
      </w:r>
      <w:r>
        <w:rPr>
          <w:sz w:val="28"/>
          <w:szCs w:val="28"/>
        </w:rPr>
        <w:t xml:space="preserve"> but can also indirectly affect </w:t>
      </w:r>
      <w:r>
        <w:rPr>
          <w:rStyle w:val="style87"/>
          <w:sz w:val="28"/>
          <w:szCs w:val="28"/>
        </w:rPr>
        <w:t>plant health and growth</w:t>
      </w:r>
      <w:r>
        <w:rPr>
          <w:sz w:val="28"/>
          <w:szCs w:val="28"/>
        </w:rPr>
        <w:t xml:space="preserve">. </w:t>
      </w:r>
      <w:r>
        <w:rPr>
          <w:sz w:val="28"/>
          <w:szCs w:val="28"/>
        </w:rPr>
        <w:t>Mycorrhizal</w:t>
      </w:r>
      <w:r>
        <w:rPr>
          <w:sz w:val="28"/>
          <w:szCs w:val="28"/>
        </w:rPr>
        <w:t xml:space="preserve"> suppression, for example, may impair plant nutrient acquisition, reduce stress tolerance, and weaken resistance to other pathogens. In turn, this could result in reduced crop vigor and yield. Long-term disruption of the </w:t>
      </w:r>
      <w:r>
        <w:rPr>
          <w:sz w:val="28"/>
          <w:szCs w:val="28"/>
        </w:rPr>
        <w:t>mycobiome</w:t>
      </w:r>
      <w:r>
        <w:rPr>
          <w:sz w:val="28"/>
          <w:szCs w:val="28"/>
        </w:rPr>
        <w:t xml:space="preserve"> may also impede the natural regeneration of microbial populations, reducing the soil’s capacity to recover after disturbances (Wang </w:t>
      </w:r>
      <w:r>
        <w:rPr>
          <w:i/>
          <w:sz w:val="28"/>
          <w:szCs w:val="28"/>
        </w:rPr>
        <w:t>et al</w:t>
      </w:r>
      <w:r>
        <w:rPr>
          <w:sz w:val="28"/>
          <w:szCs w:val="28"/>
        </w:rPr>
        <w:t>., 2021). Therefore, maintaining fungal balance is crucial for sustainable soil function.</w:t>
      </w:r>
    </w:p>
    <w:p>
      <w:pPr>
        <w:pStyle w:val="style94"/>
        <w:spacing w:lineRule="auto" w:line="480"/>
        <w:jc w:val="both"/>
        <w:rPr>
          <w:sz w:val="28"/>
          <w:szCs w:val="28"/>
        </w:rPr>
      </w:pPr>
      <w:r>
        <w:rPr>
          <w:sz w:val="28"/>
          <w:szCs w:val="28"/>
        </w:rPr>
        <w:t xml:space="preserve">The environmental implications of fungicide use emphasize the need for </w:t>
      </w:r>
      <w:r>
        <w:rPr>
          <w:rStyle w:val="style87"/>
          <w:sz w:val="28"/>
          <w:szCs w:val="28"/>
        </w:rPr>
        <w:t>eco-friendly alternatives and integrated pest management (IPM)</w:t>
      </w:r>
      <w:r>
        <w:rPr>
          <w:sz w:val="28"/>
          <w:szCs w:val="28"/>
        </w:rPr>
        <w:t xml:space="preserve"> strategies. These may include biological control agents, resistant crop varieties, and precision agriculture to minimize unnecessary fungicide application. A deeper understanding of how different fungicides influence soil fungal diversity can inform guidelines that protect the integrity of the </w:t>
      </w:r>
      <w:r>
        <w:rPr>
          <w:sz w:val="28"/>
          <w:szCs w:val="28"/>
        </w:rPr>
        <w:t>mycobiome</w:t>
      </w:r>
      <w:r>
        <w:rPr>
          <w:sz w:val="28"/>
          <w:szCs w:val="28"/>
        </w:rPr>
        <w:t xml:space="preserve"> while still achieving effective disease control (</w:t>
      </w:r>
      <w:r>
        <w:rPr>
          <w:sz w:val="28"/>
          <w:szCs w:val="28"/>
        </w:rPr>
        <w:t>Francioli</w:t>
      </w:r>
      <w:r>
        <w:rPr>
          <w:sz w:val="28"/>
          <w:szCs w:val="28"/>
        </w:rPr>
        <w:t xml:space="preserve"> </w:t>
      </w:r>
      <w:r>
        <w:rPr>
          <w:i/>
          <w:sz w:val="28"/>
          <w:szCs w:val="28"/>
        </w:rPr>
        <w:t>et al</w:t>
      </w:r>
      <w:r>
        <w:rPr>
          <w:sz w:val="28"/>
          <w:szCs w:val="28"/>
        </w:rPr>
        <w:t>., 2022). Sustainable agriculture must balance productivity with environmental stewardship.</w:t>
      </w:r>
    </w:p>
    <w:bookmarkStart w:id="3" w:name="_Toc202976449"/>
    <w:p>
      <w:pPr>
        <w:pStyle w:val="style1"/>
        <w:rPr>
          <w:rFonts w:ascii="Times New Roman" w:cs="Times New Roman" w:hAnsi="Times New Roman"/>
          <w:b/>
          <w:color w:val="auto"/>
        </w:rPr>
      </w:pPr>
      <w:r>
        <w:rPr>
          <w:rFonts w:ascii="Times New Roman" w:cs="Times New Roman" w:hAnsi="Times New Roman"/>
          <w:b/>
          <w:color w:val="auto"/>
        </w:rPr>
        <w:t>1.1 Literature Review</w:t>
      </w:r>
      <w:bookmarkEnd w:id="3"/>
    </w:p>
    <w:p>
      <w:pPr>
        <w:pStyle w:val="style94"/>
        <w:spacing w:lineRule="auto" w:line="480"/>
        <w:jc w:val="both"/>
        <w:rPr>
          <w:sz w:val="28"/>
          <w:szCs w:val="28"/>
        </w:rPr>
      </w:pPr>
      <w:r>
        <w:rPr>
          <w:sz w:val="28"/>
          <w:szCs w:val="28"/>
        </w:rPr>
        <w:t xml:space="preserve">Fungicides have been widely recognized for their efficacy in controlling plant pathogenic fungi, but growing evidence suggests they also negatively affect non-target microbial communities in the soil. Broadly, fungicides are classified into </w:t>
      </w:r>
      <w:r>
        <w:rPr>
          <w:bCs/>
          <w:sz w:val="28"/>
          <w:szCs w:val="28"/>
        </w:rPr>
        <w:t>systemic</w:t>
      </w:r>
      <w:r>
        <w:rPr>
          <w:sz w:val="28"/>
          <w:szCs w:val="28"/>
        </w:rPr>
        <w:t xml:space="preserve"> and </w:t>
      </w:r>
      <w:r>
        <w:rPr>
          <w:bCs/>
          <w:sz w:val="28"/>
          <w:szCs w:val="28"/>
        </w:rPr>
        <w:t>contact</w:t>
      </w:r>
      <w:r>
        <w:rPr>
          <w:sz w:val="28"/>
          <w:szCs w:val="28"/>
        </w:rPr>
        <w:t xml:space="preserve"> types. </w:t>
      </w:r>
      <w:r>
        <w:rPr>
          <w:bCs/>
          <w:sz w:val="28"/>
          <w:szCs w:val="28"/>
        </w:rPr>
        <w:t>Systemic fungicides</w:t>
      </w:r>
      <w:r>
        <w:rPr>
          <w:sz w:val="28"/>
          <w:szCs w:val="28"/>
        </w:rPr>
        <w:t xml:space="preserve">, such as azoles (e.g., </w:t>
      </w:r>
      <w:r>
        <w:rPr>
          <w:sz w:val="28"/>
          <w:szCs w:val="28"/>
        </w:rPr>
        <w:t>tebuconazole</w:t>
      </w:r>
      <w:r>
        <w:rPr>
          <w:sz w:val="28"/>
          <w:szCs w:val="28"/>
        </w:rPr>
        <w:t xml:space="preserve">), are absorbed and </w:t>
      </w:r>
      <w:r>
        <w:rPr>
          <w:sz w:val="28"/>
          <w:szCs w:val="28"/>
        </w:rPr>
        <w:t>translocated</w:t>
      </w:r>
      <w:r>
        <w:rPr>
          <w:sz w:val="28"/>
          <w:szCs w:val="28"/>
        </w:rPr>
        <w:t xml:space="preserve"> within plant tissues, offering prolonged protection, but often with stronger and longer-lasting effects on soil fungi. </w:t>
      </w:r>
      <w:r>
        <w:rPr>
          <w:bCs/>
          <w:sz w:val="28"/>
          <w:szCs w:val="28"/>
        </w:rPr>
        <w:t>Contact fungicides</w:t>
      </w:r>
      <w:r>
        <w:rPr>
          <w:sz w:val="28"/>
          <w:szCs w:val="28"/>
        </w:rPr>
        <w:t xml:space="preserve">, including </w:t>
      </w:r>
      <w:r>
        <w:rPr>
          <w:sz w:val="28"/>
          <w:szCs w:val="28"/>
        </w:rPr>
        <w:t>mancozeb</w:t>
      </w:r>
      <w:r>
        <w:rPr>
          <w:sz w:val="28"/>
          <w:szCs w:val="28"/>
        </w:rPr>
        <w:t xml:space="preserve"> and copper-based compounds, remain on the plant surface and typically pose less persistent risks to non-target soil fungi, though they may still affect surface-dwelling microbes.</w:t>
      </w:r>
    </w:p>
    <w:p>
      <w:pPr>
        <w:pStyle w:val="style94"/>
        <w:spacing w:lineRule="auto" w:line="480"/>
        <w:jc w:val="both"/>
        <w:rPr>
          <w:sz w:val="28"/>
          <w:szCs w:val="28"/>
        </w:rPr>
      </w:pPr>
      <w:r>
        <w:rPr>
          <w:sz w:val="28"/>
          <w:szCs w:val="28"/>
        </w:rPr>
        <w:t>González-Pérez</w:t>
      </w:r>
      <w:r>
        <w:rPr>
          <w:sz w:val="28"/>
          <w:szCs w:val="28"/>
        </w:rPr>
        <w:t xml:space="preserve"> </w:t>
      </w:r>
      <w:r>
        <w:rPr>
          <w:i/>
          <w:sz w:val="28"/>
          <w:szCs w:val="28"/>
        </w:rPr>
        <w:t>et al</w:t>
      </w:r>
      <w:r>
        <w:rPr>
          <w:sz w:val="28"/>
          <w:szCs w:val="28"/>
        </w:rPr>
        <w:t xml:space="preserve">. (2020) reported that repeated fungicide applications in cropland reduced soil fungal diversity, particularly impacting symbiotic fungi like </w:t>
      </w:r>
      <w:r>
        <w:rPr>
          <w:sz w:val="28"/>
          <w:szCs w:val="28"/>
        </w:rPr>
        <w:t>arbuscular</w:t>
      </w:r>
      <w:r>
        <w:rPr>
          <w:sz w:val="28"/>
          <w:szCs w:val="28"/>
        </w:rPr>
        <w:t xml:space="preserve"> </w:t>
      </w:r>
      <w:r>
        <w:rPr>
          <w:sz w:val="28"/>
          <w:szCs w:val="28"/>
        </w:rPr>
        <w:t>mycorrhizal</w:t>
      </w:r>
      <w:r>
        <w:rPr>
          <w:sz w:val="28"/>
          <w:szCs w:val="28"/>
        </w:rPr>
        <w:t xml:space="preserve"> fungi (AMF). </w:t>
      </w:r>
      <w:r>
        <w:rPr>
          <w:sz w:val="28"/>
          <w:szCs w:val="28"/>
        </w:rPr>
        <w:t>These beneficial fungi form critical associations with plant roots and assist in nutrient uptake, especially phosphorus.</w:t>
      </w:r>
      <w:r>
        <w:rPr>
          <w:sz w:val="28"/>
          <w:szCs w:val="28"/>
        </w:rPr>
        <w:t xml:space="preserve"> The suppression of AMF due to systemic fungicide use disrupts these associations, consequently impairing plant health and yield. Moreover, </w:t>
      </w:r>
      <w:r>
        <w:rPr>
          <w:bCs/>
          <w:sz w:val="28"/>
          <w:szCs w:val="28"/>
        </w:rPr>
        <w:t>physicochemical soil properties</w:t>
      </w:r>
      <w:r>
        <w:rPr>
          <w:sz w:val="28"/>
          <w:szCs w:val="28"/>
        </w:rPr>
        <w:t xml:space="preserve">, such as </w:t>
      </w:r>
      <w:r>
        <w:rPr>
          <w:bCs/>
          <w:sz w:val="28"/>
          <w:szCs w:val="28"/>
        </w:rPr>
        <w:t>pH</w:t>
      </w:r>
      <w:r>
        <w:rPr>
          <w:sz w:val="28"/>
          <w:szCs w:val="28"/>
        </w:rPr>
        <w:t xml:space="preserve">, </w:t>
      </w:r>
      <w:r>
        <w:rPr>
          <w:bCs/>
          <w:sz w:val="28"/>
          <w:szCs w:val="28"/>
        </w:rPr>
        <w:t>organic matter content</w:t>
      </w:r>
      <w:r>
        <w:rPr>
          <w:sz w:val="28"/>
          <w:szCs w:val="28"/>
        </w:rPr>
        <w:t xml:space="preserve">, </w:t>
      </w:r>
      <w:r>
        <w:rPr>
          <w:bCs/>
          <w:sz w:val="28"/>
          <w:szCs w:val="28"/>
        </w:rPr>
        <w:t>moisture</w:t>
      </w:r>
      <w:r>
        <w:rPr>
          <w:sz w:val="28"/>
          <w:szCs w:val="28"/>
        </w:rPr>
        <w:t xml:space="preserve">, and </w:t>
      </w:r>
      <w:r>
        <w:rPr>
          <w:bCs/>
          <w:sz w:val="28"/>
          <w:szCs w:val="28"/>
        </w:rPr>
        <w:t>soil texture</w:t>
      </w:r>
      <w:r>
        <w:rPr>
          <w:sz w:val="28"/>
          <w:szCs w:val="28"/>
        </w:rPr>
        <w:t>, influence the persistence and mobility of fungicides. In soils with low organic content or high sand proportions, fungicides may leach more readily, potentially contaminating groundwater or affecting microbial communities at different depths.</w:t>
      </w:r>
    </w:p>
    <w:p>
      <w:pPr>
        <w:pStyle w:val="style94"/>
        <w:spacing w:lineRule="auto" w:line="480"/>
        <w:jc w:val="both"/>
        <w:rPr>
          <w:sz w:val="28"/>
          <w:szCs w:val="28"/>
        </w:rPr>
      </w:pPr>
      <w:r>
        <w:rPr>
          <w:sz w:val="28"/>
          <w:szCs w:val="28"/>
        </w:rPr>
        <w:t xml:space="preserve">Fungicide residues may persist in the soil, intensifying the ecological footprint over time. This persistence can lead to lasting shifts in microbial equilibrium. The environmental fate of these chemicals is also influenced by </w:t>
      </w:r>
      <w:r>
        <w:rPr>
          <w:bCs/>
          <w:sz w:val="28"/>
          <w:szCs w:val="28"/>
        </w:rPr>
        <w:t>temperature, rainfall, and irrigation frequency</w:t>
      </w:r>
      <w:r>
        <w:rPr>
          <w:sz w:val="28"/>
          <w:szCs w:val="28"/>
        </w:rPr>
        <w:t xml:space="preserve">, which affect degradation rates and dispersal patterns. Consequently, the continued use of fungicides demands an assessment of their indirect effects on soil biology and ecosystem services. Understanding such effects is critical for sustainable agriculture. Their work highlights the need to consider soil </w:t>
      </w:r>
      <w:r>
        <w:rPr>
          <w:sz w:val="28"/>
          <w:szCs w:val="28"/>
        </w:rPr>
        <w:t>microbiome</w:t>
      </w:r>
      <w:r>
        <w:rPr>
          <w:sz w:val="28"/>
          <w:szCs w:val="28"/>
        </w:rPr>
        <w:t xml:space="preserve"> conservation in pesticide regulations.</w:t>
      </w:r>
    </w:p>
    <w:p>
      <w:pPr>
        <w:pStyle w:val="style94"/>
        <w:spacing w:lineRule="auto" w:line="480"/>
        <w:jc w:val="both"/>
        <w:rPr>
          <w:sz w:val="28"/>
          <w:szCs w:val="28"/>
        </w:rPr>
      </w:pPr>
      <w:r>
        <w:rPr>
          <w:sz w:val="28"/>
          <w:szCs w:val="28"/>
        </w:rPr>
        <w:t xml:space="preserve">He </w:t>
      </w:r>
      <w:r>
        <w:rPr>
          <w:i/>
          <w:sz w:val="28"/>
          <w:szCs w:val="28"/>
        </w:rPr>
        <w:t>et al</w:t>
      </w:r>
      <w:r>
        <w:rPr>
          <w:sz w:val="28"/>
          <w:szCs w:val="28"/>
        </w:rPr>
        <w:t xml:space="preserve">. (2021) utilized high-throughput sequencing to analyze the response of the soil </w:t>
      </w:r>
      <w:r>
        <w:rPr>
          <w:sz w:val="28"/>
          <w:szCs w:val="28"/>
        </w:rPr>
        <w:t>mycobiome</w:t>
      </w:r>
      <w:r>
        <w:rPr>
          <w:sz w:val="28"/>
          <w:szCs w:val="28"/>
        </w:rPr>
        <w:t xml:space="preserve"> to fungicide treatments in soybean fields. Their findings indicated a reduction in fungal richness and evenness following </w:t>
      </w:r>
      <w:r>
        <w:rPr>
          <w:sz w:val="28"/>
          <w:szCs w:val="28"/>
        </w:rPr>
        <w:t xml:space="preserve">fungicide application, with noticeable shifts in dominant fungal phyla such as </w:t>
      </w:r>
      <w:r>
        <w:rPr>
          <w:bCs/>
          <w:sz w:val="28"/>
          <w:szCs w:val="28"/>
        </w:rPr>
        <w:t>Ascomycota</w:t>
      </w:r>
      <w:r>
        <w:rPr>
          <w:sz w:val="28"/>
          <w:szCs w:val="28"/>
        </w:rPr>
        <w:t xml:space="preserve"> and </w:t>
      </w:r>
      <w:r>
        <w:rPr>
          <w:bCs/>
          <w:sz w:val="28"/>
          <w:szCs w:val="28"/>
        </w:rPr>
        <w:t>Basidiomycota</w:t>
      </w:r>
      <w:r>
        <w:rPr>
          <w:sz w:val="28"/>
          <w:szCs w:val="28"/>
        </w:rPr>
        <w:t xml:space="preserve">. Some previously abundant </w:t>
      </w:r>
      <w:r>
        <w:rPr>
          <w:sz w:val="28"/>
          <w:szCs w:val="28"/>
        </w:rPr>
        <w:t>taxa</w:t>
      </w:r>
      <w:r>
        <w:rPr>
          <w:sz w:val="28"/>
          <w:szCs w:val="28"/>
        </w:rPr>
        <w:t xml:space="preserve"> declined, while stress-tolerant or resistant species increased—many of which possess </w:t>
      </w:r>
      <w:r>
        <w:rPr>
          <w:bCs/>
          <w:sz w:val="28"/>
          <w:szCs w:val="28"/>
        </w:rPr>
        <w:t>detoxification enzymes</w:t>
      </w:r>
      <w:r>
        <w:rPr>
          <w:sz w:val="28"/>
          <w:szCs w:val="28"/>
        </w:rPr>
        <w:t xml:space="preserve"> or spore dormancy mechanisms. These shifts imply a functional imbalance in the soil microbial community, often unnoticed in conventional soil tests. Such microbial alterations can reduce nutrient recycling efficiency and impair soil structure.</w:t>
      </w:r>
    </w:p>
    <w:p>
      <w:pPr>
        <w:pStyle w:val="style94"/>
        <w:spacing w:lineRule="auto" w:line="480"/>
        <w:jc w:val="both"/>
        <w:rPr>
          <w:sz w:val="28"/>
          <w:szCs w:val="28"/>
        </w:rPr>
      </w:pPr>
      <w:r>
        <w:rPr>
          <w:sz w:val="28"/>
          <w:szCs w:val="28"/>
        </w:rPr>
        <w:t xml:space="preserve">In vineyard soils, </w:t>
      </w:r>
      <w:r>
        <w:rPr>
          <w:sz w:val="28"/>
          <w:szCs w:val="28"/>
        </w:rPr>
        <w:t>Francioli</w:t>
      </w:r>
      <w:r>
        <w:rPr>
          <w:sz w:val="28"/>
          <w:szCs w:val="28"/>
        </w:rPr>
        <w:t xml:space="preserve"> </w:t>
      </w:r>
      <w:r>
        <w:rPr>
          <w:i/>
          <w:sz w:val="28"/>
          <w:szCs w:val="28"/>
        </w:rPr>
        <w:t>et al</w:t>
      </w:r>
      <w:r>
        <w:rPr>
          <w:sz w:val="28"/>
          <w:szCs w:val="28"/>
        </w:rPr>
        <w:t xml:space="preserve">. (2022) examined the effect of repeated fungicide application on fungal networks and microbial interactions. Their study showed that fungicides not only reduced fungal diversity but also altered </w:t>
      </w:r>
      <w:r>
        <w:rPr>
          <w:bCs/>
          <w:sz w:val="28"/>
          <w:szCs w:val="28"/>
        </w:rPr>
        <w:t xml:space="preserve">co-occurrence patterns and keystone </w:t>
      </w:r>
      <w:r>
        <w:rPr>
          <w:bCs/>
          <w:sz w:val="28"/>
          <w:szCs w:val="28"/>
        </w:rPr>
        <w:t>taxa</w:t>
      </w:r>
      <w:r>
        <w:rPr>
          <w:sz w:val="28"/>
          <w:szCs w:val="28"/>
        </w:rPr>
        <w:t xml:space="preserve">—the fungi crucial to maintaining ecological balance. These network disruptions weakened the stability and resilience of the soil microbial community. Moreover, the recovery of microbial networks after fungicide cessation was found to be </w:t>
      </w:r>
      <w:r>
        <w:rPr>
          <w:bCs/>
          <w:sz w:val="28"/>
          <w:szCs w:val="28"/>
        </w:rPr>
        <w:t>slow</w:t>
      </w:r>
      <w:r>
        <w:rPr>
          <w:sz w:val="28"/>
          <w:szCs w:val="28"/>
        </w:rPr>
        <w:t xml:space="preserve">, suggesting that frequent or long-term application may induce </w:t>
      </w:r>
      <w:r>
        <w:rPr>
          <w:bCs/>
          <w:sz w:val="28"/>
          <w:szCs w:val="28"/>
        </w:rPr>
        <w:t>semi-permanent ecological disturbances</w:t>
      </w:r>
      <w:r>
        <w:rPr>
          <w:sz w:val="28"/>
          <w:szCs w:val="28"/>
        </w:rPr>
        <w:t xml:space="preserve">. The study emphasizes the vulnerability </w:t>
      </w:r>
      <w:r>
        <w:rPr>
          <w:sz w:val="28"/>
          <w:szCs w:val="28"/>
        </w:rPr>
        <w:t xml:space="preserve">of microbial networks to chemical disturbances, particularly in </w:t>
      </w:r>
      <w:r>
        <w:rPr>
          <w:bCs/>
          <w:sz w:val="28"/>
          <w:szCs w:val="28"/>
        </w:rPr>
        <w:t>sensitive or monoculture environments</w:t>
      </w:r>
      <w:r>
        <w:rPr>
          <w:sz w:val="28"/>
          <w:szCs w:val="28"/>
        </w:rPr>
        <w:t xml:space="preserve"> with low biological redundancy.</w:t>
      </w:r>
    </w:p>
    <w:p>
      <w:pPr>
        <w:pStyle w:val="style94"/>
        <w:spacing w:lineRule="auto" w:line="480"/>
        <w:jc w:val="both"/>
        <w:rPr>
          <w:sz w:val="28"/>
          <w:szCs w:val="28"/>
        </w:rPr>
      </w:pPr>
      <w:r>
        <w:rPr>
          <w:sz w:val="28"/>
          <w:szCs w:val="28"/>
        </w:rPr>
        <w:t>Banerjee</w:t>
      </w:r>
      <w:r>
        <w:rPr>
          <w:sz w:val="28"/>
          <w:szCs w:val="28"/>
        </w:rPr>
        <w:t xml:space="preserve"> </w:t>
      </w:r>
      <w:r>
        <w:rPr>
          <w:i/>
          <w:sz w:val="28"/>
          <w:szCs w:val="28"/>
        </w:rPr>
        <w:t>et al</w:t>
      </w:r>
      <w:r>
        <w:rPr>
          <w:sz w:val="28"/>
          <w:szCs w:val="28"/>
        </w:rPr>
        <w:t xml:space="preserve">. (2020) explored the consequences of intensive agriculture, including pesticide and fungicide use, on root and soil microbial communities. They found that agricultural intensification led to a loss of microbial complexity and a reduction in beneficial microbial groups, including fungi. Notably, </w:t>
      </w:r>
      <w:r>
        <w:rPr>
          <w:bCs/>
          <w:sz w:val="28"/>
          <w:szCs w:val="28"/>
        </w:rPr>
        <w:t>intensive tillage</w:t>
      </w:r>
      <w:r>
        <w:rPr>
          <w:sz w:val="28"/>
          <w:szCs w:val="28"/>
        </w:rPr>
        <w:t xml:space="preserve">, </w:t>
      </w:r>
      <w:r>
        <w:rPr>
          <w:bCs/>
          <w:sz w:val="28"/>
          <w:szCs w:val="28"/>
        </w:rPr>
        <w:t>monoculture cropping</w:t>
      </w:r>
      <w:r>
        <w:rPr>
          <w:sz w:val="28"/>
          <w:szCs w:val="28"/>
        </w:rPr>
        <w:t xml:space="preserve">, and </w:t>
      </w:r>
      <w:r>
        <w:rPr>
          <w:bCs/>
          <w:sz w:val="28"/>
          <w:szCs w:val="28"/>
        </w:rPr>
        <w:t>high agrochemical input</w:t>
      </w:r>
      <w:r>
        <w:rPr>
          <w:sz w:val="28"/>
          <w:szCs w:val="28"/>
        </w:rPr>
        <w:t xml:space="preserve"> collectively drive microbial simplification. The frequent use of fungicides tends to </w:t>
      </w:r>
      <w:r>
        <w:rPr>
          <w:bCs/>
          <w:sz w:val="28"/>
          <w:szCs w:val="28"/>
        </w:rPr>
        <w:t>select for resistant strains</w:t>
      </w:r>
      <w:r>
        <w:rPr>
          <w:sz w:val="28"/>
          <w:szCs w:val="28"/>
        </w:rPr>
        <w:t xml:space="preserve">, decreasing overall fungal diversity and potentially leading to pathogen resurgence. The simplified community also lacked </w:t>
      </w:r>
      <w:r>
        <w:rPr>
          <w:bCs/>
          <w:sz w:val="28"/>
          <w:szCs w:val="28"/>
        </w:rPr>
        <w:t>functional redundancy</w:t>
      </w:r>
      <w:r>
        <w:rPr>
          <w:sz w:val="28"/>
          <w:szCs w:val="28"/>
        </w:rPr>
        <w:t xml:space="preserve">, making the soil ecosystem more fragile and susceptible to diseases and environmental stress. The authors emphasize the importance of </w:t>
      </w:r>
      <w:r>
        <w:rPr>
          <w:bCs/>
          <w:sz w:val="28"/>
          <w:szCs w:val="28"/>
        </w:rPr>
        <w:t>sustainable and integrated pest management (IPM)</w:t>
      </w:r>
      <w:r>
        <w:rPr>
          <w:sz w:val="28"/>
          <w:szCs w:val="28"/>
        </w:rPr>
        <w:t xml:space="preserve"> to reduce fungicide reliance and promote soil biodiversity.</w:t>
      </w:r>
    </w:p>
    <w:p>
      <w:pPr>
        <w:pStyle w:val="style94"/>
        <w:spacing w:lineRule="auto" w:line="480"/>
        <w:jc w:val="both"/>
        <w:rPr>
          <w:sz w:val="28"/>
          <w:szCs w:val="28"/>
        </w:rPr>
      </w:pPr>
      <w:r>
        <w:rPr>
          <w:sz w:val="28"/>
          <w:szCs w:val="28"/>
        </w:rPr>
        <w:t>Tosi</w:t>
      </w:r>
      <w:r>
        <w:rPr>
          <w:sz w:val="28"/>
          <w:szCs w:val="28"/>
        </w:rPr>
        <w:t xml:space="preserve"> </w:t>
      </w:r>
      <w:r>
        <w:rPr>
          <w:i/>
          <w:sz w:val="28"/>
          <w:szCs w:val="28"/>
        </w:rPr>
        <w:t>et al</w:t>
      </w:r>
      <w:r>
        <w:rPr>
          <w:sz w:val="28"/>
          <w:szCs w:val="28"/>
        </w:rPr>
        <w:t xml:space="preserve">. (2020) investigated how different types of fungicides affected AMF in agricultural systems. Their findings revealed that </w:t>
      </w:r>
      <w:r>
        <w:rPr>
          <w:bCs/>
          <w:sz w:val="28"/>
          <w:szCs w:val="28"/>
        </w:rPr>
        <w:t xml:space="preserve">systemic </w:t>
      </w:r>
      <w:r>
        <w:rPr>
          <w:bCs/>
          <w:sz w:val="28"/>
          <w:szCs w:val="28"/>
        </w:rPr>
        <w:t>fungicides</w:t>
      </w:r>
      <w:r>
        <w:rPr>
          <w:sz w:val="28"/>
          <w:szCs w:val="28"/>
        </w:rPr>
        <w:t xml:space="preserve"> (e.g., </w:t>
      </w:r>
      <w:r>
        <w:rPr>
          <w:sz w:val="28"/>
          <w:szCs w:val="28"/>
        </w:rPr>
        <w:t>benzimidazoles</w:t>
      </w:r>
      <w:r>
        <w:rPr>
          <w:sz w:val="28"/>
          <w:szCs w:val="28"/>
        </w:rPr>
        <w:t xml:space="preserve"> and </w:t>
      </w:r>
      <w:r>
        <w:rPr>
          <w:sz w:val="28"/>
          <w:szCs w:val="28"/>
        </w:rPr>
        <w:t>demethylation</w:t>
      </w:r>
      <w:r>
        <w:rPr>
          <w:sz w:val="28"/>
          <w:szCs w:val="28"/>
        </w:rPr>
        <w:t xml:space="preserve"> inhibitors) caused a greater reduction in AMF colonization than </w:t>
      </w:r>
      <w:r>
        <w:rPr>
          <w:bCs/>
          <w:sz w:val="28"/>
          <w:szCs w:val="28"/>
        </w:rPr>
        <w:t>contact fungicides</w:t>
      </w:r>
      <w:r>
        <w:rPr>
          <w:sz w:val="28"/>
          <w:szCs w:val="28"/>
        </w:rPr>
        <w:t xml:space="preserve">. This reduction negatively influenced plant nutrient uptake and water-use efficiency. Interestingly, even at low concentrations, some fungicides exhibited </w:t>
      </w:r>
      <w:r>
        <w:rPr>
          <w:bCs/>
          <w:sz w:val="28"/>
          <w:szCs w:val="28"/>
        </w:rPr>
        <w:t>long-term inhibitory effects</w:t>
      </w:r>
      <w:r>
        <w:rPr>
          <w:sz w:val="28"/>
          <w:szCs w:val="28"/>
        </w:rPr>
        <w:t xml:space="preserve">, suggesting </w:t>
      </w:r>
      <w:r>
        <w:rPr>
          <w:bCs/>
          <w:sz w:val="28"/>
          <w:szCs w:val="28"/>
        </w:rPr>
        <w:t>bioaccumulation</w:t>
      </w:r>
      <w:r>
        <w:rPr>
          <w:sz w:val="28"/>
          <w:szCs w:val="28"/>
        </w:rPr>
        <w:t xml:space="preserve"> and </w:t>
      </w:r>
      <w:r>
        <w:rPr>
          <w:bCs/>
          <w:sz w:val="28"/>
          <w:szCs w:val="28"/>
        </w:rPr>
        <w:t>sub-lethal toxicity</w:t>
      </w:r>
      <w:r>
        <w:rPr>
          <w:sz w:val="28"/>
          <w:szCs w:val="28"/>
        </w:rPr>
        <w:t xml:space="preserve">. Disruption of AMF also impaired plant resilience to drought and other </w:t>
      </w:r>
      <w:r>
        <w:rPr>
          <w:sz w:val="28"/>
          <w:szCs w:val="28"/>
        </w:rPr>
        <w:t>abiotic</w:t>
      </w:r>
      <w:r>
        <w:rPr>
          <w:sz w:val="28"/>
          <w:szCs w:val="28"/>
        </w:rPr>
        <w:t xml:space="preserve"> stresses. These results underline that fungicide effects are not confined to soil microorganisms but can </w:t>
      </w:r>
      <w:r>
        <w:rPr>
          <w:bCs/>
          <w:sz w:val="28"/>
          <w:szCs w:val="28"/>
        </w:rPr>
        <w:t>cascade to plant physiological functions</w:t>
      </w:r>
      <w:r>
        <w:rPr>
          <w:sz w:val="28"/>
          <w:szCs w:val="28"/>
        </w:rPr>
        <w:t xml:space="preserve">, affecting long-term productivity and ecosystem health. The study argues for the inclusion of </w:t>
      </w:r>
      <w:r>
        <w:rPr>
          <w:bCs/>
          <w:sz w:val="28"/>
          <w:szCs w:val="28"/>
        </w:rPr>
        <w:t>AMF assessments</w:t>
      </w:r>
      <w:r>
        <w:rPr>
          <w:sz w:val="28"/>
          <w:szCs w:val="28"/>
        </w:rPr>
        <w:t xml:space="preserve"> in agronomic planning and calls for more targeted fungicide regulation policies.</w:t>
      </w:r>
    </w:p>
    <w:p>
      <w:pPr>
        <w:pStyle w:val="style94"/>
        <w:spacing w:lineRule="auto" w:line="480"/>
        <w:jc w:val="both"/>
        <w:rPr>
          <w:sz w:val="28"/>
          <w:szCs w:val="28"/>
        </w:rPr>
      </w:pPr>
      <w:r>
        <w:rPr>
          <w:sz w:val="28"/>
          <w:szCs w:val="28"/>
        </w:rPr>
        <w:t xml:space="preserve">Wang </w:t>
      </w:r>
      <w:r>
        <w:rPr>
          <w:i/>
          <w:sz w:val="28"/>
          <w:szCs w:val="28"/>
        </w:rPr>
        <w:t>et al</w:t>
      </w:r>
      <w:r>
        <w:rPr>
          <w:sz w:val="28"/>
          <w:szCs w:val="28"/>
        </w:rPr>
        <w:t xml:space="preserve">. (2021) assessed the response of soil fungal communities to long-term pesticide and fungicide application in vegetable-producing systems. Their study revealed that soils with prolonged exposure exhibited a marked decline in fungal biomass and </w:t>
      </w:r>
      <w:r>
        <w:rPr>
          <w:bCs/>
          <w:sz w:val="28"/>
          <w:szCs w:val="28"/>
        </w:rPr>
        <w:t>soil enzyme activity</w:t>
      </w:r>
      <w:r>
        <w:rPr>
          <w:sz w:val="28"/>
          <w:szCs w:val="28"/>
        </w:rPr>
        <w:t xml:space="preserve">—notably </w:t>
      </w:r>
      <w:r>
        <w:rPr>
          <w:bCs/>
          <w:sz w:val="28"/>
          <w:szCs w:val="28"/>
        </w:rPr>
        <w:t>dehydrogenase</w:t>
      </w:r>
      <w:r>
        <w:rPr>
          <w:bCs/>
          <w:sz w:val="28"/>
          <w:szCs w:val="28"/>
        </w:rPr>
        <w:t xml:space="preserve"> and </w:t>
      </w:r>
      <w:r>
        <w:rPr>
          <w:bCs/>
          <w:sz w:val="28"/>
          <w:szCs w:val="28"/>
        </w:rPr>
        <w:t>phosphatase</w:t>
      </w:r>
      <w:r>
        <w:rPr>
          <w:sz w:val="28"/>
          <w:szCs w:val="28"/>
        </w:rPr>
        <w:t xml:space="preserve">, which are indicators of microbial health and nutrient cycling. Functional guilds such as </w:t>
      </w:r>
      <w:r>
        <w:rPr>
          <w:bCs/>
          <w:sz w:val="28"/>
          <w:szCs w:val="28"/>
        </w:rPr>
        <w:t>saprotrophs</w:t>
      </w:r>
      <w:r>
        <w:rPr>
          <w:sz w:val="28"/>
          <w:szCs w:val="28"/>
        </w:rPr>
        <w:t xml:space="preserve">, responsible for decomposing </w:t>
      </w:r>
      <w:r>
        <w:rPr>
          <w:sz w:val="28"/>
          <w:szCs w:val="28"/>
        </w:rPr>
        <w:t xml:space="preserve">organic matter, and </w:t>
      </w:r>
      <w:r>
        <w:rPr>
          <w:bCs/>
          <w:sz w:val="28"/>
          <w:szCs w:val="28"/>
        </w:rPr>
        <w:t>mutualists</w:t>
      </w:r>
      <w:r>
        <w:rPr>
          <w:sz w:val="28"/>
          <w:szCs w:val="28"/>
        </w:rPr>
        <w:t xml:space="preserve">, like AMF, were the most affected. In contrast, </w:t>
      </w:r>
      <w:r>
        <w:rPr>
          <w:bCs/>
          <w:sz w:val="28"/>
          <w:szCs w:val="28"/>
        </w:rPr>
        <w:t>stress-tolerant fungi</w:t>
      </w:r>
      <w:r>
        <w:rPr>
          <w:sz w:val="28"/>
          <w:szCs w:val="28"/>
        </w:rPr>
        <w:t xml:space="preserve">, including opportunistic or pathogenic species, increased in dominance. This shift reflects an </w:t>
      </w:r>
      <w:r>
        <w:rPr>
          <w:bCs/>
          <w:sz w:val="28"/>
          <w:szCs w:val="28"/>
        </w:rPr>
        <w:t>ecological imbalance</w:t>
      </w:r>
      <w:r>
        <w:rPr>
          <w:sz w:val="28"/>
          <w:szCs w:val="28"/>
        </w:rPr>
        <w:t xml:space="preserve"> and reduced resilience to future environmental stress or pathogen outbreaks. Environmental conditions such as </w:t>
      </w:r>
      <w:r>
        <w:rPr>
          <w:bCs/>
          <w:sz w:val="28"/>
          <w:szCs w:val="28"/>
        </w:rPr>
        <w:t>high rainfall</w:t>
      </w:r>
      <w:r>
        <w:rPr>
          <w:sz w:val="28"/>
          <w:szCs w:val="28"/>
        </w:rPr>
        <w:t xml:space="preserve"> and </w:t>
      </w:r>
      <w:r>
        <w:rPr>
          <w:bCs/>
          <w:sz w:val="28"/>
          <w:szCs w:val="28"/>
        </w:rPr>
        <w:t>warm temperatures</w:t>
      </w:r>
      <w:r>
        <w:rPr>
          <w:sz w:val="28"/>
          <w:szCs w:val="28"/>
        </w:rPr>
        <w:t>, which promote microbial activity, may intensify fungicide degradation but also facilitate more rapid shifts in fungal composition due to increased exposure rates.</w:t>
      </w:r>
    </w:p>
    <w:bookmarkStart w:id="4" w:name="_Toc202976450"/>
    <w:p>
      <w:pPr>
        <w:pStyle w:val="style1"/>
        <w:rPr>
          <w:rFonts w:ascii="Times New Roman" w:cs="Times New Roman" w:hAnsi="Times New Roman"/>
          <w:b/>
          <w:color w:val="auto"/>
        </w:rPr>
      </w:pPr>
      <w:r>
        <w:rPr>
          <w:rFonts w:ascii="Times New Roman" w:cs="Times New Roman" w:hAnsi="Times New Roman"/>
          <w:b/>
          <w:color w:val="auto"/>
        </w:rPr>
        <w:t>1.2 Statement of Problem</w:t>
      </w:r>
      <w:bookmarkEnd w:id="4"/>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Despite the widespread use of fungicides in agriculture to combat plant diseases and increase crop productivity, their non-target effects on beneficial soil fungi remain poorly understood.</w:t>
      </w:r>
      <w:r>
        <w:rPr>
          <w:rFonts w:ascii="Times New Roman" w:cs="Times New Roman" w:eastAsia="Times New Roman" w:hAnsi="Times New Roman"/>
          <w:sz w:val="28"/>
          <w:szCs w:val="28"/>
        </w:rPr>
        <w:t xml:space="preserve"> </w:t>
      </w:r>
    </w:p>
    <w:p>
      <w:pPr>
        <w:pStyle w:val="style0"/>
        <w:numPr>
          <w:ilvl w:val="0"/>
          <w:numId w:val="1"/>
        </w:numPr>
        <w:spacing w:before="100" w:beforeAutospacing="true" w:after="100" w:afterAutospacing="true" w:lineRule="auto" w:line="480"/>
        <w:jc w:val="both"/>
        <w:rPr>
          <w:rFonts w:ascii="Times New Roman" w:cs="Times New Roman" w:hAnsi="Times New Roman"/>
          <w:sz w:val="28"/>
          <w:szCs w:val="28"/>
        </w:rPr>
      </w:pPr>
      <w:r>
        <w:rPr>
          <w:rFonts w:ascii="Times New Roman" w:cs="Times New Roman" w:eastAsia="Times New Roman" w:hAnsi="Times New Roman"/>
          <w:bCs/>
          <w:sz w:val="28"/>
          <w:szCs w:val="28"/>
        </w:rPr>
        <w:t>Current agricultural practices often rely heavily on chemical fungicides without considering their long-term ecological consequences on soil microbial networks.</w:t>
      </w:r>
      <w:r>
        <w:rPr>
          <w:rFonts w:ascii="Times New Roman" w:cs="Times New Roman" w:eastAsia="Times New Roman" w:hAnsi="Times New Roman"/>
          <w:sz w:val="28"/>
          <w:szCs w:val="28"/>
        </w:rPr>
        <w:t xml:space="preserve"> </w:t>
      </w:r>
    </w:p>
    <w:bookmarkStart w:id="5" w:name="_Toc202976451"/>
    <w:p>
      <w:pPr>
        <w:pStyle w:val="style1"/>
        <w:rPr>
          <w:rFonts w:ascii="Times New Roman" w:cs="Times New Roman" w:hAnsi="Times New Roman"/>
          <w:b/>
          <w:color w:val="auto"/>
        </w:rPr>
      </w:pPr>
      <w:r>
        <w:rPr>
          <w:rFonts w:ascii="Times New Roman" w:cs="Times New Roman" w:eastAsia="Times New Roman" w:hAnsi="Times New Roman"/>
          <w:b/>
          <w:color w:val="auto"/>
        </w:rPr>
        <w:t xml:space="preserve">1.3 </w:t>
      </w:r>
      <w:r>
        <w:rPr>
          <w:rFonts w:ascii="Times New Roman" w:cs="Times New Roman" w:hAnsi="Times New Roman"/>
          <w:b/>
          <w:color w:val="auto"/>
        </w:rPr>
        <w:t>Aim</w:t>
      </w:r>
      <w:bookmarkEnd w:id="5"/>
    </w:p>
    <w:p>
      <w:pPr>
        <w:pStyle w:val="style0"/>
        <w:spacing w:before="100" w:beforeAutospacing="true" w:after="100" w:afterAutospacing="true" w:lineRule="auto" w:line="480"/>
        <w:jc w:val="both"/>
        <w:rPr>
          <w:rFonts w:ascii="Times New Roman" w:cs="Times New Roman" w:hAnsi="Times New Roman"/>
          <w:sz w:val="28"/>
          <w:szCs w:val="28"/>
        </w:rPr>
      </w:pPr>
      <w:r>
        <w:rPr>
          <w:rFonts w:ascii="Times New Roman" w:cs="Times New Roman" w:hAnsi="Times New Roman"/>
          <w:sz w:val="28"/>
          <w:szCs w:val="28"/>
        </w:rPr>
        <w:t xml:space="preserve">This study aims to investigate the </w:t>
      </w:r>
      <w:r>
        <w:rPr>
          <w:rStyle w:val="style87"/>
          <w:rFonts w:ascii="Times New Roman" w:cs="Times New Roman" w:hAnsi="Times New Roman"/>
          <w:sz w:val="28"/>
          <w:szCs w:val="28"/>
        </w:rPr>
        <w:t xml:space="preserve">effect of fungicide application on soil </w:t>
      </w:r>
      <w:r>
        <w:rPr>
          <w:rStyle w:val="style87"/>
          <w:rFonts w:ascii="Times New Roman" w:cs="Times New Roman" w:hAnsi="Times New Roman"/>
          <w:sz w:val="28"/>
          <w:szCs w:val="28"/>
        </w:rPr>
        <w:t>mycobiome</w:t>
      </w:r>
      <w:r>
        <w:rPr>
          <w:rFonts w:ascii="Times New Roman" w:cs="Times New Roman" w:hAnsi="Times New Roman"/>
          <w:sz w:val="28"/>
          <w:szCs w:val="28"/>
        </w:rPr>
        <w:t xml:space="preserve">, examining changes in fungal community structure, diversity, and functional composition. Findings from this research can provide insight into the ecological risks of fungicide use and guide better agricultural practices. The outcome will contribute to the broader discourse on sustainable soil management and microbial conservation. Understanding how to mitigate unintended consequences of fungicide use is vital to ensuring food security and maintaining ecological integrity in </w:t>
      </w:r>
      <w:r>
        <w:rPr>
          <w:rFonts w:ascii="Times New Roman" w:cs="Times New Roman" w:hAnsi="Times New Roman"/>
          <w:sz w:val="28"/>
          <w:szCs w:val="28"/>
        </w:rPr>
        <w:t>agroecosystems</w:t>
      </w:r>
      <w:r>
        <w:rPr>
          <w:rFonts w:ascii="Times New Roman" w:cs="Times New Roman" w:hAnsi="Times New Roman"/>
          <w:sz w:val="28"/>
          <w:szCs w:val="28"/>
        </w:rPr>
        <w:t>.</w:t>
      </w:r>
    </w:p>
    <w:bookmarkStart w:id="6" w:name="_Toc202976452"/>
    <w:p>
      <w:pPr>
        <w:pStyle w:val="style1"/>
        <w:rPr>
          <w:rFonts w:ascii="Times New Roman" w:cs="Times New Roman" w:hAnsi="Times New Roman"/>
          <w:b/>
          <w:color w:val="auto"/>
        </w:rPr>
      </w:pPr>
      <w:r>
        <w:rPr>
          <w:rFonts w:ascii="Times New Roman" w:cs="Times New Roman" w:hAnsi="Times New Roman"/>
          <w:b/>
          <w:color w:val="auto"/>
        </w:rPr>
        <w:t>1.4 Objectives</w:t>
      </w:r>
      <w:bookmarkEnd w:id="6"/>
    </w:p>
    <w:p>
      <w:pPr>
        <w:pStyle w:val="style94"/>
        <w:numPr>
          <w:ilvl w:val="0"/>
          <w:numId w:val="2"/>
        </w:numPr>
        <w:spacing w:lineRule="auto" w:line="480"/>
        <w:jc w:val="both"/>
        <w:rPr>
          <w:b/>
          <w:sz w:val="28"/>
          <w:szCs w:val="28"/>
        </w:rPr>
      </w:pPr>
      <w:r>
        <w:rPr>
          <w:rStyle w:val="style87"/>
          <w:sz w:val="28"/>
          <w:szCs w:val="28"/>
        </w:rPr>
        <w:t>To evaluate the impact of fungicide application on the diversity, abundance, and composition of fungal communities (</w:t>
      </w:r>
      <w:r>
        <w:rPr>
          <w:rStyle w:val="style87"/>
          <w:sz w:val="28"/>
          <w:szCs w:val="28"/>
        </w:rPr>
        <w:t>mycobiome</w:t>
      </w:r>
      <w:r>
        <w:rPr>
          <w:rStyle w:val="style87"/>
          <w:sz w:val="28"/>
          <w:szCs w:val="28"/>
        </w:rPr>
        <w:t>) in agricultural soil.</w:t>
      </w:r>
    </w:p>
    <w:p>
      <w:pPr>
        <w:pStyle w:val="style94"/>
        <w:numPr>
          <w:ilvl w:val="0"/>
          <w:numId w:val="2"/>
        </w:numPr>
        <w:spacing w:lineRule="auto" w:line="480"/>
        <w:jc w:val="both"/>
        <w:rPr>
          <w:rStyle w:val="style87"/>
          <w:bCs w:val="false"/>
          <w:sz w:val="28"/>
          <w:szCs w:val="28"/>
        </w:rPr>
      </w:pPr>
      <w:r>
        <w:rPr>
          <w:rStyle w:val="style87"/>
          <w:sz w:val="28"/>
          <w:szCs w:val="28"/>
        </w:rPr>
        <w:t xml:space="preserve">To identify and compare changes in functional groups of soil fungi (e.g., </w:t>
      </w:r>
      <w:r>
        <w:rPr>
          <w:rStyle w:val="style87"/>
          <w:sz w:val="28"/>
          <w:szCs w:val="28"/>
        </w:rPr>
        <w:t>mycorrhizal</w:t>
      </w:r>
      <w:r>
        <w:rPr>
          <w:rStyle w:val="style87"/>
          <w:sz w:val="28"/>
          <w:szCs w:val="28"/>
        </w:rPr>
        <w:t>, saprophytic, and pathogenic fungi) following different levels or frequencies of fungicide treatment.</w:t>
      </w:r>
    </w:p>
    <w:p>
      <w:pPr>
        <w:pStyle w:val="style94"/>
        <w:spacing w:lineRule="auto" w:line="480"/>
        <w:jc w:val="both"/>
        <w:rPr>
          <w:b/>
          <w:sz w:val="28"/>
          <w:szCs w:val="28"/>
        </w:rPr>
      </w:pPr>
    </w:p>
    <w:p>
      <w:pPr>
        <w:pStyle w:val="style0"/>
        <w:spacing w:before="100" w:beforeAutospacing="true" w:after="100" w:afterAutospacing="true" w:lineRule="auto" w:line="48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center"/>
        <w:rPr>
          <w:rFonts w:ascii="Times New Roman" w:cs="Times New Roman" w:eastAsia="Times New Roman" w:hAnsi="Times New Roman"/>
          <w:b/>
          <w:bCs/>
          <w:sz w:val="28"/>
          <w:szCs w:val="28"/>
        </w:rPr>
      </w:pPr>
    </w:p>
    <w:bookmarkStart w:id="7" w:name="_Toc202976453"/>
    <w:p>
      <w:pPr>
        <w:pStyle w:val="style1"/>
        <w:jc w:val="center"/>
        <w:rPr>
          <w:rFonts w:ascii="Times New Roman" w:cs="Times New Roman" w:eastAsia="Times New Roman" w:hAnsi="Times New Roman"/>
          <w:b/>
          <w:color w:val="auto"/>
        </w:rPr>
      </w:pPr>
      <w:r>
        <w:rPr>
          <w:rFonts w:ascii="Times New Roman" w:cs="Times New Roman" w:eastAsia="Times New Roman" w:hAnsi="Times New Roman"/>
          <w:b/>
          <w:color w:val="auto"/>
        </w:rPr>
        <w:t>CHAPTER TWO</w:t>
      </w:r>
      <w:bookmarkEnd w:id="7"/>
    </w:p>
    <w:bookmarkStart w:id="8" w:name="_Toc202976454"/>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2.0 Materials and Methods</w:t>
      </w:r>
      <w:bookmarkEnd w:id="8"/>
    </w:p>
    <w:bookmarkStart w:id="9" w:name="_Toc202976455"/>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2.1 Materials</w:t>
      </w:r>
      <w:bookmarkEnd w:id="9"/>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Materials used in this study include five fungicides: </w:t>
      </w:r>
      <w:r>
        <w:rPr>
          <w:rFonts w:ascii="Times New Roman" w:cs="Times New Roman" w:eastAsia="Times New Roman" w:hAnsi="Times New Roman"/>
          <w:i/>
          <w:iCs/>
          <w:sz w:val="28"/>
          <w:szCs w:val="28"/>
        </w:rPr>
        <w:t>Blast Force</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Stampede</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Ultimax</w:t>
      </w:r>
      <w:r>
        <w:rPr>
          <w:rFonts w:ascii="Times New Roman" w:cs="Times New Roman" w:eastAsia="Times New Roman" w:hAnsi="Times New Roman"/>
          <w:i/>
          <w:iCs/>
          <w:sz w:val="28"/>
          <w:szCs w:val="28"/>
        </w:rPr>
        <w:t xml:space="preserve"> Plus</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Red Force</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Total Force</w:t>
      </w:r>
      <w:r>
        <w:rPr>
          <w:rFonts w:ascii="Times New Roman" w:cs="Times New Roman" w:eastAsia="Times New Roman" w:hAnsi="Times New Roman"/>
          <w:sz w:val="28"/>
          <w:szCs w:val="28"/>
        </w:rPr>
        <w:t xml:space="preserve">. Laboratory tools and equipment used include beakers, syringes, weighing balance, spatula, paper tape, cotton wool, conical flasks, foil paper, spirit lamp, gas burner, nylon bags, test tubes, test tube racks, needles, and Petri dishes. Distilled water was used throughout the process. Soil samples were collected from five locations: Agricultural Farm, Shoprite, E-library, IFMS, and Western Campus. The selection of these materials and sites was in line with standard protocols for </w:t>
      </w:r>
      <w:r>
        <w:rPr>
          <w:rFonts w:ascii="Times New Roman" w:cs="Times New Roman" w:eastAsia="Times New Roman" w:hAnsi="Times New Roman"/>
          <w:sz w:val="28"/>
          <w:szCs w:val="28"/>
        </w:rPr>
        <w:t xml:space="preserve">assessing the impact of agrochemicals on soil fungal diversity (Zhang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xml:space="preserve">., 2021; </w:t>
      </w:r>
      <w:r>
        <w:rPr>
          <w:rFonts w:ascii="Times New Roman" w:cs="Times New Roman" w:eastAsia="Times New Roman" w:hAnsi="Times New Roman"/>
          <w:sz w:val="28"/>
          <w:szCs w:val="28"/>
        </w:rPr>
        <w:t>Olatinwo</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2022).</w:t>
      </w:r>
    </w:p>
    <w:bookmarkStart w:id="10" w:name="_Toc202976456"/>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2.1.1 Media and Reagents</w:t>
      </w:r>
      <w:bookmarkEnd w:id="10"/>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main culture medium used for fungal isolation was Potato Dextrose Agar (PDA), prepared from a commercially available dehydrated powder. Distilled water was used for all dilutions and sample treatments. The reagents included sterile materials such as cotton wool, foil paper, and other aseptic equipment for culturing and isolating fungi from soil. PDA is widely accepted for the isolation of fungi due to its capacity to support a broad spectrum of fungal growth (Singh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2023).</w:t>
      </w:r>
    </w:p>
    <w:bookmarkStart w:id="11" w:name="_Toc202976457"/>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2.2 Sample Collection and Treatment</w:t>
      </w:r>
      <w:bookmarkEnd w:id="11"/>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Sand samples were collected in clean nylon bags from each of the five identified locations. From each location, two 100 g portions of soil were weighed into new nylons—one for treatment (T) and one for control (C). Fungicide solutions were prepared by dissolving 1 g of each fungicide in 100 ml of distilled water in separate labeled beakers. After thorough mixing, 10 ml of each fungicide solution was applied to the corresponding treated </w:t>
      </w:r>
      <w:r>
        <w:rPr>
          <w:rFonts w:ascii="Times New Roman" w:cs="Times New Roman" w:eastAsia="Times New Roman" w:hAnsi="Times New Roman"/>
          <w:sz w:val="28"/>
          <w:szCs w:val="28"/>
        </w:rPr>
        <w:t xml:space="preserve">soil samples. Control samples received no fungicide. All samples were placed in labeled beakers (e.g., “Total Force Western T” or “Western C”), sealed with foil paper and paper tape, and incubated at room temperature for 7 days to allow the interaction of fungicides with the soil </w:t>
      </w:r>
      <w:r>
        <w:rPr>
          <w:rFonts w:ascii="Times New Roman" w:cs="Times New Roman" w:eastAsia="Times New Roman" w:hAnsi="Times New Roman"/>
          <w:sz w:val="28"/>
          <w:szCs w:val="28"/>
        </w:rPr>
        <w:t>microbiome</w:t>
      </w:r>
      <w:r>
        <w:rPr>
          <w:rFonts w:ascii="Times New Roman" w:cs="Times New Roman" w:eastAsia="Times New Roman" w:hAnsi="Times New Roman"/>
          <w:sz w:val="28"/>
          <w:szCs w:val="28"/>
        </w:rPr>
        <w:t>. This method aligns with recent protocols assessing soil microbial responses to chemical inputs (</w:t>
      </w:r>
      <w:r>
        <w:rPr>
          <w:rFonts w:ascii="Times New Roman" w:cs="Times New Roman" w:eastAsia="Times New Roman" w:hAnsi="Times New Roman"/>
          <w:sz w:val="28"/>
          <w:szCs w:val="28"/>
        </w:rPr>
        <w:t>Tosi</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xml:space="preserve">., 2020; </w:t>
      </w:r>
      <w:r>
        <w:rPr>
          <w:rFonts w:ascii="Times New Roman" w:cs="Times New Roman" w:eastAsia="Times New Roman" w:hAnsi="Times New Roman"/>
          <w:sz w:val="28"/>
          <w:szCs w:val="28"/>
        </w:rPr>
        <w:t>Adekunle</w:t>
      </w:r>
      <w:r>
        <w:rPr>
          <w:rFonts w:ascii="Times New Roman" w:cs="Times New Roman" w:eastAsia="Times New Roman" w:hAnsi="Times New Roman"/>
          <w:sz w:val="28"/>
          <w:szCs w:val="28"/>
        </w:rPr>
        <w:t xml:space="preserve"> &amp; </w:t>
      </w:r>
      <w:r>
        <w:rPr>
          <w:rFonts w:ascii="Times New Roman" w:cs="Times New Roman" w:eastAsia="Times New Roman" w:hAnsi="Times New Roman"/>
          <w:sz w:val="28"/>
          <w:szCs w:val="28"/>
        </w:rPr>
        <w:t>Oladele</w:t>
      </w:r>
      <w:r>
        <w:rPr>
          <w:rFonts w:ascii="Times New Roman" w:cs="Times New Roman" w:eastAsia="Times New Roman" w:hAnsi="Times New Roman"/>
          <w:sz w:val="28"/>
          <w:szCs w:val="28"/>
        </w:rPr>
        <w:t>, 2023).</w:t>
      </w:r>
    </w:p>
    <w:bookmarkStart w:id="12" w:name="_Toc202976458"/>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2.3 pH Determination</w:t>
      </w:r>
      <w:bookmarkEnd w:id="12"/>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After the 7-day incubation period, the pH of each sample was measured using a calibrated pH meter. Distilled water served as a control reference (pH 6.68). The pH readings were taken for both treated (T) and control (C) samples from each location. Results showed that fungicide application slightly reduced the pH of most samples, suggesting a potential alteration of soil acidity due to chemical treatment. </w:t>
      </w:r>
      <w:r>
        <w:rPr>
          <w:rFonts w:ascii="Times New Roman" w:cs="Times New Roman" w:eastAsia="Times New Roman" w:hAnsi="Times New Roman"/>
          <w:sz w:val="28"/>
          <w:szCs w:val="28"/>
        </w:rPr>
        <w:t>pH</w:t>
      </w:r>
      <w:r>
        <w:rPr>
          <w:rFonts w:ascii="Times New Roman" w:cs="Times New Roman" w:eastAsia="Times New Roman" w:hAnsi="Times New Roman"/>
          <w:sz w:val="28"/>
          <w:szCs w:val="28"/>
        </w:rPr>
        <w:t xml:space="preserve"> shifts following fungicide exposure have been reported to influence fungal abundance and diversity (Chen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2021).</w:t>
      </w:r>
    </w:p>
    <w:bookmarkStart w:id="13" w:name="_Toc202976459"/>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2.4 Preparation of Media</w:t>
      </w:r>
      <w:bookmarkEnd w:id="13"/>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For fungal growth, 9.74 g of PDA was weighed and mixed with 250 ml of distilled water in a conical flask. The flask was covered with foil and heated over a gas flame until the medium completely dissolved. It was then sterilized, allowed to cool slightly, and poured into sterile Petri dishes near a lit spirit lamp to maintain aseptic conditions. The plates were allowed to solidify before inoculation. This procedure is consistent with microbial culture methods used in </w:t>
      </w:r>
      <w:r>
        <w:rPr>
          <w:rFonts w:ascii="Times New Roman" w:cs="Times New Roman" w:eastAsia="Times New Roman" w:hAnsi="Times New Roman"/>
          <w:sz w:val="28"/>
          <w:szCs w:val="28"/>
        </w:rPr>
        <w:t>mycobiome</w:t>
      </w:r>
      <w:r>
        <w:rPr>
          <w:rFonts w:ascii="Times New Roman" w:cs="Times New Roman" w:eastAsia="Times New Roman" w:hAnsi="Times New Roman"/>
          <w:sz w:val="28"/>
          <w:szCs w:val="28"/>
        </w:rPr>
        <w:t xml:space="preserve"> studies (Yuan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2020).</w:t>
      </w:r>
    </w:p>
    <w:bookmarkStart w:id="14" w:name="_Toc202976460"/>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2.5 Isolation of Fungi</w:t>
      </w:r>
      <w:bookmarkEnd w:id="14"/>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Sixty test tubes were arranged on 10 racks—five for treated samples and five for controls. Each test tube was filled with 9 ml of distilled water. From each treated and control soil sample, 1 g was added to the first tube, mixed thoroughly, and a serial dilution was performed to 10⁻¹. Using sterile techniques, 0.5 ml from the 10⁻¹ dilution was inoculated onto the PDA plates, which had been labeled based on treatment and sample location (e.g., “Shoprite T” or “IFMS C”). Plates were sealed and incubated at room </w:t>
      </w:r>
      <w:r>
        <w:rPr>
          <w:rFonts w:ascii="Times New Roman" w:cs="Times New Roman" w:eastAsia="Times New Roman" w:hAnsi="Times New Roman"/>
          <w:sz w:val="28"/>
          <w:szCs w:val="28"/>
        </w:rPr>
        <w:t xml:space="preserve">temperature for 5–7 days. These steps follow standard microbial isolation protocols (Li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2021).</w:t>
      </w:r>
    </w:p>
    <w:bookmarkStart w:id="15" w:name="_Toc202976461"/>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2.6 Identification of Fungal Growth</w:t>
      </w:r>
      <w:bookmarkEnd w:id="15"/>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After incubation, fungal growth was observed and recorded based on colony appearance: color, texture, elevation, and margin. Colonies were identified based on morphological characteristics. Common observations included creamy colonies, blackish powdery colonies, bluish colonies, greenish colonies, and whitish cottony growth. Fungal types observed across different samples included </w:t>
      </w:r>
      <w:r>
        <w:rPr>
          <w:rFonts w:ascii="Times New Roman" w:cs="Times New Roman" w:eastAsia="Times New Roman" w:hAnsi="Times New Roman"/>
          <w:i/>
          <w:iCs/>
          <w:sz w:val="28"/>
          <w:szCs w:val="28"/>
        </w:rPr>
        <w:t>Yeast</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Rhizopus</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spp</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Aspergillus</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spp</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Penicillium</w:t>
      </w:r>
      <w:r>
        <w:rPr>
          <w:rFonts w:ascii="Times New Roman" w:cs="Times New Roman" w:eastAsia="Times New Roman" w:hAnsi="Times New Roman"/>
          <w:i/>
          <w:iCs/>
          <w:sz w:val="28"/>
          <w:szCs w:val="28"/>
        </w:rPr>
        <w:t xml:space="preserve"> spp</w:t>
      </w:r>
      <w:r>
        <w:rPr>
          <w:rFonts w:ascii="Times New Roman" w:cs="Times New Roman" w:eastAsia="Times New Roman" w:hAnsi="Times New Roman"/>
          <w:sz w:val="28"/>
          <w:szCs w:val="28"/>
        </w:rPr>
        <w:t xml:space="preserve">. Colony counts were done visually using a colony counter. Visual assessment of fungal colony morphology remains an effective preliminary identification approach in soil microbiology (Kumar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2020).</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bookmarkStart w:id="16" w:name="_Toc202976463"/>
    <w:p>
      <w:pPr>
        <w:pStyle w:val="style1"/>
        <w:jc w:val="center"/>
        <w:rPr>
          <w:rFonts w:ascii="Times New Roman" w:cs="Times New Roman" w:eastAsia="Times New Roman" w:hAnsi="Times New Roman"/>
          <w:b/>
          <w:color w:val="auto"/>
        </w:rPr>
      </w:pPr>
      <w:r>
        <w:rPr>
          <w:rFonts w:ascii="Times New Roman" w:cs="Times New Roman" w:eastAsia="Times New Roman" w:hAnsi="Times New Roman"/>
          <w:b/>
          <w:color w:val="auto"/>
        </w:rPr>
        <w:t>CHAPTER THREE</w:t>
      </w:r>
      <w:bookmarkEnd w:id="16"/>
    </w:p>
    <w:bookmarkStart w:id="17" w:name="_Toc202976464"/>
    <w:p>
      <w:pPr>
        <w:pStyle w:val="style1"/>
        <w:rPr>
          <w:rFonts w:ascii="Times New Roman" w:cs="Times New Roman" w:hAnsi="Times New Roman"/>
          <w:color w:val="auto"/>
        </w:rPr>
      </w:pPr>
      <w:r>
        <w:rPr>
          <w:rStyle w:val="style87"/>
          <w:rFonts w:ascii="Times New Roman" w:cs="Times New Roman" w:hAnsi="Times New Roman"/>
          <w:color w:val="auto"/>
          <w:sz w:val="28"/>
          <w:szCs w:val="28"/>
        </w:rPr>
        <w:t>3.0 RESULTS</w:t>
      </w:r>
      <w:bookmarkEnd w:id="17"/>
    </w:p>
    <w:bookmarkStart w:id="18" w:name="_Toc202976465"/>
    <w:p>
      <w:pPr>
        <w:pStyle w:val="style1"/>
        <w:rPr>
          <w:rFonts w:ascii="Times New Roman" w:cs="Times New Roman" w:hAnsi="Times New Roman"/>
          <w:color w:val="auto"/>
        </w:rPr>
      </w:pPr>
      <w:r>
        <w:rPr>
          <w:rStyle w:val="style87"/>
          <w:rFonts w:ascii="Times New Roman" w:cs="Times New Roman" w:hAnsi="Times New Roman"/>
          <w:color w:val="auto"/>
          <w:sz w:val="28"/>
          <w:szCs w:val="28"/>
        </w:rPr>
        <w:t>3.1 pH of Soil Samples</w:t>
      </w:r>
      <w:bookmarkEnd w:id="18"/>
    </w:p>
    <w:bookmarkStart w:id="19" w:name="_Toc202976466"/>
    <w:p>
      <w:pPr>
        <w:pStyle w:val="style1"/>
        <w:rPr>
          <w:rFonts w:ascii="Times New Roman" w:cs="Times New Roman" w:hAnsi="Times New Roman"/>
          <w:color w:val="auto"/>
        </w:rPr>
      </w:pPr>
      <w:r>
        <w:rPr>
          <w:rStyle w:val="style87"/>
          <w:rFonts w:ascii="Times New Roman" w:cs="Times New Roman" w:hAnsi="Times New Roman"/>
          <w:color w:val="auto"/>
        </w:rPr>
        <w:t>Table 3.1: pH Values of Treated and Control Soil Samples</w:t>
      </w:r>
      <w:bookmarkEnd w:id="19"/>
    </w:p>
    <w:tbl>
      <w:tblPr>
        <w:tblStyle w:val="style4099"/>
        <w:tblW w:w="0" w:type="auto"/>
        <w:shd w:val="clear" w:color="auto" w:fill="ffffff"/>
        <w:tblLook w:val="04A0" w:firstRow="1" w:lastRow="0" w:firstColumn="1" w:lastColumn="0" w:noHBand="0" w:noVBand="1"/>
      </w:tblPr>
      <w:tblGrid>
        <w:gridCol w:w="695"/>
        <w:gridCol w:w="2302"/>
        <w:gridCol w:w="2123"/>
        <w:gridCol w:w="1602"/>
        <w:gridCol w:w="1552"/>
      </w:tblGrid>
      <w:tr>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b w:val="false"/>
                <w:bCs w:val="false"/>
                <w:color w:val="auto"/>
                <w:sz w:val="28"/>
                <w:szCs w:val="28"/>
              </w:rPr>
              <w:t>S/N</w:t>
            </w:r>
          </w:p>
        </w:tc>
        <w:tc>
          <w:tcPr>
            <w:tcW w:w="0" w:type="auto"/>
            <w:tcBorders/>
            <w:shd w:val="clear" w:color="auto" w:fill="ffffff"/>
            <w:hideMark/>
          </w:tcPr>
          <w:p>
            <w:pPr>
              <w:pStyle w:val="style0"/>
              <w:spacing w:lineRule="auto" w:line="48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Sample Location</w:t>
            </w:r>
          </w:p>
        </w:tc>
        <w:tc>
          <w:tcPr>
            <w:tcW w:w="0" w:type="auto"/>
            <w:tcBorders/>
            <w:shd w:val="clear" w:color="auto" w:fill="ffffff"/>
            <w:hideMark/>
          </w:tcPr>
          <w:p>
            <w:pPr>
              <w:pStyle w:val="style0"/>
              <w:spacing w:lineRule="auto" w:line="48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Fungicide Used</w:t>
            </w:r>
          </w:p>
        </w:tc>
        <w:tc>
          <w:tcPr>
            <w:tcW w:w="0" w:type="auto"/>
            <w:tcBorders/>
            <w:shd w:val="clear" w:color="auto" w:fill="ffffff"/>
            <w:hideMark/>
          </w:tcPr>
          <w:p>
            <w:pPr>
              <w:pStyle w:val="style0"/>
              <w:spacing w:lineRule="auto" w:line="48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Treated pH</w:t>
            </w:r>
          </w:p>
        </w:tc>
        <w:tc>
          <w:tcPr>
            <w:tcW w:w="0" w:type="auto"/>
            <w:tcBorders/>
            <w:shd w:val="clear" w:color="auto" w:fill="ffffff"/>
            <w:hideMark/>
          </w:tcPr>
          <w:p>
            <w:pPr>
              <w:pStyle w:val="style0"/>
              <w:spacing w:lineRule="auto" w:line="48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Control pH</w:t>
            </w:r>
          </w:p>
        </w:tc>
      </w:tr>
      <w:tr>
        <w:tblPrEx/>
        <w:trPr/>
        <w:tc>
          <w:tcPr>
            <w:tcW w:w="0" w:type="auto"/>
            <w:tcBorders/>
            <w:shd w:val="clear" w:color="auto" w:fill="ffffff"/>
            <w:hideMark/>
          </w:tcPr>
          <w:p>
            <w:pPr>
              <w:pStyle w:val="style0"/>
              <w:spacing w:lineRule="auto" w:line="480"/>
              <w:jc w:val="both"/>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1</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Distilled Water</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None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6.68</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6.68</w:t>
            </w:r>
          </w:p>
        </w:tc>
      </w:tr>
      <w:tr>
        <w:tblPrEx/>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2</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Shoprite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Ultimax</w:t>
            </w:r>
            <w:r>
              <w:rPr>
                <w:rFonts w:ascii="Times New Roman" w:cs="Times New Roman" w:hAnsi="Times New Roman"/>
                <w:color w:val="auto"/>
                <w:sz w:val="28"/>
                <w:szCs w:val="28"/>
              </w:rPr>
              <w:t xml:space="preserve"> Plus</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6.04</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5.76</w:t>
            </w:r>
          </w:p>
        </w:tc>
      </w:tr>
      <w:tr>
        <w:tblPrEx/>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3</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Western</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Total Force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5.80</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5.50</w:t>
            </w:r>
          </w:p>
        </w:tc>
      </w:tr>
      <w:tr>
        <w:tblPrEx/>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4</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Agric Farm</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Blast Force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5.52</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5.48</w:t>
            </w:r>
          </w:p>
        </w:tc>
      </w:tr>
      <w:tr>
        <w:tblPrEx/>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E-Library</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Red Force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5.70</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4.96</w:t>
            </w:r>
          </w:p>
        </w:tc>
      </w:tr>
      <w:tr>
        <w:tblPrEx/>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6</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IFMS</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Stampede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5.77</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5.71</w:t>
            </w:r>
          </w:p>
        </w:tc>
      </w:tr>
      <w:bookmarkStart w:id="20" w:name="_Toc202976467"/>
    </w:tbl>
    <w:p>
      <w:pPr>
        <w:pStyle w:val="style1"/>
        <w:rPr>
          <w:rStyle w:val="style87"/>
          <w:rFonts w:ascii="Times New Roman" w:cs="Times New Roman" w:hAnsi="Times New Roman"/>
          <w:color w:val="auto"/>
          <w:sz w:val="28"/>
          <w:szCs w:val="28"/>
        </w:rPr>
      </w:pPr>
    </w:p>
    <w:p>
      <w:pPr>
        <w:pStyle w:val="style0"/>
        <w:rPr>
          <w:rStyle w:val="style87"/>
          <w:rFonts w:ascii="Times New Roman" w:cs="Times New Roman" w:eastAsia="宋体" w:hAnsi="Times New Roman"/>
          <w:sz w:val="28"/>
          <w:szCs w:val="28"/>
        </w:rPr>
      </w:pPr>
      <w:r>
        <w:rPr>
          <w:rStyle w:val="style87"/>
          <w:rFonts w:ascii="Times New Roman" w:cs="Times New Roman" w:hAnsi="Times New Roman"/>
          <w:sz w:val="28"/>
          <w:szCs w:val="28"/>
        </w:rPr>
        <w:br w:type="page"/>
      </w:r>
    </w:p>
    <w:p>
      <w:pPr>
        <w:pStyle w:val="style1"/>
        <w:rPr>
          <w:rFonts w:ascii="Times New Roman" w:cs="Times New Roman" w:hAnsi="Times New Roman"/>
          <w:color w:val="auto"/>
        </w:rPr>
      </w:pPr>
      <w:r>
        <w:rPr>
          <w:rStyle w:val="style87"/>
          <w:rFonts w:ascii="Times New Roman" w:cs="Times New Roman" w:hAnsi="Times New Roman"/>
          <w:color w:val="auto"/>
          <w:sz w:val="28"/>
          <w:szCs w:val="28"/>
        </w:rPr>
        <w:t>3.2 Fungal Colony Characteristics and Enumeration</w:t>
      </w:r>
      <w:bookmarkEnd w:id="20"/>
    </w:p>
    <w:bookmarkStart w:id="21" w:name="_Toc202976468"/>
    <w:p>
      <w:pPr>
        <w:pStyle w:val="style1"/>
        <w:rPr>
          <w:rFonts w:ascii="Times New Roman" w:cs="Times New Roman" w:hAnsi="Times New Roman"/>
          <w:color w:val="auto"/>
        </w:rPr>
      </w:pPr>
      <w:r>
        <w:rPr>
          <w:rStyle w:val="style87"/>
          <w:rFonts w:ascii="Times New Roman" w:cs="Times New Roman" w:hAnsi="Times New Roman"/>
          <w:color w:val="auto"/>
        </w:rPr>
        <w:t>Table 3.2: Fungal Observation and Colony Count in Treated Soil Samples</w:t>
      </w:r>
      <w:bookmarkEnd w:id="21"/>
    </w:p>
    <w:tbl>
      <w:tblPr>
        <w:tblStyle w:val="style4099"/>
        <w:tblW w:w="0" w:type="auto"/>
        <w:tblLook w:val="04A0" w:firstRow="1" w:lastRow="0" w:firstColumn="1" w:lastColumn="0" w:noHBand="0" w:noVBand="1"/>
      </w:tblPr>
      <w:tblGrid>
        <w:gridCol w:w="1460"/>
        <w:gridCol w:w="1586"/>
        <w:gridCol w:w="2305"/>
        <w:gridCol w:w="1992"/>
        <w:gridCol w:w="1511"/>
      </w:tblGrid>
      <w:tr>
        <w:trPr/>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b w:val="false"/>
                <w:bCs w:val="false"/>
                <w:color w:val="auto"/>
                <w:sz w:val="28"/>
                <w:szCs w:val="28"/>
              </w:rPr>
              <w:t>Sample Location</w:t>
            </w:r>
          </w:p>
        </w:tc>
        <w:tc>
          <w:tcPr>
            <w:tcW w:w="0" w:type="auto"/>
            <w:tcBorders/>
            <w:shd w:val="clear" w:color="auto" w:fill="auto"/>
            <w:hideMark/>
          </w:tcPr>
          <w:p>
            <w:pPr>
              <w:pStyle w:val="style0"/>
              <w:spacing w:lineRule="auto" w:line="36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Fungicide Used</w:t>
            </w:r>
          </w:p>
        </w:tc>
        <w:tc>
          <w:tcPr>
            <w:tcW w:w="0" w:type="auto"/>
            <w:tcBorders/>
            <w:shd w:val="clear" w:color="auto" w:fill="auto"/>
            <w:hideMark/>
          </w:tcPr>
          <w:p>
            <w:pPr>
              <w:pStyle w:val="style0"/>
              <w:spacing w:lineRule="auto" w:line="36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Colony Characteristics</w:t>
            </w:r>
          </w:p>
        </w:tc>
        <w:tc>
          <w:tcPr>
            <w:tcW w:w="0" w:type="auto"/>
            <w:tcBorders/>
            <w:shd w:val="clear" w:color="auto" w:fill="auto"/>
            <w:hideMark/>
          </w:tcPr>
          <w:p>
            <w:pPr>
              <w:pStyle w:val="style0"/>
              <w:spacing w:lineRule="auto" w:line="36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Suggested Fungi</w:t>
            </w:r>
          </w:p>
        </w:tc>
        <w:tc>
          <w:tcPr>
            <w:tcW w:w="0" w:type="auto"/>
            <w:tcBorders/>
            <w:shd w:val="clear" w:color="auto" w:fill="auto"/>
            <w:hideMark/>
          </w:tcPr>
          <w:p>
            <w:pPr>
              <w:pStyle w:val="style0"/>
              <w:spacing w:lineRule="auto" w:line="36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No. of Colonies</w:t>
            </w:r>
          </w:p>
        </w:tc>
      </w:tr>
      <w:tr>
        <w:tblPrEx/>
        <w:trPr/>
        <w:tc>
          <w:tcPr>
            <w:tcW w:w="0" w:type="auto"/>
            <w:tcBorders/>
            <w:shd w:val="clear" w:color="auto" w:fill="auto"/>
            <w:hideMark/>
          </w:tcPr>
          <w:p>
            <w:pPr>
              <w:pStyle w:val="style0"/>
              <w:spacing w:lineRule="auto" w:line="360"/>
              <w:jc w:val="both"/>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IFMS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Stampede</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Creamy, whitish cottony</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Yeast = 118</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4</w:t>
            </w:r>
          </w:p>
        </w:tc>
      </w:tr>
      <w:tr>
        <w:tblPrEx/>
        <w:trPr/>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Western</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Total Force</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Creamy, cottony</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Yeast = 198</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2</w:t>
            </w:r>
          </w:p>
        </w:tc>
      </w:tr>
      <w:tr>
        <w:tblPrEx/>
        <w:trPr/>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Shoprite</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Ultimax</w:t>
            </w:r>
            <w:r>
              <w:rPr>
                <w:rFonts w:ascii="Times New Roman" w:cs="Times New Roman" w:hAnsi="Times New Roman"/>
                <w:color w:val="auto"/>
                <w:sz w:val="28"/>
                <w:szCs w:val="28"/>
              </w:rPr>
              <w:t xml:space="preserve"> Plus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Creamy, cottony, blackish</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Aspergillus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Yeast = 61</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9</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 2</w:t>
            </w:r>
          </w:p>
        </w:tc>
      </w:tr>
      <w:tr>
        <w:tblPrEx/>
        <w:trPr/>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E-Library</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Red Force</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Creamy, cottony, blackish</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Rhizopus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Yeast = 1 (large)</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 10</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10</w:t>
            </w:r>
          </w:p>
        </w:tc>
      </w:tr>
      <w:tr>
        <w:tblPrEx/>
        <w:trPr/>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Agric Farm</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Blast Force</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Cottony, blackish</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Aspergillus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28</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 1</w:t>
            </w:r>
          </w:p>
        </w:tc>
      </w:tr>
    </w:tbl>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2762250" cy="3683000"/>
            <wp:effectExtent l="0" t="0" r="0" b="0"/>
            <wp:docPr id="1026" name="Picture 1" descr="C:\Users\BALOGUN JAMIU\AppData\Local\Packages\5319275A.WhatsAppDesktop_cv1g1gvanyjgm\TempState\ED706B60A463A5B0894618D7A1A1FAB2\WhatsApp Image 2025-07-08 at 12.44.47_b551bedf.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cstate="print"/>
                    <a:srcRect l="0" t="0" r="0" b="0"/>
                    <a:stretch/>
                  </pic:blipFill>
                  <pic:spPr>
                    <a:xfrm rot="0">
                      <a:off x="0" y="0"/>
                      <a:ext cx="2762250" cy="3683000"/>
                    </a:xfrm>
                    <a:prstGeom prst="rect"/>
                    <a:ln>
                      <a:noFill/>
                    </a:ln>
                  </pic:spPr>
                </pic:pic>
              </a:graphicData>
            </a:graphic>
          </wp:inline>
        </w:drawing>
      </w:r>
    </w:p>
    <w:p>
      <w:pPr>
        <w:pStyle w:val="style4"/>
        <w:spacing w:lineRule="auto" w:line="480"/>
        <w:jc w:val="both"/>
        <w:rPr>
          <w:rStyle w:val="style87"/>
          <w:rFonts w:ascii="Times New Roman" w:cs="Times New Roman" w:hAnsi="Times New Roman"/>
          <w:bCs w:val="false"/>
          <w:i w:val="false"/>
          <w:color w:val="auto"/>
          <w:sz w:val="28"/>
          <w:szCs w:val="28"/>
        </w:rPr>
      </w:pPr>
      <w:r>
        <w:rPr>
          <w:rStyle w:val="style87"/>
          <w:rFonts w:ascii="Times New Roman" w:cs="Times New Roman" w:hAnsi="Times New Roman"/>
          <w:i w:val="false"/>
          <w:color w:val="auto"/>
          <w:sz w:val="28"/>
          <w:szCs w:val="28"/>
        </w:rPr>
        <w:t>Fig. 1 View of Fungal colonies</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4"/>
        <w:spacing w:lineRule="auto" w:line="480"/>
        <w:jc w:val="both"/>
        <w:rPr>
          <w:rStyle w:val="style87"/>
          <w:rFonts w:ascii="Times New Roman" w:cs="Times New Roman" w:hAnsi="Times New Roman"/>
          <w:b w:val="false"/>
          <w:bCs w:val="false"/>
          <w:i w:val="false"/>
          <w:color w:val="auto"/>
          <w:sz w:val="28"/>
          <w:szCs w:val="28"/>
        </w:rPr>
      </w:pPr>
    </w:p>
    <w:p>
      <w:pPr>
        <w:pStyle w:val="style0"/>
        <w:rPr>
          <w:rStyle w:val="style87"/>
          <w:rFonts w:ascii="Times New Roman" w:cs="Times New Roman" w:hAnsi="Times New Roman"/>
          <w:bCs w:val="false"/>
          <w:sz w:val="28"/>
          <w:szCs w:val="28"/>
        </w:rPr>
      </w:pPr>
      <w:r>
        <w:rPr>
          <w:rStyle w:val="style87"/>
          <w:rFonts w:ascii="Times New Roman" w:cs="Times New Roman" w:hAnsi="Times New Roman"/>
          <w:i/>
          <w:sz w:val="28"/>
          <w:szCs w:val="28"/>
        </w:rPr>
        <w:br w:type="page"/>
      </w:r>
      <w:bookmarkStart w:id="22" w:name="_Toc202976469"/>
      <w:r>
        <w:rPr>
          <w:rStyle w:val="style87"/>
          <w:rFonts w:ascii="Times New Roman" w:cs="Times New Roman" w:hAnsi="Times New Roman"/>
          <w:sz w:val="28"/>
          <w:szCs w:val="28"/>
        </w:rPr>
        <w:t>3.3 Fungal Observation and Colony Count in Control Soil Samples</w:t>
      </w:r>
      <w:bookmarkEnd w:id="22"/>
    </w:p>
    <w:bookmarkStart w:id="23" w:name="_Toc202976470"/>
    <w:p>
      <w:pPr>
        <w:pStyle w:val="style1"/>
        <w:rPr>
          <w:rFonts w:ascii="Times New Roman" w:cs="Times New Roman" w:hAnsi="Times New Roman"/>
          <w:color w:val="auto"/>
          <w:sz w:val="28"/>
          <w:szCs w:val="28"/>
        </w:rPr>
      </w:pPr>
      <w:r>
        <w:rPr>
          <w:rStyle w:val="style87"/>
          <w:rFonts w:ascii="Times New Roman" w:cs="Times New Roman" w:hAnsi="Times New Roman"/>
          <w:color w:val="auto"/>
          <w:sz w:val="28"/>
          <w:szCs w:val="28"/>
        </w:rPr>
        <w:t>Table 3.3: Fungal Observation and Colony Count in Control Soil Samples</w:t>
      </w:r>
      <w:bookmarkEnd w:id="23"/>
    </w:p>
    <w:tbl>
      <w:tblPr>
        <w:tblStyle w:val="style4099"/>
        <w:tblW w:w="0" w:type="auto"/>
        <w:tblLook w:val="04A0" w:firstRow="1" w:lastRow="0" w:firstColumn="1" w:lastColumn="0" w:noHBand="0" w:noVBand="1"/>
      </w:tblPr>
      <w:tblGrid>
        <w:gridCol w:w="1510"/>
        <w:gridCol w:w="2867"/>
        <w:gridCol w:w="2634"/>
        <w:gridCol w:w="1843"/>
      </w:tblGrid>
      <w:tr>
        <w:trPr/>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b w:val="false"/>
                <w:bCs w:val="false"/>
                <w:color w:val="auto"/>
                <w:sz w:val="28"/>
                <w:szCs w:val="28"/>
              </w:rPr>
              <w:t>Sample Location</w:t>
            </w:r>
          </w:p>
        </w:tc>
        <w:tc>
          <w:tcPr>
            <w:tcW w:w="0" w:type="auto"/>
            <w:tcBorders/>
            <w:shd w:val="clear" w:color="auto" w:fill="auto"/>
            <w:hideMark/>
          </w:tcPr>
          <w:p>
            <w:pPr>
              <w:pStyle w:val="style0"/>
              <w:spacing w:lineRule="auto" w:line="276"/>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Colony Characteristics</w:t>
            </w:r>
          </w:p>
        </w:tc>
        <w:tc>
          <w:tcPr>
            <w:tcW w:w="0" w:type="auto"/>
            <w:tcBorders/>
            <w:shd w:val="clear" w:color="auto" w:fill="auto"/>
            <w:hideMark/>
          </w:tcPr>
          <w:p>
            <w:pPr>
              <w:pStyle w:val="style0"/>
              <w:spacing w:lineRule="auto" w:line="276"/>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Suggested Fungi</w:t>
            </w:r>
          </w:p>
        </w:tc>
        <w:tc>
          <w:tcPr>
            <w:tcW w:w="0" w:type="auto"/>
            <w:tcBorders/>
            <w:shd w:val="clear" w:color="auto" w:fill="auto"/>
            <w:hideMark/>
          </w:tcPr>
          <w:p>
            <w:pPr>
              <w:pStyle w:val="style0"/>
              <w:spacing w:lineRule="auto" w:line="276"/>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No. of Colonies</w:t>
            </w:r>
          </w:p>
        </w:tc>
      </w:tr>
      <w:tr>
        <w:tblPrEx/>
        <w:trPr/>
        <w:tc>
          <w:tcPr>
            <w:tcW w:w="0" w:type="auto"/>
            <w:tcBorders/>
            <w:shd w:val="clear" w:color="auto" w:fill="auto"/>
            <w:hideMark/>
          </w:tcPr>
          <w:p>
            <w:pPr>
              <w:pStyle w:val="style0"/>
              <w:spacing w:lineRule="auto" w:line="276"/>
              <w:jc w:val="both"/>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IFMS</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Blue, whitish cottony, black colonies, creamy</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Yeast</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8</w:t>
            </w:r>
            <w:r>
              <w:rPr>
                <w:rFonts w:ascii="Times New Roman" w:cs="Times New Roman" w:hAnsi="Times New Roman"/>
                <w:color w:val="auto"/>
                <w:sz w:val="28"/>
                <w:szCs w:val="28"/>
              </w:rPr>
              <w:br/>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 2</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 4</w:t>
            </w:r>
            <w:r>
              <w:rPr>
                <w:rFonts w:ascii="Times New Roman" w:cs="Times New Roman" w:hAnsi="Times New Roman"/>
                <w:color w:val="auto"/>
                <w:sz w:val="28"/>
                <w:szCs w:val="28"/>
              </w:rPr>
              <w:br/>
            </w:r>
            <w:r>
              <w:rPr>
                <w:rFonts w:ascii="Times New Roman" w:cs="Times New Roman" w:hAnsi="Times New Roman"/>
                <w:color w:val="auto"/>
                <w:sz w:val="28"/>
                <w:szCs w:val="28"/>
              </w:rPr>
              <w:t>Yeast = 10</w:t>
            </w:r>
          </w:p>
        </w:tc>
      </w:tr>
      <w:tr>
        <w:tblPrEx/>
        <w:trPr/>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Western</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Blackish, bluish, greenish, cottony, creamy</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Rhizopus</w:t>
            </w:r>
            <w:r>
              <w:rPr>
                <w:rFonts w:ascii="Times New Roman" w:cs="Times New Roman" w:hAnsi="Times New Roman"/>
                <w:color w:val="auto"/>
                <w:sz w:val="28"/>
                <w:szCs w:val="28"/>
              </w:rPr>
              <w:t>, Yeast</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 13</w:t>
            </w:r>
            <w:r>
              <w:rPr>
                <w:rFonts w:ascii="Times New Roman" w:cs="Times New Roman" w:hAnsi="Times New Roman"/>
                <w:color w:val="auto"/>
                <w:sz w:val="28"/>
                <w:szCs w:val="28"/>
              </w:rPr>
              <w:br/>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 8</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12</w:t>
            </w:r>
            <w:r>
              <w:rPr>
                <w:rFonts w:ascii="Times New Roman" w:cs="Times New Roman" w:hAnsi="Times New Roman"/>
                <w:color w:val="auto"/>
                <w:sz w:val="28"/>
                <w:szCs w:val="28"/>
              </w:rPr>
              <w:br/>
            </w:r>
            <w:r>
              <w:rPr>
                <w:rFonts w:ascii="Times New Roman" w:cs="Times New Roman" w:hAnsi="Times New Roman"/>
                <w:color w:val="auto"/>
                <w:sz w:val="28"/>
                <w:szCs w:val="28"/>
              </w:rPr>
              <w:t>Yeast = 5</w:t>
            </w:r>
          </w:p>
        </w:tc>
      </w:tr>
      <w:tr>
        <w:tblPrEx/>
        <w:trPr/>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Shoprite</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Creamy, cottony, blackish, greenish</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Yeast = 10</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10</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 13</w:t>
            </w:r>
            <w:r>
              <w:rPr>
                <w:rFonts w:ascii="Times New Roman" w:cs="Times New Roman" w:hAnsi="Times New Roman"/>
                <w:color w:val="auto"/>
                <w:sz w:val="28"/>
                <w:szCs w:val="28"/>
              </w:rPr>
              <w:br/>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 30</w:t>
            </w:r>
          </w:p>
        </w:tc>
      </w:tr>
      <w:tr>
        <w:tblPrEx/>
        <w:trPr/>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E-Library</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Whitish cottony, creamy</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Yeast = 27</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11</w:t>
            </w:r>
          </w:p>
        </w:tc>
      </w:tr>
      <w:tr>
        <w:tblPrEx/>
        <w:trPr/>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Agric Farm</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Whitish, blackish, creamy</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Yeast = 36</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20</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 1</w:t>
            </w:r>
          </w:p>
        </w:tc>
      </w:tr>
    </w:tbl>
    <w:p>
      <w:pPr>
        <w:pStyle w:val="style0"/>
        <w:spacing w:before="100" w:beforeAutospacing="true" w:after="100" w:afterAutospacing="true" w:lineRule="auto" w:line="480"/>
        <w:jc w:val="both"/>
        <w:rPr>
          <w:rFonts w:ascii="Times New Roman" w:cs="Times New Roman" w:hAnsi="Times New Roman"/>
          <w:sz w:val="28"/>
          <w:szCs w:val="28"/>
        </w:rPr>
      </w:pPr>
    </w:p>
    <w:p>
      <w:pPr>
        <w:pStyle w:val="style94"/>
        <w:spacing w:lineRule="auto" w:line="480"/>
        <w:jc w:val="center"/>
        <w:rPr>
          <w:b/>
          <w:sz w:val="28"/>
          <w:szCs w:val="28"/>
        </w:rPr>
      </w:pPr>
    </w:p>
    <w:bookmarkStart w:id="24" w:name="_Toc202976471"/>
    <w:p>
      <w:pPr>
        <w:pStyle w:val="style0"/>
        <w:rPr>
          <w:rFonts w:ascii="Times New Roman" w:cs="Times New Roman" w:eastAsia="宋体" w:hAnsi="Times New Roman"/>
          <w:b/>
          <w:sz w:val="32"/>
          <w:szCs w:val="32"/>
        </w:rPr>
      </w:pPr>
      <w:r>
        <w:rPr>
          <w:rFonts w:ascii="Times New Roman" w:cs="Times New Roman" w:hAnsi="Times New Roman"/>
          <w:b/>
        </w:rPr>
        <w:br w:type="page"/>
      </w:r>
    </w:p>
    <w:p>
      <w:pPr>
        <w:pStyle w:val="style1"/>
        <w:jc w:val="center"/>
        <w:rPr>
          <w:rFonts w:ascii="Times New Roman" w:cs="Times New Roman" w:hAnsi="Times New Roman"/>
          <w:b/>
          <w:color w:val="auto"/>
        </w:rPr>
      </w:pPr>
      <w:r>
        <w:rPr>
          <w:rFonts w:ascii="Times New Roman" w:cs="Times New Roman" w:hAnsi="Times New Roman"/>
          <w:b/>
          <w:color w:val="auto"/>
        </w:rPr>
        <w:t>CHAPTER FOUR</w:t>
      </w:r>
      <w:bookmarkEnd w:id="24"/>
    </w:p>
    <w:bookmarkStart w:id="25" w:name="_Toc202976472"/>
    <w:p>
      <w:pPr>
        <w:pStyle w:val="style1"/>
        <w:rPr>
          <w:rFonts w:ascii="Times New Roman" w:cs="Times New Roman" w:hAnsi="Times New Roman"/>
          <w:b/>
          <w:color w:val="auto"/>
        </w:rPr>
      </w:pPr>
      <w:r>
        <w:rPr>
          <w:rFonts w:ascii="Times New Roman" w:cs="Times New Roman" w:hAnsi="Times New Roman"/>
          <w:b/>
          <w:color w:val="auto"/>
        </w:rPr>
        <w:t>4.0 DISCUSSION AND CONCLUSION</w:t>
      </w:r>
      <w:bookmarkEnd w:id="25"/>
    </w:p>
    <w:bookmarkStart w:id="26" w:name="_Toc202976473"/>
    <w:p>
      <w:pPr>
        <w:pStyle w:val="style1"/>
        <w:rPr>
          <w:rFonts w:ascii="Times New Roman" w:cs="Times New Roman" w:hAnsi="Times New Roman"/>
          <w:b/>
          <w:color w:val="auto"/>
        </w:rPr>
      </w:pPr>
      <w:r>
        <w:rPr>
          <w:rFonts w:ascii="Times New Roman" w:cs="Times New Roman" w:hAnsi="Times New Roman"/>
          <w:b/>
          <w:color w:val="auto"/>
        </w:rPr>
        <w:t>4.1 DISCUSSION</w:t>
      </w:r>
      <w:bookmarkEnd w:id="26"/>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results of the study showed that the application of different fungicides had varying effects on the pH of soil samples across different locations. In all samples, the control and treated pH values remained slightly acidic, with distilled water maintaining a neutral pH of 6.68. For instance, soil from Shoprite treated with </w:t>
      </w:r>
      <w:r>
        <w:rPr>
          <w:rFonts w:ascii="Times New Roman" w:cs="Times New Roman" w:hAnsi="Times New Roman"/>
          <w:sz w:val="28"/>
          <w:szCs w:val="28"/>
        </w:rPr>
        <w:t>Ultimax</w:t>
      </w:r>
      <w:r>
        <w:rPr>
          <w:rFonts w:ascii="Times New Roman" w:cs="Times New Roman" w:hAnsi="Times New Roman"/>
          <w:sz w:val="28"/>
          <w:szCs w:val="28"/>
        </w:rPr>
        <w:t xml:space="preserve"> Plus recorded a pH of 6.04, slightly higher than the control (5.76), suggesting mild alkalization due to treatment. A similar increase was observed in Western soil treated with Total Force (5.80 compared to 5.50 </w:t>
      </w:r>
      <w:r>
        <w:rPr>
          <w:rFonts w:ascii="Times New Roman" w:cs="Times New Roman" w:hAnsi="Times New Roman"/>
          <w:sz w:val="28"/>
          <w:szCs w:val="28"/>
        </w:rPr>
        <w:t>control</w:t>
      </w:r>
      <w:r>
        <w:rPr>
          <w:rFonts w:ascii="Times New Roman" w:cs="Times New Roman" w:hAnsi="Times New Roman"/>
          <w:sz w:val="28"/>
          <w:szCs w:val="28"/>
        </w:rPr>
        <w:t>). Red Force significantly raised the pH of E-library soil from 4.96 to 5.70, indicating potential chemical neutralization of acidic content. The changes, although minor, demonstrate that fungicides can alter the chemical properties of soil, particularly pH, which in turn can affect microbial growth and activity (</w:t>
      </w:r>
      <w:r>
        <w:rPr>
          <w:rFonts w:ascii="Times New Roman" w:cs="Times New Roman" w:hAnsi="Times New Roman"/>
          <w:sz w:val="28"/>
          <w:szCs w:val="28"/>
        </w:rPr>
        <w:t>Köhl</w:t>
      </w:r>
      <w:r>
        <w:rPr>
          <w:rFonts w:ascii="Times New Roman" w:cs="Times New Roman" w:hAnsi="Times New Roman"/>
          <w:sz w:val="28"/>
          <w:szCs w:val="28"/>
        </w:rPr>
        <w:t xml:space="preserve"> </w:t>
      </w:r>
      <w:r>
        <w:rPr>
          <w:rFonts w:ascii="Times New Roman" w:cs="Times New Roman" w:hAnsi="Times New Roman"/>
          <w:i/>
          <w:sz w:val="28"/>
          <w:szCs w:val="28"/>
        </w:rPr>
        <w:t>et al</w:t>
      </w:r>
      <w:r>
        <w:rPr>
          <w:rFonts w:ascii="Times New Roman" w:cs="Times New Roman" w:hAnsi="Times New Roman"/>
          <w:sz w:val="28"/>
          <w:szCs w:val="28"/>
        </w:rPr>
        <w:t>., 2019).</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Fungal colonies isolated from fungicide-treated soils varied in abundance and diversity. IFMS soil treated with Stampede showed dominant yeast growth with 118 colonies and only 4 </w:t>
      </w:r>
      <w:r>
        <w:rPr>
          <w:rFonts w:ascii="Times New Roman" w:cs="Times New Roman" w:hAnsi="Times New Roman"/>
          <w:sz w:val="28"/>
          <w:szCs w:val="28"/>
        </w:rPr>
        <w:t>Rhizopus</w:t>
      </w:r>
      <w:r>
        <w:rPr>
          <w:rFonts w:ascii="Times New Roman" w:cs="Times New Roman" w:hAnsi="Times New Roman"/>
          <w:sz w:val="28"/>
          <w:szCs w:val="28"/>
        </w:rPr>
        <w:t xml:space="preserve"> colonies. The absence of </w:t>
      </w:r>
      <w:r>
        <w:rPr>
          <w:rFonts w:ascii="Times New Roman" w:cs="Times New Roman" w:hAnsi="Times New Roman"/>
          <w:sz w:val="28"/>
          <w:szCs w:val="28"/>
        </w:rPr>
        <w:t xml:space="preserve">other fungal species such as </w:t>
      </w:r>
      <w:r>
        <w:rPr>
          <w:rFonts w:ascii="Times New Roman" w:cs="Times New Roman" w:hAnsi="Times New Roman"/>
          <w:sz w:val="28"/>
          <w:szCs w:val="28"/>
        </w:rPr>
        <w:t>Penicillium</w:t>
      </w:r>
      <w:r>
        <w:rPr>
          <w:rFonts w:ascii="Times New Roman" w:cs="Times New Roman" w:hAnsi="Times New Roman"/>
          <w:sz w:val="28"/>
          <w:szCs w:val="28"/>
        </w:rPr>
        <w:t xml:space="preserve"> and </w:t>
      </w:r>
      <w:r>
        <w:rPr>
          <w:rFonts w:ascii="Times New Roman" w:cs="Times New Roman" w:hAnsi="Times New Roman"/>
          <w:sz w:val="28"/>
          <w:szCs w:val="28"/>
        </w:rPr>
        <w:t>Aspergillus</w:t>
      </w:r>
      <w:r>
        <w:rPr>
          <w:rFonts w:ascii="Times New Roman" w:cs="Times New Roman" w:hAnsi="Times New Roman"/>
          <w:sz w:val="28"/>
          <w:szCs w:val="28"/>
        </w:rPr>
        <w:t xml:space="preserve"> in the treated sample suggests a selective inhibitory action of Stampede. A similar pattern was observed in Western soil treated with Total Force, where yeast dominated with 198 colonies while </w:t>
      </w:r>
      <w:r>
        <w:rPr>
          <w:rFonts w:ascii="Times New Roman" w:cs="Times New Roman" w:hAnsi="Times New Roman"/>
          <w:sz w:val="28"/>
          <w:szCs w:val="28"/>
        </w:rPr>
        <w:t>Rhizopus</w:t>
      </w:r>
      <w:r>
        <w:rPr>
          <w:rFonts w:ascii="Times New Roman" w:cs="Times New Roman" w:hAnsi="Times New Roman"/>
          <w:sz w:val="28"/>
          <w:szCs w:val="28"/>
        </w:rPr>
        <w:t xml:space="preserve"> was limited to 2 colonies. These results indicate that some fungicides suppress filamentous fungi more strongly while allowing yeasts to persist or even thrive, possibly due to structural or physiological resistance mechanisms (Yamamoto </w:t>
      </w:r>
      <w:r>
        <w:rPr>
          <w:rFonts w:ascii="Times New Roman" w:cs="Times New Roman" w:hAnsi="Times New Roman"/>
          <w:i/>
          <w:sz w:val="28"/>
          <w:szCs w:val="28"/>
        </w:rPr>
        <w:t>et al</w:t>
      </w:r>
      <w:r>
        <w:rPr>
          <w:rFonts w:ascii="Times New Roman" w:cs="Times New Roman" w:hAnsi="Times New Roman"/>
          <w:sz w:val="28"/>
          <w:szCs w:val="28"/>
        </w:rPr>
        <w:t>., 2021).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In Shoprite soil treated with </w:t>
      </w:r>
      <w:r>
        <w:rPr>
          <w:rFonts w:ascii="Times New Roman" w:cs="Times New Roman" w:hAnsi="Times New Roman"/>
          <w:sz w:val="28"/>
          <w:szCs w:val="28"/>
        </w:rPr>
        <w:t>Ultimax</w:t>
      </w:r>
      <w:r>
        <w:rPr>
          <w:rFonts w:ascii="Times New Roman" w:cs="Times New Roman" w:hAnsi="Times New Roman"/>
          <w:sz w:val="28"/>
          <w:szCs w:val="28"/>
        </w:rPr>
        <w:t xml:space="preserve"> Plus, moderate fungal diversity was retained. Yeast (61 colonies), </w:t>
      </w:r>
      <w:r>
        <w:rPr>
          <w:rFonts w:ascii="Times New Roman" w:cs="Times New Roman" w:hAnsi="Times New Roman"/>
          <w:sz w:val="28"/>
          <w:szCs w:val="28"/>
        </w:rPr>
        <w:t>Rhizopus</w:t>
      </w:r>
      <w:r>
        <w:rPr>
          <w:rFonts w:ascii="Times New Roman" w:cs="Times New Roman" w:hAnsi="Times New Roman"/>
          <w:sz w:val="28"/>
          <w:szCs w:val="28"/>
        </w:rPr>
        <w:t xml:space="preserve"> (9), and </w:t>
      </w:r>
      <w:r>
        <w:rPr>
          <w:rFonts w:ascii="Times New Roman" w:cs="Times New Roman" w:hAnsi="Times New Roman"/>
          <w:sz w:val="28"/>
          <w:szCs w:val="28"/>
        </w:rPr>
        <w:t>Aspergillus</w:t>
      </w:r>
      <w:r>
        <w:rPr>
          <w:rFonts w:ascii="Times New Roman" w:cs="Times New Roman" w:hAnsi="Times New Roman"/>
          <w:sz w:val="28"/>
          <w:szCs w:val="28"/>
        </w:rPr>
        <w:t xml:space="preserve"> (2) were present, indicating that the fungicide had a partial inhibitory effect rather than a complete suppression of the fungal community. E-library soil treated with Red Force showed poor yeast survival (only 1 large colony), though </w:t>
      </w:r>
      <w:r>
        <w:rPr>
          <w:rFonts w:ascii="Times New Roman" w:cs="Times New Roman" w:hAnsi="Times New Roman"/>
          <w:sz w:val="28"/>
          <w:szCs w:val="28"/>
        </w:rPr>
        <w:t>Aspergillus</w:t>
      </w:r>
      <w:r>
        <w:rPr>
          <w:rFonts w:ascii="Times New Roman" w:cs="Times New Roman" w:hAnsi="Times New Roman"/>
          <w:sz w:val="28"/>
          <w:szCs w:val="28"/>
        </w:rPr>
        <w:t xml:space="preserve"> and </w:t>
      </w:r>
      <w:r>
        <w:rPr>
          <w:rFonts w:ascii="Times New Roman" w:cs="Times New Roman" w:hAnsi="Times New Roman"/>
          <w:sz w:val="28"/>
          <w:szCs w:val="28"/>
        </w:rPr>
        <w:t>Rhizopus</w:t>
      </w:r>
      <w:r>
        <w:rPr>
          <w:rFonts w:ascii="Times New Roman" w:cs="Times New Roman" w:hAnsi="Times New Roman"/>
          <w:sz w:val="28"/>
          <w:szCs w:val="28"/>
        </w:rPr>
        <w:t xml:space="preserve"> were present in moderate numbers (10 colonies each). This suggests Red Force may have stronger effects on yeast populations compared to filamentous fungi in that environment. The Agric farm treated with Blast Force showed a dominance of </w:t>
      </w:r>
      <w:r>
        <w:rPr>
          <w:rFonts w:ascii="Times New Roman" w:cs="Times New Roman" w:hAnsi="Times New Roman"/>
          <w:sz w:val="28"/>
          <w:szCs w:val="28"/>
        </w:rPr>
        <w:t>Rhizopus</w:t>
      </w:r>
      <w:r>
        <w:rPr>
          <w:rFonts w:ascii="Times New Roman" w:cs="Times New Roman" w:hAnsi="Times New Roman"/>
          <w:sz w:val="28"/>
          <w:szCs w:val="28"/>
        </w:rPr>
        <w:t xml:space="preserve"> (28 colonies) and minimal </w:t>
      </w:r>
      <w:r>
        <w:rPr>
          <w:rFonts w:ascii="Times New Roman" w:cs="Times New Roman" w:hAnsi="Times New Roman"/>
          <w:sz w:val="28"/>
          <w:szCs w:val="28"/>
        </w:rPr>
        <w:t>Aspergillus</w:t>
      </w:r>
      <w:r>
        <w:rPr>
          <w:rFonts w:ascii="Times New Roman" w:cs="Times New Roman" w:hAnsi="Times New Roman"/>
          <w:sz w:val="28"/>
          <w:szCs w:val="28"/>
        </w:rPr>
        <w:t xml:space="preserve"> presence (1 colony), pointing to selective </w:t>
      </w:r>
      <w:r>
        <w:rPr>
          <w:rFonts w:ascii="Times New Roman" w:cs="Times New Roman" w:hAnsi="Times New Roman"/>
          <w:sz w:val="28"/>
          <w:szCs w:val="28"/>
        </w:rPr>
        <w:t xml:space="preserve">fungicide tolerance among fungal groups, consistent with findings by </w:t>
      </w:r>
      <w:r>
        <w:rPr>
          <w:rFonts w:ascii="Times New Roman" w:cs="Times New Roman" w:hAnsi="Times New Roman"/>
          <w:sz w:val="28"/>
          <w:szCs w:val="28"/>
        </w:rPr>
        <w:t>Dhingra</w:t>
      </w:r>
      <w:r>
        <w:rPr>
          <w:rFonts w:ascii="Times New Roman" w:cs="Times New Roman" w:hAnsi="Times New Roman"/>
          <w:sz w:val="28"/>
          <w:szCs w:val="28"/>
        </w:rPr>
        <w:t xml:space="preserve"> and Sinclair (2020).</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In contrast, control samples demonstrated higher fungal diversity and more balanced populations. IFMS control soil yielded colonies of yeast, </w:t>
      </w:r>
      <w:r>
        <w:rPr>
          <w:rFonts w:ascii="Times New Roman" w:cs="Times New Roman" w:hAnsi="Times New Roman"/>
          <w:sz w:val="28"/>
          <w:szCs w:val="28"/>
        </w:rPr>
        <w:t>Rhizopus</w:t>
      </w:r>
      <w:r>
        <w:rPr>
          <w:rFonts w:ascii="Times New Roman" w:cs="Times New Roman" w:hAnsi="Times New Roman"/>
          <w:sz w:val="28"/>
          <w:szCs w:val="28"/>
        </w:rPr>
        <w:t xml:space="preserve">, </w:t>
      </w:r>
      <w:r>
        <w:rPr>
          <w:rFonts w:ascii="Times New Roman" w:cs="Times New Roman" w:hAnsi="Times New Roman"/>
          <w:sz w:val="28"/>
          <w:szCs w:val="28"/>
        </w:rPr>
        <w:t>Penicillium</w:t>
      </w:r>
      <w:r>
        <w:rPr>
          <w:rFonts w:ascii="Times New Roman" w:cs="Times New Roman" w:hAnsi="Times New Roman"/>
          <w:sz w:val="28"/>
          <w:szCs w:val="28"/>
        </w:rPr>
        <w:t xml:space="preserve"> </w:t>
      </w:r>
      <w:r>
        <w:rPr>
          <w:rFonts w:ascii="Times New Roman" w:cs="Times New Roman" w:hAnsi="Times New Roman"/>
          <w:sz w:val="28"/>
          <w:szCs w:val="28"/>
        </w:rPr>
        <w:t>spp</w:t>
      </w:r>
      <w:r>
        <w:rPr>
          <w:rFonts w:ascii="Times New Roman" w:cs="Times New Roman" w:hAnsi="Times New Roman"/>
          <w:sz w:val="28"/>
          <w:szCs w:val="28"/>
        </w:rPr>
        <w:t xml:space="preserve">, and </w:t>
      </w:r>
      <w:r>
        <w:rPr>
          <w:rFonts w:ascii="Times New Roman" w:cs="Times New Roman" w:hAnsi="Times New Roman"/>
          <w:sz w:val="28"/>
          <w:szCs w:val="28"/>
        </w:rPr>
        <w:t>Aspergillus</w:t>
      </w:r>
      <w:r>
        <w:rPr>
          <w:rFonts w:ascii="Times New Roman" w:cs="Times New Roman" w:hAnsi="Times New Roman"/>
          <w:sz w:val="28"/>
          <w:szCs w:val="28"/>
        </w:rPr>
        <w:t xml:space="preserve"> </w:t>
      </w:r>
      <w:r>
        <w:rPr>
          <w:rFonts w:ascii="Times New Roman" w:cs="Times New Roman" w:hAnsi="Times New Roman"/>
          <w:sz w:val="28"/>
          <w:szCs w:val="28"/>
        </w:rPr>
        <w:t>spp</w:t>
      </w:r>
      <w:r>
        <w:rPr>
          <w:rFonts w:ascii="Times New Roman" w:cs="Times New Roman" w:hAnsi="Times New Roman"/>
          <w:sz w:val="28"/>
          <w:szCs w:val="28"/>
        </w:rPr>
        <w:t xml:space="preserve">, reflecting the natural </w:t>
      </w:r>
      <w:r>
        <w:rPr>
          <w:rFonts w:ascii="Times New Roman" w:cs="Times New Roman" w:hAnsi="Times New Roman"/>
          <w:sz w:val="28"/>
          <w:szCs w:val="28"/>
        </w:rPr>
        <w:t>mycobiome</w:t>
      </w:r>
      <w:r>
        <w:rPr>
          <w:rFonts w:ascii="Times New Roman" w:cs="Times New Roman" w:hAnsi="Times New Roman"/>
          <w:sz w:val="28"/>
          <w:szCs w:val="28"/>
        </w:rPr>
        <w:t xml:space="preserve"> richness. Western control soil had a broader fungal spectrum, including high counts of </w:t>
      </w:r>
      <w:r>
        <w:rPr>
          <w:rFonts w:ascii="Times New Roman" w:cs="Times New Roman" w:hAnsi="Times New Roman"/>
          <w:sz w:val="28"/>
          <w:szCs w:val="28"/>
        </w:rPr>
        <w:t>Aspergillus</w:t>
      </w:r>
      <w:r>
        <w:rPr>
          <w:rFonts w:ascii="Times New Roman" w:cs="Times New Roman" w:hAnsi="Times New Roman"/>
          <w:sz w:val="28"/>
          <w:szCs w:val="28"/>
        </w:rPr>
        <w:t xml:space="preserve"> (13), </w:t>
      </w:r>
      <w:r>
        <w:rPr>
          <w:rFonts w:ascii="Times New Roman" w:cs="Times New Roman" w:hAnsi="Times New Roman"/>
          <w:sz w:val="28"/>
          <w:szCs w:val="28"/>
        </w:rPr>
        <w:t>Penicillium</w:t>
      </w:r>
      <w:r>
        <w:rPr>
          <w:rFonts w:ascii="Times New Roman" w:cs="Times New Roman" w:hAnsi="Times New Roman"/>
          <w:sz w:val="28"/>
          <w:szCs w:val="28"/>
        </w:rPr>
        <w:t xml:space="preserve"> (8), </w:t>
      </w:r>
      <w:r>
        <w:rPr>
          <w:rFonts w:ascii="Times New Roman" w:cs="Times New Roman" w:hAnsi="Times New Roman"/>
          <w:sz w:val="28"/>
          <w:szCs w:val="28"/>
        </w:rPr>
        <w:t>Rhizopus</w:t>
      </w:r>
      <w:r>
        <w:rPr>
          <w:rFonts w:ascii="Times New Roman" w:cs="Times New Roman" w:hAnsi="Times New Roman"/>
          <w:sz w:val="28"/>
          <w:szCs w:val="28"/>
        </w:rPr>
        <w:t xml:space="preserve"> (12), and yeast (5), indicating an undisturbed microbial ecosystem. Shoprite’s control was the most diverse, with </w:t>
      </w:r>
      <w:r>
        <w:rPr>
          <w:rFonts w:ascii="Times New Roman" w:cs="Times New Roman" w:hAnsi="Times New Roman"/>
          <w:sz w:val="28"/>
          <w:szCs w:val="28"/>
        </w:rPr>
        <w:t>Penicillium</w:t>
      </w:r>
      <w:r>
        <w:rPr>
          <w:rFonts w:ascii="Times New Roman" w:cs="Times New Roman" w:hAnsi="Times New Roman"/>
          <w:sz w:val="28"/>
          <w:szCs w:val="28"/>
        </w:rPr>
        <w:t xml:space="preserve"> dominating (30 colonies), followed by </w:t>
      </w:r>
      <w:r>
        <w:rPr>
          <w:rFonts w:ascii="Times New Roman" w:cs="Times New Roman" w:hAnsi="Times New Roman"/>
          <w:sz w:val="28"/>
          <w:szCs w:val="28"/>
        </w:rPr>
        <w:t>Aspergillus</w:t>
      </w:r>
      <w:r>
        <w:rPr>
          <w:rFonts w:ascii="Times New Roman" w:cs="Times New Roman" w:hAnsi="Times New Roman"/>
          <w:sz w:val="28"/>
          <w:szCs w:val="28"/>
        </w:rPr>
        <w:t xml:space="preserve"> (13), </w:t>
      </w:r>
      <w:r>
        <w:rPr>
          <w:rFonts w:ascii="Times New Roman" w:cs="Times New Roman" w:hAnsi="Times New Roman"/>
          <w:sz w:val="28"/>
          <w:szCs w:val="28"/>
        </w:rPr>
        <w:t>Rhizopus</w:t>
      </w:r>
      <w:r>
        <w:rPr>
          <w:rFonts w:ascii="Times New Roman" w:cs="Times New Roman" w:hAnsi="Times New Roman"/>
          <w:sz w:val="28"/>
          <w:szCs w:val="28"/>
        </w:rPr>
        <w:t xml:space="preserve"> (10), and yeast (10). This suggests that in the absence of chemical treatment, the soil supports a wide variety of fungi that contribute to nutrient cycling and soil structure (</w:t>
      </w:r>
      <w:r>
        <w:rPr>
          <w:rFonts w:ascii="Times New Roman" w:cs="Times New Roman" w:hAnsi="Times New Roman"/>
          <w:sz w:val="28"/>
          <w:szCs w:val="28"/>
        </w:rPr>
        <w:t>Banerjee</w:t>
      </w:r>
      <w:r>
        <w:rPr>
          <w:rFonts w:ascii="Times New Roman" w:cs="Times New Roman" w:hAnsi="Times New Roman"/>
          <w:sz w:val="28"/>
          <w:szCs w:val="28"/>
        </w:rPr>
        <w:t xml:space="preserve"> </w:t>
      </w:r>
      <w:r>
        <w:rPr>
          <w:rFonts w:ascii="Times New Roman" w:cs="Times New Roman" w:hAnsi="Times New Roman"/>
          <w:i/>
          <w:sz w:val="28"/>
          <w:szCs w:val="28"/>
        </w:rPr>
        <w:t>et al</w:t>
      </w:r>
      <w:r>
        <w:rPr>
          <w:rFonts w:ascii="Times New Roman" w:cs="Times New Roman" w:hAnsi="Times New Roman"/>
          <w:sz w:val="28"/>
          <w:szCs w:val="28"/>
        </w:rPr>
        <w:t>., 2020).</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E-library and Agric farm control samples also showed relatively high fungal counts. In E-library soil, yeast (27) and </w:t>
      </w:r>
      <w:r>
        <w:rPr>
          <w:rFonts w:ascii="Times New Roman" w:cs="Times New Roman" w:hAnsi="Times New Roman"/>
          <w:sz w:val="28"/>
          <w:szCs w:val="28"/>
        </w:rPr>
        <w:t>Rhizopus</w:t>
      </w:r>
      <w:r>
        <w:rPr>
          <w:rFonts w:ascii="Times New Roman" w:cs="Times New Roman" w:hAnsi="Times New Roman"/>
          <w:sz w:val="28"/>
          <w:szCs w:val="28"/>
        </w:rPr>
        <w:t xml:space="preserve"> (11) were the major fungal groups, while in Agric farm soil, yeast (36), </w:t>
      </w:r>
      <w:r>
        <w:rPr>
          <w:rFonts w:ascii="Times New Roman" w:cs="Times New Roman" w:hAnsi="Times New Roman"/>
          <w:sz w:val="28"/>
          <w:szCs w:val="28"/>
        </w:rPr>
        <w:t>Rhizopus</w:t>
      </w:r>
      <w:r>
        <w:rPr>
          <w:rFonts w:ascii="Times New Roman" w:cs="Times New Roman" w:hAnsi="Times New Roman"/>
          <w:sz w:val="28"/>
          <w:szCs w:val="28"/>
        </w:rPr>
        <w:t xml:space="preserve"> (20), and </w:t>
      </w:r>
      <w:r>
        <w:rPr>
          <w:rFonts w:ascii="Times New Roman" w:cs="Times New Roman" w:hAnsi="Times New Roman"/>
          <w:sz w:val="28"/>
          <w:szCs w:val="28"/>
        </w:rPr>
        <w:t>Aspergillus</w:t>
      </w:r>
      <w:r>
        <w:rPr>
          <w:rFonts w:ascii="Times New Roman" w:cs="Times New Roman" w:hAnsi="Times New Roman"/>
          <w:sz w:val="28"/>
          <w:szCs w:val="28"/>
        </w:rPr>
        <w:t xml:space="preserve"> (1) were observed. These numbers demonstrate that untreated soils naturally harbor diverse fungal communities. These fungi are essential for </w:t>
      </w:r>
      <w:r>
        <w:rPr>
          <w:rFonts w:ascii="Times New Roman" w:cs="Times New Roman" w:hAnsi="Times New Roman"/>
          <w:sz w:val="28"/>
          <w:szCs w:val="28"/>
        </w:rPr>
        <w:t xml:space="preserve">decomposing organic matter, improving soil structure, and facilitating plant-microbe interactions. The suppression of these organisms by fungicides could lead to long-term implications for soil fertility and ecosystem resilience (van </w:t>
      </w:r>
      <w:r>
        <w:rPr>
          <w:rFonts w:ascii="Times New Roman" w:cs="Times New Roman" w:hAnsi="Times New Roman"/>
          <w:sz w:val="28"/>
          <w:szCs w:val="28"/>
        </w:rPr>
        <w:t>der</w:t>
      </w:r>
      <w:r>
        <w:rPr>
          <w:rFonts w:ascii="Times New Roman" w:cs="Times New Roman" w:hAnsi="Times New Roman"/>
          <w:sz w:val="28"/>
          <w:szCs w:val="28"/>
        </w:rPr>
        <w:t xml:space="preserve"> </w:t>
      </w:r>
      <w:r>
        <w:rPr>
          <w:rFonts w:ascii="Times New Roman" w:cs="Times New Roman" w:hAnsi="Times New Roman"/>
          <w:sz w:val="28"/>
          <w:szCs w:val="28"/>
        </w:rPr>
        <w:t>Heijden</w:t>
      </w:r>
      <w:r>
        <w:rPr>
          <w:rFonts w:ascii="Times New Roman" w:cs="Times New Roman" w:hAnsi="Times New Roman"/>
          <w:sz w:val="28"/>
          <w:szCs w:val="28"/>
        </w:rPr>
        <w:t xml:space="preserve"> </w:t>
      </w:r>
      <w:r>
        <w:rPr>
          <w:rFonts w:ascii="Times New Roman" w:cs="Times New Roman" w:hAnsi="Times New Roman"/>
          <w:i/>
          <w:sz w:val="28"/>
          <w:szCs w:val="28"/>
        </w:rPr>
        <w:t>et al</w:t>
      </w:r>
      <w:r>
        <w:rPr>
          <w:rFonts w:ascii="Times New Roman" w:cs="Times New Roman" w:hAnsi="Times New Roman"/>
          <w:sz w:val="28"/>
          <w:szCs w:val="28"/>
        </w:rPr>
        <w:t>., 2021).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Comparing the treated and untreated samples across all locations, it is evident that fungicides reduce fungal diversity and shift the community structure. Treated soils often showed </w:t>
      </w:r>
      <w:r>
        <w:rPr>
          <w:rFonts w:ascii="Times New Roman" w:cs="Times New Roman" w:hAnsi="Times New Roman"/>
          <w:sz w:val="28"/>
          <w:szCs w:val="28"/>
        </w:rPr>
        <w:t>a dominance</w:t>
      </w:r>
      <w:r>
        <w:rPr>
          <w:rFonts w:ascii="Times New Roman" w:cs="Times New Roman" w:hAnsi="Times New Roman"/>
          <w:sz w:val="28"/>
          <w:szCs w:val="28"/>
        </w:rPr>
        <w:t xml:space="preserve"> of yeast and </w:t>
      </w:r>
      <w:r>
        <w:rPr>
          <w:rFonts w:ascii="Times New Roman" w:cs="Times New Roman" w:hAnsi="Times New Roman"/>
          <w:sz w:val="28"/>
          <w:szCs w:val="28"/>
        </w:rPr>
        <w:t>Rhizopus</w:t>
      </w:r>
      <w:r>
        <w:rPr>
          <w:rFonts w:ascii="Times New Roman" w:cs="Times New Roman" w:hAnsi="Times New Roman"/>
          <w:sz w:val="28"/>
          <w:szCs w:val="28"/>
        </w:rPr>
        <w:t xml:space="preserve">, while other beneficial fungi like </w:t>
      </w:r>
      <w:r>
        <w:rPr>
          <w:rFonts w:ascii="Times New Roman" w:cs="Times New Roman" w:hAnsi="Times New Roman"/>
          <w:sz w:val="28"/>
          <w:szCs w:val="28"/>
        </w:rPr>
        <w:t>Penicillium</w:t>
      </w:r>
      <w:r>
        <w:rPr>
          <w:rFonts w:ascii="Times New Roman" w:cs="Times New Roman" w:hAnsi="Times New Roman"/>
          <w:sz w:val="28"/>
          <w:szCs w:val="28"/>
        </w:rPr>
        <w:t xml:space="preserve"> and </w:t>
      </w:r>
      <w:r>
        <w:rPr>
          <w:rFonts w:ascii="Times New Roman" w:cs="Times New Roman" w:hAnsi="Times New Roman"/>
          <w:sz w:val="28"/>
          <w:szCs w:val="28"/>
        </w:rPr>
        <w:t>Aspergillus</w:t>
      </w:r>
      <w:r>
        <w:rPr>
          <w:rFonts w:ascii="Times New Roman" w:cs="Times New Roman" w:hAnsi="Times New Roman"/>
          <w:sz w:val="28"/>
          <w:szCs w:val="28"/>
        </w:rPr>
        <w:t xml:space="preserve"> were significantly reduced or absent. This selective suppression may disrupt the natural microbial equilibrium and could affect processes like nutrient mineralization, plant disease resistance, and organic matter decomposition. The consistent reduction in </w:t>
      </w:r>
      <w:r>
        <w:rPr>
          <w:rFonts w:ascii="Times New Roman" w:cs="Times New Roman" w:hAnsi="Times New Roman"/>
          <w:sz w:val="28"/>
          <w:szCs w:val="28"/>
        </w:rPr>
        <w:t>Penicillium</w:t>
      </w:r>
      <w:r>
        <w:rPr>
          <w:rFonts w:ascii="Times New Roman" w:cs="Times New Roman" w:hAnsi="Times New Roman"/>
          <w:sz w:val="28"/>
          <w:szCs w:val="28"/>
        </w:rPr>
        <w:t xml:space="preserve"> </w:t>
      </w:r>
      <w:r>
        <w:rPr>
          <w:rFonts w:ascii="Times New Roman" w:cs="Times New Roman" w:hAnsi="Times New Roman"/>
          <w:sz w:val="28"/>
          <w:szCs w:val="28"/>
        </w:rPr>
        <w:t>spp</w:t>
      </w:r>
      <w:r>
        <w:rPr>
          <w:rFonts w:ascii="Times New Roman" w:cs="Times New Roman" w:hAnsi="Times New Roman"/>
          <w:sz w:val="28"/>
          <w:szCs w:val="28"/>
        </w:rPr>
        <w:t xml:space="preserve">, especially in treated samples from Shoprite and Western, further supports the hypothesis that fungicides may have a narrow-spectrum or selective toxicity on fungal </w:t>
      </w:r>
      <w:r>
        <w:rPr>
          <w:rFonts w:ascii="Times New Roman" w:cs="Times New Roman" w:hAnsi="Times New Roman"/>
          <w:sz w:val="28"/>
          <w:szCs w:val="28"/>
        </w:rPr>
        <w:t>taxa</w:t>
      </w:r>
      <w:r>
        <w:rPr>
          <w:rFonts w:ascii="Times New Roman" w:cs="Times New Roman" w:hAnsi="Times New Roman"/>
          <w:sz w:val="28"/>
          <w:szCs w:val="28"/>
        </w:rPr>
        <w:t xml:space="preserve"> (Zhou </w:t>
      </w:r>
      <w:r>
        <w:rPr>
          <w:rFonts w:ascii="Times New Roman" w:cs="Times New Roman" w:hAnsi="Times New Roman"/>
          <w:i/>
          <w:sz w:val="28"/>
          <w:szCs w:val="28"/>
        </w:rPr>
        <w:t>et al</w:t>
      </w:r>
      <w:r>
        <w:rPr>
          <w:rFonts w:ascii="Times New Roman" w:cs="Times New Roman" w:hAnsi="Times New Roman"/>
          <w:sz w:val="28"/>
          <w:szCs w:val="28"/>
        </w:rPr>
        <w:t>., 2021).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Interestingly, yeasts showed higher resistance across almost all treated samples, suggesting their potential role as resilient members of the soil </w:t>
      </w:r>
      <w:r>
        <w:rPr>
          <w:rFonts w:ascii="Times New Roman" w:cs="Times New Roman" w:hAnsi="Times New Roman"/>
          <w:sz w:val="28"/>
          <w:szCs w:val="28"/>
        </w:rPr>
        <w:t>microbiome</w:t>
      </w:r>
      <w:r>
        <w:rPr>
          <w:rFonts w:ascii="Times New Roman" w:cs="Times New Roman" w:hAnsi="Times New Roman"/>
          <w:sz w:val="28"/>
          <w:szCs w:val="28"/>
        </w:rPr>
        <w:t xml:space="preserve"> under chemical stress. Their persistence could be attributed to protective cell wall components or efficient detoxification pathways. However, the overgrowth of yeasts in the absence of other fungi might lead to imbalance in soil microbial dynamics. For example, in the IFMS and Western treated soils, the overwhelming dominance of yeast could indicate opportunistic expansion in the absence of fungal competitors. Such imbalances could reduce microbial cooperation and enzymatic functions crucial for soil productivity (Sun </w:t>
      </w:r>
      <w:r>
        <w:rPr>
          <w:rFonts w:ascii="Times New Roman" w:cs="Times New Roman" w:hAnsi="Times New Roman"/>
          <w:i/>
          <w:sz w:val="28"/>
          <w:szCs w:val="28"/>
        </w:rPr>
        <w:t>et al</w:t>
      </w:r>
      <w:r>
        <w:rPr>
          <w:rFonts w:ascii="Times New Roman" w:cs="Times New Roman" w:hAnsi="Times New Roman"/>
          <w:sz w:val="28"/>
          <w:szCs w:val="28"/>
        </w:rPr>
        <w:t>., 2022).</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These findings suggest that while fungicides play a crucial role in managing plant pathogens, their unintended consequences on non-target fungal communities need careful consideration. Reductions in fungal richness and the altered dominance of specific genera may have cascading effects on plant health and soil sustainability. Sustainable use of fungicides, along with integrated pest management strategies, may help to mitigate these adverse effects and preserve beneficial components of the soil </w:t>
      </w:r>
      <w:r>
        <w:rPr>
          <w:rFonts w:ascii="Times New Roman" w:cs="Times New Roman" w:hAnsi="Times New Roman"/>
          <w:sz w:val="28"/>
          <w:szCs w:val="28"/>
        </w:rPr>
        <w:t>microbiome</w:t>
      </w:r>
      <w:r>
        <w:rPr>
          <w:rFonts w:ascii="Times New Roman" w:cs="Times New Roman" w:hAnsi="Times New Roman"/>
          <w:sz w:val="28"/>
          <w:szCs w:val="28"/>
        </w:rPr>
        <w:t xml:space="preserve">. Future studies should focus on long-term soil monitoring and functional assessment of surviving fungal </w:t>
      </w:r>
      <w:r>
        <w:rPr>
          <w:rFonts w:ascii="Times New Roman" w:cs="Times New Roman" w:hAnsi="Times New Roman"/>
          <w:sz w:val="28"/>
          <w:szCs w:val="28"/>
        </w:rPr>
        <w:t>taxa</w:t>
      </w:r>
      <w:r>
        <w:rPr>
          <w:rFonts w:ascii="Times New Roman" w:cs="Times New Roman" w:hAnsi="Times New Roman"/>
          <w:sz w:val="28"/>
          <w:szCs w:val="28"/>
        </w:rPr>
        <w:t xml:space="preserve"> to understand the ecological implications of fungicide usage in agriculture.</w:t>
      </w:r>
    </w:p>
    <w:p>
      <w:pPr>
        <w:pStyle w:val="style0"/>
        <w:spacing w:lineRule="auto" w:line="480"/>
        <w:jc w:val="both"/>
        <w:rPr>
          <w:rFonts w:ascii="Times New Roman" w:cs="Times New Roman" w:hAnsi="Times New Roman"/>
          <w:sz w:val="28"/>
          <w:szCs w:val="28"/>
        </w:rPr>
      </w:pPr>
    </w:p>
    <w:bookmarkStart w:id="27" w:name="_Toc202976474"/>
    <w:p>
      <w:pPr>
        <w:pStyle w:val="style1"/>
        <w:rPr>
          <w:rFonts w:ascii="Times New Roman" w:cs="Times New Roman" w:hAnsi="Times New Roman"/>
          <w:b/>
          <w:color w:val="auto"/>
        </w:rPr>
      </w:pPr>
      <w:r>
        <w:rPr>
          <w:rFonts w:ascii="Times New Roman" w:cs="Times New Roman" w:hAnsi="Times New Roman"/>
          <w:b/>
          <w:color w:val="auto"/>
        </w:rPr>
        <w:t>4.2 CONCLUSION</w:t>
      </w:r>
      <w:bookmarkEnd w:id="27"/>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application of fungicides had notable effects on both the chemical and biological properties of the soil, particularly the </w:t>
      </w:r>
      <w:r>
        <w:rPr>
          <w:rFonts w:ascii="Times New Roman" w:cs="Times New Roman" w:hAnsi="Times New Roman"/>
          <w:sz w:val="28"/>
          <w:szCs w:val="28"/>
        </w:rPr>
        <w:t>mycobiome</w:t>
      </w:r>
      <w:r>
        <w:rPr>
          <w:rFonts w:ascii="Times New Roman" w:cs="Times New Roman" w:hAnsi="Times New Roman"/>
          <w:sz w:val="28"/>
          <w:szCs w:val="28"/>
        </w:rPr>
        <w:t xml:space="preserve"> composition and soil </w:t>
      </w:r>
      <w:r>
        <w:rPr>
          <w:rFonts w:ascii="Times New Roman" w:cs="Times New Roman" w:hAnsi="Times New Roman"/>
          <w:sz w:val="28"/>
          <w:szCs w:val="28"/>
        </w:rPr>
        <w:t>pH.</w:t>
      </w:r>
      <w:r>
        <w:rPr>
          <w:rFonts w:ascii="Times New Roman" w:cs="Times New Roman" w:hAnsi="Times New Roman"/>
          <w:sz w:val="28"/>
          <w:szCs w:val="28"/>
        </w:rPr>
        <w:t xml:space="preserve"> Although the pH variations were relatively slight, they still indicate that chemical treatments can alter soil acidity, which may influence microbial activities. More significantly, the fungicides demonstrated a clear suppressive effect on fungal diversity, with most treated soils showing a marked reduction in species such as </w:t>
      </w:r>
      <w:r>
        <w:rPr>
          <w:rStyle w:val="style88"/>
          <w:rFonts w:ascii="Times New Roman" w:cs="Times New Roman" w:hAnsi="Times New Roman"/>
          <w:sz w:val="28"/>
          <w:szCs w:val="28"/>
        </w:rPr>
        <w:t>Penicillium</w:t>
      </w:r>
      <w:r>
        <w:rPr>
          <w:rFonts w:ascii="Times New Roman" w:cs="Times New Roman" w:hAnsi="Times New Roman"/>
          <w:sz w:val="28"/>
          <w:szCs w:val="28"/>
        </w:rPr>
        <w:t xml:space="preserve"> and </w:t>
      </w:r>
      <w:r>
        <w:rPr>
          <w:rStyle w:val="style88"/>
          <w:rFonts w:ascii="Times New Roman" w:cs="Times New Roman" w:hAnsi="Times New Roman"/>
          <w:sz w:val="28"/>
          <w:szCs w:val="28"/>
        </w:rPr>
        <w:t>Aspergillus</w:t>
      </w:r>
      <w:r>
        <w:rPr>
          <w:rFonts w:ascii="Times New Roman" w:cs="Times New Roman" w:hAnsi="Times New Roman"/>
          <w:sz w:val="28"/>
          <w:szCs w:val="28"/>
        </w:rPr>
        <w:t xml:space="preserve">, while </w:t>
      </w:r>
      <w:r>
        <w:rPr>
          <w:rStyle w:val="style88"/>
          <w:rFonts w:ascii="Times New Roman" w:cs="Times New Roman" w:hAnsi="Times New Roman"/>
          <w:sz w:val="28"/>
          <w:szCs w:val="28"/>
        </w:rPr>
        <w:t>Yeast</w:t>
      </w:r>
      <w:r>
        <w:rPr>
          <w:rFonts w:ascii="Times New Roman" w:cs="Times New Roman" w:hAnsi="Times New Roman"/>
          <w:sz w:val="28"/>
          <w:szCs w:val="28"/>
        </w:rPr>
        <w:t xml:space="preserve"> and </w:t>
      </w:r>
      <w:r>
        <w:rPr>
          <w:rStyle w:val="style88"/>
          <w:rFonts w:ascii="Times New Roman" w:cs="Times New Roman" w:hAnsi="Times New Roman"/>
          <w:sz w:val="28"/>
          <w:szCs w:val="28"/>
        </w:rPr>
        <w:t>Rhizopus</w:t>
      </w:r>
      <w:r>
        <w:rPr>
          <w:rFonts w:ascii="Times New Roman" w:cs="Times New Roman" w:hAnsi="Times New Roman"/>
          <w:sz w:val="28"/>
          <w:szCs w:val="28"/>
        </w:rPr>
        <w:t xml:space="preserve"> appeared more tolerant or resilient. Control soils consistently exhibited richer and more balanced fungal communities, reinforcing the importance of preserving microbial diversity for soil health and ecosystem functioning.</w:t>
      </w:r>
    </w:p>
    <w:bookmarkStart w:id="28" w:name="_Toc202976475"/>
    <w:p>
      <w:pPr>
        <w:pStyle w:val="style0"/>
        <w:spacing w:lineRule="auto" w:line="480"/>
        <w:jc w:val="both"/>
        <w:rPr>
          <w:rFonts w:ascii="Times New Roman" w:cs="Times New Roman" w:hAnsi="Times New Roman"/>
          <w:b/>
        </w:rPr>
      </w:pPr>
    </w:p>
    <w:p>
      <w:pPr>
        <w:pStyle w:val="style0"/>
        <w:spacing w:lineRule="auto" w:line="480"/>
        <w:jc w:val="center"/>
        <w:rPr>
          <w:rFonts w:ascii="Times New Roman" w:cs="Times New Roman" w:hAnsi="Times New Roman"/>
          <w:sz w:val="28"/>
          <w:szCs w:val="28"/>
        </w:rPr>
      </w:pPr>
      <w:r>
        <w:rPr>
          <w:rFonts w:ascii="Times New Roman" w:cs="Times New Roman" w:hAnsi="Times New Roman"/>
          <w:b/>
          <w:sz w:val="28"/>
          <w:szCs w:val="28"/>
        </w:rPr>
        <w:t>REFERENCES</w:t>
      </w:r>
      <w:bookmarkEnd w:id="28"/>
    </w:p>
    <w:p>
      <w:pPr>
        <w:pStyle w:val="style94"/>
        <w:spacing w:lineRule="auto" w:line="480"/>
        <w:ind w:left="720" w:hanging="720"/>
        <w:jc w:val="both"/>
        <w:rPr>
          <w:sz w:val="28"/>
          <w:szCs w:val="28"/>
        </w:rPr>
      </w:pPr>
      <w:r>
        <w:rPr>
          <w:sz w:val="28"/>
          <w:szCs w:val="28"/>
        </w:rPr>
        <w:t>Adekunle</w:t>
      </w:r>
      <w:r>
        <w:rPr>
          <w:sz w:val="28"/>
          <w:szCs w:val="28"/>
        </w:rPr>
        <w:t xml:space="preserve">, A. A., &amp; </w:t>
      </w:r>
      <w:r>
        <w:rPr>
          <w:sz w:val="28"/>
          <w:szCs w:val="28"/>
        </w:rPr>
        <w:t>Oladele</w:t>
      </w:r>
      <w:r>
        <w:rPr>
          <w:sz w:val="28"/>
          <w:szCs w:val="28"/>
        </w:rPr>
        <w:t>, O. A. (2023).</w:t>
      </w:r>
      <w:r>
        <w:rPr>
          <w:sz w:val="28"/>
          <w:szCs w:val="28"/>
        </w:rPr>
        <w:t xml:space="preserve"> </w:t>
      </w:r>
      <w:r>
        <w:rPr>
          <w:sz w:val="28"/>
          <w:szCs w:val="28"/>
        </w:rPr>
        <w:t>Effects of agrochemicals on soil microbial diversity in tropical agricultural systems.</w:t>
      </w:r>
      <w:r>
        <w:rPr>
          <w:sz w:val="28"/>
          <w:szCs w:val="28"/>
        </w:rPr>
        <w:t xml:space="preserve"> </w:t>
      </w:r>
      <w:r>
        <w:rPr>
          <w:i/>
          <w:iCs/>
          <w:sz w:val="28"/>
          <w:szCs w:val="28"/>
        </w:rPr>
        <w:t xml:space="preserve">Journal of Applied </w:t>
      </w:r>
      <w:r>
        <w:rPr>
          <w:i/>
          <w:iCs/>
          <w:sz w:val="28"/>
          <w:szCs w:val="28"/>
        </w:rPr>
        <w:t>Microbial Research</w:t>
      </w:r>
      <w:r>
        <w:rPr>
          <w:sz w:val="28"/>
          <w:szCs w:val="28"/>
        </w:rPr>
        <w:t>, 18(2), 55–63. https://doi.org/10.1016/j.jamr.2023.02.005</w:t>
      </w:r>
    </w:p>
    <w:p>
      <w:pPr>
        <w:pStyle w:val="style94"/>
        <w:spacing w:lineRule="auto" w:line="480"/>
        <w:ind w:left="720" w:hanging="720"/>
        <w:jc w:val="both"/>
        <w:rPr>
          <w:sz w:val="28"/>
          <w:szCs w:val="28"/>
        </w:rPr>
      </w:pPr>
      <w:r>
        <w:rPr>
          <w:sz w:val="28"/>
          <w:szCs w:val="28"/>
        </w:rPr>
        <w:t>Adesina</w:t>
      </w:r>
      <w:r>
        <w:rPr>
          <w:sz w:val="28"/>
          <w:szCs w:val="28"/>
        </w:rPr>
        <w:t xml:space="preserve">, O. O., Bello, A. A., &amp; </w:t>
      </w:r>
      <w:r>
        <w:rPr>
          <w:sz w:val="28"/>
          <w:szCs w:val="28"/>
        </w:rPr>
        <w:t>Akinyemi</w:t>
      </w:r>
      <w:r>
        <w:rPr>
          <w:sz w:val="28"/>
          <w:szCs w:val="28"/>
        </w:rPr>
        <w:t>, F. O. (2021).</w:t>
      </w:r>
      <w:r>
        <w:rPr>
          <w:sz w:val="28"/>
          <w:szCs w:val="28"/>
        </w:rPr>
        <w:t xml:space="preserve"> Influence of fungicides on soil fungal communities and crop performance. </w:t>
      </w:r>
      <w:r>
        <w:rPr>
          <w:i/>
          <w:iCs/>
          <w:sz w:val="28"/>
          <w:szCs w:val="28"/>
        </w:rPr>
        <w:t>African Journal of Soil Biology</w:t>
      </w:r>
      <w:r>
        <w:rPr>
          <w:sz w:val="28"/>
          <w:szCs w:val="28"/>
        </w:rPr>
        <w:t>, 27(1), 45–52.</w:t>
      </w:r>
    </w:p>
    <w:p>
      <w:pPr>
        <w:pStyle w:val="style94"/>
        <w:spacing w:lineRule="auto" w:line="480"/>
        <w:ind w:left="720" w:hanging="720"/>
        <w:jc w:val="both"/>
        <w:rPr>
          <w:sz w:val="28"/>
          <w:szCs w:val="28"/>
        </w:rPr>
      </w:pPr>
      <w:r>
        <w:rPr>
          <w:sz w:val="28"/>
          <w:szCs w:val="28"/>
        </w:rPr>
        <w:t>Banerjee</w:t>
      </w:r>
      <w:r>
        <w:rPr>
          <w:sz w:val="28"/>
          <w:szCs w:val="28"/>
        </w:rPr>
        <w:t xml:space="preserve">, S., </w:t>
      </w:r>
      <w:r>
        <w:rPr>
          <w:sz w:val="28"/>
          <w:szCs w:val="28"/>
        </w:rPr>
        <w:t>Schlaeppi</w:t>
      </w:r>
      <w:r>
        <w:rPr>
          <w:sz w:val="28"/>
          <w:szCs w:val="28"/>
        </w:rPr>
        <w:t xml:space="preserve">, K., &amp; van </w:t>
      </w:r>
      <w:r>
        <w:rPr>
          <w:sz w:val="28"/>
          <w:szCs w:val="28"/>
        </w:rPr>
        <w:t>der</w:t>
      </w:r>
      <w:r>
        <w:rPr>
          <w:sz w:val="28"/>
          <w:szCs w:val="28"/>
        </w:rPr>
        <w:t xml:space="preserve"> </w:t>
      </w:r>
      <w:r>
        <w:rPr>
          <w:sz w:val="28"/>
          <w:szCs w:val="28"/>
        </w:rPr>
        <w:t>Heijden</w:t>
      </w:r>
      <w:r>
        <w:rPr>
          <w:sz w:val="28"/>
          <w:szCs w:val="28"/>
        </w:rPr>
        <w:t>, M. G. (2020).</w:t>
      </w:r>
      <w:r>
        <w:rPr>
          <w:sz w:val="28"/>
          <w:szCs w:val="28"/>
        </w:rPr>
        <w:t xml:space="preserve"> </w:t>
      </w:r>
      <w:r>
        <w:rPr>
          <w:sz w:val="28"/>
          <w:szCs w:val="28"/>
        </w:rPr>
        <w:t xml:space="preserve">Keystone </w:t>
      </w:r>
      <w:r>
        <w:rPr>
          <w:sz w:val="28"/>
          <w:szCs w:val="28"/>
        </w:rPr>
        <w:t>taxa</w:t>
      </w:r>
      <w:r>
        <w:rPr>
          <w:sz w:val="28"/>
          <w:szCs w:val="28"/>
        </w:rPr>
        <w:t xml:space="preserve"> as drivers of </w:t>
      </w:r>
      <w:r>
        <w:rPr>
          <w:sz w:val="28"/>
          <w:szCs w:val="28"/>
        </w:rPr>
        <w:t>microbiome</w:t>
      </w:r>
      <w:r>
        <w:rPr>
          <w:sz w:val="28"/>
          <w:szCs w:val="28"/>
        </w:rPr>
        <w:t xml:space="preserve"> structure and functioning.</w:t>
      </w:r>
      <w:r>
        <w:rPr>
          <w:sz w:val="28"/>
          <w:szCs w:val="28"/>
        </w:rPr>
        <w:t xml:space="preserve"> </w:t>
      </w:r>
      <w:r>
        <w:rPr>
          <w:rStyle w:val="style88"/>
          <w:sz w:val="28"/>
          <w:szCs w:val="28"/>
        </w:rPr>
        <w:t>Nature Reviews Microbiology</w:t>
      </w:r>
      <w:r>
        <w:rPr>
          <w:sz w:val="28"/>
          <w:szCs w:val="28"/>
        </w:rPr>
        <w:t>, 16(9), 567–576.</w:t>
      </w:r>
    </w:p>
    <w:p>
      <w:pPr>
        <w:pStyle w:val="style94"/>
        <w:spacing w:lineRule="auto" w:line="480"/>
        <w:ind w:left="720" w:hanging="720"/>
        <w:jc w:val="both"/>
        <w:rPr>
          <w:sz w:val="28"/>
          <w:szCs w:val="28"/>
        </w:rPr>
      </w:pPr>
      <w:r>
        <w:rPr>
          <w:sz w:val="28"/>
          <w:szCs w:val="28"/>
        </w:rPr>
        <w:t>Banerjee</w:t>
      </w:r>
      <w:r>
        <w:rPr>
          <w:sz w:val="28"/>
          <w:szCs w:val="28"/>
        </w:rPr>
        <w:t xml:space="preserve">, S., </w:t>
      </w:r>
      <w:r>
        <w:rPr>
          <w:sz w:val="28"/>
          <w:szCs w:val="28"/>
        </w:rPr>
        <w:t>Walder</w:t>
      </w:r>
      <w:r>
        <w:rPr>
          <w:sz w:val="28"/>
          <w:szCs w:val="28"/>
        </w:rPr>
        <w:t xml:space="preserve">, F., </w:t>
      </w:r>
      <w:r>
        <w:rPr>
          <w:sz w:val="28"/>
          <w:szCs w:val="28"/>
        </w:rPr>
        <w:t>Büchi</w:t>
      </w:r>
      <w:r>
        <w:rPr>
          <w:sz w:val="28"/>
          <w:szCs w:val="28"/>
        </w:rPr>
        <w:t xml:space="preserve">, L., Meyer, M., Held, A. Y., </w:t>
      </w:r>
      <w:r>
        <w:rPr>
          <w:sz w:val="28"/>
          <w:szCs w:val="28"/>
        </w:rPr>
        <w:t>Gattinger</w:t>
      </w:r>
      <w:r>
        <w:rPr>
          <w:sz w:val="28"/>
          <w:szCs w:val="28"/>
        </w:rPr>
        <w:t xml:space="preserve">, A., &amp; van </w:t>
      </w:r>
      <w:r>
        <w:rPr>
          <w:sz w:val="28"/>
          <w:szCs w:val="28"/>
        </w:rPr>
        <w:t>der</w:t>
      </w:r>
      <w:r>
        <w:rPr>
          <w:sz w:val="28"/>
          <w:szCs w:val="28"/>
        </w:rPr>
        <w:t xml:space="preserve"> </w:t>
      </w:r>
      <w:r>
        <w:rPr>
          <w:sz w:val="28"/>
          <w:szCs w:val="28"/>
        </w:rPr>
        <w:t>Heijden</w:t>
      </w:r>
      <w:r>
        <w:rPr>
          <w:sz w:val="28"/>
          <w:szCs w:val="28"/>
        </w:rPr>
        <w:t xml:space="preserve">, M. G. (2020). Agricultural intensification reduces microbial network complexity and the abundance of keystone </w:t>
      </w:r>
      <w:r>
        <w:rPr>
          <w:sz w:val="28"/>
          <w:szCs w:val="28"/>
        </w:rPr>
        <w:t>taxa</w:t>
      </w:r>
      <w:r>
        <w:rPr>
          <w:sz w:val="28"/>
          <w:szCs w:val="28"/>
        </w:rPr>
        <w:t xml:space="preserve"> in roots. </w:t>
      </w:r>
      <w:r>
        <w:rPr>
          <w:rStyle w:val="style88"/>
          <w:sz w:val="28"/>
          <w:szCs w:val="28"/>
        </w:rPr>
        <w:t>Nature Ecology &amp; Evolution</w:t>
      </w:r>
      <w:r>
        <w:rPr>
          <w:sz w:val="28"/>
          <w:szCs w:val="28"/>
        </w:rPr>
        <w:t>, 4(3), 302–310. https://doi.org/10.1038/s41559-019-1052-4</w:t>
      </w:r>
    </w:p>
    <w:p>
      <w:pPr>
        <w:pStyle w:val="style94"/>
        <w:spacing w:lineRule="auto" w:line="480"/>
        <w:ind w:left="720" w:hanging="720"/>
        <w:jc w:val="both"/>
        <w:rPr>
          <w:sz w:val="28"/>
          <w:szCs w:val="28"/>
        </w:rPr>
      </w:pPr>
      <w:r>
        <w:rPr>
          <w:sz w:val="28"/>
          <w:szCs w:val="28"/>
        </w:rPr>
        <w:t>Banerjee</w:t>
      </w:r>
      <w:r>
        <w:rPr>
          <w:sz w:val="28"/>
          <w:szCs w:val="28"/>
        </w:rPr>
        <w:t xml:space="preserve">, S., </w:t>
      </w:r>
      <w:r>
        <w:rPr>
          <w:sz w:val="28"/>
          <w:szCs w:val="28"/>
        </w:rPr>
        <w:t>Walder</w:t>
      </w:r>
      <w:r>
        <w:rPr>
          <w:sz w:val="28"/>
          <w:szCs w:val="28"/>
        </w:rPr>
        <w:t xml:space="preserve">, F., </w:t>
      </w:r>
      <w:r>
        <w:rPr>
          <w:sz w:val="28"/>
          <w:szCs w:val="28"/>
        </w:rPr>
        <w:t>Büchi</w:t>
      </w:r>
      <w:r>
        <w:rPr>
          <w:sz w:val="28"/>
          <w:szCs w:val="28"/>
        </w:rPr>
        <w:t xml:space="preserve">, L., Meyer, M., Held, A. Y., </w:t>
      </w:r>
      <w:r>
        <w:rPr>
          <w:sz w:val="28"/>
          <w:szCs w:val="28"/>
        </w:rPr>
        <w:t>Gattinger</w:t>
      </w:r>
      <w:r>
        <w:rPr>
          <w:sz w:val="28"/>
          <w:szCs w:val="28"/>
        </w:rPr>
        <w:t xml:space="preserve">, A., &amp; van </w:t>
      </w:r>
      <w:r>
        <w:rPr>
          <w:sz w:val="28"/>
          <w:szCs w:val="28"/>
        </w:rPr>
        <w:t>der</w:t>
      </w:r>
      <w:r>
        <w:rPr>
          <w:sz w:val="28"/>
          <w:szCs w:val="28"/>
        </w:rPr>
        <w:t xml:space="preserve"> </w:t>
      </w:r>
      <w:r>
        <w:rPr>
          <w:sz w:val="28"/>
          <w:szCs w:val="28"/>
        </w:rPr>
        <w:t>Heijden</w:t>
      </w:r>
      <w:r>
        <w:rPr>
          <w:sz w:val="28"/>
          <w:szCs w:val="28"/>
        </w:rPr>
        <w:t xml:space="preserve">, M. G. (2020). Agricultural intensification reduces microbial network complexity and the abundance of keystone </w:t>
      </w:r>
      <w:r>
        <w:rPr>
          <w:sz w:val="28"/>
          <w:szCs w:val="28"/>
        </w:rPr>
        <w:t>taxa</w:t>
      </w:r>
      <w:r>
        <w:rPr>
          <w:sz w:val="28"/>
          <w:szCs w:val="28"/>
        </w:rPr>
        <w:t xml:space="preserve"> in </w:t>
      </w:r>
      <w:r>
        <w:rPr>
          <w:sz w:val="28"/>
          <w:szCs w:val="28"/>
        </w:rPr>
        <w:t xml:space="preserve">roots. </w:t>
      </w:r>
      <w:r>
        <w:rPr>
          <w:rStyle w:val="style88"/>
          <w:sz w:val="28"/>
          <w:szCs w:val="28"/>
        </w:rPr>
        <w:t>Nature Ecology &amp; Evolution</w:t>
      </w:r>
      <w:r>
        <w:rPr>
          <w:sz w:val="28"/>
          <w:szCs w:val="28"/>
        </w:rPr>
        <w:t>, 4(3), 302–310. https://doi.org/10.1038/s41559-019-1052-4</w:t>
      </w:r>
    </w:p>
    <w:p>
      <w:pPr>
        <w:pStyle w:val="style94"/>
        <w:spacing w:lineRule="auto" w:line="480"/>
        <w:ind w:left="720" w:hanging="720"/>
        <w:jc w:val="both"/>
        <w:rPr>
          <w:sz w:val="28"/>
          <w:szCs w:val="28"/>
        </w:rPr>
      </w:pPr>
      <w:r>
        <w:rPr>
          <w:sz w:val="28"/>
          <w:szCs w:val="28"/>
        </w:rPr>
        <w:t xml:space="preserve">Chen, L., Wang, Y., &amp; </w:t>
      </w:r>
      <w:r>
        <w:rPr>
          <w:sz w:val="28"/>
          <w:szCs w:val="28"/>
        </w:rPr>
        <w:t>Guo</w:t>
      </w:r>
      <w:r>
        <w:rPr>
          <w:sz w:val="28"/>
          <w:szCs w:val="28"/>
        </w:rPr>
        <w:t>, X. (2021).</w:t>
      </w:r>
      <w:r>
        <w:rPr>
          <w:sz w:val="28"/>
          <w:szCs w:val="28"/>
        </w:rPr>
        <w:t xml:space="preserve"> Fungicide application alters soil microbial functional structure and pH response. </w:t>
      </w:r>
      <w:r>
        <w:rPr>
          <w:i/>
          <w:iCs/>
          <w:sz w:val="28"/>
          <w:szCs w:val="28"/>
        </w:rPr>
        <w:t>Frontiers in Environmental Science</w:t>
      </w:r>
      <w:r>
        <w:rPr>
          <w:sz w:val="28"/>
          <w:szCs w:val="28"/>
        </w:rPr>
        <w:t>, 9, 681453.</w:t>
      </w:r>
      <w:r>
        <w:rPr>
          <w:sz w:val="28"/>
          <w:szCs w:val="28"/>
        </w:rPr>
        <w:t xml:space="preserve"> https://doi.org/10.3389/fenvs.2021.681453</w:t>
      </w:r>
    </w:p>
    <w:p>
      <w:pPr>
        <w:pStyle w:val="style94"/>
        <w:spacing w:lineRule="auto" w:line="480"/>
        <w:ind w:left="720" w:hanging="720"/>
        <w:jc w:val="both"/>
        <w:rPr>
          <w:sz w:val="28"/>
          <w:szCs w:val="28"/>
        </w:rPr>
      </w:pPr>
      <w:r>
        <w:rPr>
          <w:sz w:val="28"/>
          <w:szCs w:val="28"/>
        </w:rPr>
        <w:t>Dhingra</w:t>
      </w:r>
      <w:r>
        <w:rPr>
          <w:sz w:val="28"/>
          <w:szCs w:val="28"/>
        </w:rPr>
        <w:t>, O. D., &amp; Sinclair, J. B. (2020).</w:t>
      </w:r>
      <w:r>
        <w:rPr>
          <w:sz w:val="28"/>
          <w:szCs w:val="28"/>
        </w:rPr>
        <w:t xml:space="preserve"> </w:t>
      </w:r>
      <w:r>
        <w:rPr>
          <w:rStyle w:val="style88"/>
          <w:sz w:val="28"/>
          <w:szCs w:val="28"/>
        </w:rPr>
        <w:t>Basic Plant Pathology Methods</w:t>
      </w:r>
      <w:r>
        <w:rPr>
          <w:sz w:val="28"/>
          <w:szCs w:val="28"/>
        </w:rPr>
        <w:t>.</w:t>
      </w:r>
      <w:r>
        <w:rPr>
          <w:sz w:val="28"/>
          <w:szCs w:val="28"/>
        </w:rPr>
        <w:t xml:space="preserve"> </w:t>
      </w:r>
      <w:r>
        <w:rPr>
          <w:sz w:val="28"/>
          <w:szCs w:val="28"/>
        </w:rPr>
        <w:t>CRC Press.</w:t>
      </w:r>
    </w:p>
    <w:p>
      <w:pPr>
        <w:pStyle w:val="style94"/>
        <w:spacing w:lineRule="auto" w:line="480"/>
        <w:ind w:left="720" w:hanging="720"/>
        <w:jc w:val="both"/>
        <w:rPr>
          <w:sz w:val="28"/>
          <w:szCs w:val="28"/>
        </w:rPr>
      </w:pPr>
      <w:r>
        <w:rPr>
          <w:sz w:val="28"/>
          <w:szCs w:val="28"/>
        </w:rPr>
        <w:t>Francioli</w:t>
      </w:r>
      <w:r>
        <w:rPr>
          <w:sz w:val="28"/>
          <w:szCs w:val="28"/>
        </w:rPr>
        <w:t xml:space="preserve">, D., Schulz, E., </w:t>
      </w:r>
      <w:r>
        <w:rPr>
          <w:sz w:val="28"/>
          <w:szCs w:val="28"/>
        </w:rPr>
        <w:t>Lentendu</w:t>
      </w:r>
      <w:r>
        <w:rPr>
          <w:sz w:val="28"/>
          <w:szCs w:val="28"/>
        </w:rPr>
        <w:t xml:space="preserve">, G., </w:t>
      </w:r>
      <w:r>
        <w:rPr>
          <w:sz w:val="28"/>
          <w:szCs w:val="28"/>
        </w:rPr>
        <w:t>Wubet</w:t>
      </w:r>
      <w:r>
        <w:rPr>
          <w:sz w:val="28"/>
          <w:szCs w:val="28"/>
        </w:rPr>
        <w:t xml:space="preserve">, T., </w:t>
      </w:r>
      <w:r>
        <w:rPr>
          <w:sz w:val="28"/>
          <w:szCs w:val="28"/>
        </w:rPr>
        <w:t>Buscot</w:t>
      </w:r>
      <w:r>
        <w:rPr>
          <w:sz w:val="28"/>
          <w:szCs w:val="28"/>
        </w:rPr>
        <w:t>, F., &amp; Reitz, T. (2022).</w:t>
      </w:r>
      <w:r>
        <w:rPr>
          <w:sz w:val="28"/>
          <w:szCs w:val="28"/>
        </w:rPr>
        <w:t xml:space="preserve"> </w:t>
      </w:r>
      <w:r>
        <w:rPr>
          <w:sz w:val="28"/>
          <w:szCs w:val="28"/>
        </w:rPr>
        <w:t xml:space="preserve">Impact of repeated fungicide applications on the soil </w:t>
      </w:r>
      <w:r>
        <w:rPr>
          <w:sz w:val="28"/>
          <w:szCs w:val="28"/>
        </w:rPr>
        <w:t>microbiome</w:t>
      </w:r>
      <w:r>
        <w:rPr>
          <w:sz w:val="28"/>
          <w:szCs w:val="28"/>
        </w:rPr>
        <w:t xml:space="preserve"> in vineyards.</w:t>
      </w:r>
      <w:r>
        <w:rPr>
          <w:sz w:val="28"/>
          <w:szCs w:val="28"/>
        </w:rPr>
        <w:t xml:space="preserve"> </w:t>
      </w:r>
      <w:r>
        <w:rPr>
          <w:rStyle w:val="style88"/>
          <w:sz w:val="28"/>
          <w:szCs w:val="28"/>
        </w:rPr>
        <w:t xml:space="preserve">Science of </w:t>
      </w:r>
      <w:r>
        <w:rPr>
          <w:rStyle w:val="style88"/>
          <w:sz w:val="28"/>
          <w:szCs w:val="28"/>
        </w:rPr>
        <w:t>The</w:t>
      </w:r>
      <w:r>
        <w:rPr>
          <w:rStyle w:val="style88"/>
          <w:sz w:val="28"/>
          <w:szCs w:val="28"/>
        </w:rPr>
        <w:t xml:space="preserve"> Total Environment</w:t>
      </w:r>
      <w:r>
        <w:rPr>
          <w:sz w:val="28"/>
          <w:szCs w:val="28"/>
        </w:rPr>
        <w:t xml:space="preserve">, 806, 150383. </w:t>
      </w:r>
      <w:r>
        <w:rPr/>
        <w:fldChar w:fldCharType="begin"/>
      </w:r>
      <w:r>
        <w:instrText xml:space="preserve"> HYPERLINK "https://doi.org/10.1016/j.scitotenv.2021.150383" </w:instrText>
      </w:r>
      <w:r>
        <w:rPr/>
        <w:fldChar w:fldCharType="separate"/>
      </w:r>
      <w:r>
        <w:rPr>
          <w:rStyle w:val="style85"/>
          <w:sz w:val="28"/>
          <w:szCs w:val="28"/>
        </w:rPr>
        <w:t>https://doi.org/10.1016/j.scitotenv.2021.150383</w:t>
      </w:r>
      <w:r>
        <w:rPr/>
        <w:fldChar w:fldCharType="end"/>
      </w:r>
    </w:p>
    <w:p>
      <w:pPr>
        <w:pStyle w:val="style94"/>
        <w:spacing w:lineRule="auto" w:line="480"/>
        <w:ind w:left="720" w:hanging="720"/>
        <w:jc w:val="both"/>
        <w:rPr>
          <w:sz w:val="28"/>
          <w:szCs w:val="28"/>
        </w:rPr>
      </w:pPr>
      <w:r>
        <w:rPr>
          <w:sz w:val="28"/>
          <w:szCs w:val="28"/>
        </w:rPr>
        <w:t>Francioli</w:t>
      </w:r>
      <w:r>
        <w:rPr>
          <w:sz w:val="28"/>
          <w:szCs w:val="28"/>
        </w:rPr>
        <w:t xml:space="preserve">, D., Schulz, E., </w:t>
      </w:r>
      <w:r>
        <w:rPr>
          <w:sz w:val="28"/>
          <w:szCs w:val="28"/>
        </w:rPr>
        <w:t>Lentendu</w:t>
      </w:r>
      <w:r>
        <w:rPr>
          <w:sz w:val="28"/>
          <w:szCs w:val="28"/>
        </w:rPr>
        <w:t xml:space="preserve">, G., </w:t>
      </w:r>
      <w:r>
        <w:rPr>
          <w:sz w:val="28"/>
          <w:szCs w:val="28"/>
        </w:rPr>
        <w:t>Wubet</w:t>
      </w:r>
      <w:r>
        <w:rPr>
          <w:sz w:val="28"/>
          <w:szCs w:val="28"/>
        </w:rPr>
        <w:t xml:space="preserve">, T., </w:t>
      </w:r>
      <w:r>
        <w:rPr>
          <w:sz w:val="28"/>
          <w:szCs w:val="28"/>
        </w:rPr>
        <w:t>Buscot</w:t>
      </w:r>
      <w:r>
        <w:rPr>
          <w:sz w:val="28"/>
          <w:szCs w:val="28"/>
        </w:rPr>
        <w:t>, F., &amp; Reitz, T. (2022).</w:t>
      </w:r>
      <w:r>
        <w:rPr>
          <w:sz w:val="28"/>
          <w:szCs w:val="28"/>
        </w:rPr>
        <w:t xml:space="preserve"> </w:t>
      </w:r>
      <w:r>
        <w:rPr>
          <w:sz w:val="28"/>
          <w:szCs w:val="28"/>
        </w:rPr>
        <w:t xml:space="preserve">Impact of repeated fungicide applications on the soil </w:t>
      </w:r>
      <w:r>
        <w:rPr>
          <w:sz w:val="28"/>
          <w:szCs w:val="28"/>
        </w:rPr>
        <w:t>microbiome</w:t>
      </w:r>
      <w:r>
        <w:rPr>
          <w:sz w:val="28"/>
          <w:szCs w:val="28"/>
        </w:rPr>
        <w:t xml:space="preserve"> in vineyards.</w:t>
      </w:r>
      <w:r>
        <w:rPr>
          <w:sz w:val="28"/>
          <w:szCs w:val="28"/>
        </w:rPr>
        <w:t xml:space="preserve"> </w:t>
      </w:r>
      <w:r>
        <w:rPr>
          <w:rStyle w:val="style88"/>
          <w:sz w:val="28"/>
          <w:szCs w:val="28"/>
        </w:rPr>
        <w:t xml:space="preserve">Science of </w:t>
      </w:r>
      <w:r>
        <w:rPr>
          <w:rStyle w:val="style88"/>
          <w:sz w:val="28"/>
          <w:szCs w:val="28"/>
        </w:rPr>
        <w:t>The</w:t>
      </w:r>
      <w:r>
        <w:rPr>
          <w:rStyle w:val="style88"/>
          <w:sz w:val="28"/>
          <w:szCs w:val="28"/>
        </w:rPr>
        <w:t xml:space="preserve"> Total Environment</w:t>
      </w:r>
      <w:r>
        <w:rPr>
          <w:sz w:val="28"/>
          <w:szCs w:val="28"/>
        </w:rPr>
        <w:t>, 806, 150383. https://doi.org/10.1016/j.scitotenv.2021.150383</w:t>
      </w:r>
    </w:p>
    <w:p>
      <w:pPr>
        <w:pStyle w:val="style94"/>
        <w:spacing w:lineRule="auto" w:line="480"/>
        <w:ind w:left="720" w:hanging="720"/>
        <w:jc w:val="both"/>
        <w:rPr>
          <w:sz w:val="28"/>
          <w:szCs w:val="28"/>
        </w:rPr>
      </w:pPr>
      <w:r>
        <w:rPr>
          <w:sz w:val="28"/>
          <w:szCs w:val="28"/>
        </w:rPr>
        <w:t>González-Pérez</w:t>
      </w:r>
      <w:r>
        <w:rPr>
          <w:sz w:val="28"/>
          <w:szCs w:val="28"/>
        </w:rPr>
        <w:t xml:space="preserve">, J. A., </w:t>
      </w:r>
      <w:r>
        <w:rPr>
          <w:sz w:val="28"/>
          <w:szCs w:val="28"/>
        </w:rPr>
        <w:t>González</w:t>
      </w:r>
      <w:r>
        <w:rPr>
          <w:sz w:val="28"/>
          <w:szCs w:val="28"/>
        </w:rPr>
        <w:t>-Vila, F. J., &amp; Plaza, C. (2020).</w:t>
      </w:r>
      <w:r>
        <w:rPr>
          <w:sz w:val="28"/>
          <w:szCs w:val="28"/>
        </w:rPr>
        <w:t xml:space="preserve"> </w:t>
      </w:r>
      <w:r>
        <w:rPr>
          <w:sz w:val="28"/>
          <w:szCs w:val="28"/>
        </w:rPr>
        <w:t xml:space="preserve">The role of soil fungal communities in </w:t>
      </w:r>
      <w:r>
        <w:rPr>
          <w:sz w:val="28"/>
          <w:szCs w:val="28"/>
        </w:rPr>
        <w:t>agroecosystems</w:t>
      </w:r>
      <w:r>
        <w:rPr>
          <w:sz w:val="28"/>
          <w:szCs w:val="28"/>
        </w:rPr>
        <w:t>.</w:t>
      </w:r>
      <w:r>
        <w:rPr>
          <w:sz w:val="28"/>
          <w:szCs w:val="28"/>
        </w:rPr>
        <w:t xml:space="preserve"> </w:t>
      </w:r>
      <w:r>
        <w:rPr>
          <w:rStyle w:val="style88"/>
          <w:sz w:val="28"/>
          <w:szCs w:val="28"/>
        </w:rPr>
        <w:t>Frontiers in Microbiology</w:t>
      </w:r>
      <w:r>
        <w:rPr>
          <w:sz w:val="28"/>
          <w:szCs w:val="28"/>
        </w:rPr>
        <w:t>, 11, 583385.</w:t>
      </w:r>
      <w:r>
        <w:rPr>
          <w:sz w:val="28"/>
          <w:szCs w:val="28"/>
        </w:rPr>
        <w:t xml:space="preserve"> https://doi.org/10.3389/fmicb.2020.583385</w:t>
      </w:r>
    </w:p>
    <w:p>
      <w:pPr>
        <w:pStyle w:val="style94"/>
        <w:spacing w:lineRule="auto" w:line="480"/>
        <w:ind w:left="720" w:hanging="720"/>
        <w:jc w:val="both"/>
        <w:rPr>
          <w:sz w:val="28"/>
          <w:szCs w:val="28"/>
        </w:rPr>
      </w:pPr>
      <w:r>
        <w:rPr>
          <w:sz w:val="28"/>
          <w:szCs w:val="28"/>
        </w:rPr>
        <w:t>González-Pérez</w:t>
      </w:r>
      <w:r>
        <w:rPr>
          <w:sz w:val="28"/>
          <w:szCs w:val="28"/>
        </w:rPr>
        <w:t xml:space="preserve">, J. A., </w:t>
      </w:r>
      <w:r>
        <w:rPr>
          <w:sz w:val="28"/>
          <w:szCs w:val="28"/>
        </w:rPr>
        <w:t>González</w:t>
      </w:r>
      <w:r>
        <w:rPr>
          <w:sz w:val="28"/>
          <w:szCs w:val="28"/>
        </w:rPr>
        <w:t>-Vila, F. J., &amp; Plaza, C. (2020).</w:t>
      </w:r>
      <w:r>
        <w:rPr>
          <w:sz w:val="28"/>
          <w:szCs w:val="28"/>
        </w:rPr>
        <w:t xml:space="preserve"> </w:t>
      </w:r>
      <w:r>
        <w:rPr>
          <w:sz w:val="28"/>
          <w:szCs w:val="28"/>
        </w:rPr>
        <w:t xml:space="preserve">The role of soil fungal communities in </w:t>
      </w:r>
      <w:r>
        <w:rPr>
          <w:sz w:val="28"/>
          <w:szCs w:val="28"/>
        </w:rPr>
        <w:t>agroecosystems</w:t>
      </w:r>
      <w:r>
        <w:rPr>
          <w:sz w:val="28"/>
          <w:szCs w:val="28"/>
        </w:rPr>
        <w:t>.</w:t>
      </w:r>
      <w:r>
        <w:rPr>
          <w:sz w:val="28"/>
          <w:szCs w:val="28"/>
        </w:rPr>
        <w:t xml:space="preserve"> </w:t>
      </w:r>
      <w:r>
        <w:rPr>
          <w:rStyle w:val="style88"/>
          <w:sz w:val="28"/>
          <w:szCs w:val="28"/>
        </w:rPr>
        <w:t>Frontiers in Microbiology</w:t>
      </w:r>
      <w:r>
        <w:rPr>
          <w:sz w:val="28"/>
          <w:szCs w:val="28"/>
        </w:rPr>
        <w:t>, 11, 583385.</w:t>
      </w:r>
      <w:r>
        <w:rPr>
          <w:sz w:val="28"/>
          <w:szCs w:val="28"/>
        </w:rPr>
        <w:t xml:space="preserve"> https://doi.org/10.3389/fmicb.2020.583385</w:t>
      </w:r>
    </w:p>
    <w:p>
      <w:pPr>
        <w:pStyle w:val="style94"/>
        <w:spacing w:lineRule="auto" w:line="480"/>
        <w:ind w:left="720" w:hanging="720"/>
        <w:jc w:val="both"/>
        <w:rPr>
          <w:sz w:val="28"/>
          <w:szCs w:val="28"/>
        </w:rPr>
      </w:pPr>
      <w:r>
        <w:rPr>
          <w:sz w:val="28"/>
          <w:szCs w:val="28"/>
        </w:rPr>
        <w:t xml:space="preserve">He, D., </w:t>
      </w:r>
      <w:r>
        <w:rPr>
          <w:sz w:val="28"/>
          <w:szCs w:val="28"/>
        </w:rPr>
        <w:t>Shen</w:t>
      </w:r>
      <w:r>
        <w:rPr>
          <w:sz w:val="28"/>
          <w:szCs w:val="28"/>
        </w:rPr>
        <w:t xml:space="preserve">, W., </w:t>
      </w:r>
      <w:r>
        <w:rPr>
          <w:sz w:val="28"/>
          <w:szCs w:val="28"/>
        </w:rPr>
        <w:t>Eberwein</w:t>
      </w:r>
      <w:r>
        <w:rPr>
          <w:sz w:val="28"/>
          <w:szCs w:val="28"/>
        </w:rPr>
        <w:t xml:space="preserve">, J., Zhao, Q., </w:t>
      </w:r>
      <w:r>
        <w:rPr>
          <w:sz w:val="28"/>
          <w:szCs w:val="28"/>
        </w:rPr>
        <w:t>Ren</w:t>
      </w:r>
      <w:r>
        <w:rPr>
          <w:sz w:val="28"/>
          <w:szCs w:val="28"/>
        </w:rPr>
        <w:t>, L., &amp; Wu, Q. L. (2021).</w:t>
      </w:r>
      <w:r>
        <w:rPr>
          <w:sz w:val="28"/>
          <w:szCs w:val="28"/>
        </w:rPr>
        <w:t xml:space="preserve"> Fungicide application changes the soil </w:t>
      </w:r>
      <w:r>
        <w:rPr>
          <w:sz w:val="28"/>
          <w:szCs w:val="28"/>
        </w:rPr>
        <w:t>mycobiome</w:t>
      </w:r>
      <w:r>
        <w:rPr>
          <w:sz w:val="28"/>
          <w:szCs w:val="28"/>
        </w:rPr>
        <w:t xml:space="preserve"> and plant performance in soybean fields. </w:t>
      </w:r>
      <w:r>
        <w:rPr>
          <w:rStyle w:val="style88"/>
          <w:sz w:val="28"/>
          <w:szCs w:val="28"/>
        </w:rPr>
        <w:t>Applied Soil Ecology</w:t>
      </w:r>
      <w:r>
        <w:rPr>
          <w:sz w:val="28"/>
          <w:szCs w:val="28"/>
        </w:rPr>
        <w:t>, 168, 104147.</w:t>
      </w:r>
      <w:r>
        <w:rPr>
          <w:sz w:val="28"/>
          <w:szCs w:val="28"/>
        </w:rPr>
        <w:t xml:space="preserve"> https://doi.org/10.1016/j.apsoil.2021.104147</w:t>
      </w:r>
    </w:p>
    <w:p>
      <w:pPr>
        <w:pStyle w:val="style94"/>
        <w:spacing w:lineRule="auto" w:line="480"/>
        <w:ind w:left="720" w:hanging="720"/>
        <w:jc w:val="both"/>
        <w:rPr>
          <w:sz w:val="28"/>
          <w:szCs w:val="28"/>
        </w:rPr>
      </w:pPr>
      <w:r>
        <w:rPr>
          <w:sz w:val="28"/>
          <w:szCs w:val="28"/>
        </w:rPr>
        <w:t xml:space="preserve">He, D., </w:t>
      </w:r>
      <w:r>
        <w:rPr>
          <w:sz w:val="28"/>
          <w:szCs w:val="28"/>
        </w:rPr>
        <w:t>Shen</w:t>
      </w:r>
      <w:r>
        <w:rPr>
          <w:sz w:val="28"/>
          <w:szCs w:val="28"/>
        </w:rPr>
        <w:t xml:space="preserve">, W., </w:t>
      </w:r>
      <w:r>
        <w:rPr>
          <w:sz w:val="28"/>
          <w:szCs w:val="28"/>
        </w:rPr>
        <w:t>Eberwein</w:t>
      </w:r>
      <w:r>
        <w:rPr>
          <w:sz w:val="28"/>
          <w:szCs w:val="28"/>
        </w:rPr>
        <w:t xml:space="preserve">, J., Zhao, Q., </w:t>
      </w:r>
      <w:r>
        <w:rPr>
          <w:sz w:val="28"/>
          <w:szCs w:val="28"/>
        </w:rPr>
        <w:t>Ren</w:t>
      </w:r>
      <w:r>
        <w:rPr>
          <w:sz w:val="28"/>
          <w:szCs w:val="28"/>
        </w:rPr>
        <w:t>, L., &amp; Wu, Q. L. (2021).</w:t>
      </w:r>
      <w:r>
        <w:rPr>
          <w:sz w:val="28"/>
          <w:szCs w:val="28"/>
        </w:rPr>
        <w:t xml:space="preserve"> Fungicide application changes the soil </w:t>
      </w:r>
      <w:r>
        <w:rPr>
          <w:sz w:val="28"/>
          <w:szCs w:val="28"/>
        </w:rPr>
        <w:t>mycobiome</w:t>
      </w:r>
      <w:r>
        <w:rPr>
          <w:sz w:val="28"/>
          <w:szCs w:val="28"/>
        </w:rPr>
        <w:t xml:space="preserve"> and plant performance in soybean fields. </w:t>
      </w:r>
      <w:r>
        <w:rPr>
          <w:rStyle w:val="style88"/>
          <w:sz w:val="28"/>
          <w:szCs w:val="28"/>
        </w:rPr>
        <w:t>Applied Soil Ecology</w:t>
      </w:r>
      <w:r>
        <w:rPr>
          <w:sz w:val="28"/>
          <w:szCs w:val="28"/>
        </w:rPr>
        <w:t>, 168, 104147.</w:t>
      </w:r>
      <w:r>
        <w:rPr>
          <w:sz w:val="28"/>
          <w:szCs w:val="28"/>
        </w:rPr>
        <w:t xml:space="preserve"> </w:t>
      </w:r>
      <w:r>
        <w:rPr/>
        <w:fldChar w:fldCharType="begin"/>
      </w:r>
      <w:r>
        <w:instrText xml:space="preserve"> HYPERLINK "https://doi.org/10.1016/j.apsoil.2021.104147" </w:instrText>
      </w:r>
      <w:r>
        <w:rPr/>
        <w:fldChar w:fldCharType="separate"/>
      </w:r>
      <w:r>
        <w:rPr>
          <w:rStyle w:val="style85"/>
          <w:sz w:val="28"/>
          <w:szCs w:val="28"/>
        </w:rPr>
        <w:t>https://doi.org/10.1016/j.apsoil.2021.104147</w:t>
      </w:r>
      <w:r>
        <w:rPr/>
        <w:fldChar w:fldCharType="end"/>
      </w:r>
    </w:p>
    <w:p>
      <w:pPr>
        <w:pStyle w:val="style94"/>
        <w:spacing w:lineRule="auto" w:line="480"/>
        <w:ind w:left="720" w:hanging="720"/>
        <w:jc w:val="both"/>
        <w:rPr>
          <w:sz w:val="28"/>
          <w:szCs w:val="28"/>
        </w:rPr>
      </w:pPr>
      <w:r>
        <w:rPr>
          <w:sz w:val="28"/>
          <w:szCs w:val="28"/>
        </w:rPr>
        <w:t>Köhl</w:t>
      </w:r>
      <w:r>
        <w:rPr>
          <w:sz w:val="28"/>
          <w:szCs w:val="28"/>
        </w:rPr>
        <w:t xml:space="preserve">, J., </w:t>
      </w:r>
      <w:r>
        <w:rPr>
          <w:sz w:val="28"/>
          <w:szCs w:val="28"/>
        </w:rPr>
        <w:t>Kolnaar</w:t>
      </w:r>
      <w:r>
        <w:rPr>
          <w:sz w:val="28"/>
          <w:szCs w:val="28"/>
        </w:rPr>
        <w:t xml:space="preserve">, R., &amp; </w:t>
      </w:r>
      <w:r>
        <w:rPr>
          <w:sz w:val="28"/>
          <w:szCs w:val="28"/>
        </w:rPr>
        <w:t>Ravensberg</w:t>
      </w:r>
      <w:r>
        <w:rPr>
          <w:sz w:val="28"/>
          <w:szCs w:val="28"/>
        </w:rPr>
        <w:t>, W. J. (2019).</w:t>
      </w:r>
      <w:r>
        <w:rPr>
          <w:sz w:val="28"/>
          <w:szCs w:val="28"/>
        </w:rPr>
        <w:t xml:space="preserve"> Mode of action of microbial biological control agents against plant diseases: Relevance beyond efficacy. </w:t>
      </w:r>
      <w:r>
        <w:rPr>
          <w:rStyle w:val="style88"/>
          <w:sz w:val="28"/>
          <w:szCs w:val="28"/>
        </w:rPr>
        <w:t>Frontiers in Plant Science</w:t>
      </w:r>
      <w:r>
        <w:rPr>
          <w:sz w:val="28"/>
          <w:szCs w:val="28"/>
        </w:rPr>
        <w:t>, 10, 845.</w:t>
      </w:r>
    </w:p>
    <w:p>
      <w:pPr>
        <w:pStyle w:val="style94"/>
        <w:spacing w:lineRule="auto" w:line="480"/>
        <w:ind w:left="720" w:hanging="720"/>
        <w:jc w:val="both"/>
        <w:rPr>
          <w:sz w:val="28"/>
          <w:szCs w:val="28"/>
        </w:rPr>
      </w:pPr>
      <w:r>
        <w:rPr>
          <w:sz w:val="28"/>
          <w:szCs w:val="28"/>
        </w:rPr>
        <w:t xml:space="preserve">Kumar, R., </w:t>
      </w:r>
      <w:r>
        <w:rPr>
          <w:sz w:val="28"/>
          <w:szCs w:val="28"/>
        </w:rPr>
        <w:t>Jha</w:t>
      </w:r>
      <w:r>
        <w:rPr>
          <w:sz w:val="28"/>
          <w:szCs w:val="28"/>
        </w:rPr>
        <w:t>, P. N., &amp; Singh, R. (2020).</w:t>
      </w:r>
      <w:r>
        <w:rPr>
          <w:sz w:val="28"/>
          <w:szCs w:val="28"/>
        </w:rPr>
        <w:t xml:space="preserve"> </w:t>
      </w:r>
      <w:r>
        <w:rPr>
          <w:sz w:val="28"/>
          <w:szCs w:val="28"/>
        </w:rPr>
        <w:t>Morphological identification and characterization of soil fungal isolates from agricultural fields.</w:t>
      </w:r>
      <w:r>
        <w:rPr>
          <w:sz w:val="28"/>
          <w:szCs w:val="28"/>
        </w:rPr>
        <w:t xml:space="preserve"> </w:t>
      </w:r>
      <w:r>
        <w:rPr>
          <w:i/>
          <w:iCs/>
          <w:sz w:val="28"/>
          <w:szCs w:val="28"/>
        </w:rPr>
        <w:t>Indian Journal of Mycology and Plant Pathology</w:t>
      </w:r>
      <w:r>
        <w:rPr>
          <w:sz w:val="28"/>
          <w:szCs w:val="28"/>
        </w:rPr>
        <w:t>, 50(3), 399–406.</w:t>
      </w:r>
    </w:p>
    <w:p>
      <w:pPr>
        <w:pStyle w:val="style94"/>
        <w:spacing w:lineRule="auto" w:line="480"/>
        <w:ind w:left="720" w:hanging="720"/>
        <w:jc w:val="both"/>
        <w:rPr>
          <w:sz w:val="28"/>
          <w:szCs w:val="28"/>
        </w:rPr>
      </w:pPr>
      <w:r>
        <w:rPr>
          <w:sz w:val="28"/>
          <w:szCs w:val="28"/>
        </w:rPr>
        <w:t>Li, J., Zhang, M., &amp; Wang, L. (2021).</w:t>
      </w:r>
      <w:r>
        <w:rPr>
          <w:sz w:val="28"/>
          <w:szCs w:val="28"/>
        </w:rPr>
        <w:t xml:space="preserve"> </w:t>
      </w:r>
      <w:r>
        <w:rPr>
          <w:sz w:val="28"/>
          <w:szCs w:val="28"/>
        </w:rPr>
        <w:t>Impacts of chemical pesticides on soil fungal community diversity.</w:t>
      </w:r>
      <w:r>
        <w:rPr>
          <w:sz w:val="28"/>
          <w:szCs w:val="28"/>
        </w:rPr>
        <w:t xml:space="preserve"> </w:t>
      </w:r>
      <w:r>
        <w:rPr>
          <w:i/>
          <w:iCs/>
          <w:sz w:val="28"/>
          <w:szCs w:val="28"/>
        </w:rPr>
        <w:t>Ecotoxicology</w:t>
      </w:r>
      <w:r>
        <w:rPr>
          <w:i/>
          <w:iCs/>
          <w:sz w:val="28"/>
          <w:szCs w:val="28"/>
        </w:rPr>
        <w:t xml:space="preserve"> and Environmental Safety</w:t>
      </w:r>
      <w:r>
        <w:rPr>
          <w:sz w:val="28"/>
          <w:szCs w:val="28"/>
        </w:rPr>
        <w:t>, 210, 111885.</w:t>
      </w:r>
      <w:r>
        <w:rPr>
          <w:sz w:val="28"/>
          <w:szCs w:val="28"/>
        </w:rPr>
        <w:t xml:space="preserve"> https://doi.org/10.1016/j.ecoenv.2021.111885</w:t>
      </w:r>
    </w:p>
    <w:p>
      <w:pPr>
        <w:pStyle w:val="style94"/>
        <w:spacing w:lineRule="auto" w:line="480"/>
        <w:ind w:left="720" w:hanging="720"/>
        <w:jc w:val="both"/>
        <w:rPr>
          <w:sz w:val="28"/>
          <w:szCs w:val="28"/>
        </w:rPr>
      </w:pPr>
      <w:r>
        <w:rPr>
          <w:sz w:val="28"/>
          <w:szCs w:val="28"/>
        </w:rPr>
        <w:t>Olatinwo</w:t>
      </w:r>
      <w:r>
        <w:rPr>
          <w:sz w:val="28"/>
          <w:szCs w:val="28"/>
        </w:rPr>
        <w:t xml:space="preserve">, R. O., </w:t>
      </w:r>
      <w:r>
        <w:rPr>
          <w:sz w:val="28"/>
          <w:szCs w:val="28"/>
        </w:rPr>
        <w:t>Abubakar</w:t>
      </w:r>
      <w:r>
        <w:rPr>
          <w:sz w:val="28"/>
          <w:szCs w:val="28"/>
        </w:rPr>
        <w:t xml:space="preserve">, T., &amp; </w:t>
      </w:r>
      <w:r>
        <w:rPr>
          <w:sz w:val="28"/>
          <w:szCs w:val="28"/>
        </w:rPr>
        <w:t>Babalola</w:t>
      </w:r>
      <w:r>
        <w:rPr>
          <w:sz w:val="28"/>
          <w:szCs w:val="28"/>
        </w:rPr>
        <w:t>, O. O. (2022).</w:t>
      </w:r>
      <w:r>
        <w:rPr>
          <w:sz w:val="28"/>
          <w:szCs w:val="28"/>
        </w:rPr>
        <w:t xml:space="preserve"> </w:t>
      </w:r>
      <w:r>
        <w:rPr>
          <w:sz w:val="28"/>
          <w:szCs w:val="28"/>
        </w:rPr>
        <w:t>Mycobiome</w:t>
      </w:r>
      <w:r>
        <w:rPr>
          <w:sz w:val="28"/>
          <w:szCs w:val="28"/>
        </w:rPr>
        <w:t xml:space="preserve"> changes due to pesticide use in soil environments. </w:t>
      </w:r>
      <w:r>
        <w:rPr>
          <w:i/>
          <w:iCs/>
          <w:sz w:val="28"/>
          <w:szCs w:val="28"/>
        </w:rPr>
        <w:t>Mycological Progress</w:t>
      </w:r>
      <w:r>
        <w:rPr>
          <w:sz w:val="28"/>
          <w:szCs w:val="28"/>
        </w:rPr>
        <w:t>, 21(4), 333–345. https://doi.org/10.1007/s11557-022-01767-4</w:t>
      </w:r>
    </w:p>
    <w:p>
      <w:pPr>
        <w:pStyle w:val="style94"/>
        <w:spacing w:lineRule="auto" w:line="480"/>
        <w:ind w:left="720" w:hanging="720"/>
        <w:jc w:val="both"/>
        <w:rPr>
          <w:sz w:val="28"/>
          <w:szCs w:val="28"/>
        </w:rPr>
      </w:pPr>
      <w:r>
        <w:rPr>
          <w:sz w:val="28"/>
          <w:szCs w:val="28"/>
        </w:rPr>
        <w:t xml:space="preserve">Singh, A., </w:t>
      </w:r>
      <w:r>
        <w:rPr>
          <w:sz w:val="28"/>
          <w:szCs w:val="28"/>
        </w:rPr>
        <w:t>Bhat</w:t>
      </w:r>
      <w:r>
        <w:rPr>
          <w:sz w:val="28"/>
          <w:szCs w:val="28"/>
        </w:rPr>
        <w:t xml:space="preserve">, M. A., &amp; </w:t>
      </w:r>
      <w:r>
        <w:rPr>
          <w:sz w:val="28"/>
          <w:szCs w:val="28"/>
        </w:rPr>
        <w:t>Kour</w:t>
      </w:r>
      <w:r>
        <w:rPr>
          <w:sz w:val="28"/>
          <w:szCs w:val="28"/>
        </w:rPr>
        <w:t>, H. (2023).</w:t>
      </w:r>
      <w:r>
        <w:rPr>
          <w:sz w:val="28"/>
          <w:szCs w:val="28"/>
        </w:rPr>
        <w:t xml:space="preserve"> </w:t>
      </w:r>
      <w:r>
        <w:rPr>
          <w:sz w:val="28"/>
          <w:szCs w:val="28"/>
        </w:rPr>
        <w:t xml:space="preserve">Efficacy of PDA and MEA media in fungal isolation from </w:t>
      </w:r>
      <w:r>
        <w:rPr>
          <w:sz w:val="28"/>
          <w:szCs w:val="28"/>
        </w:rPr>
        <w:t>rhizospheric</w:t>
      </w:r>
      <w:r>
        <w:rPr>
          <w:sz w:val="28"/>
          <w:szCs w:val="28"/>
        </w:rPr>
        <w:t xml:space="preserve"> soils.</w:t>
      </w:r>
      <w:r>
        <w:rPr>
          <w:sz w:val="28"/>
          <w:szCs w:val="28"/>
        </w:rPr>
        <w:t xml:space="preserve"> </w:t>
      </w:r>
      <w:r>
        <w:rPr>
          <w:i/>
          <w:iCs/>
          <w:sz w:val="28"/>
          <w:szCs w:val="28"/>
        </w:rPr>
        <w:t>Plant Pathology Research Journal</w:t>
      </w:r>
      <w:r>
        <w:rPr>
          <w:sz w:val="28"/>
          <w:szCs w:val="28"/>
        </w:rPr>
        <w:t>, 8(1), 27–33.</w:t>
      </w:r>
    </w:p>
    <w:p>
      <w:pPr>
        <w:pStyle w:val="style94"/>
        <w:spacing w:lineRule="auto" w:line="480"/>
        <w:ind w:left="720" w:hanging="720"/>
        <w:jc w:val="both"/>
        <w:rPr>
          <w:sz w:val="28"/>
          <w:szCs w:val="28"/>
        </w:rPr>
      </w:pPr>
      <w:r>
        <w:rPr>
          <w:sz w:val="28"/>
          <w:szCs w:val="28"/>
        </w:rPr>
        <w:t xml:space="preserve">Sun, R., Zhang, X. X., </w:t>
      </w:r>
      <w:r>
        <w:rPr>
          <w:sz w:val="28"/>
          <w:szCs w:val="28"/>
        </w:rPr>
        <w:t>Guo</w:t>
      </w:r>
      <w:r>
        <w:rPr>
          <w:sz w:val="28"/>
          <w:szCs w:val="28"/>
        </w:rPr>
        <w:t>, X., Wang, D., &amp; Chu, H. (2022).</w:t>
      </w:r>
      <w:r>
        <w:rPr>
          <w:sz w:val="28"/>
          <w:szCs w:val="28"/>
        </w:rPr>
        <w:t xml:space="preserve"> Bacterial diversity in soils is affected more strongly by spatial factors than by land use or pollution. </w:t>
      </w:r>
      <w:r>
        <w:rPr>
          <w:rStyle w:val="style88"/>
          <w:sz w:val="28"/>
          <w:szCs w:val="28"/>
        </w:rPr>
        <w:t>Soil Biology and Biochemistry</w:t>
      </w:r>
      <w:r>
        <w:rPr>
          <w:sz w:val="28"/>
          <w:szCs w:val="28"/>
        </w:rPr>
        <w:t>, 130, 10–18.</w:t>
      </w:r>
    </w:p>
    <w:p>
      <w:pPr>
        <w:pStyle w:val="style94"/>
        <w:spacing w:lineRule="auto" w:line="480"/>
        <w:ind w:left="720" w:hanging="720"/>
        <w:jc w:val="both"/>
        <w:rPr>
          <w:sz w:val="28"/>
          <w:szCs w:val="28"/>
        </w:rPr>
      </w:pPr>
      <w:r>
        <w:rPr>
          <w:sz w:val="28"/>
          <w:szCs w:val="28"/>
        </w:rPr>
        <w:t>Tosi</w:t>
      </w:r>
      <w:r>
        <w:rPr>
          <w:sz w:val="28"/>
          <w:szCs w:val="28"/>
        </w:rPr>
        <w:t xml:space="preserve">, L., </w:t>
      </w:r>
      <w:r>
        <w:rPr>
          <w:sz w:val="28"/>
          <w:szCs w:val="28"/>
        </w:rPr>
        <w:t>Ghionna</w:t>
      </w:r>
      <w:r>
        <w:rPr>
          <w:sz w:val="28"/>
          <w:szCs w:val="28"/>
        </w:rPr>
        <w:t xml:space="preserve">, V., &amp; </w:t>
      </w:r>
      <w:r>
        <w:rPr>
          <w:sz w:val="28"/>
          <w:szCs w:val="28"/>
        </w:rPr>
        <w:t>Cristiani</w:t>
      </w:r>
      <w:r>
        <w:rPr>
          <w:sz w:val="28"/>
          <w:szCs w:val="28"/>
        </w:rPr>
        <w:t>, P. (2020).</w:t>
      </w:r>
      <w:r>
        <w:rPr>
          <w:sz w:val="28"/>
          <w:szCs w:val="28"/>
        </w:rPr>
        <w:t xml:space="preserve"> </w:t>
      </w:r>
      <w:r>
        <w:rPr>
          <w:sz w:val="28"/>
          <w:szCs w:val="28"/>
        </w:rPr>
        <w:t>Evaluation of fungicide impact on vineyard soil fungal biodiversity.</w:t>
      </w:r>
      <w:r>
        <w:rPr>
          <w:sz w:val="28"/>
          <w:szCs w:val="28"/>
        </w:rPr>
        <w:t xml:space="preserve"> </w:t>
      </w:r>
      <w:r>
        <w:rPr>
          <w:i/>
          <w:iCs/>
          <w:sz w:val="28"/>
          <w:szCs w:val="28"/>
        </w:rPr>
        <w:t>Journal of Environmental Management</w:t>
      </w:r>
      <w:r>
        <w:rPr>
          <w:sz w:val="28"/>
          <w:szCs w:val="28"/>
        </w:rPr>
        <w:t>, 262, 110355.</w:t>
      </w:r>
      <w:r>
        <w:rPr>
          <w:sz w:val="28"/>
          <w:szCs w:val="28"/>
        </w:rPr>
        <w:t xml:space="preserve"> https://doi.org/10.1016/j.jenvman.2020.110355</w:t>
      </w:r>
    </w:p>
    <w:p>
      <w:pPr>
        <w:pStyle w:val="style94"/>
        <w:spacing w:lineRule="auto" w:line="480"/>
        <w:ind w:left="720" w:hanging="720"/>
        <w:jc w:val="both"/>
        <w:rPr>
          <w:sz w:val="28"/>
          <w:szCs w:val="28"/>
        </w:rPr>
      </w:pPr>
      <w:r>
        <w:rPr>
          <w:sz w:val="28"/>
          <w:szCs w:val="28"/>
        </w:rPr>
        <w:t>Tosi</w:t>
      </w:r>
      <w:r>
        <w:rPr>
          <w:sz w:val="28"/>
          <w:szCs w:val="28"/>
        </w:rPr>
        <w:t xml:space="preserve">, M., </w:t>
      </w:r>
      <w:r>
        <w:rPr>
          <w:sz w:val="28"/>
          <w:szCs w:val="28"/>
        </w:rPr>
        <w:t>Künzli-Gontarczyk</w:t>
      </w:r>
      <w:r>
        <w:rPr>
          <w:sz w:val="28"/>
          <w:szCs w:val="28"/>
        </w:rPr>
        <w:t xml:space="preserve">, M., </w:t>
      </w:r>
      <w:r>
        <w:rPr>
          <w:sz w:val="28"/>
          <w:szCs w:val="28"/>
        </w:rPr>
        <w:t>Ribi</w:t>
      </w:r>
      <w:r>
        <w:rPr>
          <w:sz w:val="28"/>
          <w:szCs w:val="28"/>
        </w:rPr>
        <w:t>, W., &amp; Dubois, D. (2020).</w:t>
      </w:r>
      <w:r>
        <w:rPr>
          <w:sz w:val="28"/>
          <w:szCs w:val="28"/>
        </w:rPr>
        <w:t xml:space="preserve"> </w:t>
      </w:r>
      <w:r>
        <w:rPr>
          <w:sz w:val="28"/>
          <w:szCs w:val="28"/>
        </w:rPr>
        <w:t>Arbuscular</w:t>
      </w:r>
      <w:r>
        <w:rPr>
          <w:sz w:val="28"/>
          <w:szCs w:val="28"/>
        </w:rPr>
        <w:t xml:space="preserve"> </w:t>
      </w:r>
      <w:r>
        <w:rPr>
          <w:sz w:val="28"/>
          <w:szCs w:val="28"/>
        </w:rPr>
        <w:t>mycorrhizal</w:t>
      </w:r>
      <w:r>
        <w:rPr>
          <w:sz w:val="28"/>
          <w:szCs w:val="28"/>
        </w:rPr>
        <w:t xml:space="preserve"> fungi response to fungicides in agricultural systems.</w:t>
      </w:r>
      <w:r>
        <w:rPr>
          <w:sz w:val="28"/>
          <w:szCs w:val="28"/>
        </w:rPr>
        <w:t xml:space="preserve"> </w:t>
      </w:r>
      <w:r>
        <w:rPr>
          <w:rStyle w:val="style88"/>
          <w:sz w:val="28"/>
          <w:szCs w:val="28"/>
        </w:rPr>
        <w:t>Applied Soil Ecology</w:t>
      </w:r>
      <w:r>
        <w:rPr>
          <w:sz w:val="28"/>
          <w:szCs w:val="28"/>
        </w:rPr>
        <w:t>, 150, 103470.</w:t>
      </w:r>
      <w:r>
        <w:rPr>
          <w:sz w:val="28"/>
          <w:szCs w:val="28"/>
        </w:rPr>
        <w:t xml:space="preserve"> https://doi.org/10.1016/j.apsoil.2020.103470</w:t>
      </w:r>
    </w:p>
    <w:p>
      <w:pPr>
        <w:pStyle w:val="style94"/>
        <w:spacing w:lineRule="auto" w:line="480"/>
        <w:ind w:left="720" w:hanging="720"/>
        <w:jc w:val="both"/>
        <w:rPr>
          <w:sz w:val="28"/>
          <w:szCs w:val="28"/>
        </w:rPr>
      </w:pPr>
      <w:r>
        <w:rPr>
          <w:sz w:val="28"/>
          <w:szCs w:val="28"/>
        </w:rPr>
        <w:t xml:space="preserve"> </w:t>
      </w:r>
      <w:r>
        <w:rPr>
          <w:sz w:val="28"/>
          <w:szCs w:val="28"/>
        </w:rPr>
        <w:t>Tosi</w:t>
      </w:r>
      <w:r>
        <w:rPr>
          <w:sz w:val="28"/>
          <w:szCs w:val="28"/>
        </w:rPr>
        <w:t xml:space="preserve">, M., </w:t>
      </w:r>
      <w:r>
        <w:rPr>
          <w:sz w:val="28"/>
          <w:szCs w:val="28"/>
        </w:rPr>
        <w:t>Künzli-Gontarczyk</w:t>
      </w:r>
      <w:r>
        <w:rPr>
          <w:sz w:val="28"/>
          <w:szCs w:val="28"/>
        </w:rPr>
        <w:t xml:space="preserve">, M., </w:t>
      </w:r>
      <w:r>
        <w:rPr>
          <w:sz w:val="28"/>
          <w:szCs w:val="28"/>
        </w:rPr>
        <w:t>Ribi</w:t>
      </w:r>
      <w:r>
        <w:rPr>
          <w:sz w:val="28"/>
          <w:szCs w:val="28"/>
        </w:rPr>
        <w:t>, W., &amp; Dubois, D. (2020).</w:t>
      </w:r>
      <w:r>
        <w:rPr>
          <w:sz w:val="28"/>
          <w:szCs w:val="28"/>
        </w:rPr>
        <w:t xml:space="preserve"> </w:t>
      </w:r>
      <w:r>
        <w:rPr>
          <w:sz w:val="28"/>
          <w:szCs w:val="28"/>
        </w:rPr>
        <w:t>Arbuscular</w:t>
      </w:r>
      <w:r>
        <w:rPr>
          <w:sz w:val="28"/>
          <w:szCs w:val="28"/>
        </w:rPr>
        <w:t xml:space="preserve"> </w:t>
      </w:r>
      <w:r>
        <w:rPr>
          <w:sz w:val="28"/>
          <w:szCs w:val="28"/>
        </w:rPr>
        <w:t>mycorrhizal</w:t>
      </w:r>
      <w:r>
        <w:rPr>
          <w:sz w:val="28"/>
          <w:szCs w:val="28"/>
        </w:rPr>
        <w:t xml:space="preserve"> fungi response to fungicides in agricultural systems.</w:t>
      </w:r>
      <w:r>
        <w:rPr>
          <w:sz w:val="28"/>
          <w:szCs w:val="28"/>
        </w:rPr>
        <w:t xml:space="preserve"> </w:t>
      </w:r>
      <w:r>
        <w:rPr>
          <w:rStyle w:val="style88"/>
          <w:sz w:val="28"/>
          <w:szCs w:val="28"/>
        </w:rPr>
        <w:t>Applied Soil Ecology</w:t>
      </w:r>
      <w:r>
        <w:rPr>
          <w:sz w:val="28"/>
          <w:szCs w:val="28"/>
        </w:rPr>
        <w:t>, 150, 103470.</w:t>
      </w:r>
      <w:r>
        <w:rPr>
          <w:sz w:val="28"/>
          <w:szCs w:val="28"/>
        </w:rPr>
        <w:t xml:space="preserve"> https://doi.org/10.1016/j.apsoil.2020.103470</w:t>
      </w:r>
    </w:p>
    <w:p>
      <w:pPr>
        <w:pStyle w:val="style94"/>
        <w:spacing w:lineRule="auto" w:line="480"/>
        <w:ind w:left="720" w:hanging="720"/>
        <w:jc w:val="both"/>
        <w:rPr>
          <w:sz w:val="28"/>
          <w:szCs w:val="28"/>
        </w:rPr>
      </w:pPr>
      <w:r>
        <w:rPr>
          <w:sz w:val="28"/>
          <w:szCs w:val="28"/>
        </w:rPr>
        <w:t>van</w:t>
      </w:r>
      <w:r>
        <w:rPr>
          <w:sz w:val="28"/>
          <w:szCs w:val="28"/>
        </w:rPr>
        <w:t xml:space="preserve"> </w:t>
      </w:r>
      <w:r>
        <w:rPr>
          <w:sz w:val="28"/>
          <w:szCs w:val="28"/>
        </w:rPr>
        <w:t>der</w:t>
      </w:r>
      <w:r>
        <w:rPr>
          <w:sz w:val="28"/>
          <w:szCs w:val="28"/>
        </w:rPr>
        <w:t xml:space="preserve"> </w:t>
      </w:r>
      <w:r>
        <w:rPr>
          <w:sz w:val="28"/>
          <w:szCs w:val="28"/>
        </w:rPr>
        <w:t>Heijden</w:t>
      </w:r>
      <w:r>
        <w:rPr>
          <w:sz w:val="28"/>
          <w:szCs w:val="28"/>
        </w:rPr>
        <w:t xml:space="preserve">, M. G., Martin, F. M., </w:t>
      </w:r>
      <w:r>
        <w:rPr>
          <w:sz w:val="28"/>
          <w:szCs w:val="28"/>
        </w:rPr>
        <w:t>Selosse</w:t>
      </w:r>
      <w:r>
        <w:rPr>
          <w:sz w:val="28"/>
          <w:szCs w:val="28"/>
        </w:rPr>
        <w:t xml:space="preserve">, M. A., &amp; Sanders, I. R. (2021). </w:t>
      </w:r>
      <w:r>
        <w:rPr>
          <w:sz w:val="28"/>
          <w:szCs w:val="28"/>
        </w:rPr>
        <w:t>Mycorrhizal</w:t>
      </w:r>
      <w:r>
        <w:rPr>
          <w:sz w:val="28"/>
          <w:szCs w:val="28"/>
        </w:rPr>
        <w:t xml:space="preserve"> ecology and evolution: the past, the present, and the future. </w:t>
      </w:r>
      <w:r>
        <w:rPr>
          <w:rStyle w:val="style88"/>
          <w:sz w:val="28"/>
          <w:szCs w:val="28"/>
        </w:rPr>
        <w:t xml:space="preserve">New </w:t>
      </w:r>
      <w:r>
        <w:rPr>
          <w:rStyle w:val="style88"/>
          <w:sz w:val="28"/>
          <w:szCs w:val="28"/>
        </w:rPr>
        <w:t>Phytologist</w:t>
      </w:r>
      <w:r>
        <w:rPr>
          <w:sz w:val="28"/>
          <w:szCs w:val="28"/>
        </w:rPr>
        <w:t>, 220(4), 957–972.</w:t>
      </w:r>
    </w:p>
    <w:p>
      <w:pPr>
        <w:pStyle w:val="style94"/>
        <w:spacing w:lineRule="auto" w:line="480"/>
        <w:ind w:left="720" w:hanging="720"/>
        <w:jc w:val="both"/>
        <w:rPr>
          <w:sz w:val="28"/>
          <w:szCs w:val="28"/>
        </w:rPr>
      </w:pPr>
      <w:r>
        <w:rPr>
          <w:sz w:val="28"/>
          <w:szCs w:val="28"/>
        </w:rPr>
        <w:t xml:space="preserve">Wang, Q., </w:t>
      </w:r>
      <w:r>
        <w:rPr>
          <w:sz w:val="28"/>
          <w:szCs w:val="28"/>
        </w:rPr>
        <w:t>Xiong</w:t>
      </w:r>
      <w:r>
        <w:rPr>
          <w:sz w:val="28"/>
          <w:szCs w:val="28"/>
        </w:rPr>
        <w:t xml:space="preserve">, W., </w:t>
      </w:r>
      <w:r>
        <w:rPr>
          <w:sz w:val="28"/>
          <w:szCs w:val="28"/>
        </w:rPr>
        <w:t>Hu</w:t>
      </w:r>
      <w:r>
        <w:rPr>
          <w:sz w:val="28"/>
          <w:szCs w:val="28"/>
        </w:rPr>
        <w:t xml:space="preserve">, H., Li, Z., </w:t>
      </w:r>
      <w:r>
        <w:rPr>
          <w:sz w:val="28"/>
          <w:szCs w:val="28"/>
        </w:rPr>
        <w:t>Shen</w:t>
      </w:r>
      <w:r>
        <w:rPr>
          <w:sz w:val="28"/>
          <w:szCs w:val="28"/>
        </w:rPr>
        <w:t xml:space="preserve">, Z., &amp; Wei, Z. (2021). Soil fungal community structure and function respond to long-term pesticide application. </w:t>
      </w:r>
      <w:r>
        <w:rPr>
          <w:rStyle w:val="style88"/>
          <w:sz w:val="28"/>
          <w:szCs w:val="28"/>
        </w:rPr>
        <w:t xml:space="preserve">Science of </w:t>
      </w:r>
      <w:r>
        <w:rPr>
          <w:rStyle w:val="style88"/>
          <w:sz w:val="28"/>
          <w:szCs w:val="28"/>
        </w:rPr>
        <w:t>The</w:t>
      </w:r>
      <w:r>
        <w:rPr>
          <w:rStyle w:val="style88"/>
          <w:sz w:val="28"/>
          <w:szCs w:val="28"/>
        </w:rPr>
        <w:t xml:space="preserve"> Total Environment</w:t>
      </w:r>
      <w:r>
        <w:rPr>
          <w:sz w:val="28"/>
          <w:szCs w:val="28"/>
        </w:rPr>
        <w:t xml:space="preserve">, 771, 144767. </w:t>
      </w:r>
      <w:r>
        <w:rPr/>
        <w:fldChar w:fldCharType="begin"/>
      </w:r>
      <w:r>
        <w:instrText xml:space="preserve"> HYPERLINK "https://doi.org/10.1016/j.scitotenv.2020.144767" </w:instrText>
      </w:r>
      <w:r>
        <w:rPr/>
        <w:fldChar w:fldCharType="separate"/>
      </w:r>
      <w:r>
        <w:rPr>
          <w:rStyle w:val="style85"/>
          <w:sz w:val="28"/>
          <w:szCs w:val="28"/>
        </w:rPr>
        <w:t>https://doi.org/10.1016/j.scitotenv.2020.144767</w:t>
      </w:r>
      <w:r>
        <w:rPr/>
        <w:fldChar w:fldCharType="end"/>
      </w:r>
    </w:p>
    <w:p>
      <w:pPr>
        <w:pStyle w:val="style94"/>
        <w:spacing w:lineRule="auto" w:line="480"/>
        <w:ind w:left="720" w:hanging="720"/>
        <w:jc w:val="both"/>
        <w:rPr>
          <w:sz w:val="28"/>
          <w:szCs w:val="28"/>
        </w:rPr>
      </w:pPr>
      <w:r>
        <w:rPr>
          <w:sz w:val="28"/>
          <w:szCs w:val="28"/>
        </w:rPr>
        <w:t xml:space="preserve">Wang, Q., </w:t>
      </w:r>
      <w:r>
        <w:rPr>
          <w:sz w:val="28"/>
          <w:szCs w:val="28"/>
        </w:rPr>
        <w:t>Xiong</w:t>
      </w:r>
      <w:r>
        <w:rPr>
          <w:sz w:val="28"/>
          <w:szCs w:val="28"/>
        </w:rPr>
        <w:t xml:space="preserve">, W., </w:t>
      </w:r>
      <w:r>
        <w:rPr>
          <w:sz w:val="28"/>
          <w:szCs w:val="28"/>
        </w:rPr>
        <w:t>Hu</w:t>
      </w:r>
      <w:r>
        <w:rPr>
          <w:sz w:val="28"/>
          <w:szCs w:val="28"/>
        </w:rPr>
        <w:t xml:space="preserve">, H., Li, Z., </w:t>
      </w:r>
      <w:r>
        <w:rPr>
          <w:sz w:val="28"/>
          <w:szCs w:val="28"/>
        </w:rPr>
        <w:t>Shen</w:t>
      </w:r>
      <w:r>
        <w:rPr>
          <w:sz w:val="28"/>
          <w:szCs w:val="28"/>
        </w:rPr>
        <w:t xml:space="preserve">, Z., &amp; Wei, Z. (2021). Soil fungal community structure and function respond to long-term pesticide application. </w:t>
      </w:r>
      <w:r>
        <w:rPr>
          <w:rStyle w:val="style88"/>
          <w:sz w:val="28"/>
          <w:szCs w:val="28"/>
        </w:rPr>
        <w:t xml:space="preserve">Science of </w:t>
      </w:r>
      <w:r>
        <w:rPr>
          <w:rStyle w:val="style88"/>
          <w:sz w:val="28"/>
          <w:szCs w:val="28"/>
        </w:rPr>
        <w:t>The</w:t>
      </w:r>
      <w:r>
        <w:rPr>
          <w:rStyle w:val="style88"/>
          <w:sz w:val="28"/>
          <w:szCs w:val="28"/>
        </w:rPr>
        <w:t xml:space="preserve"> Total Environment</w:t>
      </w:r>
      <w:r>
        <w:rPr>
          <w:sz w:val="28"/>
          <w:szCs w:val="28"/>
        </w:rPr>
        <w:t>, 771, 144767. https://doi.org/10.1016/j.scitotenv.2020.144767</w:t>
      </w:r>
    </w:p>
    <w:p>
      <w:pPr>
        <w:pStyle w:val="style94"/>
        <w:spacing w:lineRule="auto" w:line="480"/>
        <w:ind w:left="720" w:hanging="720"/>
        <w:jc w:val="both"/>
        <w:rPr>
          <w:sz w:val="28"/>
          <w:szCs w:val="28"/>
        </w:rPr>
      </w:pPr>
      <w:r>
        <w:rPr>
          <w:sz w:val="28"/>
          <w:szCs w:val="28"/>
        </w:rPr>
        <w:t xml:space="preserve">Yamamoto, M., Sato, Y., &amp; </w:t>
      </w:r>
      <w:r>
        <w:rPr>
          <w:sz w:val="28"/>
          <w:szCs w:val="28"/>
        </w:rPr>
        <w:t>Koshikawa</w:t>
      </w:r>
      <w:r>
        <w:rPr>
          <w:sz w:val="28"/>
          <w:szCs w:val="28"/>
        </w:rPr>
        <w:t>, T. (2021).</w:t>
      </w:r>
      <w:r>
        <w:rPr>
          <w:sz w:val="28"/>
          <w:szCs w:val="28"/>
        </w:rPr>
        <w:t xml:space="preserve"> </w:t>
      </w:r>
      <w:r>
        <w:rPr>
          <w:sz w:val="28"/>
          <w:szCs w:val="28"/>
        </w:rPr>
        <w:t>Resistance mechanisms of yeast to antifungal agents and fungicides.</w:t>
      </w:r>
      <w:r>
        <w:rPr>
          <w:sz w:val="28"/>
          <w:szCs w:val="28"/>
        </w:rPr>
        <w:t xml:space="preserve"> </w:t>
      </w:r>
      <w:r>
        <w:rPr>
          <w:rStyle w:val="style88"/>
          <w:sz w:val="28"/>
          <w:szCs w:val="28"/>
        </w:rPr>
        <w:t>Journal of Pesticide Science</w:t>
      </w:r>
      <w:r>
        <w:rPr>
          <w:sz w:val="28"/>
          <w:szCs w:val="28"/>
        </w:rPr>
        <w:t>, 46(1), 12–18.</w:t>
      </w:r>
    </w:p>
    <w:p>
      <w:pPr>
        <w:pStyle w:val="style94"/>
        <w:spacing w:lineRule="auto" w:line="480"/>
        <w:ind w:left="720" w:hanging="720"/>
        <w:jc w:val="both"/>
        <w:rPr>
          <w:sz w:val="28"/>
          <w:szCs w:val="28"/>
        </w:rPr>
      </w:pPr>
      <w:r>
        <w:rPr>
          <w:sz w:val="28"/>
          <w:szCs w:val="28"/>
        </w:rPr>
        <w:t>Yuan, X., Wang, H., &amp; Liang, Y. (2020).</w:t>
      </w:r>
      <w:r>
        <w:rPr>
          <w:sz w:val="28"/>
          <w:szCs w:val="28"/>
        </w:rPr>
        <w:t xml:space="preserve"> </w:t>
      </w:r>
      <w:r>
        <w:rPr>
          <w:sz w:val="28"/>
          <w:szCs w:val="28"/>
        </w:rPr>
        <w:t>Comparative analysis of fungal community responses to fungicides in soil.</w:t>
      </w:r>
      <w:r>
        <w:rPr>
          <w:sz w:val="28"/>
          <w:szCs w:val="28"/>
        </w:rPr>
        <w:t xml:space="preserve"> </w:t>
      </w:r>
      <w:r>
        <w:rPr>
          <w:i/>
          <w:iCs/>
          <w:sz w:val="28"/>
          <w:szCs w:val="28"/>
        </w:rPr>
        <w:t>Soil Ecology Letters</w:t>
      </w:r>
      <w:r>
        <w:rPr>
          <w:sz w:val="28"/>
          <w:szCs w:val="28"/>
        </w:rPr>
        <w:t>, 2(2), 89–96. https://doi.org/10.1007/s42832-020-0043-3</w:t>
      </w:r>
    </w:p>
    <w:p>
      <w:pPr>
        <w:pStyle w:val="style94"/>
        <w:spacing w:lineRule="auto" w:line="480"/>
        <w:ind w:left="720" w:hanging="720"/>
        <w:jc w:val="both"/>
        <w:rPr>
          <w:sz w:val="28"/>
          <w:szCs w:val="28"/>
        </w:rPr>
      </w:pPr>
      <w:r>
        <w:rPr>
          <w:sz w:val="28"/>
          <w:szCs w:val="28"/>
        </w:rPr>
        <w:t xml:space="preserve">Zhang, J., Li, X., &amp; </w:t>
      </w:r>
      <w:r>
        <w:rPr>
          <w:sz w:val="28"/>
          <w:szCs w:val="28"/>
        </w:rPr>
        <w:t>Xu</w:t>
      </w:r>
      <w:r>
        <w:rPr>
          <w:sz w:val="28"/>
          <w:szCs w:val="28"/>
        </w:rPr>
        <w:t>, J. (2022).</w:t>
      </w:r>
      <w:r>
        <w:rPr>
          <w:sz w:val="28"/>
          <w:szCs w:val="28"/>
        </w:rPr>
        <w:t xml:space="preserve"> </w:t>
      </w:r>
      <w:r>
        <w:rPr>
          <w:sz w:val="28"/>
          <w:szCs w:val="28"/>
        </w:rPr>
        <w:t xml:space="preserve">Reduction in fungal diversity due to repeated fungicide application in </w:t>
      </w:r>
      <w:r>
        <w:rPr>
          <w:sz w:val="28"/>
          <w:szCs w:val="28"/>
        </w:rPr>
        <w:t>agroecosystems</w:t>
      </w:r>
      <w:r>
        <w:rPr>
          <w:sz w:val="28"/>
          <w:szCs w:val="28"/>
        </w:rPr>
        <w:t>.</w:t>
      </w:r>
      <w:r>
        <w:rPr>
          <w:sz w:val="28"/>
          <w:szCs w:val="28"/>
        </w:rPr>
        <w:t xml:space="preserve"> </w:t>
      </w:r>
      <w:r>
        <w:rPr>
          <w:i/>
          <w:iCs/>
          <w:sz w:val="28"/>
          <w:szCs w:val="28"/>
        </w:rPr>
        <w:t>Agriculture, Ecosystems &amp; Environment</w:t>
      </w:r>
      <w:r>
        <w:rPr>
          <w:sz w:val="28"/>
          <w:szCs w:val="28"/>
        </w:rPr>
        <w:t>, 330, 107895.</w:t>
      </w:r>
      <w:r>
        <w:rPr>
          <w:sz w:val="28"/>
          <w:szCs w:val="28"/>
        </w:rPr>
        <w:t xml:space="preserve"> https://doi.org/10.1016/j.agee.2022.107895</w:t>
      </w:r>
    </w:p>
    <w:p>
      <w:pPr>
        <w:pStyle w:val="style94"/>
        <w:spacing w:lineRule="auto" w:line="480"/>
        <w:ind w:left="720" w:hanging="720"/>
        <w:jc w:val="both"/>
        <w:rPr>
          <w:sz w:val="28"/>
          <w:szCs w:val="28"/>
        </w:rPr>
      </w:pPr>
      <w:r>
        <w:rPr>
          <w:sz w:val="28"/>
          <w:szCs w:val="28"/>
        </w:rPr>
        <w:t>Zhang, Y., Zhou, M., &amp; Li, C. (2021).</w:t>
      </w:r>
      <w:r>
        <w:rPr>
          <w:sz w:val="28"/>
          <w:szCs w:val="28"/>
        </w:rPr>
        <w:t xml:space="preserve"> </w:t>
      </w:r>
      <w:r>
        <w:rPr>
          <w:sz w:val="28"/>
          <w:szCs w:val="28"/>
        </w:rPr>
        <w:t xml:space="preserve">Impact of fungicides on soil </w:t>
      </w:r>
      <w:r>
        <w:rPr>
          <w:sz w:val="28"/>
          <w:szCs w:val="28"/>
        </w:rPr>
        <w:t>microbiome</w:t>
      </w:r>
      <w:r>
        <w:rPr>
          <w:sz w:val="28"/>
          <w:szCs w:val="28"/>
        </w:rPr>
        <w:t xml:space="preserve"> and nutrient cycling.</w:t>
      </w:r>
      <w:r>
        <w:rPr>
          <w:sz w:val="28"/>
          <w:szCs w:val="28"/>
        </w:rPr>
        <w:t xml:space="preserve"> </w:t>
      </w:r>
      <w:r>
        <w:rPr>
          <w:i/>
          <w:iCs/>
          <w:sz w:val="28"/>
          <w:szCs w:val="28"/>
        </w:rPr>
        <w:t>Environmental Pollution</w:t>
      </w:r>
      <w:r>
        <w:rPr>
          <w:sz w:val="28"/>
          <w:szCs w:val="28"/>
        </w:rPr>
        <w:t>, 278, 116824.</w:t>
      </w:r>
      <w:r>
        <w:rPr>
          <w:sz w:val="28"/>
          <w:szCs w:val="28"/>
        </w:rPr>
        <w:t xml:space="preserve"> https://doi.org/10.1016/j.envpol.2021.116824</w:t>
      </w:r>
    </w:p>
    <w:p>
      <w:pPr>
        <w:pStyle w:val="style94"/>
        <w:spacing w:lineRule="auto" w:line="480"/>
        <w:ind w:left="720" w:hanging="720"/>
        <w:jc w:val="both"/>
        <w:rPr>
          <w:sz w:val="28"/>
          <w:szCs w:val="28"/>
        </w:rPr>
      </w:pPr>
      <w:r>
        <w:rPr>
          <w:sz w:val="28"/>
          <w:szCs w:val="28"/>
        </w:rPr>
        <w:t xml:space="preserve">Zhou, J., </w:t>
      </w:r>
      <w:r>
        <w:rPr>
          <w:sz w:val="28"/>
          <w:szCs w:val="28"/>
        </w:rPr>
        <w:t>Guo</w:t>
      </w:r>
      <w:r>
        <w:rPr>
          <w:sz w:val="28"/>
          <w:szCs w:val="28"/>
        </w:rPr>
        <w:t>, L., &amp; Wang, Y. (2021).</w:t>
      </w:r>
      <w:r>
        <w:rPr>
          <w:sz w:val="28"/>
          <w:szCs w:val="28"/>
        </w:rPr>
        <w:t xml:space="preserve"> Non-target effects of fungicides on soil fungal community: A meta-analysis. </w:t>
      </w:r>
      <w:r>
        <w:rPr>
          <w:rStyle w:val="style88"/>
          <w:sz w:val="28"/>
          <w:szCs w:val="28"/>
        </w:rPr>
        <w:t>Applied Soil Ecology</w:t>
      </w:r>
      <w:r>
        <w:rPr>
          <w:sz w:val="28"/>
          <w:szCs w:val="28"/>
        </w:rPr>
        <w:t>, 163, 103913.</w:t>
      </w:r>
    </w:p>
    <w:p>
      <w:pPr>
        <w:pStyle w:val="style94"/>
        <w:spacing w:lineRule="auto" w:line="480"/>
        <w:ind w:left="720" w:hanging="720"/>
        <w:jc w:val="both"/>
        <w:rPr>
          <w:sz w:val="28"/>
          <w:szCs w:val="28"/>
        </w:rPr>
      </w:pPr>
    </w:p>
    <w:p>
      <w:pPr>
        <w:pStyle w:val="style0"/>
        <w:spacing w:lineRule="auto" w:line="480"/>
        <w:jc w:val="both"/>
        <w:rPr>
          <w:rFonts w:ascii="Times New Roman" w:cs="Times New Roman" w:hAnsi="Times New Roman"/>
          <w:sz w:val="28"/>
          <w:szCs w:val="28"/>
        </w:rPr>
      </w:pPr>
    </w:p>
    <w:p>
      <w:pPr>
        <w:pStyle w:val="style0"/>
        <w:rPr/>
      </w:pPr>
    </w:p>
    <w:sectPr>
      <w:pgSz w:w="11520" w:h="14400" w:orient="portrait"/>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ix</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4D27F50"/>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44D27F50"/>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style>
  <w:style w:type="paragraph" w:styleId="style1">
    <w:name w:val="heading 1"/>
    <w:basedOn w:val="style0"/>
    <w:next w:val="style0"/>
    <w:link w:val="style4097"/>
    <w:qFormat/>
    <w:uiPriority w:val="9"/>
    <w:pPr>
      <w:keepNext/>
      <w:keepLines/>
      <w:spacing w:before="240" w:after="0"/>
      <w:outlineLvl w:val="0"/>
    </w:pPr>
    <w:rPr>
      <w:rFonts w:ascii="Cambria" w:cs="宋体" w:eastAsia="宋体" w:hAnsi="Cambria"/>
      <w:color w:val="365f91"/>
      <w:sz w:val="32"/>
      <w:szCs w:val="32"/>
    </w:rPr>
  </w:style>
  <w:style w:type="paragraph" w:styleId="style4">
    <w:name w:val="heading 4"/>
    <w:basedOn w:val="style0"/>
    <w:next w:val="style0"/>
    <w:link w:val="style4098"/>
    <w:qFormat/>
    <w:uiPriority w:val="9"/>
    <w:pPr>
      <w:keepNext/>
      <w:keepLines/>
      <w:spacing w:before="40" w:after="0"/>
      <w:outlineLvl w:val="3"/>
    </w:pPr>
    <w:rPr>
      <w:rFonts w:ascii="Cambria" w:cs="宋体" w:eastAsia="宋体" w:hAnsi="Cambria"/>
      <w:i/>
      <w:iCs/>
      <w:color w:val="365f91"/>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d77d5734-8f17-4f26-904e-e13613b9d462"/>
    <w:basedOn w:val="style65"/>
    <w:next w:val="style4097"/>
    <w:link w:val="style1"/>
    <w:uiPriority w:val="9"/>
    <w:rPr>
      <w:rFonts w:ascii="Cambria" w:cs="宋体" w:eastAsia="宋体" w:hAnsi="Cambria"/>
      <w:color w:val="365f91"/>
      <w:sz w:val="32"/>
      <w:szCs w:val="32"/>
    </w:rPr>
  </w:style>
  <w:style w:type="character" w:customStyle="1" w:styleId="style4098">
    <w:name w:val="Heading 4 Char_8363fc1e-be7f-4f35-b4ac-00f2856fd4eb"/>
    <w:basedOn w:val="style65"/>
    <w:next w:val="style4098"/>
    <w:link w:val="style4"/>
    <w:uiPriority w:val="9"/>
    <w:rPr>
      <w:rFonts w:ascii="Cambria" w:cs="宋体" w:eastAsia="宋体" w:hAnsi="Cambria"/>
      <w:i/>
      <w:iCs/>
      <w:color w:val="365f91"/>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000ff"/>
      <w:u w:val="single"/>
    </w:rPr>
  </w:style>
  <w:style w:type="table" w:customStyle="1" w:styleId="style4099">
    <w:name w:val="List Table 6 Colorful"/>
    <w:basedOn w:val="style105"/>
    <w:next w:val="style4099"/>
    <w:uiPriority w:val="51"/>
    <w:pPr>
      <w:spacing w:after="0" w:lineRule="auto" w:line="240"/>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0a451fd7-f0f1-4bff-bbed-d61cabf1a72b"/>
    <w:basedOn w:val="style65"/>
    <w:next w:val="style4100"/>
    <w:link w:val="style32"/>
    <w:uiPriority w:val="99"/>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153">
    <w:name w:val="Balloon Text"/>
    <w:basedOn w:val="style0"/>
    <w:next w:val="style153"/>
    <w:link w:val="style4101"/>
    <w:uiPriority w:val="99"/>
    <w:pPr>
      <w:spacing w:after="0" w:lineRule="auto" w:line="240"/>
    </w:pPr>
    <w:rPr>
      <w:rFonts w:ascii="Tahoma" w:cs="Tahoma" w:hAnsi="Tahoma"/>
      <w:sz w:val="16"/>
      <w:szCs w:val="16"/>
    </w:rPr>
  </w:style>
  <w:style w:type="character" w:customStyle="1" w:styleId="style4101">
    <w:name w:val="Balloon Text Char"/>
    <w:basedOn w:val="style65"/>
    <w:next w:val="style4101"/>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image" Target="media/image2.jpe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Words>5193</Words>
  <Pages>45</Pages>
  <Characters>31471</Characters>
  <Application>WPS Office</Application>
  <DocSecurity>0</DocSecurity>
  <Paragraphs>314</Paragraphs>
  <ScaleCrop>false</ScaleCrop>
  <LinksUpToDate>false</LinksUpToDate>
  <CharactersWithSpaces>36905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2025-07-10T21:51:00Z</dcterms:created>
  <dc:creator>User</dc:creator>
  <lastModifiedBy>Infinix X6817</lastModifiedBy>
  <dcterms:modified xsi:type="dcterms:W3CDTF">2025-08-17T22:05:03Z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7b7d4ff76cd646539322fd1fc21f4e69</vt:lpwstr>
  </property>
</Properties>
</file>